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1" w:lineRule="auto"/>
        <w:rPr>
          <w:rFonts w:hint="default" w:ascii="Times New Roman" w:hAnsi="Times New Roman" w:cs="Times New Roman"/>
          <w:sz w:val="21"/>
          <w:highlight w:val="none"/>
        </w:rPr>
      </w:pPr>
    </w:p>
    <w:p>
      <w:pPr>
        <w:spacing w:line="272" w:lineRule="auto"/>
        <w:rPr>
          <w:rFonts w:hint="default" w:ascii="Times New Roman" w:hAnsi="Times New Roman" w:cs="Times New Roman"/>
          <w:sz w:val="21"/>
          <w:highlight w:val="none"/>
        </w:rPr>
      </w:pPr>
    </w:p>
    <w:p>
      <w:pPr>
        <w:spacing w:line="272" w:lineRule="auto"/>
        <w:rPr>
          <w:rFonts w:hint="default" w:ascii="Times New Roman" w:hAnsi="Times New Roman" w:cs="Times New Roman"/>
          <w:sz w:val="21"/>
          <w:highlight w:val="none"/>
        </w:rPr>
      </w:pPr>
    </w:p>
    <w:p>
      <w:pPr>
        <w:spacing w:line="272" w:lineRule="auto"/>
        <w:rPr>
          <w:rFonts w:hint="default" w:ascii="Times New Roman" w:hAnsi="Times New Roman" w:cs="Times New Roman"/>
          <w:sz w:val="21"/>
          <w:highlight w:val="none"/>
        </w:rPr>
      </w:pPr>
    </w:p>
    <w:p>
      <w:pPr>
        <w:spacing w:line="272" w:lineRule="auto"/>
        <w:rPr>
          <w:rFonts w:hint="default" w:ascii="Times New Roman" w:hAnsi="Times New Roman" w:cs="Times New Roman"/>
          <w:sz w:val="21"/>
          <w:highlight w:val="none"/>
        </w:rPr>
      </w:pPr>
    </w:p>
    <w:p>
      <w:pPr>
        <w:spacing w:line="272" w:lineRule="auto"/>
        <w:rPr>
          <w:rFonts w:hint="default" w:ascii="Times New Roman" w:hAnsi="Times New Roman" w:cs="Times New Roman"/>
          <w:sz w:val="21"/>
          <w:highlight w:val="none"/>
        </w:rPr>
      </w:pPr>
    </w:p>
    <w:p>
      <w:pPr>
        <w:spacing w:line="272" w:lineRule="auto"/>
        <w:rPr>
          <w:rFonts w:hint="default" w:ascii="Times New Roman" w:hAnsi="Times New Roman" w:cs="Times New Roman"/>
          <w:sz w:val="21"/>
          <w:highlight w:val="none"/>
        </w:rPr>
      </w:pPr>
    </w:p>
    <w:p>
      <w:pPr>
        <w:spacing w:before="101" w:line="226" w:lineRule="auto"/>
        <w:ind w:left="153"/>
        <w:rPr>
          <w:rFonts w:hint="default" w:ascii="Times New Roman" w:hAnsi="Times New Roman" w:eastAsia="黑体" w:cs="Times New Roman"/>
          <w:spacing w:val="-20"/>
          <w:sz w:val="31"/>
          <w:szCs w:val="31"/>
          <w:highlight w:val="none"/>
          <w:lang w:eastAsia="zh-CN"/>
        </w:rPr>
      </w:pPr>
      <w:r>
        <w:rPr>
          <w:rFonts w:hint="default" w:ascii="Times New Roman" w:hAnsi="Times New Roman" w:eastAsia="黑体" w:cs="Times New Roman"/>
          <w:spacing w:val="-20"/>
          <w:sz w:val="31"/>
          <w:szCs w:val="31"/>
          <w:highlight w:val="none"/>
        </w:rPr>
        <w:t>遵化市势竹矿业有限公司</w:t>
      </w:r>
      <w:r>
        <w:rPr>
          <w:rFonts w:hint="default" w:ascii="Times New Roman" w:hAnsi="Times New Roman" w:eastAsia="黑体" w:cs="Times New Roman"/>
          <w:spacing w:val="-20"/>
          <w:sz w:val="31"/>
          <w:szCs w:val="31"/>
          <w:highlight w:val="none"/>
          <w:lang w:eastAsia="zh-CN"/>
        </w:rPr>
        <w:t>年处理110万吨铁矿石破碎改扩建项目</w:t>
      </w:r>
    </w:p>
    <w:p>
      <w:pPr>
        <w:spacing w:before="270" w:line="225" w:lineRule="auto"/>
        <w:ind w:left="971"/>
        <w:outlineLvl w:val="0"/>
        <w:rPr>
          <w:rFonts w:hint="default" w:ascii="Times New Roman" w:hAnsi="Times New Roman" w:eastAsia="楷体" w:cs="Times New Roman"/>
          <w:sz w:val="83"/>
          <w:szCs w:val="83"/>
          <w:highlight w:val="none"/>
        </w:rPr>
      </w:pPr>
      <w:bookmarkStart w:id="0" w:name="_Toc9250"/>
      <w:bookmarkStart w:id="1" w:name="_Toc840"/>
      <w:bookmarkStart w:id="2" w:name="_Toc3485"/>
      <w:r>
        <w:rPr>
          <w:rFonts w:hint="default" w:ascii="Times New Roman" w:hAnsi="Times New Roman" w:eastAsia="楷体" w:cs="Times New Roman"/>
          <w:spacing w:val="77"/>
          <w:sz w:val="83"/>
          <w:szCs w:val="83"/>
          <w:highlight w:val="none"/>
          <w14:textOutline w14:w="15255" w14:cap="sq" w14:cmpd="sng">
            <w14:solidFill>
              <w14:srgbClr w14:val="000000"/>
            </w14:solidFill>
            <w14:prstDash w14:val="solid"/>
            <w14:bevel/>
          </w14:textOutline>
        </w:rPr>
        <w:t>环</w:t>
      </w:r>
      <w:r>
        <w:rPr>
          <w:rFonts w:hint="default" w:ascii="Times New Roman" w:hAnsi="Times New Roman" w:eastAsia="楷体" w:cs="Times New Roman"/>
          <w:spacing w:val="76"/>
          <w:sz w:val="83"/>
          <w:szCs w:val="83"/>
          <w:highlight w:val="none"/>
          <w14:textOutline w14:w="15255" w14:cap="sq" w14:cmpd="sng">
            <w14:solidFill>
              <w14:srgbClr w14:val="000000"/>
            </w14:solidFill>
            <w14:prstDash w14:val="solid"/>
            <w14:bevel/>
          </w14:textOutline>
        </w:rPr>
        <w:t>境影响报告书</w:t>
      </w:r>
      <w:bookmarkEnd w:id="0"/>
      <w:bookmarkEnd w:id="1"/>
      <w:bookmarkEnd w:id="2"/>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before="100" w:line="231" w:lineRule="auto"/>
        <w:ind w:left="1629"/>
        <w:rPr>
          <w:rFonts w:hint="default" w:ascii="Times New Roman" w:hAnsi="Times New Roman" w:eastAsia="楷体" w:cs="Times New Roman"/>
          <w:sz w:val="31"/>
          <w:szCs w:val="31"/>
          <w:highlight w:val="none"/>
        </w:rPr>
      </w:pPr>
      <w:r>
        <w:rPr>
          <w:rFonts w:hint="default" w:ascii="Times New Roman" w:hAnsi="Times New Roman" w:eastAsia="楷体" w:cs="Times New Roman"/>
          <w:spacing w:val="13"/>
          <w:sz w:val="31"/>
          <w:szCs w:val="31"/>
          <w:highlight w:val="none"/>
          <w14:textOutline w14:w="5793" w14:cap="sq" w14:cmpd="sng">
            <w14:solidFill>
              <w14:srgbClr w14:val="000000"/>
            </w14:solidFill>
            <w14:prstDash w14:val="solid"/>
            <w14:bevel/>
          </w14:textOutline>
        </w:rPr>
        <w:t>建</w:t>
      </w:r>
      <w:r>
        <w:rPr>
          <w:rFonts w:hint="default" w:ascii="Times New Roman" w:hAnsi="Times New Roman" w:eastAsia="楷体" w:cs="Times New Roman"/>
          <w:spacing w:val="10"/>
          <w:sz w:val="31"/>
          <w:szCs w:val="31"/>
          <w:highlight w:val="none"/>
          <w14:textOutline w14:w="5793" w14:cap="sq" w14:cmpd="sng">
            <w14:solidFill>
              <w14:srgbClr w14:val="000000"/>
            </w14:solidFill>
            <w14:prstDash w14:val="solid"/>
            <w14:bevel/>
          </w14:textOutline>
        </w:rPr>
        <w:t>设单位：遵化市势竹矿业有限公司</w:t>
      </w:r>
    </w:p>
    <w:p>
      <w:pPr>
        <w:spacing w:before="185" w:line="424" w:lineRule="exact"/>
        <w:ind w:left="1632"/>
        <w:rPr>
          <w:rFonts w:hint="default" w:ascii="Times New Roman" w:hAnsi="Times New Roman" w:eastAsia="楷体" w:cs="Times New Roman"/>
          <w:sz w:val="31"/>
          <w:szCs w:val="31"/>
          <w:highlight w:val="none"/>
        </w:rPr>
      </w:pPr>
      <w:r>
        <w:rPr>
          <w:rFonts w:hint="default" w:ascii="Times New Roman" w:hAnsi="Times New Roman" w:eastAsia="楷体" w:cs="Times New Roman"/>
          <w:spacing w:val="9"/>
          <w:position w:val="2"/>
          <w:sz w:val="31"/>
          <w:szCs w:val="31"/>
          <w:highlight w:val="none"/>
          <w14:textOutline w14:w="5793" w14:cap="sq" w14:cmpd="sng">
            <w14:solidFill>
              <w14:srgbClr w14:val="000000"/>
            </w14:solidFill>
            <w14:prstDash w14:val="solid"/>
            <w14:bevel/>
          </w14:textOutline>
        </w:rPr>
        <w:t>编制时间：二</w:t>
      </w:r>
      <w:r>
        <w:rPr>
          <w:rFonts w:hint="default" w:ascii="Times New Roman" w:hAnsi="Times New Roman" w:eastAsia="Times New Roman" w:cs="Times New Roman"/>
          <w:b/>
          <w:bCs/>
          <w:spacing w:val="9"/>
          <w:position w:val="2"/>
          <w:sz w:val="31"/>
          <w:szCs w:val="31"/>
          <w:highlight w:val="none"/>
        </w:rPr>
        <w:t>○</w:t>
      </w:r>
      <w:r>
        <w:rPr>
          <w:rFonts w:hint="default" w:ascii="Times New Roman" w:hAnsi="Times New Roman" w:eastAsia="楷体" w:cs="Times New Roman"/>
          <w:spacing w:val="9"/>
          <w:position w:val="2"/>
          <w:sz w:val="31"/>
          <w:szCs w:val="31"/>
          <w:highlight w:val="none"/>
          <w:lang w:val="en-US" w:eastAsia="zh-CN"/>
          <w14:textOutline w14:w="5793" w14:cap="sq" w14:cmpd="sng">
            <w14:solidFill>
              <w14:srgbClr w14:val="000000"/>
            </w14:solidFill>
            <w14:prstDash w14:val="solid"/>
            <w14:bevel/>
          </w14:textOutline>
        </w:rPr>
        <w:t>二三</w:t>
      </w:r>
      <w:r>
        <w:rPr>
          <w:rFonts w:hint="default" w:ascii="Times New Roman" w:hAnsi="Times New Roman" w:eastAsia="楷体" w:cs="Times New Roman"/>
          <w:spacing w:val="9"/>
          <w:position w:val="2"/>
          <w:sz w:val="31"/>
          <w:szCs w:val="31"/>
          <w:highlight w:val="none"/>
          <w14:textOutline w14:w="5793" w14:cap="sq" w14:cmpd="sng">
            <w14:solidFill>
              <w14:srgbClr w14:val="000000"/>
            </w14:solidFill>
            <w14:prstDash w14:val="solid"/>
            <w14:bevel/>
          </w14:textOutline>
        </w:rPr>
        <w:t>年</w:t>
      </w:r>
      <w:r>
        <w:rPr>
          <w:rFonts w:hint="eastAsia" w:ascii="Times New Roman" w:hAnsi="Times New Roman" w:eastAsia="楷体" w:cs="Times New Roman"/>
          <w:spacing w:val="9"/>
          <w:position w:val="2"/>
          <w:sz w:val="31"/>
          <w:szCs w:val="31"/>
          <w:highlight w:val="none"/>
          <w:lang w:val="en-US" w:eastAsia="zh-CN"/>
          <w14:textOutline w14:w="5793" w14:cap="sq" w14:cmpd="sng">
            <w14:solidFill>
              <w14:srgbClr w14:val="000000"/>
            </w14:solidFill>
            <w14:prstDash w14:val="solid"/>
            <w14:bevel/>
          </w14:textOutline>
        </w:rPr>
        <w:t>十</w:t>
      </w:r>
      <w:r>
        <w:rPr>
          <w:rFonts w:hint="default" w:ascii="Times New Roman" w:hAnsi="Times New Roman" w:eastAsia="楷体" w:cs="Times New Roman"/>
          <w:spacing w:val="8"/>
          <w:position w:val="2"/>
          <w:sz w:val="31"/>
          <w:szCs w:val="31"/>
          <w:highlight w:val="none"/>
          <w14:textOutline w14:w="5793" w14:cap="sq" w14:cmpd="sng">
            <w14:solidFill>
              <w14:srgbClr w14:val="000000"/>
            </w14:solidFill>
            <w14:prstDash w14:val="solid"/>
            <w14:bevel/>
          </w14:textOutline>
        </w:rPr>
        <w:t>月</w:t>
      </w:r>
    </w:p>
    <w:p>
      <w:pPr>
        <w:rPr>
          <w:rFonts w:hint="default" w:ascii="Times New Roman" w:hAnsi="Times New Roman" w:cs="Times New Roman"/>
          <w:highlight w:val="none"/>
        </w:rPr>
        <w:sectPr>
          <w:pgSz w:w="11906" w:h="16839"/>
          <w:pgMar w:top="1431" w:right="1785" w:bottom="0" w:left="1785" w:header="0" w:footer="0" w:gutter="0"/>
          <w:pgBorders>
            <w:top w:val="none" w:sz="0" w:space="0"/>
            <w:left w:val="none" w:sz="0" w:space="0"/>
            <w:bottom w:val="none" w:sz="0" w:space="0"/>
            <w:right w:val="none" w:sz="0" w:space="0"/>
          </w:pgBorders>
          <w:pgNumType w:fmt="decimal" w:start="1"/>
          <w:cols w:space="720" w:num="1"/>
        </w:sectPr>
      </w:pPr>
    </w:p>
    <w:p>
      <w:pPr>
        <w:rPr>
          <w:rFonts w:hint="default" w:ascii="Times New Roman" w:hAnsi="Times New Roman" w:cs="Times New Roman"/>
          <w:sz w:val="21"/>
          <w:highlight w:val="none"/>
        </w:rPr>
      </w:pPr>
    </w:p>
    <w:p>
      <w:pPr>
        <w:spacing w:line="268" w:lineRule="auto"/>
        <w:rPr>
          <w:rFonts w:hint="default" w:ascii="Times New Roman" w:hAnsi="Times New Roman" w:cs="Times New Roman"/>
          <w:sz w:val="21"/>
          <w:highlight w:val="none"/>
        </w:rPr>
      </w:pPr>
    </w:p>
    <w:sdt>
      <w:sdtPr>
        <w:rPr>
          <w:rFonts w:ascii="宋体" w:hAnsi="宋体" w:eastAsia="宋体" w:cs="Arial"/>
          <w:b/>
          <w:bCs/>
          <w:snapToGrid w:val="0"/>
          <w:color w:val="000000"/>
          <w:kern w:val="0"/>
          <w:sz w:val="24"/>
          <w:szCs w:val="24"/>
          <w:highlight w:val="none"/>
        </w:rPr>
        <w:id w:val="147464166"/>
        <w15:color w:val="DBDBDB"/>
        <w:docPartObj>
          <w:docPartGallery w:val="Table of Contents"/>
          <w:docPartUnique/>
        </w:docPartObj>
      </w:sdtPr>
      <w:sdtEndPr>
        <w:rPr>
          <w:rFonts w:hint="default" w:ascii="Times New Roman" w:hAnsi="Times New Roman" w:eastAsia="宋体" w:cs="Times New Roman"/>
          <w:b/>
          <w:bCs/>
          <w:snapToGrid w:val="0"/>
          <w:color w:val="000000"/>
          <w:spacing w:val="4"/>
          <w:kern w:val="0"/>
          <w:sz w:val="23"/>
          <w:szCs w:val="23"/>
          <w:highlight w:val="none"/>
        </w:rPr>
      </w:sdtEndPr>
      <w:sdtContent>
        <w:p>
          <w:pPr>
            <w:spacing w:before="0" w:beforeLines="0" w:after="0" w:afterLines="0" w:line="240" w:lineRule="auto"/>
            <w:ind w:left="0" w:leftChars="0" w:right="0" w:rightChars="0" w:firstLine="0" w:firstLineChars="0"/>
            <w:jc w:val="center"/>
            <w:rPr>
              <w:b/>
              <w:bCs/>
              <w:sz w:val="24"/>
              <w:szCs w:val="24"/>
              <w:highlight w:val="none"/>
            </w:rPr>
          </w:pPr>
          <w:r>
            <w:rPr>
              <w:rFonts w:ascii="宋体" w:hAnsi="宋体" w:eastAsia="宋体"/>
              <w:b/>
              <w:bCs/>
              <w:sz w:val="24"/>
              <w:szCs w:val="24"/>
              <w:highlight w:val="none"/>
            </w:rPr>
            <w:t>目</w:t>
          </w:r>
          <w:r>
            <w:rPr>
              <w:rFonts w:hint="eastAsia" w:ascii="宋体" w:hAnsi="宋体" w:eastAsia="宋体"/>
              <w:b/>
              <w:bCs/>
              <w:sz w:val="24"/>
              <w:szCs w:val="24"/>
              <w:highlight w:val="none"/>
              <w:lang w:val="en-US" w:eastAsia="zh-CN"/>
            </w:rPr>
            <w:t xml:space="preserve">  </w:t>
          </w:r>
          <w:r>
            <w:rPr>
              <w:rFonts w:ascii="宋体" w:hAnsi="宋体" w:eastAsia="宋体"/>
              <w:b/>
              <w:bCs/>
              <w:sz w:val="24"/>
              <w:szCs w:val="24"/>
              <w:highlight w:val="none"/>
            </w:rPr>
            <w:t>录</w:t>
          </w:r>
        </w:p>
        <w:p>
          <w:pPr>
            <w:pStyle w:val="29"/>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TOC \o "1-3" \h \u </w:instrText>
          </w:r>
          <w:r>
            <w:rPr>
              <w:rFonts w:hint="default" w:ascii="Times New Roman" w:hAnsi="Times New Roman" w:eastAsia="宋体" w:cs="Times New Roman"/>
              <w:snapToGrid w:val="0"/>
              <w:color w:val="000000"/>
              <w:spacing w:val="4"/>
              <w:kern w:val="0"/>
              <w:sz w:val="23"/>
              <w:szCs w:val="23"/>
              <w:highlight w:val="none"/>
            </w:rPr>
            <w:fldChar w:fldCharType="separate"/>
          </w:r>
        </w:p>
        <w:p>
          <w:pPr>
            <w:pStyle w:val="29"/>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_Toc23487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  概述</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_Toc23487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_Toc17863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 xml:space="preserve">1.1  </w:t>
          </w:r>
          <w:r>
            <w:rPr>
              <w:rFonts w:hint="eastAsia" w:ascii="Times New Roman" w:hAnsi="Times New Roman" w:eastAsia="宋体" w:cs="Times New Roman"/>
              <w:snapToGrid w:val="0"/>
              <w:color w:val="000000"/>
              <w:spacing w:val="4"/>
              <w:kern w:val="0"/>
              <w:sz w:val="23"/>
              <w:szCs w:val="23"/>
              <w:highlight w:val="none"/>
              <w:lang w:val="en-US" w:eastAsia="zh-CN"/>
            </w:rPr>
            <w:t>项目由来</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_Toc17863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_Toc13703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 xml:space="preserve">1.2  </w:t>
          </w:r>
          <w:r>
            <w:rPr>
              <w:rFonts w:hint="eastAsia" w:ascii="Times New Roman" w:hAnsi="Times New Roman" w:eastAsia="宋体" w:cs="Times New Roman"/>
              <w:snapToGrid w:val="0"/>
              <w:color w:val="000000"/>
              <w:spacing w:val="4"/>
              <w:kern w:val="0"/>
              <w:sz w:val="23"/>
              <w:szCs w:val="23"/>
              <w:highlight w:val="none"/>
              <w:lang w:val="en-US" w:eastAsia="zh-CN"/>
            </w:rPr>
            <w:t>建设项目特点</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_Toc13703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_Toc31598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w:t>
          </w:r>
          <w:r>
            <w:rPr>
              <w:rFonts w:hint="eastAsia" w:ascii="Times New Roman" w:hAnsi="Times New Roman" w:eastAsia="宋体" w:cs="Times New Roman"/>
              <w:snapToGrid w:val="0"/>
              <w:color w:val="000000"/>
              <w:spacing w:val="4"/>
              <w:kern w:val="0"/>
              <w:sz w:val="23"/>
              <w:szCs w:val="23"/>
              <w:highlight w:val="none"/>
              <w:lang w:val="en-US" w:eastAsia="zh-CN"/>
            </w:rPr>
            <w:t>3</w:t>
          </w:r>
          <w:r>
            <w:rPr>
              <w:rFonts w:hint="default" w:ascii="Times New Roman" w:hAnsi="Times New Roman" w:eastAsia="宋体" w:cs="Times New Roman"/>
              <w:snapToGrid w:val="0"/>
              <w:color w:val="000000"/>
              <w:spacing w:val="4"/>
              <w:kern w:val="0"/>
              <w:sz w:val="23"/>
              <w:szCs w:val="23"/>
              <w:highlight w:val="none"/>
            </w:rPr>
            <w:t xml:space="preserve">  环评的工作过程</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_Toc31598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_Toc20016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w:t>
          </w:r>
          <w:r>
            <w:rPr>
              <w:rFonts w:hint="eastAsia" w:ascii="Times New Roman" w:hAnsi="Times New Roman" w:eastAsia="宋体" w:cs="Times New Roman"/>
              <w:snapToGrid w:val="0"/>
              <w:color w:val="000000"/>
              <w:spacing w:val="4"/>
              <w:kern w:val="0"/>
              <w:sz w:val="23"/>
              <w:szCs w:val="23"/>
              <w:highlight w:val="none"/>
              <w:lang w:val="en-US" w:eastAsia="zh-CN"/>
            </w:rPr>
            <w:t>4</w:t>
          </w:r>
          <w:r>
            <w:rPr>
              <w:rFonts w:hint="default" w:ascii="Times New Roman" w:hAnsi="Times New Roman" w:eastAsia="宋体" w:cs="Times New Roman"/>
              <w:snapToGrid w:val="0"/>
              <w:color w:val="000000"/>
              <w:spacing w:val="4"/>
              <w:kern w:val="0"/>
              <w:sz w:val="23"/>
              <w:szCs w:val="23"/>
              <w:highlight w:val="none"/>
            </w:rPr>
            <w:t xml:space="preserve">  相关情况</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_Toc20016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_Toc26668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w:t>
          </w:r>
          <w:r>
            <w:rPr>
              <w:rFonts w:hint="eastAsia" w:ascii="Times New Roman" w:hAnsi="Times New Roman" w:eastAsia="宋体" w:cs="Times New Roman"/>
              <w:snapToGrid w:val="0"/>
              <w:color w:val="000000"/>
              <w:spacing w:val="4"/>
              <w:kern w:val="0"/>
              <w:sz w:val="23"/>
              <w:szCs w:val="23"/>
              <w:highlight w:val="none"/>
              <w:lang w:val="en-US" w:eastAsia="zh-CN"/>
            </w:rPr>
            <w:t>5</w:t>
          </w:r>
          <w:r>
            <w:rPr>
              <w:rFonts w:hint="default" w:ascii="Times New Roman" w:hAnsi="Times New Roman" w:eastAsia="宋体" w:cs="Times New Roman"/>
              <w:snapToGrid w:val="0"/>
              <w:color w:val="000000"/>
              <w:spacing w:val="4"/>
              <w:kern w:val="0"/>
              <w:sz w:val="23"/>
              <w:szCs w:val="23"/>
              <w:highlight w:val="none"/>
            </w:rPr>
            <w:t xml:space="preserve">  关注的主要环境问题</w:t>
          </w:r>
          <w:r>
            <w:rPr>
              <w:rFonts w:hint="eastAsia" w:ascii="Times New Roman" w:hAnsi="Times New Roman" w:eastAsia="宋体" w:cs="Times New Roman"/>
              <w:snapToGrid w:val="0"/>
              <w:color w:val="000000"/>
              <w:spacing w:val="4"/>
              <w:kern w:val="0"/>
              <w:sz w:val="23"/>
              <w:szCs w:val="23"/>
              <w:highlight w:val="none"/>
              <w:lang w:val="en-US" w:eastAsia="zh-CN"/>
            </w:rPr>
            <w:t>及环境影响</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_Toc26668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12</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_Toc30261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w:t>
          </w:r>
          <w:r>
            <w:rPr>
              <w:rFonts w:hint="eastAsia" w:ascii="Times New Roman" w:hAnsi="Times New Roman" w:eastAsia="宋体" w:cs="Times New Roman"/>
              <w:snapToGrid w:val="0"/>
              <w:color w:val="000000"/>
              <w:spacing w:val="4"/>
              <w:kern w:val="0"/>
              <w:sz w:val="23"/>
              <w:szCs w:val="23"/>
              <w:highlight w:val="none"/>
              <w:lang w:val="en-US" w:eastAsia="zh-CN"/>
            </w:rPr>
            <w:t>6</w:t>
          </w:r>
          <w:r>
            <w:rPr>
              <w:rFonts w:hint="default" w:ascii="Times New Roman" w:hAnsi="Times New Roman" w:eastAsia="宋体" w:cs="Times New Roman"/>
              <w:snapToGrid w:val="0"/>
              <w:color w:val="000000"/>
              <w:spacing w:val="4"/>
              <w:kern w:val="0"/>
              <w:sz w:val="23"/>
              <w:szCs w:val="23"/>
              <w:highlight w:val="none"/>
            </w:rPr>
            <w:t xml:space="preserve">  评价结论</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_Toc30261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14</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29"/>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_Toc16781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  总则</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_Toc16781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15</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_Toc25624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2.1  编制依据</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_Toc25624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15</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_Toc25632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2.2  评价目的与评价原则</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_Toc25632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18</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_Toc13670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2.3  环境影响要素和评价因子</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_Toc13670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19</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_Toc12378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2.4  评价等级及评价范围</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_Toc12378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21</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_Toc14477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2.5  环境保护目标确定</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_Toc14477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27</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_Toc16120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2.6  评价内容和评价重点</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_Toc16120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28</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_Toc4623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2.7  评价标准</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_Toc4623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29</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29"/>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_Toc20631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3  建设项目工程分析</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_Toc20631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32</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_Toc9969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3.</w:t>
          </w:r>
          <w:r>
            <w:rPr>
              <w:rFonts w:hint="eastAsia" w:ascii="Times New Roman" w:hAnsi="Times New Roman" w:eastAsia="宋体" w:cs="Times New Roman"/>
              <w:snapToGrid w:val="0"/>
              <w:color w:val="000000"/>
              <w:spacing w:val="4"/>
              <w:kern w:val="0"/>
              <w:sz w:val="23"/>
              <w:szCs w:val="23"/>
              <w:highlight w:val="none"/>
              <w:lang w:val="en-US" w:eastAsia="zh-CN"/>
            </w:rPr>
            <w:t>1</w:t>
          </w:r>
          <w:r>
            <w:rPr>
              <w:rFonts w:hint="default" w:ascii="Times New Roman" w:hAnsi="Times New Roman" w:eastAsia="宋体" w:cs="Times New Roman"/>
              <w:snapToGrid w:val="0"/>
              <w:color w:val="000000"/>
              <w:spacing w:val="4"/>
              <w:kern w:val="0"/>
              <w:sz w:val="23"/>
              <w:szCs w:val="23"/>
              <w:highlight w:val="none"/>
            </w:rPr>
            <w:t xml:space="preserve"> </w:t>
          </w:r>
          <w:r>
            <w:rPr>
              <w:rFonts w:hint="eastAsia" w:ascii="Times New Roman" w:hAnsi="Times New Roman" w:eastAsia="宋体" w:cs="Times New Roman"/>
              <w:snapToGrid w:val="0"/>
              <w:color w:val="000000"/>
              <w:spacing w:val="4"/>
              <w:kern w:val="0"/>
              <w:sz w:val="23"/>
              <w:szCs w:val="23"/>
              <w:highlight w:val="none"/>
              <w:lang w:val="en-US" w:eastAsia="zh-CN"/>
            </w:rPr>
            <w:t>现有工程</w:t>
          </w:r>
          <w:r>
            <w:rPr>
              <w:rFonts w:hint="default" w:ascii="Times New Roman" w:hAnsi="Times New Roman" w:eastAsia="宋体" w:cs="Times New Roman"/>
              <w:snapToGrid w:val="0"/>
              <w:color w:val="000000"/>
              <w:spacing w:val="4"/>
              <w:kern w:val="0"/>
              <w:sz w:val="23"/>
              <w:szCs w:val="23"/>
              <w:highlight w:val="none"/>
            </w:rPr>
            <w:t>概况</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_Toc9969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32</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_Toc22461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3.</w:t>
          </w:r>
          <w:r>
            <w:rPr>
              <w:rFonts w:hint="eastAsia" w:ascii="Times New Roman" w:hAnsi="Times New Roman" w:eastAsia="宋体" w:cs="Times New Roman"/>
              <w:snapToGrid w:val="0"/>
              <w:color w:val="000000"/>
              <w:spacing w:val="4"/>
              <w:kern w:val="0"/>
              <w:sz w:val="23"/>
              <w:szCs w:val="23"/>
              <w:highlight w:val="none"/>
              <w:lang w:val="en-US" w:eastAsia="zh-CN"/>
            </w:rPr>
            <w:t>2</w:t>
          </w:r>
          <w:r>
            <w:rPr>
              <w:rFonts w:hint="default" w:ascii="Times New Roman" w:hAnsi="Times New Roman" w:eastAsia="宋体" w:cs="Times New Roman"/>
              <w:snapToGrid w:val="0"/>
              <w:color w:val="000000"/>
              <w:spacing w:val="4"/>
              <w:kern w:val="0"/>
              <w:sz w:val="23"/>
              <w:szCs w:val="23"/>
              <w:highlight w:val="none"/>
            </w:rPr>
            <w:t xml:space="preserve"> </w:t>
          </w:r>
          <w:r>
            <w:rPr>
              <w:rFonts w:hint="eastAsia" w:ascii="Times New Roman" w:hAnsi="Times New Roman" w:eastAsia="宋体" w:cs="Times New Roman"/>
              <w:snapToGrid w:val="0"/>
              <w:color w:val="000000"/>
              <w:spacing w:val="4"/>
              <w:kern w:val="0"/>
              <w:sz w:val="23"/>
              <w:szCs w:val="23"/>
              <w:highlight w:val="none"/>
              <w:lang w:val="en-US" w:eastAsia="zh-CN"/>
            </w:rPr>
            <w:t>改扩建工程</w:t>
          </w:r>
          <w:r>
            <w:rPr>
              <w:rFonts w:hint="default" w:ascii="Times New Roman" w:hAnsi="Times New Roman" w:eastAsia="宋体" w:cs="Times New Roman"/>
              <w:snapToGrid w:val="0"/>
              <w:color w:val="000000"/>
              <w:spacing w:val="4"/>
              <w:kern w:val="0"/>
              <w:sz w:val="23"/>
              <w:szCs w:val="23"/>
              <w:highlight w:val="none"/>
            </w:rPr>
            <w:t>概况</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_Toc22461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40</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_Toc22796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3.</w:t>
          </w:r>
          <w:r>
            <w:rPr>
              <w:rFonts w:hint="eastAsia" w:ascii="Times New Roman" w:hAnsi="Times New Roman" w:eastAsia="宋体" w:cs="Times New Roman"/>
              <w:snapToGrid w:val="0"/>
              <w:color w:val="000000"/>
              <w:spacing w:val="4"/>
              <w:kern w:val="0"/>
              <w:sz w:val="23"/>
              <w:szCs w:val="23"/>
              <w:highlight w:val="none"/>
              <w:lang w:val="en-US" w:eastAsia="zh-CN"/>
            </w:rPr>
            <w:t>3</w:t>
          </w:r>
          <w:r>
            <w:rPr>
              <w:rFonts w:hint="default" w:ascii="Times New Roman" w:hAnsi="Times New Roman" w:eastAsia="宋体" w:cs="Times New Roman"/>
              <w:snapToGrid w:val="0"/>
              <w:color w:val="000000"/>
              <w:spacing w:val="4"/>
              <w:kern w:val="0"/>
              <w:sz w:val="23"/>
              <w:szCs w:val="23"/>
              <w:highlight w:val="none"/>
            </w:rPr>
            <w:t xml:space="preserve"> 污染源</w:t>
          </w:r>
          <w:r>
            <w:rPr>
              <w:rFonts w:hint="eastAsia" w:ascii="Times New Roman" w:hAnsi="Times New Roman" w:eastAsia="宋体" w:cs="Times New Roman"/>
              <w:snapToGrid w:val="0"/>
              <w:color w:val="000000"/>
              <w:spacing w:val="4"/>
              <w:kern w:val="0"/>
              <w:sz w:val="23"/>
              <w:szCs w:val="23"/>
              <w:highlight w:val="none"/>
              <w:lang w:val="en-US" w:eastAsia="zh-CN"/>
            </w:rPr>
            <w:t>源强</w:t>
          </w:r>
          <w:r>
            <w:rPr>
              <w:rFonts w:hint="default" w:ascii="Times New Roman" w:hAnsi="Times New Roman" w:eastAsia="宋体" w:cs="Times New Roman"/>
              <w:snapToGrid w:val="0"/>
              <w:color w:val="000000"/>
              <w:spacing w:val="4"/>
              <w:kern w:val="0"/>
              <w:sz w:val="23"/>
              <w:szCs w:val="23"/>
              <w:highlight w:val="none"/>
            </w:rPr>
            <w:t>核算</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_Toc22796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53</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_Toc1769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3.</w:t>
          </w:r>
          <w:r>
            <w:rPr>
              <w:rFonts w:hint="eastAsia" w:ascii="Times New Roman" w:hAnsi="Times New Roman" w:eastAsia="宋体" w:cs="Times New Roman"/>
              <w:snapToGrid w:val="0"/>
              <w:color w:val="000000"/>
              <w:spacing w:val="4"/>
              <w:kern w:val="0"/>
              <w:sz w:val="23"/>
              <w:szCs w:val="23"/>
              <w:highlight w:val="none"/>
              <w:lang w:val="en-US" w:eastAsia="zh-CN"/>
            </w:rPr>
            <w:t>4</w:t>
          </w:r>
          <w:r>
            <w:rPr>
              <w:rFonts w:hint="default" w:ascii="Times New Roman" w:hAnsi="Times New Roman" w:eastAsia="宋体" w:cs="Times New Roman"/>
              <w:snapToGrid w:val="0"/>
              <w:color w:val="000000"/>
              <w:spacing w:val="4"/>
              <w:kern w:val="0"/>
              <w:sz w:val="23"/>
              <w:szCs w:val="23"/>
              <w:highlight w:val="none"/>
            </w:rPr>
            <w:t xml:space="preserve"> 清洁生产</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_Toc1769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65</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_Toc30217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3.</w:t>
          </w:r>
          <w:r>
            <w:rPr>
              <w:rFonts w:hint="eastAsia" w:ascii="Times New Roman" w:hAnsi="Times New Roman" w:eastAsia="宋体" w:cs="Times New Roman"/>
              <w:snapToGrid w:val="0"/>
              <w:color w:val="000000"/>
              <w:spacing w:val="4"/>
              <w:kern w:val="0"/>
              <w:sz w:val="23"/>
              <w:szCs w:val="23"/>
              <w:highlight w:val="none"/>
              <w:lang w:val="en-US" w:eastAsia="zh-CN"/>
            </w:rPr>
            <w:t>5</w:t>
          </w:r>
          <w:r>
            <w:rPr>
              <w:rFonts w:hint="default" w:ascii="Times New Roman" w:hAnsi="Times New Roman" w:eastAsia="宋体" w:cs="Times New Roman"/>
              <w:snapToGrid w:val="0"/>
              <w:color w:val="000000"/>
              <w:spacing w:val="4"/>
              <w:kern w:val="0"/>
              <w:sz w:val="23"/>
              <w:szCs w:val="23"/>
              <w:highlight w:val="none"/>
            </w:rPr>
            <w:t xml:space="preserve"> 总量控制</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_Toc30217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68</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29"/>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_Toc6656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4  环境现状调查与评价</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_Toc6656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70</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_Toc14806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4.1  自然环境现状调查与评价</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_Toc14806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70</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_Toc27550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4.2  环境保护目标调查</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_Toc27550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77</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_Toc14909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4.3 环境质量现状调查与评价</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_Toc14909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77</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29"/>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_Toc6656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eastAsia" w:ascii="Times New Roman" w:hAnsi="Times New Roman" w:eastAsia="宋体" w:cs="Times New Roman"/>
              <w:snapToGrid w:val="0"/>
              <w:color w:val="000000"/>
              <w:spacing w:val="4"/>
              <w:kern w:val="0"/>
              <w:sz w:val="23"/>
              <w:szCs w:val="23"/>
              <w:highlight w:val="none"/>
              <w:lang w:val="en-US" w:eastAsia="zh-CN"/>
            </w:rPr>
            <w:t>5</w:t>
          </w:r>
          <w:r>
            <w:rPr>
              <w:rFonts w:hint="default" w:ascii="Times New Roman" w:hAnsi="Times New Roman" w:eastAsia="宋体" w:cs="Times New Roman"/>
              <w:snapToGrid w:val="0"/>
              <w:color w:val="000000"/>
              <w:spacing w:val="4"/>
              <w:kern w:val="0"/>
              <w:sz w:val="23"/>
              <w:szCs w:val="23"/>
              <w:highlight w:val="none"/>
            </w:rPr>
            <w:t xml:space="preserve">  环境</w:t>
          </w:r>
          <w:r>
            <w:rPr>
              <w:rFonts w:hint="eastAsia" w:ascii="Times New Roman" w:hAnsi="Times New Roman" w:eastAsia="宋体" w:cs="Times New Roman"/>
              <w:snapToGrid w:val="0"/>
              <w:color w:val="000000"/>
              <w:spacing w:val="4"/>
              <w:kern w:val="0"/>
              <w:sz w:val="23"/>
              <w:szCs w:val="23"/>
              <w:highlight w:val="none"/>
              <w:lang w:val="en-US" w:eastAsia="zh-CN"/>
            </w:rPr>
            <w:t>影响预测</w:t>
          </w:r>
          <w:r>
            <w:rPr>
              <w:rFonts w:hint="default" w:ascii="Times New Roman" w:hAnsi="Times New Roman" w:eastAsia="宋体" w:cs="Times New Roman"/>
              <w:snapToGrid w:val="0"/>
              <w:color w:val="000000"/>
              <w:spacing w:val="4"/>
              <w:kern w:val="0"/>
              <w:sz w:val="23"/>
              <w:szCs w:val="23"/>
              <w:highlight w:val="none"/>
            </w:rPr>
            <w:t>与评价</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_Toc6656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70</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_Toc21782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5.1  施工期环境影响分析</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_Toc21782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89</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1"/>
            <w:tabs>
              <w:tab w:val="right" w:leader="dot" w:pos="8336"/>
            </w:tabs>
            <w:ind w:left="0" w:leftChars="0" w:firstLine="476" w:firstLineChars="200"/>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_Toc200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5.2  运营期环境影响预测与评价</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_Toc200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96</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29"/>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_Toc6776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6  污染防治措施可行性论证</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_Toc6776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157</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_Toc14860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6.1  废气防治措施可行性论证</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_Toc14860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157</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_Toc23328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6.2  废水治理措施可行性论证</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_Toc23328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159</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_Toc8277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6.3  噪声治理措施可行性论证</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_Toc8277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159</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_Toc6542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6.4  固体废物治理措施可行性论证</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_Toc6542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160</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_Toc26956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6.5  防渗治理措施可行性论证</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_Toc26956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161</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29"/>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_Toc11437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7  环境影响经济损益分析</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_Toc11437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162</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_Toc16610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7.1  经济效益分析</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_Toc16610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162</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_Toc3369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7.2  环境效益分析</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_Toc3369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162</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_Toc31453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7.3  社会效益分析</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_Toc31453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162</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_Toc24671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7.4  结论</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_Toc24671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163</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29"/>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_Toc31945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8  环境管理与监测计划</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_Toc31945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164</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_Toc25580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8.1 施工期环境管理</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_Toc25580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164</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_Toc2495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8.2 营运期环境管理</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_Toc2495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165</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_Toc25261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8.3  污染源监测</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_Toc25261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170</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_Toc15686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8.4  建设项目竣工环保验收内容</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_Toc15686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170</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29"/>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_Toc5632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9  环境影响评价结论</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_Toc5632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172</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_Toc433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9.1  结论</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_Toc433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172</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0"/>
            <w:tabs>
              <w:tab w:val="right" w:leader="dot" w:pos="8336"/>
            </w:tabs>
            <w:rPr>
              <w:rFonts w:hint="default" w:ascii="Times New Roman" w:hAnsi="Times New Roman" w:eastAsia="宋体" w:cs="Times New Roman"/>
              <w:snapToGrid w:val="0"/>
              <w:color w:val="000000"/>
              <w:spacing w:val="4"/>
              <w:kern w:val="0"/>
              <w:sz w:val="23"/>
              <w:szCs w:val="23"/>
              <w:highlight w:val="none"/>
            </w:rPr>
          </w:pP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HYPERLINK \l _Toc13515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9.2  建议</w:t>
          </w:r>
          <w:r>
            <w:rPr>
              <w:rFonts w:hint="default" w:ascii="Times New Roman" w:hAnsi="Times New Roman" w:eastAsia="宋体" w:cs="Times New Roman"/>
              <w:snapToGrid w:val="0"/>
              <w:color w:val="000000"/>
              <w:spacing w:val="4"/>
              <w:kern w:val="0"/>
              <w:sz w:val="23"/>
              <w:szCs w:val="23"/>
              <w:highlight w:val="none"/>
            </w:rPr>
            <w:tab/>
          </w:r>
          <w:r>
            <w:rPr>
              <w:rFonts w:hint="default" w:ascii="Times New Roman" w:hAnsi="Times New Roman" w:eastAsia="宋体" w:cs="Times New Roman"/>
              <w:snapToGrid w:val="0"/>
              <w:color w:val="000000"/>
              <w:spacing w:val="4"/>
              <w:kern w:val="0"/>
              <w:sz w:val="23"/>
              <w:szCs w:val="23"/>
              <w:highlight w:val="none"/>
            </w:rPr>
            <w:fldChar w:fldCharType="begin"/>
          </w:r>
          <w:r>
            <w:rPr>
              <w:rFonts w:hint="default" w:ascii="Times New Roman" w:hAnsi="Times New Roman" w:eastAsia="宋体" w:cs="Times New Roman"/>
              <w:snapToGrid w:val="0"/>
              <w:color w:val="000000"/>
              <w:spacing w:val="4"/>
              <w:kern w:val="0"/>
              <w:sz w:val="23"/>
              <w:szCs w:val="23"/>
              <w:highlight w:val="none"/>
            </w:rPr>
            <w:instrText xml:space="preserve"> PAGEREF _Toc13515 \h </w:instrText>
          </w:r>
          <w:r>
            <w:rPr>
              <w:rFonts w:hint="default" w:ascii="Times New Roman" w:hAnsi="Times New Roman" w:eastAsia="宋体" w:cs="Times New Roman"/>
              <w:snapToGrid w:val="0"/>
              <w:color w:val="000000"/>
              <w:spacing w:val="4"/>
              <w:kern w:val="0"/>
              <w:sz w:val="23"/>
              <w:szCs w:val="23"/>
              <w:highlight w:val="none"/>
            </w:rPr>
            <w:fldChar w:fldCharType="separate"/>
          </w:r>
          <w:r>
            <w:rPr>
              <w:rFonts w:hint="default" w:ascii="Times New Roman" w:hAnsi="Times New Roman" w:eastAsia="宋体" w:cs="Times New Roman"/>
              <w:snapToGrid w:val="0"/>
              <w:color w:val="000000"/>
              <w:spacing w:val="4"/>
              <w:kern w:val="0"/>
              <w:sz w:val="23"/>
              <w:szCs w:val="23"/>
              <w:highlight w:val="none"/>
            </w:rPr>
            <w:t>176</w:t>
          </w:r>
          <w:r>
            <w:rPr>
              <w:rFonts w:hint="default" w:ascii="Times New Roman" w:hAnsi="Times New Roman" w:eastAsia="宋体" w:cs="Times New Roman"/>
              <w:snapToGrid w:val="0"/>
              <w:color w:val="000000"/>
              <w:spacing w:val="4"/>
              <w:kern w:val="0"/>
              <w:sz w:val="23"/>
              <w:szCs w:val="23"/>
              <w:highlight w:val="none"/>
            </w:rPr>
            <w:fldChar w:fldCharType="end"/>
          </w:r>
          <w:r>
            <w:rPr>
              <w:rFonts w:hint="default" w:ascii="Times New Roman" w:hAnsi="Times New Roman" w:eastAsia="宋体" w:cs="Times New Roman"/>
              <w:snapToGrid w:val="0"/>
              <w:color w:val="000000"/>
              <w:spacing w:val="4"/>
              <w:kern w:val="0"/>
              <w:sz w:val="23"/>
              <w:szCs w:val="23"/>
              <w:highlight w:val="none"/>
            </w:rPr>
            <w:fldChar w:fldCharType="end"/>
          </w:r>
        </w:p>
        <w:p>
          <w:pPr>
            <w:pStyle w:val="31"/>
            <w:tabs>
              <w:tab w:val="right" w:leader="dot" w:pos="8336"/>
            </w:tabs>
            <w:rPr>
              <w:rFonts w:hint="default" w:ascii="Times New Roman" w:hAnsi="Times New Roman" w:eastAsia="宋体" w:cs="Times New Roman"/>
              <w:snapToGrid w:val="0"/>
              <w:color w:val="000000"/>
              <w:spacing w:val="4"/>
              <w:kern w:val="0"/>
              <w:sz w:val="23"/>
              <w:szCs w:val="23"/>
              <w:highlight w:val="none"/>
            </w:rPr>
          </w:pPr>
        </w:p>
        <w:p>
          <w:pPr>
            <w:rPr>
              <w:rFonts w:hint="default" w:ascii="Times New Roman" w:hAnsi="Times New Roman" w:eastAsia="宋体" w:cs="Times New Roman"/>
              <w:snapToGrid w:val="0"/>
              <w:color w:val="000000"/>
              <w:spacing w:val="4"/>
              <w:kern w:val="0"/>
              <w:sz w:val="23"/>
              <w:szCs w:val="23"/>
              <w:highlight w:val="none"/>
            </w:rPr>
            <w:sectPr>
              <w:headerReference r:id="rId5" w:type="default"/>
              <w:footerReference r:id="rId6" w:type="default"/>
              <w:pgSz w:w="11906" w:h="16839"/>
              <w:pgMar w:top="400" w:right="1785" w:bottom="1153" w:left="1785" w:header="0" w:footer="996"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snapToGrid w:val="0"/>
              <w:color w:val="000000"/>
              <w:spacing w:val="4"/>
              <w:kern w:val="0"/>
              <w:sz w:val="23"/>
              <w:szCs w:val="23"/>
              <w:highlight w:val="none"/>
            </w:rPr>
            <w:fldChar w:fldCharType="end"/>
          </w:r>
        </w:p>
      </w:sdtContent>
    </w:sdt>
    <w:p>
      <w:pPr>
        <w:bidi w:val="0"/>
        <w:rPr>
          <w:rFonts w:hint="default" w:ascii="Arial" w:hAnsi="Arial" w:eastAsia="Arial" w:cs="Arial"/>
          <w:snapToGrid w:val="0"/>
          <w:color w:val="000000"/>
          <w:kern w:val="0"/>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460" w:lineRule="exact"/>
        <w:textAlignment w:val="baseline"/>
        <w:outlineLvl w:val="0"/>
        <w:rPr>
          <w:rFonts w:hint="default" w:ascii="Times New Roman" w:hAnsi="Times New Roman" w:eastAsia="黑体" w:cs="Times New Roman"/>
          <w:sz w:val="29"/>
          <w:szCs w:val="29"/>
          <w:highlight w:val="none"/>
        </w:rPr>
      </w:pPr>
      <w:bookmarkStart w:id="3" w:name="_Toc20542"/>
      <w:bookmarkStart w:id="4" w:name="_Toc22504"/>
      <w:bookmarkStart w:id="5" w:name="_Toc23487"/>
      <w:r>
        <w:rPr>
          <w:rFonts w:hint="default" w:ascii="Times New Roman" w:hAnsi="Times New Roman" w:eastAsia="Times New Roman" w:cs="Times New Roman"/>
          <w:b/>
          <w:bCs/>
          <w:spacing w:val="2"/>
          <w:sz w:val="29"/>
          <w:szCs w:val="29"/>
          <w:highlight w:val="none"/>
        </w:rPr>
        <w:t>1</w:t>
      </w:r>
      <w:r>
        <w:rPr>
          <w:rFonts w:hint="default" w:ascii="Times New Roman" w:hAnsi="Times New Roman" w:eastAsia="Times New Roman" w:cs="Times New Roman"/>
          <w:spacing w:val="2"/>
          <w:sz w:val="29"/>
          <w:szCs w:val="29"/>
          <w:highlight w:val="none"/>
        </w:rPr>
        <w:t xml:space="preserve">  </w:t>
      </w:r>
      <w:r>
        <w:rPr>
          <w:rFonts w:hint="default" w:ascii="Times New Roman" w:hAnsi="Times New Roman" w:eastAsia="黑体" w:cs="Times New Roman"/>
          <w:spacing w:val="2"/>
          <w:sz w:val="29"/>
          <w:szCs w:val="29"/>
          <w:highlight w:val="none"/>
          <w14:textOutline w14:w="5448" w14:cap="sq" w14:cmpd="sng">
            <w14:solidFill>
              <w14:srgbClr w14:val="000000"/>
            </w14:solidFill>
            <w14:prstDash w14:val="solid"/>
            <w14:bevel/>
          </w14:textOutline>
        </w:rPr>
        <w:t>概述</w:t>
      </w:r>
      <w:bookmarkEnd w:id="3"/>
      <w:bookmarkEnd w:id="4"/>
      <w:bookmarkEnd w:id="5"/>
    </w:p>
    <w:p>
      <w:pPr>
        <w:keepNext w:val="0"/>
        <w:keepLines w:val="0"/>
        <w:pageBreakBefore w:val="0"/>
        <w:widowControl/>
        <w:kinsoku w:val="0"/>
        <w:wordWrap/>
        <w:overflowPunct/>
        <w:topLinePunct w:val="0"/>
        <w:autoSpaceDE w:val="0"/>
        <w:autoSpaceDN w:val="0"/>
        <w:bidi w:val="0"/>
        <w:adjustRightInd w:val="0"/>
        <w:snapToGrid w:val="0"/>
        <w:spacing w:line="460" w:lineRule="exact"/>
        <w:ind w:left="28"/>
        <w:textAlignment w:val="baseline"/>
        <w:outlineLvl w:val="1"/>
        <w:rPr>
          <w:rFonts w:hint="default" w:ascii="Times New Roman" w:hAnsi="Times New Roman" w:eastAsia="宋体" w:cs="Times New Roman"/>
          <w:sz w:val="28"/>
          <w:szCs w:val="28"/>
          <w:highlight w:val="none"/>
          <w:lang w:val="en-US" w:eastAsia="zh-CN"/>
        </w:rPr>
      </w:pPr>
      <w:bookmarkStart w:id="6" w:name="_Toc25990"/>
      <w:bookmarkStart w:id="7" w:name="_Toc17863"/>
      <w:bookmarkStart w:id="8" w:name="_Toc9928"/>
      <w:r>
        <w:rPr>
          <w:rFonts w:hint="default" w:ascii="Times New Roman" w:hAnsi="Times New Roman" w:eastAsia="Times New Roman" w:cs="Times New Roman"/>
          <w:b/>
          <w:bCs/>
          <w:spacing w:val="-2"/>
          <w:sz w:val="28"/>
          <w:szCs w:val="28"/>
          <w:highlight w:val="none"/>
        </w:rPr>
        <w:t>1</w:t>
      </w:r>
      <w:r>
        <w:rPr>
          <w:rFonts w:hint="default" w:ascii="Times New Roman" w:hAnsi="Times New Roman" w:eastAsia="Times New Roman" w:cs="Times New Roman"/>
          <w:b/>
          <w:bCs/>
          <w:spacing w:val="-1"/>
          <w:sz w:val="28"/>
          <w:szCs w:val="28"/>
          <w:highlight w:val="none"/>
        </w:rPr>
        <w:t>.1</w:t>
      </w:r>
      <w:r>
        <w:rPr>
          <w:rFonts w:hint="default" w:ascii="Times New Roman" w:hAnsi="Times New Roman" w:eastAsia="Times New Roman" w:cs="Times New Roman"/>
          <w:spacing w:val="-1"/>
          <w:sz w:val="28"/>
          <w:szCs w:val="28"/>
          <w:highlight w:val="none"/>
        </w:rPr>
        <w:t xml:space="preserve">  </w:t>
      </w:r>
      <w:r>
        <w:rPr>
          <w:rFonts w:hint="eastAsia" w:ascii="Times New Roman" w:hAnsi="Times New Roman" w:eastAsia="宋体" w:cs="Times New Roman"/>
          <w:spacing w:val="-1"/>
          <w:sz w:val="28"/>
          <w:szCs w:val="28"/>
          <w:highlight w:val="none"/>
          <w:lang w:val="en-US" w:eastAsia="zh-CN"/>
          <w14:textOutline w14:w="5103" w14:cap="sq" w14:cmpd="sng">
            <w14:solidFill>
              <w14:srgbClr w14:val="000000"/>
            </w14:solidFill>
            <w14:prstDash w14:val="solid"/>
            <w14:bevel/>
          </w14:textOutline>
        </w:rPr>
        <w:t>项目由来</w:t>
      </w:r>
      <w:bookmarkEnd w:id="6"/>
      <w:bookmarkEnd w:id="7"/>
      <w:bookmarkEnd w:id="8"/>
    </w:p>
    <w:p>
      <w:pPr>
        <w:keepNext w:val="0"/>
        <w:keepLines w:val="0"/>
        <w:pageBreakBefore w:val="0"/>
        <w:widowControl/>
        <w:kinsoku w:val="0"/>
        <w:wordWrap/>
        <w:overflowPunct/>
        <w:topLinePunct w:val="0"/>
        <w:autoSpaceDE w:val="0"/>
        <w:autoSpaceDN w:val="0"/>
        <w:bidi w:val="0"/>
        <w:adjustRightInd w:val="0"/>
        <w:snapToGrid w:val="0"/>
        <w:spacing w:before="195" w:line="404" w:lineRule="auto"/>
        <w:ind w:left="23" w:firstLine="482"/>
        <w:textAlignment w:val="baseline"/>
        <w:rPr>
          <w:rFonts w:hint="default" w:ascii="Times New Roman" w:hAnsi="Times New Roman" w:eastAsia="宋体" w:cs="Times New Roman"/>
          <w:spacing w:val="4"/>
          <w:sz w:val="23"/>
          <w:szCs w:val="23"/>
          <w:highlight w:val="none"/>
        </w:rPr>
      </w:pPr>
      <w:r>
        <w:rPr>
          <w:rFonts w:hint="default" w:ascii="Times New Roman" w:hAnsi="Times New Roman" w:eastAsia="宋体" w:cs="Times New Roman"/>
          <w:spacing w:val="4"/>
          <w:sz w:val="23"/>
          <w:szCs w:val="23"/>
          <w:highlight w:val="none"/>
        </w:rPr>
        <w:t>遵化市地处河北省东北部，</w:t>
      </w:r>
      <w:r>
        <w:rPr>
          <w:rFonts w:hint="default" w:ascii="Times New Roman" w:hAnsi="Times New Roman" w:eastAsia="宋体" w:cs="Times New Roman"/>
          <w:spacing w:val="4"/>
          <w:sz w:val="23"/>
          <w:szCs w:val="23"/>
          <w:highlight w:val="none"/>
        </w:rPr>
        <w:fldChar w:fldCharType="begin"/>
      </w:r>
      <w:r>
        <w:rPr>
          <w:rFonts w:hint="default" w:ascii="Times New Roman" w:hAnsi="Times New Roman" w:eastAsia="宋体" w:cs="Times New Roman"/>
          <w:spacing w:val="4"/>
          <w:sz w:val="23"/>
          <w:szCs w:val="23"/>
          <w:highlight w:val="none"/>
        </w:rPr>
        <w:instrText xml:space="preserve"> HYPERLINK "http://baike.baidu.com/view/8140.htm" \t "_blank" </w:instrText>
      </w:r>
      <w:r>
        <w:rPr>
          <w:rFonts w:hint="default" w:ascii="Times New Roman" w:hAnsi="Times New Roman" w:eastAsia="宋体" w:cs="Times New Roman"/>
          <w:spacing w:val="4"/>
          <w:sz w:val="23"/>
          <w:szCs w:val="23"/>
          <w:highlight w:val="none"/>
        </w:rPr>
        <w:fldChar w:fldCharType="separate"/>
      </w:r>
      <w:r>
        <w:rPr>
          <w:rFonts w:hint="default" w:ascii="Times New Roman" w:hAnsi="Times New Roman" w:eastAsia="宋体" w:cs="Times New Roman"/>
          <w:spacing w:val="4"/>
          <w:sz w:val="23"/>
          <w:szCs w:val="23"/>
          <w:highlight w:val="none"/>
        </w:rPr>
        <w:t>燕山</w:t>
      </w:r>
      <w:r>
        <w:rPr>
          <w:rFonts w:hint="default" w:ascii="Times New Roman" w:hAnsi="Times New Roman" w:eastAsia="宋体" w:cs="Times New Roman"/>
          <w:spacing w:val="4"/>
          <w:sz w:val="23"/>
          <w:szCs w:val="23"/>
          <w:highlight w:val="none"/>
        </w:rPr>
        <w:fldChar w:fldCharType="end"/>
      </w:r>
      <w:r>
        <w:rPr>
          <w:rFonts w:hint="default" w:ascii="Times New Roman" w:hAnsi="Times New Roman" w:eastAsia="宋体" w:cs="Times New Roman"/>
          <w:spacing w:val="4"/>
          <w:sz w:val="23"/>
          <w:szCs w:val="23"/>
          <w:highlight w:val="none"/>
        </w:rPr>
        <w:t>南麓，境内铁矿石资源储量丰富，近年来随着我国钢铁工业的发展、铁精粉的需求量不断增加，使得当地铁精粉选矿企业飞速发展。</w:t>
      </w:r>
    </w:p>
    <w:p>
      <w:pPr>
        <w:spacing w:before="75" w:line="403" w:lineRule="auto"/>
        <w:ind w:left="21" w:firstLine="481"/>
        <w:jc w:val="both"/>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9"/>
          <w:sz w:val="23"/>
          <w:szCs w:val="23"/>
          <w:highlight w:val="none"/>
        </w:rPr>
        <w:t>遵化市势竹矿业有限公司</w:t>
      </w:r>
      <w:r>
        <w:rPr>
          <w:rFonts w:hint="default" w:ascii="Times New Roman" w:hAnsi="Times New Roman" w:eastAsia="宋体" w:cs="Times New Roman"/>
          <w:spacing w:val="4"/>
          <w:sz w:val="23"/>
          <w:szCs w:val="23"/>
          <w:highlight w:val="none"/>
          <w:lang w:val="en-US" w:eastAsia="zh-CN"/>
        </w:rPr>
        <w:t>位于</w:t>
      </w:r>
      <w:r>
        <w:rPr>
          <w:rFonts w:hint="default" w:ascii="Times New Roman" w:hAnsi="Times New Roman" w:eastAsia="宋体" w:cs="Times New Roman"/>
          <w:spacing w:val="4"/>
          <w:sz w:val="23"/>
          <w:szCs w:val="23"/>
          <w:highlight w:val="none"/>
        </w:rPr>
        <w:t>遵化市苏家洼镇张家坟村村南</w:t>
      </w:r>
      <w:r>
        <w:rPr>
          <w:rFonts w:hint="default" w:ascii="Times New Roman" w:hAnsi="Times New Roman" w:eastAsia="宋体" w:cs="Times New Roman"/>
          <w:spacing w:val="4"/>
          <w:sz w:val="23"/>
          <w:szCs w:val="23"/>
          <w:highlight w:val="none"/>
          <w:lang w:eastAsia="zh-CN"/>
        </w:rPr>
        <w:t>，</w:t>
      </w:r>
      <w:r>
        <w:rPr>
          <w:rFonts w:hint="default" w:ascii="Times New Roman" w:hAnsi="Times New Roman" w:eastAsia="宋体" w:cs="Times New Roman"/>
          <w:spacing w:val="4"/>
          <w:sz w:val="23"/>
          <w:szCs w:val="23"/>
          <w:highlight w:val="none"/>
          <w:lang w:val="en-US" w:eastAsia="zh-CN"/>
        </w:rPr>
        <w:t>于2018年实施了</w:t>
      </w:r>
      <w:r>
        <w:rPr>
          <w:rFonts w:hint="eastAsia"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7"/>
          <w:sz w:val="23"/>
          <w:szCs w:val="23"/>
          <w:highlight w:val="none"/>
        </w:rPr>
        <w:t>遵化市势竹矿业有</w:t>
      </w:r>
      <w:r>
        <w:rPr>
          <w:rFonts w:hint="default" w:ascii="Times New Roman" w:hAnsi="Times New Roman" w:eastAsia="宋体" w:cs="Times New Roman"/>
          <w:spacing w:val="16"/>
          <w:sz w:val="23"/>
          <w:szCs w:val="23"/>
          <w:highlight w:val="none"/>
        </w:rPr>
        <w:t>限</w:t>
      </w:r>
      <w:r>
        <w:rPr>
          <w:rFonts w:hint="default" w:ascii="Times New Roman" w:hAnsi="Times New Roman" w:eastAsia="宋体" w:cs="Times New Roman"/>
          <w:spacing w:val="13"/>
          <w:sz w:val="23"/>
          <w:szCs w:val="23"/>
          <w:highlight w:val="none"/>
        </w:rPr>
        <w:t>公</w:t>
      </w:r>
      <w:r>
        <w:rPr>
          <w:rFonts w:hint="default" w:ascii="Times New Roman" w:hAnsi="Times New Roman" w:eastAsia="宋体" w:cs="Times New Roman"/>
          <w:spacing w:val="8"/>
          <w:sz w:val="23"/>
          <w:szCs w:val="23"/>
          <w:highlight w:val="none"/>
        </w:rPr>
        <w:t>司年处理</w:t>
      </w:r>
      <w:r>
        <w:rPr>
          <w:rFonts w:hint="default" w:ascii="Times New Roman" w:hAnsi="Times New Roman" w:eastAsia="Times New Roman" w:cs="Times New Roman"/>
          <w:spacing w:val="8"/>
          <w:sz w:val="23"/>
          <w:szCs w:val="23"/>
          <w:highlight w:val="none"/>
        </w:rPr>
        <w:t>50</w:t>
      </w:r>
      <w:r>
        <w:rPr>
          <w:rFonts w:hint="default" w:ascii="Times New Roman" w:hAnsi="Times New Roman" w:eastAsia="宋体" w:cs="Times New Roman"/>
          <w:spacing w:val="8"/>
          <w:sz w:val="23"/>
          <w:szCs w:val="23"/>
          <w:highlight w:val="none"/>
        </w:rPr>
        <w:t>万吨铁矿石破碎技改项目</w:t>
      </w:r>
      <w:r>
        <w:rPr>
          <w:rFonts w:hint="eastAsia"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4"/>
          <w:sz w:val="23"/>
          <w:szCs w:val="23"/>
          <w:highlight w:val="none"/>
          <w:lang w:val="en-US" w:eastAsia="zh-CN"/>
        </w:rPr>
        <w:t>，并于2018年9月13日取得了唐山市行政审批局出具的《</w:t>
      </w:r>
      <w:r>
        <w:rPr>
          <w:rFonts w:hint="default" w:ascii="Times New Roman" w:hAnsi="Times New Roman" w:eastAsia="宋体" w:cs="Times New Roman"/>
          <w:spacing w:val="7"/>
          <w:sz w:val="23"/>
          <w:szCs w:val="23"/>
          <w:highlight w:val="none"/>
        </w:rPr>
        <w:t>遵化市势竹矿业有</w:t>
      </w:r>
      <w:r>
        <w:rPr>
          <w:rFonts w:hint="default" w:ascii="Times New Roman" w:hAnsi="Times New Roman" w:eastAsia="宋体" w:cs="Times New Roman"/>
          <w:spacing w:val="16"/>
          <w:sz w:val="23"/>
          <w:szCs w:val="23"/>
          <w:highlight w:val="none"/>
        </w:rPr>
        <w:t>限</w:t>
      </w:r>
      <w:r>
        <w:rPr>
          <w:rFonts w:hint="default" w:ascii="Times New Roman" w:hAnsi="Times New Roman" w:eastAsia="宋体" w:cs="Times New Roman"/>
          <w:spacing w:val="13"/>
          <w:sz w:val="23"/>
          <w:szCs w:val="23"/>
          <w:highlight w:val="none"/>
        </w:rPr>
        <w:t>公</w:t>
      </w:r>
      <w:r>
        <w:rPr>
          <w:rFonts w:hint="default" w:ascii="Times New Roman" w:hAnsi="Times New Roman" w:eastAsia="宋体" w:cs="Times New Roman"/>
          <w:spacing w:val="8"/>
          <w:sz w:val="23"/>
          <w:szCs w:val="23"/>
          <w:highlight w:val="none"/>
        </w:rPr>
        <w:t>司年处理</w:t>
      </w:r>
      <w:r>
        <w:rPr>
          <w:rFonts w:hint="default" w:ascii="Times New Roman" w:hAnsi="Times New Roman" w:eastAsia="Times New Roman" w:cs="Times New Roman"/>
          <w:spacing w:val="8"/>
          <w:sz w:val="23"/>
          <w:szCs w:val="23"/>
          <w:highlight w:val="none"/>
        </w:rPr>
        <w:t>50</w:t>
      </w:r>
      <w:r>
        <w:rPr>
          <w:rFonts w:hint="default" w:ascii="Times New Roman" w:hAnsi="Times New Roman" w:eastAsia="宋体" w:cs="Times New Roman"/>
          <w:spacing w:val="8"/>
          <w:sz w:val="23"/>
          <w:szCs w:val="23"/>
          <w:highlight w:val="none"/>
        </w:rPr>
        <w:t>万吨铁矿石破碎技改项目</w:t>
      </w:r>
      <w:r>
        <w:rPr>
          <w:rFonts w:hint="default" w:ascii="Times New Roman" w:hAnsi="Times New Roman" w:eastAsia="宋体" w:cs="Times New Roman"/>
          <w:spacing w:val="4"/>
          <w:sz w:val="23"/>
          <w:szCs w:val="23"/>
          <w:highlight w:val="none"/>
          <w:lang w:val="en-US" w:eastAsia="zh-CN"/>
        </w:rPr>
        <w:t>环境影响报告书》批复文件（唐审投资环字[2018]24号），于2020年10月建设完成进行了排污登记并通过了竣工环境保护验收。</w:t>
      </w:r>
    </w:p>
    <w:p>
      <w:pPr>
        <w:spacing w:before="75" w:line="403" w:lineRule="auto"/>
        <w:ind w:left="21" w:firstLine="481"/>
        <w:jc w:val="both"/>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目前，</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9"/>
          <w:sz w:val="23"/>
          <w:szCs w:val="23"/>
          <w:highlight w:val="none"/>
          <w:lang w:val="en-US" w:eastAsia="zh-CN"/>
        </w:rPr>
        <w:t>厂区</w:t>
      </w:r>
      <w:r>
        <w:rPr>
          <w:rFonts w:hint="default" w:ascii="Times New Roman" w:hAnsi="Times New Roman" w:eastAsia="宋体" w:cs="Times New Roman"/>
          <w:spacing w:val="4"/>
          <w:sz w:val="23"/>
          <w:szCs w:val="23"/>
          <w:highlight w:val="none"/>
          <w:lang w:val="en-US" w:eastAsia="zh-CN"/>
        </w:rPr>
        <w:t>分为</w:t>
      </w:r>
      <w:r>
        <w:rPr>
          <w:rFonts w:hint="eastAsia" w:ascii="Times New Roman" w:hAnsi="Times New Roman" w:eastAsia="宋体" w:cs="Times New Roman"/>
          <w:spacing w:val="4"/>
          <w:sz w:val="23"/>
          <w:szCs w:val="23"/>
          <w:highlight w:val="none"/>
          <w:lang w:val="en-US" w:eastAsia="zh-CN"/>
        </w:rPr>
        <w:t>东、西两个生产装置</w:t>
      </w:r>
      <w:r>
        <w:rPr>
          <w:rFonts w:hint="default" w:ascii="Times New Roman" w:hAnsi="Times New Roman" w:eastAsia="宋体" w:cs="Times New Roman"/>
          <w:spacing w:val="4"/>
          <w:sz w:val="23"/>
          <w:szCs w:val="23"/>
          <w:highlight w:val="none"/>
          <w:lang w:val="en-US" w:eastAsia="zh-CN"/>
        </w:rPr>
        <w:t>区，</w:t>
      </w:r>
      <w:r>
        <w:rPr>
          <w:rFonts w:hint="eastAsia" w:ascii="Times New Roman" w:hAnsi="Times New Roman" w:eastAsia="宋体" w:cs="Times New Roman"/>
          <w:spacing w:val="4"/>
          <w:sz w:val="23"/>
          <w:szCs w:val="23"/>
          <w:highlight w:val="none"/>
          <w:lang w:val="en-US" w:eastAsia="zh-CN"/>
        </w:rPr>
        <w:t>每个生产装置区各设3条生产线，其中西部生产装置区设1#、2#、3#生产线，东部生产装置区设4#、5#、6#生产线，每个生产装置区各设3套破碎设备、1套粗选设备，公司年处理铁矿石50万吨，年产品位60%铁精粉18万吨</w:t>
      </w:r>
      <w:r>
        <w:rPr>
          <w:rFonts w:hint="default" w:ascii="Times New Roman" w:hAnsi="Times New Roman" w:eastAsia="宋体" w:cs="Times New Roman"/>
          <w:spacing w:val="4"/>
          <w:sz w:val="23"/>
          <w:szCs w:val="23"/>
          <w:highlight w:val="none"/>
          <w:lang w:val="en-US" w:eastAsia="zh-CN"/>
        </w:rPr>
        <w:t>。</w:t>
      </w:r>
    </w:p>
    <w:p>
      <w:pPr>
        <w:spacing w:before="75" w:line="403" w:lineRule="auto"/>
        <w:ind w:left="21" w:firstLine="481"/>
        <w:rPr>
          <w:rFonts w:hint="default" w:ascii="Times New Roman" w:hAnsi="Times New Roman" w:eastAsia="宋体" w:cs="Times New Roman"/>
          <w:spacing w:val="4"/>
          <w:sz w:val="23"/>
          <w:szCs w:val="23"/>
          <w:highlight w:val="none"/>
        </w:rPr>
      </w:pP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9"/>
          <w:sz w:val="23"/>
          <w:szCs w:val="23"/>
          <w:highlight w:val="none"/>
          <w:lang w:val="en-US" w:eastAsia="zh-CN"/>
        </w:rPr>
        <w:t>现状存在球磨工序生产效率低的问题，究其原因在于进厂矿石品位较低时需要通过干选预选出一定量的矿石后才能满足球磨机的进矿需求。</w:t>
      </w:r>
      <w:r>
        <w:rPr>
          <w:rFonts w:hint="default" w:ascii="Times New Roman" w:hAnsi="Times New Roman" w:eastAsia="宋体" w:cs="Times New Roman"/>
          <w:spacing w:val="4"/>
          <w:sz w:val="23"/>
          <w:szCs w:val="23"/>
          <w:highlight w:val="none"/>
        </w:rPr>
        <w:t>为了充分发挥本地区矿产资源优势，</w:t>
      </w:r>
      <w:r>
        <w:rPr>
          <w:rFonts w:hint="eastAsia" w:ascii="Times New Roman" w:hAnsi="Times New Roman" w:eastAsia="宋体" w:cs="Times New Roman"/>
          <w:spacing w:val="4"/>
          <w:sz w:val="23"/>
          <w:szCs w:val="23"/>
          <w:highlight w:val="none"/>
          <w:lang w:val="en-US" w:eastAsia="zh-CN"/>
        </w:rPr>
        <w:t>充分厂区利用现有球磨机的处理能力</w:t>
      </w:r>
      <w:r>
        <w:rPr>
          <w:rFonts w:hint="default" w:ascii="Times New Roman" w:hAnsi="Times New Roman" w:eastAsia="宋体" w:cs="Times New Roman"/>
          <w:spacing w:val="4"/>
          <w:sz w:val="23"/>
          <w:szCs w:val="23"/>
          <w:highlight w:val="none"/>
          <w:lang w:val="en-US" w:eastAsia="zh-CN"/>
        </w:rPr>
        <w:t>，提高市场竞争力，决定投资</w:t>
      </w:r>
      <w:r>
        <w:rPr>
          <w:rFonts w:hint="eastAsia" w:ascii="Times New Roman" w:hAnsi="Times New Roman" w:eastAsia="宋体" w:cs="Times New Roman"/>
          <w:spacing w:val="4"/>
          <w:sz w:val="23"/>
          <w:szCs w:val="23"/>
          <w:highlight w:val="none"/>
          <w:lang w:val="en-US" w:eastAsia="zh-CN"/>
        </w:rPr>
        <w:t>36</w:t>
      </w:r>
      <w:r>
        <w:rPr>
          <w:rFonts w:hint="default" w:ascii="Times New Roman" w:hAnsi="Times New Roman" w:eastAsia="宋体" w:cs="Times New Roman"/>
          <w:spacing w:val="4"/>
          <w:sz w:val="23"/>
          <w:szCs w:val="23"/>
          <w:highlight w:val="none"/>
        </w:rPr>
        <w:t>00万元建设</w:t>
      </w:r>
      <w:r>
        <w:rPr>
          <w:rFonts w:hint="eastAsia" w:ascii="Times New Roman" w:hAnsi="Times New Roman" w:eastAsia="宋体" w:cs="Times New Roman"/>
          <w:spacing w:val="4"/>
          <w:sz w:val="23"/>
          <w:szCs w:val="23"/>
          <w:highlight w:val="none"/>
          <w:lang w:eastAsia="zh-CN"/>
        </w:rPr>
        <w:t>“</w:t>
      </w:r>
      <w:r>
        <w:rPr>
          <w:rFonts w:hint="default" w:ascii="Times New Roman" w:hAnsi="Times New Roman" w:eastAsia="宋体" w:cs="Times New Roman"/>
          <w:spacing w:val="9"/>
          <w:sz w:val="23"/>
          <w:szCs w:val="23"/>
          <w:highlight w:val="none"/>
        </w:rPr>
        <w:t>遵化市势竹矿业有限公司</w:t>
      </w:r>
      <w:r>
        <w:rPr>
          <w:rFonts w:hint="default" w:ascii="Times New Roman" w:hAnsi="Times New Roman" w:eastAsia="宋体" w:cs="Times New Roman"/>
          <w:spacing w:val="4"/>
          <w:sz w:val="23"/>
          <w:szCs w:val="23"/>
          <w:highlight w:val="none"/>
        </w:rPr>
        <w:t>年处理</w:t>
      </w:r>
      <w:r>
        <w:rPr>
          <w:rFonts w:hint="eastAsia" w:ascii="Times New Roman" w:hAnsi="Times New Roman" w:eastAsia="宋体" w:cs="Times New Roman"/>
          <w:spacing w:val="4"/>
          <w:sz w:val="23"/>
          <w:szCs w:val="23"/>
          <w:highlight w:val="none"/>
          <w:lang w:val="en-US" w:eastAsia="zh-CN"/>
        </w:rPr>
        <w:t>110</w:t>
      </w:r>
      <w:r>
        <w:rPr>
          <w:rFonts w:hint="default" w:ascii="Times New Roman" w:hAnsi="Times New Roman" w:eastAsia="宋体" w:cs="Times New Roman"/>
          <w:spacing w:val="4"/>
          <w:sz w:val="23"/>
          <w:szCs w:val="23"/>
          <w:highlight w:val="none"/>
        </w:rPr>
        <w:t>万吨铁矿石</w:t>
      </w:r>
      <w:r>
        <w:rPr>
          <w:rFonts w:hint="eastAsia" w:ascii="Times New Roman" w:hAnsi="Times New Roman" w:eastAsia="宋体" w:cs="Times New Roman"/>
          <w:spacing w:val="4"/>
          <w:sz w:val="23"/>
          <w:szCs w:val="23"/>
          <w:highlight w:val="none"/>
          <w:lang w:val="en-US" w:eastAsia="zh-CN"/>
        </w:rPr>
        <w:t>破碎</w:t>
      </w:r>
      <w:r>
        <w:rPr>
          <w:rFonts w:hint="default" w:ascii="Times New Roman" w:hAnsi="Times New Roman" w:eastAsia="宋体" w:cs="Times New Roman"/>
          <w:spacing w:val="4"/>
          <w:sz w:val="23"/>
          <w:szCs w:val="23"/>
          <w:highlight w:val="none"/>
        </w:rPr>
        <w:t>改扩建项目</w:t>
      </w:r>
      <w:r>
        <w:rPr>
          <w:rFonts w:hint="eastAsia" w:ascii="Times New Roman" w:hAnsi="Times New Roman" w:eastAsia="宋体" w:cs="Times New Roman"/>
          <w:spacing w:val="4"/>
          <w:sz w:val="23"/>
          <w:szCs w:val="23"/>
          <w:highlight w:val="none"/>
          <w:lang w:eastAsia="zh-CN"/>
        </w:rPr>
        <w:t>”</w:t>
      </w:r>
      <w:r>
        <w:rPr>
          <w:rFonts w:hint="default" w:ascii="Times New Roman" w:hAnsi="Times New Roman" w:eastAsia="宋体" w:cs="Times New Roman"/>
          <w:spacing w:val="4"/>
          <w:sz w:val="23"/>
          <w:szCs w:val="23"/>
          <w:highlight w:val="none"/>
        </w:rPr>
        <w:t>，</w:t>
      </w:r>
      <w:r>
        <w:rPr>
          <w:rFonts w:hint="eastAsia" w:ascii="Times New Roman" w:hAnsi="Times New Roman" w:eastAsia="宋体" w:cs="Times New Roman"/>
          <w:spacing w:val="4"/>
          <w:sz w:val="23"/>
          <w:szCs w:val="23"/>
          <w:highlight w:val="none"/>
          <w:lang w:val="en-US" w:eastAsia="zh-CN"/>
        </w:rPr>
        <w:t>本项目由</w:t>
      </w:r>
      <w:r>
        <w:rPr>
          <w:rFonts w:hint="default" w:ascii="Times New Roman" w:hAnsi="Times New Roman" w:eastAsia="宋体" w:cs="Times New Roman"/>
          <w:spacing w:val="4"/>
          <w:sz w:val="23"/>
          <w:szCs w:val="23"/>
          <w:highlight w:val="none"/>
        </w:rPr>
        <w:t>河北省发展和改革委员会</w:t>
      </w:r>
      <w:r>
        <w:rPr>
          <w:rFonts w:hint="eastAsia" w:ascii="Times New Roman" w:hAnsi="Times New Roman" w:eastAsia="宋体" w:cs="Times New Roman"/>
          <w:spacing w:val="4"/>
          <w:sz w:val="23"/>
          <w:szCs w:val="23"/>
          <w:highlight w:val="none"/>
          <w:lang w:val="en-US" w:eastAsia="zh-CN"/>
        </w:rPr>
        <w:t>于</w:t>
      </w:r>
      <w:r>
        <w:rPr>
          <w:rFonts w:hint="default" w:ascii="Times New Roman" w:hAnsi="Times New Roman" w:eastAsia="宋体" w:cs="Times New Roman"/>
          <w:spacing w:val="4"/>
          <w:sz w:val="23"/>
          <w:szCs w:val="23"/>
          <w:highlight w:val="none"/>
        </w:rPr>
        <w:t>20</w:t>
      </w:r>
      <w:r>
        <w:rPr>
          <w:rFonts w:hint="default" w:ascii="Times New Roman" w:hAnsi="Times New Roman" w:eastAsia="宋体" w:cs="Times New Roman"/>
          <w:spacing w:val="4"/>
          <w:sz w:val="23"/>
          <w:szCs w:val="23"/>
          <w:highlight w:val="none"/>
          <w:lang w:val="en-US" w:eastAsia="zh-CN"/>
        </w:rPr>
        <w:t>23</w:t>
      </w:r>
      <w:r>
        <w:rPr>
          <w:rFonts w:hint="default" w:ascii="Times New Roman" w:hAnsi="Times New Roman" w:eastAsia="宋体" w:cs="Times New Roman"/>
          <w:spacing w:val="4"/>
          <w:sz w:val="23"/>
          <w:szCs w:val="23"/>
          <w:highlight w:val="none"/>
        </w:rPr>
        <w:t>年</w:t>
      </w:r>
      <w:r>
        <w:rPr>
          <w:rFonts w:hint="eastAsia" w:ascii="Times New Roman" w:hAnsi="Times New Roman" w:eastAsia="宋体" w:cs="Times New Roman"/>
          <w:spacing w:val="4"/>
          <w:sz w:val="23"/>
          <w:szCs w:val="23"/>
          <w:highlight w:val="none"/>
          <w:lang w:val="en-US" w:eastAsia="zh-CN"/>
        </w:rPr>
        <w:t>3</w:t>
      </w:r>
      <w:r>
        <w:rPr>
          <w:rFonts w:hint="default" w:ascii="Times New Roman" w:hAnsi="Times New Roman" w:eastAsia="宋体" w:cs="Times New Roman"/>
          <w:spacing w:val="4"/>
          <w:sz w:val="23"/>
          <w:szCs w:val="23"/>
          <w:highlight w:val="none"/>
        </w:rPr>
        <w:t>月</w:t>
      </w:r>
      <w:r>
        <w:rPr>
          <w:rFonts w:hint="eastAsia" w:ascii="Times New Roman" w:hAnsi="Times New Roman" w:eastAsia="宋体" w:cs="Times New Roman"/>
          <w:spacing w:val="4"/>
          <w:sz w:val="23"/>
          <w:szCs w:val="23"/>
          <w:highlight w:val="none"/>
          <w:lang w:val="en-US" w:eastAsia="zh-CN"/>
        </w:rPr>
        <w:t>10</w:t>
      </w:r>
      <w:r>
        <w:rPr>
          <w:rFonts w:hint="default" w:ascii="Times New Roman" w:hAnsi="Times New Roman" w:eastAsia="宋体" w:cs="Times New Roman"/>
          <w:spacing w:val="4"/>
          <w:sz w:val="23"/>
          <w:szCs w:val="23"/>
          <w:highlight w:val="none"/>
        </w:rPr>
        <w:t>日以冀发改政务备字[202</w:t>
      </w:r>
      <w:r>
        <w:rPr>
          <w:rFonts w:hint="default" w:ascii="Times New Roman" w:hAnsi="Times New Roman" w:eastAsia="宋体" w:cs="Times New Roman"/>
          <w:spacing w:val="4"/>
          <w:sz w:val="23"/>
          <w:szCs w:val="23"/>
          <w:highlight w:val="none"/>
          <w:lang w:val="en-US" w:eastAsia="zh-CN"/>
        </w:rPr>
        <w:t>3</w:t>
      </w:r>
      <w:r>
        <w:rPr>
          <w:rFonts w:hint="default" w:ascii="Times New Roman" w:hAnsi="Times New Roman" w:eastAsia="宋体" w:cs="Times New Roman"/>
          <w:spacing w:val="4"/>
          <w:sz w:val="23"/>
          <w:szCs w:val="23"/>
          <w:highlight w:val="none"/>
        </w:rPr>
        <w:t>]</w:t>
      </w:r>
      <w:r>
        <w:rPr>
          <w:rFonts w:hint="eastAsia" w:ascii="Times New Roman" w:hAnsi="Times New Roman" w:eastAsia="宋体" w:cs="Times New Roman"/>
          <w:spacing w:val="4"/>
          <w:sz w:val="23"/>
          <w:szCs w:val="23"/>
          <w:highlight w:val="none"/>
          <w:lang w:val="en-US" w:eastAsia="zh-CN"/>
        </w:rPr>
        <w:t>46</w:t>
      </w:r>
      <w:r>
        <w:rPr>
          <w:rFonts w:hint="default" w:ascii="Times New Roman" w:hAnsi="Times New Roman" w:eastAsia="宋体" w:cs="Times New Roman"/>
          <w:spacing w:val="4"/>
          <w:sz w:val="23"/>
          <w:szCs w:val="23"/>
          <w:highlight w:val="none"/>
        </w:rPr>
        <w:t>号文予以备案。</w:t>
      </w:r>
    </w:p>
    <w:p>
      <w:pPr>
        <w:spacing w:before="75" w:line="403" w:lineRule="auto"/>
        <w:ind w:left="21" w:firstLine="481"/>
        <w:rPr>
          <w:rFonts w:hint="default" w:ascii="Times New Roman" w:hAnsi="Times New Roman" w:eastAsia="宋体" w:cs="Times New Roman"/>
          <w:spacing w:val="4"/>
          <w:sz w:val="23"/>
          <w:szCs w:val="23"/>
          <w:highlight w:val="none"/>
        </w:rPr>
      </w:pPr>
      <w:r>
        <w:rPr>
          <w:rFonts w:hint="default" w:ascii="Times New Roman" w:hAnsi="Times New Roman" w:eastAsia="宋体" w:cs="Times New Roman"/>
          <w:spacing w:val="4"/>
          <w:sz w:val="23"/>
          <w:szCs w:val="23"/>
          <w:highlight w:val="none"/>
        </w:rPr>
        <w:t>本项目</w:t>
      </w:r>
      <w:r>
        <w:rPr>
          <w:rFonts w:hint="eastAsia" w:ascii="Times New Roman" w:hAnsi="Times New Roman" w:eastAsia="宋体" w:cs="Times New Roman"/>
          <w:spacing w:val="4"/>
          <w:sz w:val="23"/>
          <w:szCs w:val="23"/>
          <w:highlight w:val="none"/>
          <w:lang w:val="en-US" w:eastAsia="zh-CN"/>
        </w:rPr>
        <w:t>在</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4"/>
          <w:sz w:val="23"/>
          <w:szCs w:val="23"/>
          <w:highlight w:val="none"/>
          <w:lang w:val="en-US" w:eastAsia="zh-CN"/>
        </w:rPr>
        <w:t>现有厂区内进行建设，不新增占地</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pacing w:val="4"/>
          <w:sz w:val="23"/>
          <w:szCs w:val="23"/>
          <w:highlight w:val="none"/>
          <w:lang w:val="en-US" w:eastAsia="zh-CN"/>
        </w:rPr>
        <w:t>主要</w:t>
      </w:r>
      <w:r>
        <w:rPr>
          <w:rFonts w:hint="eastAsia" w:ascii="Times New Roman" w:hAnsi="Times New Roman" w:eastAsia="宋体" w:cs="Times New Roman"/>
          <w:spacing w:val="4"/>
          <w:sz w:val="23"/>
          <w:szCs w:val="23"/>
          <w:highlight w:val="none"/>
          <w:lang w:val="en-US" w:eastAsia="zh-CN"/>
        </w:rPr>
        <w:t>在厂区东部生产装置区</w:t>
      </w:r>
      <w:r>
        <w:rPr>
          <w:rFonts w:hint="default" w:ascii="Times New Roman" w:hAnsi="Times New Roman" w:eastAsia="宋体" w:cs="Times New Roman"/>
          <w:spacing w:val="4"/>
          <w:sz w:val="23"/>
          <w:szCs w:val="23"/>
          <w:highlight w:val="none"/>
          <w:lang w:val="en-US" w:eastAsia="zh-CN"/>
        </w:rPr>
        <w:t>新增</w:t>
      </w:r>
      <w:r>
        <w:rPr>
          <w:rFonts w:hint="eastAsia" w:ascii="Times New Roman" w:hAnsi="Times New Roman" w:eastAsia="宋体" w:cs="Times New Roman"/>
          <w:spacing w:val="4"/>
          <w:sz w:val="23"/>
          <w:szCs w:val="23"/>
          <w:highlight w:val="none"/>
          <w:lang w:val="en-US" w:eastAsia="zh-CN"/>
        </w:rPr>
        <w:t>1套破碎、干选设备，对低品位矿石进行预选，降低废石的入磨量，旨在解决球磨机生产效率低的问题</w:t>
      </w:r>
      <w:r>
        <w:rPr>
          <w:rFonts w:hint="default" w:ascii="Times New Roman" w:hAnsi="Times New Roman" w:eastAsia="宋体" w:cs="Times New Roman"/>
          <w:spacing w:val="4"/>
          <w:sz w:val="23"/>
          <w:szCs w:val="23"/>
          <w:highlight w:val="none"/>
          <w:lang w:val="en-US" w:eastAsia="zh-CN"/>
        </w:rPr>
        <w:t>，将</w:t>
      </w:r>
      <w:r>
        <w:rPr>
          <w:rFonts w:hint="eastAsia" w:ascii="Times New Roman" w:hAnsi="Times New Roman" w:eastAsia="宋体" w:cs="Times New Roman"/>
          <w:spacing w:val="4"/>
          <w:sz w:val="23"/>
          <w:szCs w:val="23"/>
          <w:highlight w:val="none"/>
          <w:lang w:val="en-US" w:eastAsia="zh-CN"/>
        </w:rPr>
        <w:t>厂区铁矿石年处理能力由5</w:t>
      </w:r>
      <w:r>
        <w:rPr>
          <w:rFonts w:hint="default" w:ascii="Times New Roman" w:hAnsi="Times New Roman" w:eastAsia="宋体" w:cs="Times New Roman"/>
          <w:spacing w:val="4"/>
          <w:sz w:val="23"/>
          <w:szCs w:val="23"/>
          <w:highlight w:val="none"/>
          <w:lang w:val="en-US" w:eastAsia="zh-CN"/>
        </w:rPr>
        <w:t>0万吨提升至</w:t>
      </w:r>
      <w:r>
        <w:rPr>
          <w:rFonts w:hint="eastAsia" w:ascii="Times New Roman" w:hAnsi="Times New Roman" w:eastAsia="宋体" w:cs="Times New Roman"/>
          <w:spacing w:val="4"/>
          <w:sz w:val="23"/>
          <w:szCs w:val="23"/>
          <w:highlight w:val="none"/>
          <w:lang w:val="en-US" w:eastAsia="zh-CN"/>
        </w:rPr>
        <w:t>110</w:t>
      </w:r>
      <w:r>
        <w:rPr>
          <w:rFonts w:hint="default" w:ascii="Times New Roman" w:hAnsi="Times New Roman" w:eastAsia="宋体" w:cs="Times New Roman"/>
          <w:spacing w:val="4"/>
          <w:sz w:val="23"/>
          <w:szCs w:val="23"/>
          <w:highlight w:val="none"/>
          <w:lang w:val="en-US" w:eastAsia="zh-CN"/>
        </w:rPr>
        <w:t>万吨，</w:t>
      </w:r>
      <w:r>
        <w:rPr>
          <w:rFonts w:hint="eastAsia" w:ascii="Times New Roman" w:hAnsi="Times New Roman" w:eastAsia="宋体" w:cs="Times New Roman"/>
          <w:spacing w:val="4"/>
          <w:sz w:val="23"/>
          <w:szCs w:val="23"/>
          <w:highlight w:val="none"/>
          <w:lang w:val="en-US" w:eastAsia="zh-CN"/>
        </w:rPr>
        <w:t>本项目</w:t>
      </w:r>
      <w:r>
        <w:rPr>
          <w:rFonts w:hint="default" w:ascii="Times New Roman" w:hAnsi="Times New Roman" w:eastAsia="宋体" w:cs="Times New Roman"/>
          <w:spacing w:val="4"/>
          <w:sz w:val="23"/>
          <w:szCs w:val="23"/>
          <w:highlight w:val="none"/>
          <w:lang w:val="en-US" w:eastAsia="zh-CN"/>
        </w:rPr>
        <w:t>建设完成后</w:t>
      </w:r>
      <w:r>
        <w:rPr>
          <w:rFonts w:hint="eastAsia" w:ascii="Times New Roman" w:hAnsi="Times New Roman" w:eastAsia="宋体" w:cs="Times New Roman"/>
          <w:spacing w:val="4"/>
          <w:sz w:val="23"/>
          <w:szCs w:val="23"/>
          <w:highlight w:val="none"/>
          <w:lang w:val="en-US" w:eastAsia="zh-CN"/>
        </w:rPr>
        <w:t>公司年产品位60%</w:t>
      </w:r>
      <w:r>
        <w:rPr>
          <w:rFonts w:hint="default" w:ascii="Times New Roman" w:hAnsi="Times New Roman" w:eastAsia="宋体" w:cs="Times New Roman"/>
          <w:spacing w:val="4"/>
          <w:sz w:val="23"/>
          <w:szCs w:val="23"/>
          <w:highlight w:val="none"/>
          <w:lang w:val="en-US" w:eastAsia="zh-CN"/>
        </w:rPr>
        <w:t>粗精矿</w:t>
      </w:r>
      <w:r>
        <w:rPr>
          <w:rFonts w:hint="eastAsia" w:ascii="Times New Roman" w:hAnsi="Times New Roman" w:eastAsia="宋体" w:cs="Times New Roman"/>
          <w:spacing w:val="4"/>
          <w:sz w:val="23"/>
          <w:szCs w:val="23"/>
          <w:highlight w:val="none"/>
          <w:lang w:val="en-US" w:eastAsia="zh-CN"/>
        </w:rPr>
        <w:t>40</w:t>
      </w:r>
      <w:r>
        <w:rPr>
          <w:rFonts w:hint="default" w:ascii="Times New Roman" w:hAnsi="Times New Roman" w:eastAsia="宋体" w:cs="Times New Roman"/>
          <w:spacing w:val="4"/>
          <w:sz w:val="23"/>
          <w:szCs w:val="23"/>
          <w:highlight w:val="none"/>
          <w:lang w:val="en-US" w:eastAsia="zh-CN"/>
        </w:rPr>
        <w:t>万吨</w:t>
      </w:r>
      <w:r>
        <w:rPr>
          <w:rFonts w:hint="default" w:ascii="Times New Roman" w:hAnsi="Times New Roman" w:eastAsia="宋体" w:cs="Times New Roman"/>
          <w:spacing w:val="4"/>
          <w:sz w:val="23"/>
          <w:szCs w:val="23"/>
          <w:highlight w:val="none"/>
        </w:rPr>
        <w:t>。</w:t>
      </w:r>
    </w:p>
    <w:p>
      <w:pPr>
        <w:spacing w:before="75" w:line="403" w:lineRule="auto"/>
        <w:ind w:left="21" w:firstLine="481"/>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根据《中华人民共和国环境保护法》、《中华人民共和国环境影响评价法》和《建设项目环境保护管理条例》（国务院第 682 号令）等法律法规规定，该项目需进行环境影响评价，属于《建设项目环境影响评价分类管理名录（2021年本）》中“六、黑色金属矿采选业-9-铁矿采选业”，需编制环境影响报告书。</w:t>
      </w:r>
    </w:p>
    <w:p>
      <w:pPr>
        <w:pStyle w:val="2"/>
        <w:rPr>
          <w:rFonts w:hint="eastAsia"/>
          <w:highlight w:val="none"/>
          <w:lang w:val="en-US" w:eastAsia="zh-CN"/>
        </w:rPr>
      </w:pPr>
    </w:p>
    <w:p>
      <w:pPr>
        <w:spacing w:before="69" w:line="221" w:lineRule="auto"/>
        <w:ind w:left="30"/>
        <w:outlineLvl w:val="1"/>
        <w:rPr>
          <w:rFonts w:hint="eastAsia" w:ascii="Times New Roman" w:hAnsi="Times New Roman" w:eastAsia="宋体" w:cs="Times New Roman"/>
          <w:spacing w:val="-1"/>
          <w:sz w:val="28"/>
          <w:szCs w:val="28"/>
          <w:highlight w:val="none"/>
          <w:lang w:val="en-US" w:eastAsia="zh-CN"/>
          <w14:textOutline w14:w="5103" w14:cap="sq" w14:cmpd="sng">
            <w14:solidFill>
              <w14:srgbClr w14:val="000000"/>
            </w14:solidFill>
            <w14:prstDash w14:val="solid"/>
            <w14:bevel/>
          </w14:textOutline>
        </w:rPr>
      </w:pPr>
      <w:bookmarkStart w:id="9" w:name="_Toc14876"/>
      <w:bookmarkStart w:id="10" w:name="_Toc24477"/>
      <w:bookmarkStart w:id="11" w:name="_Toc13703"/>
      <w:r>
        <w:rPr>
          <w:rFonts w:hint="default" w:ascii="Times New Roman" w:hAnsi="Times New Roman" w:eastAsia="Times New Roman" w:cs="Times New Roman"/>
          <w:b/>
          <w:bCs/>
          <w:spacing w:val="-1"/>
          <w:sz w:val="28"/>
          <w:szCs w:val="28"/>
          <w:highlight w:val="none"/>
        </w:rPr>
        <w:t>1.2</w:t>
      </w:r>
      <w:r>
        <w:rPr>
          <w:rFonts w:hint="default" w:ascii="Times New Roman" w:hAnsi="Times New Roman" w:eastAsia="Times New Roman" w:cs="Times New Roman"/>
          <w:spacing w:val="-1"/>
          <w:sz w:val="28"/>
          <w:szCs w:val="28"/>
          <w:highlight w:val="none"/>
        </w:rPr>
        <w:t xml:space="preserve">  </w:t>
      </w:r>
      <w:r>
        <w:rPr>
          <w:rFonts w:hint="eastAsia" w:ascii="Times New Roman" w:hAnsi="Times New Roman" w:eastAsia="宋体" w:cs="Times New Roman"/>
          <w:spacing w:val="-1"/>
          <w:sz w:val="28"/>
          <w:szCs w:val="28"/>
          <w:highlight w:val="none"/>
          <w:lang w:val="en-US" w:eastAsia="zh-CN"/>
          <w14:textOutline w14:w="5103" w14:cap="sq" w14:cmpd="sng">
            <w14:solidFill>
              <w14:srgbClr w14:val="000000"/>
            </w14:solidFill>
            <w14:prstDash w14:val="solid"/>
            <w14:bevel/>
          </w14:textOutline>
        </w:rPr>
        <w:t>建设项目特点</w:t>
      </w:r>
      <w:bookmarkEnd w:id="9"/>
      <w:bookmarkEnd w:id="10"/>
      <w:bookmarkEnd w:id="11"/>
    </w:p>
    <w:p>
      <w:pPr>
        <w:spacing w:before="75" w:line="403" w:lineRule="auto"/>
        <w:ind w:firstLine="476" w:firstLineChars="200"/>
        <w:jc w:val="both"/>
        <w:rPr>
          <w:rFonts w:hint="default" w:ascii="Times New Roman" w:hAnsi="Times New Roman" w:eastAsia="宋体" w:cs="Times New Roman"/>
          <w:spacing w:val="4"/>
          <w:sz w:val="23"/>
          <w:szCs w:val="23"/>
          <w:highlight w:val="none"/>
        </w:rPr>
      </w:pPr>
      <w:r>
        <w:rPr>
          <w:rFonts w:hint="eastAsia" w:ascii="Times New Roman" w:hAnsi="Times New Roman" w:eastAsia="宋体" w:cs="Times New Roman"/>
          <w:spacing w:val="4"/>
          <w:sz w:val="23"/>
          <w:szCs w:val="23"/>
          <w:highlight w:val="none"/>
          <w:lang w:eastAsia="zh-CN"/>
        </w:rPr>
        <w:t>（</w:t>
      </w:r>
      <w:r>
        <w:rPr>
          <w:rFonts w:hint="eastAsia" w:ascii="Times New Roman" w:hAnsi="Times New Roman" w:eastAsia="宋体" w:cs="Times New Roman"/>
          <w:spacing w:val="4"/>
          <w:sz w:val="23"/>
          <w:szCs w:val="23"/>
          <w:highlight w:val="none"/>
          <w:lang w:val="en-US" w:eastAsia="zh-CN"/>
        </w:rPr>
        <w:t>1</w:t>
      </w:r>
      <w:r>
        <w:rPr>
          <w:rFonts w:hint="eastAsia" w:ascii="Times New Roman" w:hAnsi="Times New Roman" w:eastAsia="宋体" w:cs="Times New Roman"/>
          <w:spacing w:val="4"/>
          <w:sz w:val="23"/>
          <w:szCs w:val="23"/>
          <w:highlight w:val="none"/>
          <w:lang w:eastAsia="zh-CN"/>
        </w:rPr>
        <w:t>）</w:t>
      </w:r>
      <w:r>
        <w:rPr>
          <w:rFonts w:hint="eastAsia" w:ascii="Times New Roman" w:hAnsi="Times New Roman" w:eastAsia="宋体" w:cs="Times New Roman"/>
          <w:spacing w:val="4"/>
          <w:sz w:val="23"/>
          <w:szCs w:val="23"/>
          <w:highlight w:val="none"/>
        </w:rPr>
        <w:t>本项目</w:t>
      </w:r>
      <w:r>
        <w:rPr>
          <w:rFonts w:hint="eastAsia" w:ascii="Times New Roman" w:hAnsi="Times New Roman" w:eastAsia="宋体" w:cs="Times New Roman"/>
          <w:spacing w:val="4"/>
          <w:sz w:val="23"/>
          <w:szCs w:val="23"/>
          <w:highlight w:val="none"/>
          <w:lang w:val="en-US" w:eastAsia="zh-CN"/>
        </w:rPr>
        <w:t>在</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4"/>
          <w:sz w:val="23"/>
          <w:szCs w:val="23"/>
          <w:highlight w:val="none"/>
          <w:lang w:val="en-US" w:eastAsia="zh-CN"/>
        </w:rPr>
        <w:t>现有厂区内建设</w:t>
      </w:r>
      <w:r>
        <w:rPr>
          <w:rFonts w:hint="eastAsia" w:ascii="Times New Roman" w:hAnsi="Times New Roman" w:eastAsia="宋体" w:cs="Times New Roman"/>
          <w:spacing w:val="4"/>
          <w:sz w:val="23"/>
          <w:szCs w:val="23"/>
          <w:highlight w:val="none"/>
        </w:rPr>
        <w:t>，</w:t>
      </w:r>
      <w:r>
        <w:rPr>
          <w:rFonts w:hint="eastAsia" w:ascii="Times New Roman" w:hAnsi="Times New Roman" w:eastAsia="宋体" w:cs="Times New Roman"/>
          <w:spacing w:val="4"/>
          <w:sz w:val="23"/>
          <w:szCs w:val="23"/>
          <w:highlight w:val="none"/>
          <w:lang w:val="en-US" w:eastAsia="zh-CN"/>
        </w:rPr>
        <w:t>不新增占地</w:t>
      </w:r>
      <w:r>
        <w:rPr>
          <w:rFonts w:hint="eastAsia" w:ascii="Times New Roman" w:hAnsi="Times New Roman" w:eastAsia="宋体" w:cs="Times New Roman"/>
          <w:spacing w:val="4"/>
          <w:sz w:val="23"/>
          <w:szCs w:val="23"/>
          <w:highlight w:val="none"/>
        </w:rPr>
        <w:t>。</w:t>
      </w:r>
    </w:p>
    <w:p>
      <w:pPr>
        <w:tabs>
          <w:tab w:val="left" w:pos="1209"/>
        </w:tabs>
        <w:bidi w:val="0"/>
        <w:ind w:firstLine="476" w:firstLineChars="200"/>
        <w:jc w:val="left"/>
        <w:rPr>
          <w:rFonts w:hint="default" w:ascii="Times New Roman" w:hAnsi="Times New Roman" w:eastAsia="宋体" w:cs="Times New Roman"/>
          <w:spacing w:val="4"/>
          <w:sz w:val="23"/>
          <w:szCs w:val="23"/>
          <w:highlight w:val="none"/>
        </w:rPr>
      </w:pPr>
      <w:r>
        <w:rPr>
          <w:rFonts w:hint="eastAsia" w:ascii="Times New Roman" w:hAnsi="Times New Roman" w:eastAsia="宋体" w:cs="Times New Roman"/>
          <w:spacing w:val="4"/>
          <w:sz w:val="23"/>
          <w:szCs w:val="23"/>
          <w:highlight w:val="none"/>
        </w:rPr>
        <w:t>（2）</w:t>
      </w:r>
      <w:r>
        <w:rPr>
          <w:rFonts w:hint="default" w:ascii="Times New Roman" w:hAnsi="Times New Roman" w:eastAsia="宋体" w:cs="Times New Roman"/>
          <w:spacing w:val="4"/>
          <w:sz w:val="23"/>
          <w:szCs w:val="23"/>
          <w:highlight w:val="none"/>
        </w:rPr>
        <w:t>本项目</w:t>
      </w:r>
      <w:r>
        <w:rPr>
          <w:rFonts w:hint="default" w:ascii="Times New Roman" w:hAnsi="Times New Roman" w:eastAsia="宋体" w:cs="Times New Roman"/>
          <w:spacing w:val="4"/>
          <w:sz w:val="23"/>
          <w:szCs w:val="23"/>
          <w:highlight w:val="none"/>
          <w:lang w:val="en-US" w:eastAsia="zh-CN"/>
        </w:rPr>
        <w:t>主要</w:t>
      </w:r>
      <w:r>
        <w:rPr>
          <w:rFonts w:hint="eastAsia" w:ascii="Times New Roman" w:hAnsi="Times New Roman" w:eastAsia="宋体" w:cs="Times New Roman"/>
          <w:spacing w:val="4"/>
          <w:sz w:val="23"/>
          <w:szCs w:val="23"/>
          <w:highlight w:val="none"/>
          <w:lang w:val="en-US" w:eastAsia="zh-CN"/>
        </w:rPr>
        <w:t>在厂区东部生产装置区</w:t>
      </w:r>
      <w:r>
        <w:rPr>
          <w:rFonts w:hint="default" w:ascii="Times New Roman" w:hAnsi="Times New Roman" w:eastAsia="宋体" w:cs="Times New Roman"/>
          <w:spacing w:val="4"/>
          <w:sz w:val="23"/>
          <w:szCs w:val="23"/>
          <w:highlight w:val="none"/>
          <w:lang w:val="en-US" w:eastAsia="zh-CN"/>
        </w:rPr>
        <w:t>新增</w:t>
      </w:r>
      <w:r>
        <w:rPr>
          <w:rFonts w:hint="eastAsia" w:ascii="Times New Roman" w:hAnsi="Times New Roman" w:eastAsia="宋体" w:cs="Times New Roman"/>
          <w:spacing w:val="4"/>
          <w:sz w:val="23"/>
          <w:szCs w:val="23"/>
          <w:highlight w:val="none"/>
          <w:lang w:val="en-US" w:eastAsia="zh-CN"/>
        </w:rPr>
        <w:t>1套破碎设备，并配套建设1套除尘设施</w:t>
      </w:r>
      <w:r>
        <w:rPr>
          <w:rFonts w:hint="default" w:ascii="Times New Roman" w:hAnsi="Times New Roman" w:eastAsia="宋体" w:cs="Times New Roman"/>
          <w:spacing w:val="4"/>
          <w:sz w:val="23"/>
          <w:szCs w:val="23"/>
          <w:highlight w:val="none"/>
        </w:rPr>
        <w:t>。</w:t>
      </w:r>
    </w:p>
    <w:p>
      <w:pPr>
        <w:spacing w:before="75" w:line="403" w:lineRule="auto"/>
        <w:ind w:left="21" w:firstLine="481"/>
        <w:jc w:val="both"/>
        <w:rPr>
          <w:rFonts w:hint="default" w:ascii="Times New Roman" w:hAnsi="Times New Roman" w:eastAsia="宋体" w:cs="Times New Roman"/>
          <w:spacing w:val="4"/>
          <w:sz w:val="23"/>
          <w:szCs w:val="23"/>
          <w:highlight w:val="none"/>
        </w:rPr>
      </w:pPr>
      <w:r>
        <w:rPr>
          <w:rFonts w:hint="eastAsia" w:ascii="Times New Roman" w:hAnsi="Times New Roman" w:eastAsia="宋体" w:cs="Times New Roman"/>
          <w:spacing w:val="4"/>
          <w:sz w:val="23"/>
          <w:szCs w:val="23"/>
          <w:highlight w:val="none"/>
        </w:rPr>
        <w:t>（3）项目生产工艺中产生的废气</w:t>
      </w:r>
      <w:r>
        <w:rPr>
          <w:rFonts w:hint="eastAsia" w:ascii="Times New Roman" w:hAnsi="Times New Roman" w:eastAsia="宋体" w:cs="Times New Roman"/>
          <w:spacing w:val="4"/>
          <w:sz w:val="23"/>
          <w:szCs w:val="23"/>
          <w:highlight w:val="none"/>
          <w:lang w:val="en-US" w:eastAsia="zh-CN"/>
        </w:rPr>
        <w:t>主要为含尘废气，无生产废水外排，采用基础减振、厂房隔声等措施控制设备</w:t>
      </w:r>
      <w:r>
        <w:rPr>
          <w:rFonts w:hint="eastAsia" w:ascii="Times New Roman" w:hAnsi="Times New Roman" w:eastAsia="宋体" w:cs="Times New Roman"/>
          <w:spacing w:val="4"/>
          <w:sz w:val="23"/>
          <w:szCs w:val="23"/>
          <w:highlight w:val="none"/>
        </w:rPr>
        <w:t>噪声</w:t>
      </w:r>
      <w:r>
        <w:rPr>
          <w:rFonts w:hint="eastAsia" w:ascii="Times New Roman" w:hAnsi="Times New Roman" w:eastAsia="宋体" w:cs="Times New Roman"/>
          <w:spacing w:val="4"/>
          <w:sz w:val="23"/>
          <w:szCs w:val="23"/>
          <w:highlight w:val="none"/>
          <w:lang w:val="en-US" w:eastAsia="zh-CN"/>
        </w:rPr>
        <w:t>排放</w:t>
      </w:r>
      <w:r>
        <w:rPr>
          <w:rFonts w:hint="eastAsia" w:ascii="Times New Roman" w:hAnsi="Times New Roman" w:eastAsia="宋体" w:cs="Times New Roman"/>
          <w:spacing w:val="4"/>
          <w:sz w:val="23"/>
          <w:szCs w:val="23"/>
          <w:highlight w:val="none"/>
          <w:lang w:eastAsia="zh-CN"/>
        </w:rPr>
        <w:t>，</w:t>
      </w:r>
      <w:r>
        <w:rPr>
          <w:rFonts w:hint="eastAsia" w:ascii="Times New Roman" w:hAnsi="Times New Roman" w:eastAsia="宋体" w:cs="Times New Roman"/>
          <w:spacing w:val="4"/>
          <w:sz w:val="23"/>
          <w:szCs w:val="23"/>
          <w:highlight w:val="none"/>
        </w:rPr>
        <w:t>固体废物</w:t>
      </w:r>
      <w:r>
        <w:rPr>
          <w:rFonts w:hint="eastAsia" w:ascii="Times New Roman" w:hAnsi="Times New Roman" w:eastAsia="宋体" w:cs="Times New Roman"/>
          <w:spacing w:val="4"/>
          <w:sz w:val="23"/>
          <w:szCs w:val="23"/>
          <w:highlight w:val="none"/>
          <w:lang w:val="en-US" w:eastAsia="zh-CN"/>
        </w:rPr>
        <w:t>全部得到妥善处置</w:t>
      </w:r>
      <w:r>
        <w:rPr>
          <w:rFonts w:hint="eastAsia" w:ascii="Times New Roman" w:hAnsi="Times New Roman" w:eastAsia="宋体" w:cs="Times New Roman"/>
          <w:spacing w:val="4"/>
          <w:sz w:val="23"/>
          <w:szCs w:val="23"/>
          <w:highlight w:val="none"/>
        </w:rPr>
        <w:t>，确保实现经济效益、社会效益、环境效益的协调发展。</w:t>
      </w:r>
    </w:p>
    <w:p>
      <w:pPr>
        <w:spacing w:before="69" w:line="221" w:lineRule="auto"/>
        <w:ind w:left="30"/>
        <w:outlineLvl w:val="1"/>
        <w:rPr>
          <w:rFonts w:hint="default" w:ascii="Times New Roman" w:hAnsi="Times New Roman" w:eastAsia="宋体" w:cs="Times New Roman"/>
          <w:sz w:val="28"/>
          <w:szCs w:val="28"/>
          <w:highlight w:val="none"/>
        </w:rPr>
      </w:pPr>
      <w:bookmarkStart w:id="12" w:name="_Toc3891"/>
      <w:bookmarkStart w:id="13" w:name="_Toc3514"/>
      <w:bookmarkStart w:id="14" w:name="_Toc31598"/>
      <w:r>
        <w:rPr>
          <w:rFonts w:hint="default" w:ascii="Times New Roman" w:hAnsi="Times New Roman" w:eastAsia="Times New Roman" w:cs="Times New Roman"/>
          <w:b/>
          <w:bCs/>
          <w:spacing w:val="-1"/>
          <w:sz w:val="28"/>
          <w:szCs w:val="28"/>
          <w:highlight w:val="none"/>
        </w:rPr>
        <w:t>1.</w:t>
      </w:r>
      <w:r>
        <w:rPr>
          <w:rFonts w:hint="eastAsia" w:ascii="Times New Roman" w:hAnsi="Times New Roman" w:eastAsia="宋体" w:cs="Times New Roman"/>
          <w:b/>
          <w:bCs/>
          <w:spacing w:val="-1"/>
          <w:sz w:val="28"/>
          <w:szCs w:val="28"/>
          <w:highlight w:val="none"/>
          <w:lang w:val="en-US" w:eastAsia="zh-CN"/>
        </w:rPr>
        <w:t>3</w:t>
      </w:r>
      <w:r>
        <w:rPr>
          <w:rFonts w:hint="default" w:ascii="Times New Roman" w:hAnsi="Times New Roman" w:eastAsia="Times New Roman" w:cs="Times New Roman"/>
          <w:spacing w:val="-1"/>
          <w:sz w:val="28"/>
          <w:szCs w:val="28"/>
          <w:highlight w:val="none"/>
        </w:rPr>
        <w:t xml:space="preserve">  </w:t>
      </w:r>
      <w:r>
        <w:rPr>
          <w:rFonts w:hint="default" w:ascii="Times New Roman" w:hAnsi="Times New Roman" w:eastAsia="宋体" w:cs="Times New Roman"/>
          <w:spacing w:val="-1"/>
          <w:sz w:val="28"/>
          <w:szCs w:val="28"/>
          <w:highlight w:val="none"/>
          <w14:textOutline w14:w="5103" w14:cap="sq" w14:cmpd="sng">
            <w14:solidFill>
              <w14:srgbClr w14:val="000000"/>
            </w14:solidFill>
            <w14:prstDash w14:val="solid"/>
            <w14:bevel/>
          </w14:textOutline>
        </w:rPr>
        <w:t>环评的工作过</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程</w:t>
      </w:r>
      <w:bookmarkEnd w:id="12"/>
      <w:bookmarkEnd w:id="13"/>
      <w:bookmarkEnd w:id="14"/>
    </w:p>
    <w:p>
      <w:pPr>
        <w:rPr>
          <w:rFonts w:hint="default" w:ascii="Times New Roman" w:hAnsi="Times New Roman" w:cs="Times New Roman"/>
          <w:sz w:val="21"/>
          <w:highlight w:val="none"/>
        </w:rPr>
      </w:pPr>
    </w:p>
    <w:p>
      <w:pPr>
        <w:spacing w:before="75" w:line="403" w:lineRule="auto"/>
        <w:ind w:left="21" w:firstLine="481"/>
        <w:jc w:val="both"/>
        <w:rPr>
          <w:rFonts w:hint="default" w:ascii="Times New Roman" w:hAnsi="Times New Roman" w:eastAsia="宋体" w:cs="Times New Roman"/>
          <w:spacing w:val="4"/>
          <w:sz w:val="23"/>
          <w:szCs w:val="23"/>
          <w:highlight w:val="none"/>
        </w:rPr>
      </w:pPr>
      <w:r>
        <w:rPr>
          <w:rFonts w:hint="default" w:ascii="Times New Roman" w:hAnsi="Times New Roman" w:eastAsia="宋体" w:cs="Times New Roman"/>
          <w:spacing w:val="4"/>
          <w:sz w:val="23"/>
          <w:szCs w:val="23"/>
          <w:highlight w:val="none"/>
        </w:rPr>
        <w:t>依据《中华人民共和环境影响评价法》及国务院令第 682 号《建设项目环境 保护管理条例》、《建设项目环境影响评价分类管理名录》</w:t>
      </w:r>
      <w:r>
        <w:rPr>
          <w:rFonts w:hint="eastAsia" w:ascii="Times New Roman" w:hAnsi="Times New Roman" w:eastAsia="宋体" w:cs="Times New Roman"/>
          <w:spacing w:val="4"/>
          <w:sz w:val="23"/>
          <w:szCs w:val="23"/>
          <w:highlight w:val="none"/>
          <w:lang w:val="en-US" w:eastAsia="zh-CN"/>
        </w:rPr>
        <w:t>（2021年本）</w:t>
      </w:r>
      <w:r>
        <w:rPr>
          <w:rFonts w:hint="default" w:ascii="Times New Roman" w:hAnsi="Times New Roman" w:eastAsia="宋体" w:cs="Times New Roman"/>
          <w:spacing w:val="4"/>
          <w:sz w:val="23"/>
          <w:szCs w:val="23"/>
          <w:highlight w:val="none"/>
        </w:rPr>
        <w:t>等有关环保法律、法规，该项目需进行环境影响评价，编制《遵化市势竹矿业有 限公司</w:t>
      </w:r>
      <w:r>
        <w:rPr>
          <w:rFonts w:hint="default" w:ascii="Times New Roman" w:hAnsi="Times New Roman" w:eastAsia="宋体" w:cs="Times New Roman"/>
          <w:spacing w:val="4"/>
          <w:sz w:val="23"/>
          <w:szCs w:val="23"/>
          <w:highlight w:val="none"/>
          <w:lang w:eastAsia="zh-CN"/>
        </w:rPr>
        <w:t>年处理110万吨铁矿石破碎改扩建项目</w:t>
      </w:r>
      <w:r>
        <w:rPr>
          <w:rFonts w:hint="default" w:ascii="Times New Roman" w:hAnsi="Times New Roman" w:eastAsia="宋体" w:cs="Times New Roman"/>
          <w:spacing w:val="4"/>
          <w:sz w:val="23"/>
          <w:szCs w:val="23"/>
          <w:highlight w:val="none"/>
        </w:rPr>
        <w:t>环境影响报告书》。为此，遵化市势竹矿业有限公司于20</w:t>
      </w:r>
      <w:r>
        <w:rPr>
          <w:rFonts w:hint="eastAsia" w:ascii="Times New Roman" w:hAnsi="Times New Roman" w:eastAsia="宋体" w:cs="Times New Roman"/>
          <w:spacing w:val="4"/>
          <w:sz w:val="23"/>
          <w:szCs w:val="23"/>
          <w:highlight w:val="none"/>
          <w:lang w:val="en-US" w:eastAsia="zh-CN"/>
        </w:rPr>
        <w:t>23</w:t>
      </w:r>
      <w:r>
        <w:rPr>
          <w:rFonts w:hint="default" w:ascii="Times New Roman" w:hAnsi="Times New Roman" w:eastAsia="宋体" w:cs="Times New Roman"/>
          <w:spacing w:val="4"/>
          <w:sz w:val="23"/>
          <w:szCs w:val="23"/>
          <w:highlight w:val="none"/>
        </w:rPr>
        <w:t>年</w:t>
      </w:r>
      <w:r>
        <w:rPr>
          <w:rFonts w:hint="eastAsia" w:ascii="Times New Roman" w:hAnsi="Times New Roman" w:eastAsia="宋体" w:cs="Times New Roman"/>
          <w:spacing w:val="4"/>
          <w:sz w:val="23"/>
          <w:szCs w:val="23"/>
          <w:highlight w:val="none"/>
          <w:lang w:val="en-US" w:eastAsia="zh-CN"/>
        </w:rPr>
        <w:t>3</w:t>
      </w:r>
      <w:r>
        <w:rPr>
          <w:rFonts w:hint="default" w:ascii="Times New Roman" w:hAnsi="Times New Roman" w:eastAsia="宋体" w:cs="Times New Roman"/>
          <w:spacing w:val="4"/>
          <w:sz w:val="23"/>
          <w:szCs w:val="23"/>
          <w:highlight w:val="none"/>
        </w:rPr>
        <w:t>月委托</w:t>
      </w:r>
      <w:r>
        <w:rPr>
          <w:rFonts w:hint="eastAsia" w:ascii="Times New Roman" w:hAnsi="Times New Roman" w:eastAsia="宋体" w:cs="Times New Roman"/>
          <w:spacing w:val="4"/>
          <w:sz w:val="23"/>
          <w:szCs w:val="23"/>
          <w:highlight w:val="none"/>
          <w:lang w:val="en-US" w:eastAsia="zh-CN"/>
        </w:rPr>
        <w:t>本</w:t>
      </w:r>
      <w:r>
        <w:rPr>
          <w:rFonts w:hint="default" w:ascii="Times New Roman" w:hAnsi="Times New Roman" w:eastAsia="宋体" w:cs="Times New Roman"/>
          <w:spacing w:val="4"/>
          <w:sz w:val="23"/>
          <w:szCs w:val="23"/>
          <w:highlight w:val="none"/>
        </w:rPr>
        <w:t>公司承担该项目的环境影响评价工作。接受委托后，我单位组织人员对建设工程厂址进行了现场踏勘 和资料收集，并委托</w:t>
      </w:r>
      <w:r>
        <w:rPr>
          <w:rFonts w:hint="eastAsia" w:ascii="Times New Roman" w:hAnsi="Times New Roman" w:eastAsia="宋体" w:cs="Times New Roman"/>
          <w:spacing w:val="4"/>
          <w:sz w:val="23"/>
          <w:szCs w:val="23"/>
          <w:highlight w:val="none"/>
          <w:lang w:val="en-US" w:eastAsia="zh-CN"/>
        </w:rPr>
        <w:t>检测单位</w:t>
      </w:r>
      <w:r>
        <w:rPr>
          <w:rFonts w:hint="default" w:ascii="Times New Roman" w:hAnsi="Times New Roman" w:eastAsia="宋体" w:cs="Times New Roman"/>
          <w:spacing w:val="4"/>
          <w:sz w:val="23"/>
          <w:szCs w:val="23"/>
          <w:highlight w:val="none"/>
        </w:rPr>
        <w:t>开展现状监测</w:t>
      </w:r>
      <w:r>
        <w:rPr>
          <w:rFonts w:hint="eastAsia" w:ascii="Times New Roman" w:hAnsi="Times New Roman" w:eastAsia="宋体" w:cs="Times New Roman"/>
          <w:spacing w:val="4"/>
          <w:sz w:val="23"/>
          <w:szCs w:val="23"/>
          <w:highlight w:val="none"/>
          <w:lang w:eastAsia="zh-CN"/>
        </w:rPr>
        <w:t>。</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4"/>
          <w:sz w:val="23"/>
          <w:szCs w:val="23"/>
          <w:highlight w:val="none"/>
        </w:rPr>
        <w:t>于20</w:t>
      </w:r>
      <w:r>
        <w:rPr>
          <w:rFonts w:hint="eastAsia" w:ascii="Times New Roman" w:hAnsi="Times New Roman" w:eastAsia="宋体" w:cs="Times New Roman"/>
          <w:spacing w:val="4"/>
          <w:sz w:val="23"/>
          <w:szCs w:val="23"/>
          <w:highlight w:val="none"/>
          <w:lang w:val="en-US" w:eastAsia="zh-CN"/>
        </w:rPr>
        <w:t>23</w:t>
      </w:r>
      <w:r>
        <w:rPr>
          <w:rFonts w:hint="eastAsia" w:ascii="Times New Roman" w:hAnsi="Times New Roman" w:eastAsia="宋体" w:cs="Times New Roman"/>
          <w:spacing w:val="4"/>
          <w:sz w:val="23"/>
          <w:szCs w:val="23"/>
          <w:highlight w:val="none"/>
        </w:rPr>
        <w:t>年</w:t>
      </w:r>
      <w:r>
        <w:rPr>
          <w:rFonts w:hint="eastAsia" w:ascii="Times New Roman" w:hAnsi="Times New Roman" w:eastAsia="宋体" w:cs="Times New Roman"/>
          <w:spacing w:val="4"/>
          <w:sz w:val="23"/>
          <w:szCs w:val="23"/>
          <w:highlight w:val="none"/>
          <w:lang w:val="en-US" w:eastAsia="zh-CN"/>
        </w:rPr>
        <w:t>4</w:t>
      </w:r>
      <w:r>
        <w:rPr>
          <w:rFonts w:hint="eastAsia" w:ascii="Times New Roman" w:hAnsi="Times New Roman" w:eastAsia="宋体" w:cs="Times New Roman"/>
          <w:spacing w:val="4"/>
          <w:sz w:val="23"/>
          <w:szCs w:val="23"/>
          <w:highlight w:val="none"/>
        </w:rPr>
        <w:t>月</w:t>
      </w:r>
      <w:r>
        <w:rPr>
          <w:rFonts w:hint="eastAsia" w:ascii="Times New Roman" w:hAnsi="Times New Roman" w:eastAsia="宋体" w:cs="Times New Roman"/>
          <w:spacing w:val="4"/>
          <w:sz w:val="23"/>
          <w:szCs w:val="23"/>
          <w:highlight w:val="none"/>
          <w:lang w:val="en-US" w:eastAsia="zh-CN"/>
        </w:rPr>
        <w:t>3</w:t>
      </w:r>
      <w:r>
        <w:rPr>
          <w:rFonts w:hint="eastAsia" w:ascii="Times New Roman" w:hAnsi="Times New Roman" w:eastAsia="宋体" w:cs="Times New Roman"/>
          <w:spacing w:val="4"/>
          <w:sz w:val="23"/>
          <w:szCs w:val="23"/>
          <w:highlight w:val="none"/>
        </w:rPr>
        <w:t>日～20</w:t>
      </w:r>
      <w:r>
        <w:rPr>
          <w:rFonts w:hint="eastAsia" w:ascii="Times New Roman" w:hAnsi="Times New Roman" w:eastAsia="宋体" w:cs="Times New Roman"/>
          <w:spacing w:val="4"/>
          <w:sz w:val="23"/>
          <w:szCs w:val="23"/>
          <w:highlight w:val="none"/>
          <w:lang w:val="en-US" w:eastAsia="zh-CN"/>
        </w:rPr>
        <w:t>23</w:t>
      </w:r>
      <w:r>
        <w:rPr>
          <w:rFonts w:hint="eastAsia" w:ascii="Times New Roman" w:hAnsi="Times New Roman" w:eastAsia="宋体" w:cs="Times New Roman"/>
          <w:spacing w:val="4"/>
          <w:sz w:val="23"/>
          <w:szCs w:val="23"/>
          <w:highlight w:val="none"/>
        </w:rPr>
        <w:t>年</w:t>
      </w:r>
      <w:r>
        <w:rPr>
          <w:rFonts w:hint="eastAsia" w:ascii="Times New Roman" w:hAnsi="Times New Roman" w:eastAsia="宋体" w:cs="Times New Roman"/>
          <w:spacing w:val="4"/>
          <w:sz w:val="23"/>
          <w:szCs w:val="23"/>
          <w:highlight w:val="none"/>
          <w:lang w:val="en-US" w:eastAsia="zh-CN"/>
        </w:rPr>
        <w:t>4</w:t>
      </w:r>
      <w:r>
        <w:rPr>
          <w:rFonts w:hint="eastAsia" w:ascii="Times New Roman" w:hAnsi="Times New Roman" w:eastAsia="宋体" w:cs="Times New Roman"/>
          <w:spacing w:val="4"/>
          <w:sz w:val="23"/>
          <w:szCs w:val="23"/>
          <w:highlight w:val="none"/>
        </w:rPr>
        <w:t>月</w:t>
      </w:r>
      <w:r>
        <w:rPr>
          <w:rFonts w:hint="eastAsia" w:ascii="Times New Roman" w:hAnsi="Times New Roman" w:eastAsia="宋体" w:cs="Times New Roman"/>
          <w:spacing w:val="4"/>
          <w:sz w:val="23"/>
          <w:szCs w:val="23"/>
          <w:highlight w:val="none"/>
          <w:lang w:val="en-US" w:eastAsia="zh-CN"/>
        </w:rPr>
        <w:t>17</w:t>
      </w:r>
      <w:r>
        <w:rPr>
          <w:rFonts w:hint="eastAsia" w:ascii="Times New Roman" w:hAnsi="Times New Roman" w:eastAsia="宋体" w:cs="Times New Roman"/>
          <w:spacing w:val="4"/>
          <w:sz w:val="23"/>
          <w:szCs w:val="23"/>
          <w:highlight w:val="none"/>
        </w:rPr>
        <w:t>日第一次向公众进行信息公开，共10个工作日；环评报告基本完成后于20</w:t>
      </w:r>
      <w:r>
        <w:rPr>
          <w:rFonts w:hint="eastAsia" w:ascii="Times New Roman" w:hAnsi="Times New Roman" w:eastAsia="宋体" w:cs="Times New Roman"/>
          <w:spacing w:val="4"/>
          <w:sz w:val="23"/>
          <w:szCs w:val="23"/>
          <w:highlight w:val="none"/>
          <w:lang w:val="en-US" w:eastAsia="zh-CN"/>
        </w:rPr>
        <w:t>23</w:t>
      </w:r>
      <w:r>
        <w:rPr>
          <w:rFonts w:hint="eastAsia" w:ascii="Times New Roman" w:hAnsi="Times New Roman" w:eastAsia="宋体" w:cs="Times New Roman"/>
          <w:spacing w:val="4"/>
          <w:sz w:val="23"/>
          <w:szCs w:val="23"/>
          <w:highlight w:val="none"/>
        </w:rPr>
        <w:t>年</w:t>
      </w:r>
      <w:r>
        <w:rPr>
          <w:rFonts w:hint="eastAsia" w:ascii="Times New Roman" w:hAnsi="Times New Roman" w:eastAsia="宋体" w:cs="Times New Roman"/>
          <w:spacing w:val="4"/>
          <w:sz w:val="23"/>
          <w:szCs w:val="23"/>
          <w:highlight w:val="none"/>
          <w:lang w:val="en-US" w:eastAsia="zh-CN"/>
        </w:rPr>
        <w:t>5</w:t>
      </w:r>
      <w:r>
        <w:rPr>
          <w:rFonts w:hint="eastAsia" w:ascii="Times New Roman" w:hAnsi="Times New Roman" w:eastAsia="宋体" w:cs="Times New Roman"/>
          <w:spacing w:val="4"/>
          <w:sz w:val="23"/>
          <w:szCs w:val="23"/>
          <w:highlight w:val="none"/>
        </w:rPr>
        <w:t>月</w:t>
      </w:r>
      <w:r>
        <w:rPr>
          <w:rFonts w:hint="eastAsia" w:ascii="Times New Roman" w:hAnsi="Times New Roman" w:eastAsia="宋体" w:cs="Times New Roman"/>
          <w:spacing w:val="4"/>
          <w:sz w:val="23"/>
          <w:szCs w:val="23"/>
          <w:highlight w:val="none"/>
          <w:lang w:val="en-US" w:eastAsia="zh-CN"/>
        </w:rPr>
        <w:t>26</w:t>
      </w:r>
      <w:r>
        <w:rPr>
          <w:rFonts w:hint="eastAsia" w:ascii="Times New Roman" w:hAnsi="Times New Roman" w:eastAsia="宋体" w:cs="Times New Roman"/>
          <w:spacing w:val="4"/>
          <w:sz w:val="23"/>
          <w:szCs w:val="23"/>
          <w:highlight w:val="none"/>
        </w:rPr>
        <w:t>日至</w:t>
      </w:r>
      <w:r>
        <w:rPr>
          <w:rFonts w:hint="eastAsia" w:ascii="Times New Roman" w:hAnsi="Times New Roman" w:eastAsia="宋体" w:cs="Times New Roman"/>
          <w:spacing w:val="4"/>
          <w:sz w:val="23"/>
          <w:szCs w:val="23"/>
          <w:highlight w:val="none"/>
          <w:lang w:val="en-US" w:eastAsia="zh-CN"/>
        </w:rPr>
        <w:t>6</w:t>
      </w:r>
      <w:r>
        <w:rPr>
          <w:rFonts w:hint="eastAsia" w:ascii="Times New Roman" w:hAnsi="Times New Roman" w:eastAsia="宋体" w:cs="Times New Roman"/>
          <w:spacing w:val="4"/>
          <w:sz w:val="23"/>
          <w:szCs w:val="23"/>
          <w:highlight w:val="none"/>
        </w:rPr>
        <w:t>月</w:t>
      </w:r>
      <w:r>
        <w:rPr>
          <w:rFonts w:hint="eastAsia" w:ascii="Times New Roman" w:hAnsi="Times New Roman" w:eastAsia="宋体" w:cs="Times New Roman"/>
          <w:spacing w:val="4"/>
          <w:sz w:val="23"/>
          <w:szCs w:val="23"/>
          <w:highlight w:val="none"/>
          <w:lang w:val="en-US" w:eastAsia="zh-CN"/>
        </w:rPr>
        <w:t>9</w:t>
      </w:r>
      <w:r>
        <w:rPr>
          <w:rFonts w:hint="eastAsia" w:ascii="Times New Roman" w:hAnsi="Times New Roman" w:eastAsia="宋体" w:cs="Times New Roman"/>
          <w:spacing w:val="4"/>
          <w:sz w:val="23"/>
          <w:szCs w:val="23"/>
          <w:highlight w:val="none"/>
        </w:rPr>
        <w:t>日，共10个工作日，</w:t>
      </w:r>
      <w:r>
        <w:rPr>
          <w:rFonts w:hint="eastAsia" w:ascii="Times New Roman" w:hAnsi="Times New Roman" w:eastAsia="宋体" w:cs="Times New Roman"/>
          <w:spacing w:val="4"/>
          <w:sz w:val="23"/>
          <w:szCs w:val="23"/>
          <w:highlight w:val="none"/>
          <w:lang w:val="en-US" w:eastAsia="zh-CN"/>
        </w:rPr>
        <w:t>通过网络、报纸、现场三种方式</w:t>
      </w:r>
      <w:r>
        <w:rPr>
          <w:rFonts w:hint="eastAsia" w:ascii="Times New Roman" w:hAnsi="Times New Roman" w:eastAsia="宋体" w:cs="Times New Roman"/>
          <w:spacing w:val="4"/>
          <w:sz w:val="23"/>
          <w:szCs w:val="23"/>
          <w:highlight w:val="none"/>
        </w:rPr>
        <w:t>第二次向公众进行信息公开，</w:t>
      </w:r>
      <w:r>
        <w:rPr>
          <w:rFonts w:hint="eastAsia" w:ascii="Times New Roman" w:hAnsi="Times New Roman" w:eastAsia="宋体" w:cs="Times New Roman"/>
          <w:spacing w:val="4"/>
          <w:sz w:val="23"/>
          <w:szCs w:val="23"/>
          <w:highlight w:val="none"/>
          <w:lang w:val="en-US" w:eastAsia="zh-CN"/>
        </w:rPr>
        <w:t>公示期间未收到</w:t>
      </w:r>
      <w:r>
        <w:rPr>
          <w:rFonts w:hint="eastAsia" w:ascii="Times New Roman" w:hAnsi="Times New Roman" w:eastAsia="宋体" w:cs="Times New Roman"/>
          <w:spacing w:val="4"/>
          <w:sz w:val="23"/>
          <w:szCs w:val="23"/>
          <w:highlight w:val="none"/>
        </w:rPr>
        <w:t>被调查公众</w:t>
      </w:r>
      <w:r>
        <w:rPr>
          <w:rFonts w:hint="eastAsia" w:ascii="Times New Roman" w:hAnsi="Times New Roman" w:eastAsia="宋体" w:cs="Times New Roman"/>
          <w:spacing w:val="4"/>
          <w:sz w:val="23"/>
          <w:szCs w:val="23"/>
          <w:highlight w:val="none"/>
          <w:lang w:val="en-US" w:eastAsia="zh-CN"/>
        </w:rPr>
        <w:t>反馈的意见</w:t>
      </w:r>
      <w:r>
        <w:rPr>
          <w:rFonts w:hint="eastAsia" w:ascii="Times New Roman" w:hAnsi="Times New Roman" w:eastAsia="宋体" w:cs="Times New Roman"/>
          <w:spacing w:val="4"/>
          <w:sz w:val="23"/>
          <w:szCs w:val="23"/>
          <w:highlight w:val="none"/>
        </w:rPr>
        <w:t>。</w:t>
      </w:r>
      <w:r>
        <w:rPr>
          <w:rFonts w:hint="default" w:ascii="Times New Roman" w:hAnsi="Times New Roman" w:eastAsia="宋体" w:cs="Times New Roman"/>
          <w:spacing w:val="4"/>
          <w:sz w:val="23"/>
          <w:szCs w:val="23"/>
          <w:highlight w:val="none"/>
        </w:rPr>
        <w:t>在此基础上， 我公司按照《环境影响评价技术导则》的有关规定</w:t>
      </w:r>
      <w:r>
        <w:rPr>
          <w:rFonts w:hint="eastAsia" w:ascii="Times New Roman" w:hAnsi="Times New Roman" w:eastAsia="宋体" w:cs="Times New Roman"/>
          <w:spacing w:val="4"/>
          <w:sz w:val="23"/>
          <w:szCs w:val="23"/>
          <w:highlight w:val="none"/>
          <w:lang w:eastAsia="zh-CN"/>
        </w:rPr>
        <w:t>，</w:t>
      </w:r>
      <w:r>
        <w:rPr>
          <w:rFonts w:hint="default" w:ascii="Times New Roman" w:hAnsi="Times New Roman" w:eastAsia="宋体" w:cs="Times New Roman"/>
          <w:spacing w:val="4"/>
          <w:sz w:val="23"/>
          <w:szCs w:val="23"/>
          <w:highlight w:val="none"/>
        </w:rPr>
        <w:t>于20</w:t>
      </w:r>
      <w:r>
        <w:rPr>
          <w:rFonts w:hint="eastAsia" w:ascii="Times New Roman" w:hAnsi="Times New Roman" w:eastAsia="宋体" w:cs="Times New Roman"/>
          <w:spacing w:val="4"/>
          <w:sz w:val="23"/>
          <w:szCs w:val="23"/>
          <w:highlight w:val="none"/>
          <w:lang w:val="en-US" w:eastAsia="zh-CN"/>
        </w:rPr>
        <w:t>23</w:t>
      </w:r>
      <w:r>
        <w:rPr>
          <w:rFonts w:hint="default" w:ascii="Times New Roman" w:hAnsi="Times New Roman" w:eastAsia="宋体" w:cs="Times New Roman"/>
          <w:spacing w:val="4"/>
          <w:sz w:val="23"/>
          <w:szCs w:val="23"/>
          <w:highlight w:val="none"/>
        </w:rPr>
        <w:t>年</w:t>
      </w:r>
      <w:r>
        <w:rPr>
          <w:rFonts w:hint="eastAsia" w:ascii="Times New Roman" w:hAnsi="Times New Roman" w:eastAsia="宋体" w:cs="Times New Roman"/>
          <w:spacing w:val="4"/>
          <w:sz w:val="23"/>
          <w:szCs w:val="23"/>
          <w:highlight w:val="none"/>
          <w:lang w:val="en-US" w:eastAsia="zh-CN"/>
        </w:rPr>
        <w:t>6</w:t>
      </w:r>
      <w:r>
        <w:rPr>
          <w:rFonts w:hint="default" w:ascii="Times New Roman" w:hAnsi="Times New Roman" w:eastAsia="宋体" w:cs="Times New Roman"/>
          <w:spacing w:val="4"/>
          <w:sz w:val="23"/>
          <w:szCs w:val="23"/>
          <w:highlight w:val="none"/>
        </w:rPr>
        <w:t>月完成本项目的环境影响报告书 的编制，呈报</w:t>
      </w:r>
      <w:r>
        <w:rPr>
          <w:rFonts w:hint="eastAsia" w:ascii="Times New Roman" w:hAnsi="Times New Roman" w:eastAsia="宋体" w:cs="Times New Roman"/>
          <w:spacing w:val="4"/>
          <w:sz w:val="23"/>
          <w:szCs w:val="23"/>
          <w:highlight w:val="none"/>
          <w:lang w:val="en-US" w:eastAsia="zh-CN"/>
        </w:rPr>
        <w:t>遵化</w:t>
      </w:r>
      <w:r>
        <w:rPr>
          <w:rFonts w:hint="default" w:ascii="Times New Roman" w:hAnsi="Times New Roman" w:eastAsia="宋体" w:cs="Times New Roman"/>
          <w:spacing w:val="4"/>
          <w:sz w:val="23"/>
          <w:szCs w:val="23"/>
          <w:highlight w:val="none"/>
        </w:rPr>
        <w:t>市行政审批局审批。在报告书编制过程中，得到了</w:t>
      </w:r>
      <w:r>
        <w:rPr>
          <w:rFonts w:hint="eastAsia" w:ascii="Times New Roman" w:hAnsi="Times New Roman" w:eastAsia="宋体" w:cs="Times New Roman"/>
          <w:spacing w:val="4"/>
          <w:sz w:val="23"/>
          <w:szCs w:val="23"/>
          <w:highlight w:val="none"/>
          <w:lang w:val="en-US" w:eastAsia="zh-CN"/>
        </w:rPr>
        <w:t>遵化</w:t>
      </w:r>
      <w:r>
        <w:rPr>
          <w:rFonts w:hint="default" w:ascii="Times New Roman" w:hAnsi="Times New Roman" w:eastAsia="宋体" w:cs="Times New Roman"/>
          <w:spacing w:val="4"/>
          <w:sz w:val="23"/>
          <w:szCs w:val="23"/>
          <w:highlight w:val="none"/>
        </w:rPr>
        <w:t>市行政审批局、唐山市环境保护局遵化市分局、遵化市势竹矿业有限公司等诸多单位的大力支持和帮助，在此一并致谢！</w:t>
      </w:r>
    </w:p>
    <w:p>
      <w:pPr>
        <w:spacing w:before="69" w:line="221" w:lineRule="auto"/>
        <w:ind w:left="30"/>
        <w:outlineLvl w:val="1"/>
        <w:rPr>
          <w:rFonts w:hint="default" w:ascii="Times New Roman" w:hAnsi="Times New Roman" w:eastAsia="宋体" w:cs="Times New Roman"/>
          <w:sz w:val="28"/>
          <w:szCs w:val="28"/>
          <w:highlight w:val="none"/>
        </w:rPr>
      </w:pPr>
      <w:bookmarkStart w:id="15" w:name="_Toc12991"/>
      <w:bookmarkStart w:id="16" w:name="_Toc20016"/>
      <w:bookmarkStart w:id="17" w:name="_Toc21203"/>
      <w:r>
        <w:rPr>
          <w:rFonts w:hint="default" w:ascii="Times New Roman" w:hAnsi="Times New Roman" w:eastAsia="Times New Roman" w:cs="Times New Roman"/>
          <w:b/>
          <w:bCs/>
          <w:spacing w:val="-2"/>
          <w:sz w:val="28"/>
          <w:szCs w:val="28"/>
          <w:highlight w:val="none"/>
        </w:rPr>
        <w:t>1.</w:t>
      </w:r>
      <w:r>
        <w:rPr>
          <w:rFonts w:hint="eastAsia" w:ascii="Times New Roman" w:hAnsi="Times New Roman" w:eastAsia="宋体" w:cs="Times New Roman"/>
          <w:b/>
          <w:bCs/>
          <w:spacing w:val="-2"/>
          <w:sz w:val="28"/>
          <w:szCs w:val="28"/>
          <w:highlight w:val="none"/>
          <w:lang w:val="en-US" w:eastAsia="zh-CN"/>
        </w:rPr>
        <w:t>4</w:t>
      </w:r>
      <w:r>
        <w:rPr>
          <w:rFonts w:hint="default" w:ascii="Times New Roman" w:hAnsi="Times New Roman" w:eastAsia="Times New Roman" w:cs="Times New Roman"/>
          <w:spacing w:val="-2"/>
          <w:sz w:val="28"/>
          <w:szCs w:val="28"/>
          <w:highlight w:val="none"/>
        </w:rPr>
        <w:t xml:space="preserve">  </w:t>
      </w:r>
      <w:r>
        <w:rPr>
          <w:rFonts w:hint="default" w:ascii="Times New Roman" w:hAnsi="Times New Roman" w:eastAsia="宋体" w:cs="Times New Roman"/>
          <w:spacing w:val="-2"/>
          <w:sz w:val="28"/>
          <w:szCs w:val="28"/>
          <w:highlight w:val="none"/>
          <w14:textOutline w14:w="5103" w14:cap="sq" w14:cmpd="sng">
            <w14:solidFill>
              <w14:srgbClr w14:val="000000"/>
            </w14:solidFill>
            <w14:prstDash w14:val="solid"/>
            <w14:bevel/>
          </w14:textOutline>
        </w:rPr>
        <w:t>相关</w:t>
      </w:r>
      <w:r>
        <w:rPr>
          <w:rFonts w:hint="default" w:ascii="Times New Roman" w:hAnsi="Times New Roman" w:eastAsia="宋体" w:cs="Times New Roman"/>
          <w:spacing w:val="-1"/>
          <w:sz w:val="28"/>
          <w:szCs w:val="28"/>
          <w:highlight w:val="none"/>
          <w14:textOutline w14:w="5103" w14:cap="sq" w14:cmpd="sng">
            <w14:solidFill>
              <w14:srgbClr w14:val="000000"/>
            </w14:solidFill>
            <w14:prstDash w14:val="solid"/>
            <w14:bevel/>
          </w14:textOutline>
        </w:rPr>
        <w:t>情况</w:t>
      </w:r>
      <w:bookmarkEnd w:id="15"/>
      <w:bookmarkEnd w:id="16"/>
      <w:bookmarkEnd w:id="17"/>
    </w:p>
    <w:p>
      <w:pPr>
        <w:spacing w:line="242" w:lineRule="auto"/>
        <w:rPr>
          <w:rFonts w:hint="default" w:ascii="Times New Roman" w:hAnsi="Times New Roman" w:cs="Times New Roman"/>
          <w:sz w:val="21"/>
          <w:highlight w:val="none"/>
        </w:rPr>
      </w:pPr>
    </w:p>
    <w:p>
      <w:pPr>
        <w:spacing w:before="74" w:line="229" w:lineRule="auto"/>
        <w:ind w:left="27"/>
        <w:outlineLvl w:val="2"/>
        <w:rPr>
          <w:rFonts w:hint="default" w:ascii="Times New Roman" w:hAnsi="Times New Roman" w:eastAsia="宋体" w:cs="Times New Roman"/>
          <w:sz w:val="23"/>
          <w:szCs w:val="23"/>
          <w:highlight w:val="none"/>
        </w:rPr>
      </w:pPr>
      <w:bookmarkStart w:id="18" w:name="_Toc31925"/>
      <w:bookmarkStart w:id="19" w:name="_Toc19710"/>
      <w:bookmarkStart w:id="20" w:name="_Toc18943"/>
      <w:r>
        <w:rPr>
          <w:rFonts w:hint="default" w:ascii="Times New Roman" w:hAnsi="Times New Roman" w:eastAsia="Times New Roman" w:cs="Times New Roman"/>
          <w:b/>
          <w:bCs/>
          <w:spacing w:val="12"/>
          <w:sz w:val="23"/>
          <w:szCs w:val="23"/>
          <w:highlight w:val="none"/>
        </w:rPr>
        <w:t>1</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6"/>
          <w:sz w:val="23"/>
          <w:szCs w:val="23"/>
          <w:highlight w:val="none"/>
          <w:lang w:val="en-US" w:eastAsia="zh-CN"/>
        </w:rPr>
        <w:t>4</w:t>
      </w:r>
      <w:r>
        <w:rPr>
          <w:rFonts w:hint="default" w:ascii="Times New Roman" w:hAnsi="Times New Roman" w:eastAsia="Times New Roman" w:cs="Times New Roman"/>
          <w:b/>
          <w:bCs/>
          <w:spacing w:val="6"/>
          <w:sz w:val="23"/>
          <w:szCs w:val="23"/>
          <w:highlight w:val="none"/>
        </w:rPr>
        <w:t>.1</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厂址选择可行性分析</w:t>
      </w:r>
      <w:bookmarkEnd w:id="18"/>
      <w:bookmarkEnd w:id="19"/>
      <w:bookmarkEnd w:id="20"/>
    </w:p>
    <w:p>
      <w:pPr>
        <w:spacing w:line="256" w:lineRule="auto"/>
        <w:rPr>
          <w:rFonts w:hint="default" w:ascii="Times New Roman" w:hAnsi="Times New Roman" w:cs="Times New Roman"/>
          <w:sz w:val="21"/>
          <w:highlight w:val="none"/>
        </w:rPr>
      </w:pPr>
    </w:p>
    <w:p>
      <w:pPr>
        <w:spacing w:before="74" w:line="402" w:lineRule="auto"/>
        <w:ind w:left="22" w:right="30"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遵化市势竹矿业有限公司</w:t>
      </w:r>
      <w:r>
        <w:rPr>
          <w:rFonts w:hint="default" w:ascii="Times New Roman" w:hAnsi="Times New Roman" w:eastAsia="宋体" w:cs="Times New Roman"/>
          <w:spacing w:val="16"/>
          <w:sz w:val="23"/>
          <w:szCs w:val="23"/>
          <w:highlight w:val="none"/>
        </w:rPr>
        <w:t>位于遵化市苏家洼镇张家坟村南，</w:t>
      </w:r>
      <w:r>
        <w:rPr>
          <w:rFonts w:hint="default" w:ascii="Times New Roman" w:hAnsi="Times New Roman" w:eastAsia="宋体" w:cs="Times New Roman"/>
          <w:spacing w:val="9"/>
          <w:sz w:val="23"/>
          <w:szCs w:val="23"/>
          <w:highlight w:val="none"/>
        </w:rPr>
        <w:t xml:space="preserve">占地 </w:t>
      </w:r>
      <w:r>
        <w:rPr>
          <w:rFonts w:hint="default" w:ascii="Times New Roman" w:hAnsi="Times New Roman" w:eastAsia="Times New Roman" w:cs="Times New Roman"/>
          <w:spacing w:val="9"/>
          <w:sz w:val="23"/>
          <w:szCs w:val="23"/>
          <w:highlight w:val="none"/>
        </w:rPr>
        <w:t xml:space="preserve">4.7108 </w:t>
      </w:r>
      <w:r>
        <w:rPr>
          <w:rFonts w:hint="default" w:ascii="Times New Roman" w:hAnsi="Times New Roman" w:eastAsia="宋体" w:cs="Times New Roman"/>
          <w:spacing w:val="9"/>
          <w:sz w:val="23"/>
          <w:szCs w:val="23"/>
          <w:highlight w:val="none"/>
        </w:rPr>
        <w:t>公顷，全部为建设用地，</w:t>
      </w:r>
      <w:r>
        <w:rPr>
          <w:rFonts w:hint="eastAsia" w:ascii="Times New Roman" w:hAnsi="Times New Roman" w:eastAsia="宋体" w:cs="Times New Roman"/>
          <w:spacing w:val="23"/>
          <w:sz w:val="23"/>
          <w:szCs w:val="23"/>
          <w:highlight w:val="none"/>
          <w:lang w:val="en-US" w:eastAsia="zh-CN"/>
        </w:rPr>
        <w:t>本</w:t>
      </w:r>
      <w:r>
        <w:rPr>
          <w:rFonts w:hint="default" w:ascii="Times New Roman" w:hAnsi="Times New Roman" w:eastAsia="宋体" w:cs="Times New Roman"/>
          <w:spacing w:val="16"/>
          <w:sz w:val="23"/>
          <w:szCs w:val="23"/>
          <w:highlight w:val="none"/>
        </w:rPr>
        <w:t>项目位于</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9"/>
          <w:sz w:val="23"/>
          <w:szCs w:val="23"/>
          <w:highlight w:val="none"/>
          <w:lang w:val="en-US" w:eastAsia="zh-CN"/>
        </w:rPr>
        <w:t>现有厂区内</w:t>
      </w:r>
      <w:r>
        <w:rPr>
          <w:rFonts w:hint="default" w:ascii="Times New Roman" w:hAnsi="Times New Roman" w:eastAsia="宋体" w:cs="Times New Roman"/>
          <w:spacing w:val="7"/>
          <w:sz w:val="23"/>
          <w:szCs w:val="23"/>
          <w:highlight w:val="none"/>
        </w:rPr>
        <w:t>，不新增占地。</w:t>
      </w:r>
      <w:r>
        <w:rPr>
          <w:rFonts w:hint="eastAsia" w:ascii="Times New Roman" w:hAnsi="Times New Roman" w:eastAsia="宋体" w:cs="Times New Roman"/>
          <w:spacing w:val="8"/>
          <w:sz w:val="23"/>
          <w:szCs w:val="23"/>
          <w:highlight w:val="none"/>
          <w:lang w:val="en-US" w:eastAsia="zh-CN"/>
        </w:rPr>
        <w:t>本</w:t>
      </w:r>
      <w:r>
        <w:rPr>
          <w:rFonts w:hint="default" w:ascii="Times New Roman" w:hAnsi="Times New Roman" w:eastAsia="宋体" w:cs="Times New Roman"/>
          <w:spacing w:val="8"/>
          <w:sz w:val="23"/>
          <w:szCs w:val="23"/>
          <w:highlight w:val="none"/>
        </w:rPr>
        <w:t>项目选址合理。</w:t>
      </w:r>
    </w:p>
    <w:p>
      <w:pPr>
        <w:spacing w:before="75" w:line="228" w:lineRule="auto"/>
        <w:ind w:left="27"/>
        <w:outlineLvl w:val="2"/>
        <w:rPr>
          <w:rFonts w:hint="default" w:ascii="Times New Roman" w:hAnsi="Times New Roman" w:eastAsia="宋体" w:cs="Times New Roman"/>
          <w:sz w:val="23"/>
          <w:szCs w:val="23"/>
          <w:highlight w:val="none"/>
        </w:rPr>
      </w:pPr>
      <w:bookmarkStart w:id="21" w:name="_Toc32647"/>
      <w:bookmarkStart w:id="22" w:name="_Toc55"/>
      <w:bookmarkStart w:id="23" w:name="_Toc6856"/>
      <w:r>
        <w:rPr>
          <w:rFonts w:hint="default" w:ascii="Times New Roman" w:hAnsi="Times New Roman" w:eastAsia="Times New Roman" w:cs="Times New Roman"/>
          <w:b/>
          <w:bCs/>
          <w:spacing w:val="12"/>
          <w:sz w:val="23"/>
          <w:szCs w:val="23"/>
          <w:highlight w:val="none"/>
        </w:rPr>
        <w:t>1</w:t>
      </w:r>
      <w:r>
        <w:rPr>
          <w:rFonts w:hint="default" w:ascii="Times New Roman" w:hAnsi="Times New Roman" w:eastAsia="Times New Roman" w:cs="Times New Roman"/>
          <w:b/>
          <w:bCs/>
          <w:spacing w:val="11"/>
          <w:sz w:val="23"/>
          <w:szCs w:val="23"/>
          <w:highlight w:val="none"/>
        </w:rPr>
        <w:t>.</w:t>
      </w:r>
      <w:r>
        <w:rPr>
          <w:rFonts w:hint="eastAsia" w:ascii="Times New Roman" w:hAnsi="Times New Roman" w:eastAsia="宋体" w:cs="Times New Roman"/>
          <w:b/>
          <w:bCs/>
          <w:spacing w:val="6"/>
          <w:sz w:val="23"/>
          <w:szCs w:val="23"/>
          <w:highlight w:val="none"/>
          <w:lang w:val="en-US" w:eastAsia="zh-CN"/>
        </w:rPr>
        <w:t>4</w:t>
      </w:r>
      <w:r>
        <w:rPr>
          <w:rFonts w:hint="default" w:ascii="Times New Roman" w:hAnsi="Times New Roman" w:eastAsia="Times New Roman" w:cs="Times New Roman"/>
          <w:b/>
          <w:bCs/>
          <w:spacing w:val="6"/>
          <w:sz w:val="23"/>
          <w:szCs w:val="23"/>
          <w:highlight w:val="none"/>
        </w:rPr>
        <w:t>.2</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产业政策符合性分析</w:t>
      </w:r>
      <w:bookmarkEnd w:id="21"/>
      <w:bookmarkEnd w:id="22"/>
      <w:bookmarkEnd w:id="23"/>
    </w:p>
    <w:p>
      <w:pPr>
        <w:spacing w:line="257" w:lineRule="auto"/>
        <w:rPr>
          <w:rFonts w:hint="default" w:ascii="Times New Roman" w:hAnsi="Times New Roman" w:cs="Times New Roman"/>
          <w:sz w:val="21"/>
          <w:highlight w:val="none"/>
        </w:rPr>
      </w:pPr>
    </w:p>
    <w:p>
      <w:pPr>
        <w:spacing w:line="401" w:lineRule="auto"/>
        <w:ind w:left="21" w:firstLine="480"/>
        <w:rPr>
          <w:rFonts w:hint="default" w:ascii="Times New Roman" w:hAnsi="Times New Roman" w:eastAsia="宋体" w:cs="Times New Roman"/>
          <w:spacing w:val="11"/>
          <w:sz w:val="23"/>
          <w:szCs w:val="23"/>
          <w:highlight w:val="none"/>
        </w:rPr>
      </w:pPr>
      <w:r>
        <w:rPr>
          <w:rFonts w:hint="eastAsia" w:ascii="Times New Roman" w:hAnsi="Times New Roman" w:eastAsia="宋体" w:cs="Times New Roman"/>
          <w:spacing w:val="11"/>
          <w:sz w:val="23"/>
          <w:szCs w:val="23"/>
          <w:highlight w:val="none"/>
        </w:rPr>
        <w:t>本项目不属于</w:t>
      </w:r>
      <w:r>
        <w:rPr>
          <w:rFonts w:hint="default" w:ascii="Times New Roman" w:hAnsi="Times New Roman" w:eastAsia="宋体" w:cs="Times New Roman"/>
          <w:spacing w:val="11"/>
          <w:sz w:val="23"/>
          <w:szCs w:val="23"/>
          <w:highlight w:val="none"/>
        </w:rPr>
        <w:t>《产业结构调整指导目录（201</w:t>
      </w:r>
      <w:r>
        <w:rPr>
          <w:rFonts w:hint="eastAsia" w:ascii="Times New Roman" w:hAnsi="Times New Roman" w:eastAsia="宋体" w:cs="Times New Roman"/>
          <w:spacing w:val="11"/>
          <w:sz w:val="23"/>
          <w:szCs w:val="23"/>
          <w:highlight w:val="none"/>
        </w:rPr>
        <w:t>9</w:t>
      </w:r>
      <w:r>
        <w:rPr>
          <w:rFonts w:hint="default" w:ascii="Times New Roman" w:hAnsi="Times New Roman" w:eastAsia="宋体" w:cs="Times New Roman"/>
          <w:spacing w:val="11"/>
          <w:sz w:val="23"/>
          <w:szCs w:val="23"/>
          <w:highlight w:val="none"/>
        </w:rPr>
        <w:t>年本）》，</w:t>
      </w:r>
      <w:r>
        <w:rPr>
          <w:rFonts w:hint="eastAsia" w:ascii="Times New Roman" w:hAnsi="Times New Roman" w:eastAsia="宋体" w:cs="Times New Roman"/>
          <w:spacing w:val="11"/>
          <w:sz w:val="23"/>
          <w:szCs w:val="23"/>
          <w:highlight w:val="none"/>
        </w:rPr>
        <w:t>中的</w:t>
      </w:r>
      <w:r>
        <w:rPr>
          <w:rFonts w:hint="default" w:ascii="Times New Roman" w:hAnsi="Times New Roman" w:eastAsia="宋体" w:cs="Times New Roman"/>
          <w:spacing w:val="11"/>
          <w:sz w:val="23"/>
          <w:szCs w:val="23"/>
          <w:highlight w:val="none"/>
        </w:rPr>
        <w:t>淘汰类、限制类</w:t>
      </w:r>
      <w:r>
        <w:rPr>
          <w:rFonts w:hint="eastAsia" w:ascii="Times New Roman" w:hAnsi="Times New Roman" w:eastAsia="宋体" w:cs="Times New Roman"/>
          <w:spacing w:val="11"/>
          <w:sz w:val="23"/>
          <w:szCs w:val="23"/>
          <w:highlight w:val="none"/>
        </w:rPr>
        <w:t>产业项目</w:t>
      </w:r>
      <w:r>
        <w:rPr>
          <w:rFonts w:hint="default" w:ascii="Times New Roman" w:hAnsi="Times New Roman" w:eastAsia="宋体" w:cs="Times New Roman"/>
          <w:spacing w:val="11"/>
          <w:sz w:val="23"/>
          <w:szCs w:val="23"/>
          <w:highlight w:val="none"/>
        </w:rPr>
        <w:t>，符合产业政策</w:t>
      </w:r>
      <w:r>
        <w:rPr>
          <w:rFonts w:hint="eastAsia" w:ascii="Times New Roman" w:hAnsi="Times New Roman" w:eastAsia="宋体" w:cs="Times New Roman"/>
          <w:spacing w:val="11"/>
          <w:sz w:val="23"/>
          <w:szCs w:val="23"/>
          <w:highlight w:val="none"/>
        </w:rPr>
        <w:t>要求</w:t>
      </w:r>
      <w:r>
        <w:rPr>
          <w:rFonts w:hint="default" w:ascii="Times New Roman" w:hAnsi="Times New Roman" w:eastAsia="宋体" w:cs="Times New Roman"/>
          <w:spacing w:val="11"/>
          <w:sz w:val="23"/>
          <w:szCs w:val="23"/>
          <w:highlight w:val="none"/>
        </w:rPr>
        <w:t>。</w:t>
      </w:r>
    </w:p>
    <w:p>
      <w:pPr>
        <w:spacing w:line="401" w:lineRule="auto"/>
        <w:ind w:left="21" w:firstLine="480"/>
        <w:rPr>
          <w:rFonts w:hint="default" w:ascii="Times New Roman" w:hAnsi="Times New Roman" w:eastAsia="宋体" w:cs="Times New Roman"/>
          <w:spacing w:val="11"/>
          <w:sz w:val="23"/>
          <w:szCs w:val="23"/>
          <w:highlight w:val="none"/>
        </w:rPr>
      </w:pPr>
      <w:r>
        <w:rPr>
          <w:rFonts w:hint="default" w:ascii="Times New Roman" w:hAnsi="Times New Roman" w:eastAsia="宋体" w:cs="Times New Roman"/>
          <w:spacing w:val="11"/>
          <w:sz w:val="23"/>
          <w:szCs w:val="23"/>
          <w:highlight w:val="none"/>
        </w:rPr>
        <w:t>本项目为选矿项目，</w:t>
      </w:r>
      <w:r>
        <w:rPr>
          <w:rFonts w:hint="default" w:ascii="Times New Roman" w:hAnsi="Times New Roman" w:eastAsia="宋体" w:cs="Times New Roman"/>
          <w:spacing w:val="7"/>
          <w:sz w:val="23"/>
          <w:szCs w:val="23"/>
          <w:highlight w:val="none"/>
        </w:rPr>
        <w:t>不涉及采矿</w:t>
      </w:r>
      <w:r>
        <w:rPr>
          <w:rFonts w:hint="eastAsia" w:ascii="Times New Roman" w:hAnsi="Times New Roman" w:eastAsia="宋体" w:cs="Times New Roman"/>
          <w:spacing w:val="7"/>
          <w:sz w:val="23"/>
          <w:szCs w:val="23"/>
          <w:highlight w:val="none"/>
          <w:lang w:eastAsia="zh-CN"/>
        </w:rPr>
        <w:t>，</w:t>
      </w:r>
      <w:r>
        <w:rPr>
          <w:rFonts w:hint="default" w:ascii="Times New Roman" w:hAnsi="Times New Roman" w:eastAsia="宋体" w:cs="Times New Roman"/>
          <w:spacing w:val="11"/>
          <w:sz w:val="23"/>
          <w:szCs w:val="23"/>
          <w:highlight w:val="none"/>
        </w:rPr>
        <w:t>不属于《河北省新增限制和淘汰类产业目录（2015年版）》中淘汰类、限制类项目，项目建设符合河北省政策要求。</w:t>
      </w:r>
    </w:p>
    <w:p>
      <w:pPr>
        <w:spacing w:line="401" w:lineRule="auto"/>
        <w:ind w:left="21" w:firstLine="480"/>
        <w:rPr>
          <w:rFonts w:hint="default" w:ascii="Times New Roman" w:hAnsi="Times New Roman" w:cs="Times New Roman"/>
          <w:sz w:val="21"/>
          <w:highlight w:val="none"/>
        </w:rPr>
      </w:pPr>
      <w:r>
        <w:rPr>
          <w:rFonts w:hint="default" w:ascii="Times New Roman" w:hAnsi="Times New Roman" w:eastAsia="宋体" w:cs="Times New Roman"/>
          <w:spacing w:val="6"/>
          <w:sz w:val="23"/>
          <w:szCs w:val="23"/>
          <w:highlight w:val="none"/>
        </w:rPr>
        <w:t>另</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7"/>
          <w:sz w:val="23"/>
          <w:szCs w:val="23"/>
          <w:highlight w:val="none"/>
        </w:rPr>
        <w:t>外</w:t>
      </w:r>
      <w:r>
        <w:rPr>
          <w:rFonts w:hint="default" w:ascii="Times New Roman" w:hAnsi="Times New Roman" w:eastAsia="宋体" w:cs="Times New Roman"/>
          <w:spacing w:val="14"/>
          <w:sz w:val="23"/>
          <w:szCs w:val="23"/>
          <w:highlight w:val="none"/>
        </w:rPr>
        <w:t>本项目已通过河北省发展和改革委员会备案，备案文号为：</w:t>
      </w:r>
      <w:r>
        <w:rPr>
          <w:rFonts w:hint="default" w:ascii="Times New Roman" w:hAnsi="Times New Roman" w:eastAsia="宋体" w:cs="Times New Roman"/>
          <w:spacing w:val="4"/>
          <w:sz w:val="23"/>
          <w:szCs w:val="23"/>
          <w:highlight w:val="none"/>
        </w:rPr>
        <w:t>冀发改政务备字[202</w:t>
      </w:r>
      <w:r>
        <w:rPr>
          <w:rFonts w:hint="default" w:ascii="Times New Roman" w:hAnsi="Times New Roman" w:eastAsia="宋体" w:cs="Times New Roman"/>
          <w:spacing w:val="4"/>
          <w:sz w:val="23"/>
          <w:szCs w:val="23"/>
          <w:highlight w:val="none"/>
          <w:lang w:val="en-US" w:eastAsia="zh-CN"/>
        </w:rPr>
        <w:t>3</w:t>
      </w:r>
      <w:r>
        <w:rPr>
          <w:rFonts w:hint="default" w:ascii="Times New Roman" w:hAnsi="Times New Roman" w:eastAsia="宋体" w:cs="Times New Roman"/>
          <w:spacing w:val="4"/>
          <w:sz w:val="23"/>
          <w:szCs w:val="23"/>
          <w:highlight w:val="none"/>
        </w:rPr>
        <w:t>]</w:t>
      </w:r>
      <w:r>
        <w:rPr>
          <w:rFonts w:hint="eastAsia" w:ascii="Times New Roman" w:hAnsi="Times New Roman" w:eastAsia="宋体" w:cs="Times New Roman"/>
          <w:spacing w:val="4"/>
          <w:sz w:val="23"/>
          <w:szCs w:val="23"/>
          <w:highlight w:val="none"/>
          <w:lang w:val="en-US" w:eastAsia="zh-CN"/>
        </w:rPr>
        <w:t>46</w:t>
      </w:r>
      <w:r>
        <w:rPr>
          <w:rFonts w:hint="default" w:ascii="Times New Roman" w:hAnsi="Times New Roman" w:eastAsia="宋体" w:cs="Times New Roman"/>
          <w:spacing w:val="4"/>
          <w:sz w:val="23"/>
          <w:szCs w:val="23"/>
          <w:highlight w:val="none"/>
        </w:rPr>
        <w:t>号</w:t>
      </w:r>
      <w:r>
        <w:rPr>
          <w:rFonts w:hint="eastAsia" w:ascii="Times New Roman" w:hAnsi="Times New Roman" w:eastAsia="宋体" w:cs="Times New Roman"/>
          <w:spacing w:val="4"/>
          <w:sz w:val="23"/>
          <w:szCs w:val="23"/>
          <w:highlight w:val="none"/>
          <w:lang w:eastAsia="zh-CN"/>
        </w:rPr>
        <w:t>。</w:t>
      </w:r>
    </w:p>
    <w:p>
      <w:pPr>
        <w:spacing w:before="1" w:line="228" w:lineRule="auto"/>
        <w:ind w:left="50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综</w:t>
      </w:r>
      <w:r>
        <w:rPr>
          <w:rFonts w:hint="default" w:ascii="Times New Roman" w:hAnsi="Times New Roman" w:eastAsia="宋体" w:cs="Times New Roman"/>
          <w:spacing w:val="11"/>
          <w:sz w:val="23"/>
          <w:szCs w:val="23"/>
          <w:highlight w:val="none"/>
        </w:rPr>
        <w:t>上</w:t>
      </w:r>
      <w:r>
        <w:rPr>
          <w:rFonts w:hint="default" w:ascii="Times New Roman" w:hAnsi="Times New Roman" w:eastAsia="宋体" w:cs="Times New Roman"/>
          <w:spacing w:val="8"/>
          <w:sz w:val="23"/>
          <w:szCs w:val="23"/>
          <w:highlight w:val="none"/>
        </w:rPr>
        <w:t>所述，本项目符合产业政策要求。</w:t>
      </w:r>
    </w:p>
    <w:p>
      <w:pPr>
        <w:spacing w:line="257" w:lineRule="auto"/>
        <w:rPr>
          <w:rFonts w:hint="default" w:ascii="Times New Roman" w:hAnsi="Times New Roman" w:cs="Times New Roman"/>
          <w:sz w:val="21"/>
          <w:highlight w:val="none"/>
        </w:rPr>
      </w:pPr>
    </w:p>
    <w:p>
      <w:pPr>
        <w:spacing w:before="75" w:line="228" w:lineRule="auto"/>
        <w:ind w:left="27"/>
        <w:outlineLvl w:val="2"/>
        <w:rPr>
          <w:rFonts w:hint="default" w:ascii="Times New Roman" w:hAnsi="Times New Roman" w:eastAsia="宋体" w:cs="Times New Roman"/>
          <w:sz w:val="23"/>
          <w:szCs w:val="23"/>
          <w:highlight w:val="none"/>
        </w:rPr>
      </w:pPr>
      <w:bookmarkStart w:id="24" w:name="_Toc651"/>
      <w:bookmarkStart w:id="25" w:name="_Toc6712"/>
      <w:bookmarkStart w:id="26" w:name="_Toc32301"/>
      <w:r>
        <w:rPr>
          <w:rFonts w:hint="default" w:ascii="Times New Roman" w:hAnsi="Times New Roman" w:eastAsia="Times New Roman" w:cs="Times New Roman"/>
          <w:b/>
          <w:bCs/>
          <w:spacing w:val="12"/>
          <w:sz w:val="23"/>
          <w:szCs w:val="23"/>
          <w:highlight w:val="none"/>
        </w:rPr>
        <w:t>1</w:t>
      </w:r>
      <w:r>
        <w:rPr>
          <w:rFonts w:hint="default" w:ascii="Times New Roman" w:hAnsi="Times New Roman" w:eastAsia="Times New Roman" w:cs="Times New Roman"/>
          <w:b/>
          <w:bCs/>
          <w:spacing w:val="9"/>
          <w:sz w:val="23"/>
          <w:szCs w:val="23"/>
          <w:highlight w:val="none"/>
        </w:rPr>
        <w:t>.</w:t>
      </w:r>
      <w:r>
        <w:rPr>
          <w:rFonts w:hint="eastAsia" w:ascii="Times New Roman" w:hAnsi="Times New Roman" w:eastAsia="宋体" w:cs="Times New Roman"/>
          <w:b/>
          <w:bCs/>
          <w:spacing w:val="6"/>
          <w:sz w:val="23"/>
          <w:szCs w:val="23"/>
          <w:highlight w:val="none"/>
          <w:lang w:val="en-US" w:eastAsia="zh-CN"/>
        </w:rPr>
        <w:t>4</w:t>
      </w:r>
      <w:r>
        <w:rPr>
          <w:rFonts w:hint="default" w:ascii="Times New Roman" w:hAnsi="Times New Roman" w:eastAsia="Times New Roman" w:cs="Times New Roman"/>
          <w:b/>
          <w:bCs/>
          <w:spacing w:val="6"/>
          <w:sz w:val="23"/>
          <w:szCs w:val="23"/>
          <w:highlight w:val="none"/>
        </w:rPr>
        <w:t>.3</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与</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水十条</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相符性分析</w:t>
      </w:r>
      <w:bookmarkEnd w:id="24"/>
      <w:bookmarkEnd w:id="25"/>
      <w:bookmarkEnd w:id="26"/>
    </w:p>
    <w:p>
      <w:pPr>
        <w:spacing w:line="257" w:lineRule="auto"/>
        <w:rPr>
          <w:rFonts w:hint="default" w:ascii="Times New Roman" w:hAnsi="Times New Roman" w:cs="Times New Roman"/>
          <w:sz w:val="21"/>
          <w:highlight w:val="none"/>
        </w:rPr>
      </w:pPr>
    </w:p>
    <w:p>
      <w:pPr>
        <w:spacing w:before="75" w:line="410" w:lineRule="auto"/>
        <w:ind w:left="23" w:right="8"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本项目与《关于印发水污染防治行动计划的通知》  (即</w:t>
      </w:r>
      <w:r>
        <w:rPr>
          <w:rFonts w:hint="default" w:ascii="Times New Roman" w:hAnsi="Times New Roman" w:eastAsia="Times New Roman" w:cs="Times New Roman"/>
          <w:spacing w:val="4"/>
          <w:sz w:val="23"/>
          <w:szCs w:val="23"/>
          <w:highlight w:val="none"/>
        </w:rPr>
        <w:t>“</w:t>
      </w:r>
      <w:r>
        <w:rPr>
          <w:rFonts w:hint="default" w:ascii="Times New Roman" w:hAnsi="Times New Roman" w:eastAsia="宋体" w:cs="Times New Roman"/>
          <w:spacing w:val="4"/>
          <w:sz w:val="23"/>
          <w:szCs w:val="23"/>
          <w:highlight w:val="none"/>
        </w:rPr>
        <w:t>水十条</w:t>
      </w:r>
      <w:r>
        <w:rPr>
          <w:rFonts w:hint="default" w:ascii="Times New Roman" w:hAnsi="Times New Roman" w:eastAsia="Times New Roman" w:cs="Times New Roman"/>
          <w:spacing w:val="4"/>
          <w:sz w:val="23"/>
          <w:szCs w:val="23"/>
          <w:highlight w:val="none"/>
        </w:rPr>
        <w:t>”</w:t>
      </w:r>
      <w:r>
        <w:rPr>
          <w:rFonts w:hint="default" w:ascii="Times New Roman" w:hAnsi="Times New Roman" w:eastAsia="宋体" w:cs="Times New Roman"/>
          <w:spacing w:val="4"/>
          <w:sz w:val="23"/>
          <w:szCs w:val="23"/>
          <w:highlight w:val="none"/>
        </w:rPr>
        <w:t>) 的相符</w:t>
      </w:r>
      <w:r>
        <w:rPr>
          <w:rFonts w:hint="default" w:ascii="Times New Roman" w:hAnsi="Times New Roman" w:eastAsia="宋体" w:cs="Times New Roman"/>
          <w:sz w:val="23"/>
          <w:szCs w:val="23"/>
          <w:highlight w:val="none"/>
        </w:rPr>
        <w:t xml:space="preserve">性 </w:t>
      </w:r>
      <w:r>
        <w:rPr>
          <w:rFonts w:hint="default" w:ascii="Times New Roman" w:hAnsi="Times New Roman" w:eastAsia="宋体" w:cs="Times New Roman"/>
          <w:spacing w:val="-10"/>
          <w:sz w:val="23"/>
          <w:szCs w:val="23"/>
          <w:highlight w:val="none"/>
        </w:rPr>
        <w:t>分</w:t>
      </w:r>
      <w:r>
        <w:rPr>
          <w:rFonts w:hint="default" w:ascii="Times New Roman" w:hAnsi="Times New Roman" w:eastAsia="宋体" w:cs="Times New Roman"/>
          <w:spacing w:val="-5"/>
          <w:sz w:val="23"/>
          <w:szCs w:val="23"/>
          <w:highlight w:val="none"/>
        </w:rPr>
        <w:t xml:space="preserve">析见表 </w:t>
      </w:r>
      <w:r>
        <w:rPr>
          <w:rFonts w:hint="default" w:ascii="Times New Roman" w:hAnsi="Times New Roman" w:eastAsia="Times New Roman" w:cs="Times New Roman"/>
          <w:spacing w:val="-5"/>
          <w:sz w:val="23"/>
          <w:szCs w:val="23"/>
          <w:highlight w:val="none"/>
        </w:rPr>
        <w:t>1.</w:t>
      </w:r>
      <w:r>
        <w:rPr>
          <w:rFonts w:hint="eastAsia" w:ascii="Times New Roman" w:hAnsi="Times New Roman" w:eastAsia="宋体" w:cs="Times New Roman"/>
          <w:spacing w:val="-5"/>
          <w:sz w:val="23"/>
          <w:szCs w:val="23"/>
          <w:highlight w:val="none"/>
          <w:lang w:val="en-US" w:eastAsia="zh-CN"/>
        </w:rPr>
        <w:t>4</w:t>
      </w:r>
      <w:r>
        <w:rPr>
          <w:rFonts w:hint="default" w:ascii="Times New Roman" w:hAnsi="Times New Roman" w:eastAsia="Times New Roman" w:cs="Times New Roman"/>
          <w:spacing w:val="-5"/>
          <w:sz w:val="23"/>
          <w:szCs w:val="23"/>
          <w:highlight w:val="none"/>
        </w:rPr>
        <w:t>- 1</w:t>
      </w:r>
      <w:r>
        <w:rPr>
          <w:rFonts w:hint="default" w:ascii="Times New Roman" w:hAnsi="Times New Roman" w:eastAsia="宋体" w:cs="Times New Roman"/>
          <w:spacing w:val="-5"/>
          <w:sz w:val="23"/>
          <w:szCs w:val="23"/>
          <w:highlight w:val="none"/>
        </w:rPr>
        <w:t>。</w:t>
      </w:r>
    </w:p>
    <w:p>
      <w:pPr>
        <w:tabs>
          <w:tab w:val="left" w:pos="835"/>
        </w:tabs>
        <w:bidi w:val="0"/>
        <w:jc w:val="left"/>
        <w:rPr>
          <w:rFonts w:hint="default" w:ascii="Times New Roman" w:hAnsi="Times New Roman" w:eastAsia="宋体" w:cs="Times New Roman"/>
          <w:sz w:val="23"/>
          <w:szCs w:val="23"/>
          <w:highlight w:val="none"/>
        </w:rPr>
      </w:pPr>
      <w:r>
        <w:rPr>
          <w:rFonts w:hint="eastAsia" w:eastAsia="宋体"/>
          <w:highlight w:val="none"/>
          <w:lang w:eastAsia="zh-CN"/>
        </w:rPr>
        <w:tab/>
      </w:r>
      <w:r>
        <w:rPr>
          <w:rFonts w:hint="default" w:ascii="Times New Roman" w:hAnsi="Times New Roman" w:cs="Times New Roman"/>
          <w:highlight w:val="none"/>
        </w:rPr>
        <w:pict>
          <v:shape id="_x0000_s1029" o:spid="_x0000_s1029" style="position:absolute;left:0pt;margin-left:90.15pt;margin-top:46.55pt;height:0.75pt;width:415pt;mso-position-horizontal-relative:page;mso-position-vertical-relative:page;z-index:251660288;mso-width-relative:page;mso-height-relative:page;" fillcolor="#000000" filled="t" stroked="f" coordsize="8300,15" o:allowincell="f" path="m0,0l8300,0,8300,14,0,14,0,0xe">
            <v:path/>
            <v:fill on="t" focussize="0,0"/>
            <v:stroke on="f"/>
            <v:imagedata o:title=""/>
            <o:lock v:ext="edit"/>
          </v:shape>
        </w:pict>
      </w:r>
      <w:r>
        <w:rPr>
          <w:rFonts w:hint="default" w:ascii="Times New Roman" w:hAnsi="Times New Roman" w:eastAsia="宋体" w:cs="Times New Roman"/>
          <w:spacing w:val="9"/>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9"/>
          <w:sz w:val="23"/>
          <w:szCs w:val="23"/>
          <w:highlight w:val="none"/>
        </w:rPr>
        <w:t>1.</w:t>
      </w:r>
      <w:r>
        <w:rPr>
          <w:rFonts w:hint="eastAsia" w:ascii="Times New Roman" w:hAnsi="Times New Roman" w:eastAsia="宋体" w:cs="Times New Roman"/>
          <w:b/>
          <w:bCs/>
          <w:spacing w:val="9"/>
          <w:sz w:val="23"/>
          <w:szCs w:val="23"/>
          <w:highlight w:val="none"/>
          <w:lang w:val="en-US" w:eastAsia="zh-CN"/>
        </w:rPr>
        <w:t>4</w:t>
      </w:r>
      <w:r>
        <w:rPr>
          <w:rFonts w:hint="default" w:ascii="Times New Roman" w:hAnsi="Times New Roman" w:eastAsia="Times New Roman" w:cs="Times New Roman"/>
          <w:b/>
          <w:bCs/>
          <w:spacing w:val="9"/>
          <w:sz w:val="23"/>
          <w:szCs w:val="23"/>
          <w:highlight w:val="none"/>
        </w:rPr>
        <w:t>-1</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14:textOutline w14:w="4358" w14:cap="sq" w14:cmpd="sng">
            <w14:solidFill>
              <w14:srgbClr w14:val="000000"/>
            </w14:solidFill>
            <w14:prstDash w14:val="solid"/>
            <w14:bevel/>
          </w14:textOutline>
        </w:rPr>
        <w:t>与《国务院关于印发水污染防治行动计划的通知》相符性分</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析</w:t>
      </w:r>
    </w:p>
    <w:p>
      <w:pPr>
        <w:spacing w:line="18" w:lineRule="exact"/>
        <w:rPr>
          <w:rFonts w:hint="default" w:ascii="Times New Roman" w:hAnsi="Times New Roman" w:cs="Times New Roman"/>
          <w:highlight w:val="none"/>
        </w:rPr>
      </w:pPr>
    </w:p>
    <w:tbl>
      <w:tblPr>
        <w:tblStyle w:val="15"/>
        <w:tblW w:w="860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088"/>
        <w:gridCol w:w="1978"/>
        <w:gridCol w:w="5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blHeader/>
        </w:trPr>
        <w:tc>
          <w:tcPr>
            <w:tcW w:w="6088"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行动计划要求</w:t>
            </w:r>
          </w:p>
        </w:tc>
        <w:tc>
          <w:tcPr>
            <w:tcW w:w="1978"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项目拟建</w:t>
            </w:r>
            <w:r>
              <w:rPr>
                <w:sz w:val="21"/>
                <w:szCs w:val="21"/>
                <w:highlight w:val="none"/>
              </w:rPr>
              <w:t>情况</w:t>
            </w:r>
          </w:p>
        </w:tc>
        <w:tc>
          <w:tcPr>
            <w:tcW w:w="536"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r>
              <w:rPr>
                <w:rFonts w:hint="eastAsia"/>
                <w:sz w:val="21"/>
                <w:szCs w:val="21"/>
                <w:highlight w:val="none"/>
              </w:rPr>
              <w:t>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6088"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取缔</w:t>
            </w:r>
            <w:r>
              <w:rPr>
                <w:rFonts w:hint="eastAsia"/>
                <w:sz w:val="21"/>
                <w:szCs w:val="21"/>
                <w:highlight w:val="none"/>
              </w:rPr>
              <w:t>“</w:t>
            </w:r>
            <w:r>
              <w:rPr>
                <w:sz w:val="21"/>
                <w:szCs w:val="21"/>
                <w:highlight w:val="none"/>
              </w:rPr>
              <w:t>十小</w:t>
            </w:r>
            <w:r>
              <w:rPr>
                <w:rFonts w:hint="eastAsia"/>
                <w:sz w:val="21"/>
                <w:szCs w:val="21"/>
                <w:highlight w:val="none"/>
              </w:rPr>
              <w:t>”</w:t>
            </w:r>
            <w:r>
              <w:rPr>
                <w:sz w:val="21"/>
                <w:szCs w:val="21"/>
                <w:highlight w:val="none"/>
              </w:rPr>
              <w:t>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978" w:type="dxa"/>
            <w:vMerge w:val="restart"/>
            <w:tcBorders>
              <w:tl2br w:val="nil"/>
              <w:tr2bl w:val="nil"/>
            </w:tcBorders>
            <w:vAlign w:val="center"/>
          </w:tcPr>
          <w:p>
            <w:pPr>
              <w:adjustRightInd w:val="0"/>
              <w:snapToGrid w:val="0"/>
              <w:spacing w:line="240" w:lineRule="auto"/>
              <w:ind w:firstLine="0" w:firstLineChars="0"/>
              <w:rPr>
                <w:sz w:val="21"/>
                <w:szCs w:val="21"/>
                <w:highlight w:val="none"/>
              </w:rPr>
            </w:pPr>
            <w:r>
              <w:rPr>
                <w:rFonts w:hint="eastAsia"/>
                <w:sz w:val="21"/>
                <w:szCs w:val="21"/>
                <w:highlight w:val="none"/>
              </w:rPr>
              <w:t>本项目</w:t>
            </w:r>
            <w:r>
              <w:rPr>
                <w:sz w:val="21"/>
                <w:szCs w:val="21"/>
                <w:highlight w:val="none"/>
              </w:rPr>
              <w:t>不属于文件规定的</w:t>
            </w:r>
            <w:r>
              <w:rPr>
                <w:rFonts w:hint="eastAsia"/>
                <w:sz w:val="21"/>
                <w:szCs w:val="21"/>
                <w:highlight w:val="none"/>
              </w:rPr>
              <w:t>“</w:t>
            </w:r>
            <w:r>
              <w:rPr>
                <w:sz w:val="21"/>
                <w:szCs w:val="21"/>
                <w:highlight w:val="none"/>
              </w:rPr>
              <w:t>十小</w:t>
            </w:r>
            <w:r>
              <w:rPr>
                <w:rFonts w:hint="eastAsia"/>
                <w:sz w:val="21"/>
                <w:szCs w:val="21"/>
                <w:highlight w:val="none"/>
              </w:rPr>
              <w:t>”</w:t>
            </w:r>
            <w:r>
              <w:rPr>
                <w:sz w:val="21"/>
                <w:szCs w:val="21"/>
                <w:highlight w:val="none"/>
              </w:rPr>
              <w:t>企业及十大重点行业，通过采取</w:t>
            </w:r>
            <w:r>
              <w:rPr>
                <w:rFonts w:hint="eastAsia"/>
                <w:sz w:val="21"/>
                <w:szCs w:val="21"/>
                <w:highlight w:val="none"/>
              </w:rPr>
              <w:t>相应的环保措施对污染进行有效治理</w:t>
            </w:r>
            <w:r>
              <w:rPr>
                <w:sz w:val="21"/>
                <w:szCs w:val="21"/>
                <w:highlight w:val="none"/>
              </w:rPr>
              <w:t>，可实现各类污染物达标排放，对周围环境影响较小</w:t>
            </w:r>
          </w:p>
        </w:tc>
        <w:tc>
          <w:tcPr>
            <w:tcW w:w="536"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6088"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专项整治十大重点行业。制定造纸、焦化、氮肥、有色金属、印染、农副食品加工、原料药制造、制革、农药、电镀等行业专项治理方案，实施清洁化改造</w:t>
            </w:r>
          </w:p>
        </w:tc>
        <w:tc>
          <w:tcPr>
            <w:tcW w:w="1978" w:type="dxa"/>
            <w:vMerge w:val="continue"/>
            <w:tcBorders>
              <w:tl2br w:val="nil"/>
              <w:tr2bl w:val="nil"/>
            </w:tcBorders>
            <w:vAlign w:val="center"/>
          </w:tcPr>
          <w:p>
            <w:pPr>
              <w:adjustRightInd w:val="0"/>
              <w:snapToGrid w:val="0"/>
              <w:spacing w:line="240" w:lineRule="auto"/>
              <w:ind w:firstLine="0" w:firstLineChars="0"/>
              <w:rPr>
                <w:sz w:val="21"/>
                <w:szCs w:val="21"/>
                <w:highlight w:val="none"/>
              </w:rPr>
            </w:pPr>
          </w:p>
        </w:tc>
        <w:tc>
          <w:tcPr>
            <w:tcW w:w="536"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6088"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优化空间布局。合理确定发展布局、结构和规模。充分考虑水资源、水环境承载能力，以水定城、以水定地、以水定人、以水定产。重大项目原则上布局在优化开发区和重点开发区，并符合城乡规划和土地利用总体规划。鼓励发展节水高效现代农业、低耗水高新技术产业以及生态保护型旅游业，严格控制缺水地区、水污染严重地区和敏感区域高耗水、高污染行业发展</w:t>
            </w:r>
          </w:p>
        </w:tc>
        <w:tc>
          <w:tcPr>
            <w:tcW w:w="1978"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该</w:t>
            </w:r>
            <w:r>
              <w:rPr>
                <w:rFonts w:hint="eastAsia"/>
                <w:sz w:val="21"/>
                <w:szCs w:val="21"/>
                <w:highlight w:val="none"/>
              </w:rPr>
              <w:t>项目符合规划，“以水定产”，采取干排工艺后无废水外排</w:t>
            </w:r>
          </w:p>
        </w:tc>
        <w:tc>
          <w:tcPr>
            <w:tcW w:w="536"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6088"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推动污染企业退出。城市建成区内现有钢铁、有色金属、造纸、印染、原料药制造、化工等污染较重的企业应有序搬迁改造或依法关闭</w:t>
            </w:r>
          </w:p>
        </w:tc>
        <w:tc>
          <w:tcPr>
            <w:tcW w:w="1978" w:type="dxa"/>
            <w:tcBorders>
              <w:tl2br w:val="nil"/>
              <w:tr2bl w:val="nil"/>
            </w:tcBorders>
            <w:vAlign w:val="center"/>
          </w:tcPr>
          <w:p>
            <w:pPr>
              <w:adjustRightInd w:val="0"/>
              <w:snapToGrid w:val="0"/>
              <w:spacing w:line="240" w:lineRule="auto"/>
              <w:ind w:firstLine="0" w:firstLineChars="0"/>
              <w:rPr>
                <w:sz w:val="21"/>
                <w:szCs w:val="21"/>
                <w:highlight w:val="none"/>
              </w:rPr>
            </w:pPr>
            <w:r>
              <w:rPr>
                <w:rFonts w:hint="eastAsia"/>
                <w:sz w:val="21"/>
                <w:szCs w:val="21"/>
                <w:highlight w:val="none"/>
              </w:rPr>
              <w:t>项目</w:t>
            </w:r>
            <w:r>
              <w:rPr>
                <w:sz w:val="21"/>
                <w:szCs w:val="21"/>
                <w:highlight w:val="none"/>
              </w:rPr>
              <w:t>不</w:t>
            </w:r>
            <w:r>
              <w:rPr>
                <w:rFonts w:hint="eastAsia"/>
                <w:sz w:val="21"/>
                <w:szCs w:val="21"/>
                <w:highlight w:val="none"/>
              </w:rPr>
              <w:t>在城市建成区内</w:t>
            </w:r>
          </w:p>
        </w:tc>
        <w:tc>
          <w:tcPr>
            <w:tcW w:w="536"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6088"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严控地下水超采，开展华北地下水超采区综合治理，超采区内禁止工农业生产及服务业新增取用地下水</w:t>
            </w:r>
          </w:p>
        </w:tc>
        <w:tc>
          <w:tcPr>
            <w:tcW w:w="1978" w:type="dxa"/>
            <w:vMerge w:val="restart"/>
            <w:tcBorders>
              <w:tl2br w:val="nil"/>
              <w:tr2bl w:val="nil"/>
            </w:tcBorders>
            <w:vAlign w:val="center"/>
          </w:tcPr>
          <w:p>
            <w:pPr>
              <w:adjustRightInd w:val="0"/>
              <w:snapToGrid w:val="0"/>
              <w:spacing w:line="240" w:lineRule="auto"/>
              <w:ind w:firstLine="0" w:firstLineChars="0"/>
              <w:rPr>
                <w:sz w:val="21"/>
                <w:szCs w:val="21"/>
                <w:highlight w:val="none"/>
              </w:rPr>
            </w:pPr>
            <w:r>
              <w:rPr>
                <w:rFonts w:hint="eastAsia"/>
                <w:sz w:val="21"/>
                <w:szCs w:val="21"/>
                <w:highlight w:val="none"/>
              </w:rPr>
              <w:t>项目不在地下水超采区，使用自备水井，采用干排工艺后水循环利用率提高，可减少新水用量</w:t>
            </w:r>
          </w:p>
        </w:tc>
        <w:tc>
          <w:tcPr>
            <w:tcW w:w="536"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6088"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抓好工业节水。制定国家鼓励和淘汰的用水技术、工艺、产品和设备目录，完善高耗水行业取用水定额标准。开展节水诊断、水平衡测试、用水效率评估，严格用水定额管理</w:t>
            </w:r>
          </w:p>
        </w:tc>
        <w:tc>
          <w:tcPr>
            <w:tcW w:w="1978" w:type="dxa"/>
            <w:vMerge w:val="continue"/>
            <w:tcBorders>
              <w:tl2br w:val="nil"/>
              <w:tr2bl w:val="nil"/>
            </w:tcBorders>
            <w:vAlign w:val="center"/>
          </w:tcPr>
          <w:p>
            <w:pPr>
              <w:adjustRightInd w:val="0"/>
              <w:snapToGrid w:val="0"/>
              <w:spacing w:line="240" w:lineRule="auto"/>
              <w:ind w:firstLine="0" w:firstLineChars="0"/>
              <w:rPr>
                <w:sz w:val="21"/>
                <w:szCs w:val="21"/>
                <w:highlight w:val="none"/>
              </w:rPr>
            </w:pPr>
          </w:p>
        </w:tc>
        <w:tc>
          <w:tcPr>
            <w:tcW w:w="536"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6088"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加大执法力度。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w:t>
            </w:r>
          </w:p>
        </w:tc>
        <w:tc>
          <w:tcPr>
            <w:tcW w:w="1978" w:type="dxa"/>
            <w:vMerge w:val="restart"/>
            <w:tcBorders>
              <w:tl2br w:val="nil"/>
              <w:tr2bl w:val="nil"/>
            </w:tcBorders>
            <w:vAlign w:val="center"/>
          </w:tcPr>
          <w:p>
            <w:pPr>
              <w:adjustRightInd w:val="0"/>
              <w:snapToGrid w:val="0"/>
              <w:spacing w:line="240" w:lineRule="auto"/>
              <w:ind w:firstLine="0" w:firstLineChars="0"/>
              <w:rPr>
                <w:sz w:val="21"/>
                <w:szCs w:val="21"/>
                <w:highlight w:val="none"/>
              </w:rPr>
            </w:pPr>
            <w:r>
              <w:rPr>
                <w:rFonts w:hint="eastAsia"/>
                <w:sz w:val="21"/>
                <w:szCs w:val="21"/>
                <w:highlight w:val="none"/>
              </w:rPr>
              <w:t>项目采取干排工艺，且采取防渗措施，废水不外排</w:t>
            </w:r>
          </w:p>
        </w:tc>
        <w:tc>
          <w:tcPr>
            <w:tcW w:w="536"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6088"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严厉打击环境违法行为。重点打击私设暗管或利用渗井、渗坑、溶洞排放、倾倒含有毒有害污染物废水、含病原体污水，监测数据弄虚作假，不正常使用水污染物处理设施，或者未经批准拆除、闲置水污染物处理设施等环境违法行为。对造成生态损害的责任者严格落实赔偿制度</w:t>
            </w:r>
          </w:p>
        </w:tc>
        <w:tc>
          <w:tcPr>
            <w:tcW w:w="1978" w:type="dxa"/>
            <w:vMerge w:val="continue"/>
            <w:tcBorders>
              <w:tl2br w:val="nil"/>
              <w:tr2bl w:val="nil"/>
            </w:tcBorders>
            <w:vAlign w:val="center"/>
          </w:tcPr>
          <w:p>
            <w:pPr>
              <w:adjustRightInd w:val="0"/>
              <w:snapToGrid w:val="0"/>
              <w:spacing w:line="240" w:lineRule="auto"/>
              <w:ind w:firstLine="0" w:firstLineChars="0"/>
              <w:rPr>
                <w:sz w:val="21"/>
                <w:szCs w:val="21"/>
                <w:highlight w:val="none"/>
              </w:rPr>
            </w:pPr>
          </w:p>
        </w:tc>
        <w:tc>
          <w:tcPr>
            <w:tcW w:w="536"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6088"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强化饮用水水源环境保护。开展饮用水水源规范化建设，依法清理饮用水水源保护区内违法建筑和排污口</w:t>
            </w:r>
          </w:p>
        </w:tc>
        <w:tc>
          <w:tcPr>
            <w:tcW w:w="1978" w:type="dxa"/>
            <w:tcBorders>
              <w:tl2br w:val="nil"/>
              <w:tr2bl w:val="nil"/>
            </w:tcBorders>
            <w:vAlign w:val="center"/>
          </w:tcPr>
          <w:p>
            <w:pPr>
              <w:adjustRightInd w:val="0"/>
              <w:snapToGrid w:val="0"/>
              <w:spacing w:line="240" w:lineRule="auto"/>
              <w:ind w:firstLine="0" w:firstLineChars="0"/>
              <w:rPr>
                <w:sz w:val="21"/>
                <w:szCs w:val="21"/>
                <w:highlight w:val="none"/>
              </w:rPr>
            </w:pPr>
            <w:r>
              <w:rPr>
                <w:rFonts w:hint="eastAsia"/>
                <w:sz w:val="21"/>
                <w:szCs w:val="21"/>
                <w:highlight w:val="none"/>
              </w:rPr>
              <w:t>项目无生产生活废水外排</w:t>
            </w:r>
          </w:p>
        </w:tc>
        <w:tc>
          <w:tcPr>
            <w:tcW w:w="536"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6088"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防治地下水污染。定期调查评估集中式地下水型饮用水水源补给区等区域环境状况。石化生产存贮销售企业和工业园区、矿山开采区、垃圾填埋场等区域应进行必要的防渗处理</w:t>
            </w:r>
          </w:p>
        </w:tc>
        <w:tc>
          <w:tcPr>
            <w:tcW w:w="1978" w:type="dxa"/>
            <w:tcBorders>
              <w:tl2br w:val="nil"/>
              <w:tr2bl w:val="nil"/>
            </w:tcBorders>
            <w:vAlign w:val="center"/>
          </w:tcPr>
          <w:p>
            <w:pPr>
              <w:adjustRightInd w:val="0"/>
              <w:snapToGrid w:val="0"/>
              <w:spacing w:line="240" w:lineRule="auto"/>
              <w:ind w:firstLine="0" w:firstLineChars="0"/>
              <w:rPr>
                <w:sz w:val="21"/>
                <w:szCs w:val="21"/>
                <w:highlight w:val="none"/>
              </w:rPr>
            </w:pPr>
            <w:r>
              <w:rPr>
                <w:rFonts w:hint="eastAsia"/>
                <w:sz w:val="21"/>
                <w:szCs w:val="21"/>
                <w:highlight w:val="none"/>
                <w:lang w:val="en-US" w:eastAsia="zh-CN"/>
              </w:rPr>
              <w:t>厂区</w:t>
            </w:r>
            <w:r>
              <w:rPr>
                <w:rFonts w:hint="eastAsia"/>
                <w:sz w:val="21"/>
                <w:szCs w:val="21"/>
                <w:highlight w:val="none"/>
              </w:rPr>
              <w:t>危废间、浓密池、清水池、事故池等按照要求进行防渗</w:t>
            </w:r>
          </w:p>
        </w:tc>
        <w:tc>
          <w:tcPr>
            <w:tcW w:w="536"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bl>
    <w:p>
      <w:pPr>
        <w:rPr>
          <w:rFonts w:hint="default" w:ascii="Times New Roman" w:hAnsi="Times New Roman" w:cs="Times New Roman"/>
          <w:sz w:val="21"/>
          <w:highlight w:val="none"/>
        </w:rPr>
      </w:pPr>
    </w:p>
    <w:p>
      <w:pPr>
        <w:spacing w:before="75" w:line="228" w:lineRule="auto"/>
        <w:ind w:left="27"/>
        <w:outlineLvl w:val="2"/>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pPr>
      <w:bookmarkStart w:id="27" w:name="_Toc18544"/>
      <w:bookmarkStart w:id="28" w:name="_Toc2505"/>
      <w:bookmarkStart w:id="29" w:name="_Toc3674"/>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1.</w:t>
      </w:r>
      <w:r>
        <w:rPr>
          <w:rFonts w:hint="eastAsia" w:ascii="Times New Roman" w:hAnsi="Times New Roman" w:eastAsia="宋体" w:cs="Times New Roman"/>
          <w:spacing w:val="6"/>
          <w:sz w:val="23"/>
          <w:szCs w:val="23"/>
          <w:highlight w:val="none"/>
          <w:lang w:val="en-US" w:eastAsia="zh-CN"/>
          <w14:textOutline w14:w="4358" w14:cap="sq" w14:cmpd="sng">
            <w14:solidFill>
              <w14:srgbClr w14:val="000000"/>
            </w14:solidFill>
            <w14:prstDash w14:val="solid"/>
            <w14:bevel/>
          </w14:textOutline>
        </w:rPr>
        <w:t>4</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.4 与“气十条”相符性分析</w:t>
      </w:r>
      <w:bookmarkEnd w:id="27"/>
      <w:bookmarkEnd w:id="28"/>
      <w:bookmarkEnd w:id="29"/>
    </w:p>
    <w:p>
      <w:pPr>
        <w:spacing w:before="75" w:line="402" w:lineRule="auto"/>
        <w:ind w:left="149" w:right="137"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本项目与《关于印发大气污染防治行动计划的通知》  (即</w:t>
      </w:r>
      <w:r>
        <w:rPr>
          <w:rFonts w:hint="default" w:ascii="Times New Roman" w:hAnsi="Times New Roman" w:eastAsia="Times New Roman" w:cs="Times New Roman"/>
          <w:spacing w:val="4"/>
          <w:sz w:val="23"/>
          <w:szCs w:val="23"/>
          <w:highlight w:val="none"/>
        </w:rPr>
        <w:t>“</w:t>
      </w:r>
      <w:r>
        <w:rPr>
          <w:rFonts w:hint="default" w:ascii="Times New Roman" w:hAnsi="Times New Roman" w:eastAsia="宋体" w:cs="Times New Roman"/>
          <w:spacing w:val="4"/>
          <w:sz w:val="23"/>
          <w:szCs w:val="23"/>
          <w:highlight w:val="none"/>
        </w:rPr>
        <w:t>气十条</w:t>
      </w:r>
      <w:r>
        <w:rPr>
          <w:rFonts w:hint="default" w:ascii="Times New Roman" w:hAnsi="Times New Roman" w:eastAsia="Times New Roman" w:cs="Times New Roman"/>
          <w:spacing w:val="4"/>
          <w:sz w:val="23"/>
          <w:szCs w:val="23"/>
          <w:highlight w:val="none"/>
        </w:rPr>
        <w:t>”</w:t>
      </w:r>
      <w:r>
        <w:rPr>
          <w:rFonts w:hint="default" w:ascii="Times New Roman" w:hAnsi="Times New Roman" w:eastAsia="宋体" w:cs="Times New Roman"/>
          <w:spacing w:val="4"/>
          <w:sz w:val="23"/>
          <w:szCs w:val="23"/>
          <w:highlight w:val="none"/>
        </w:rPr>
        <w:t>) 的相</w:t>
      </w:r>
      <w:r>
        <w:rPr>
          <w:rFonts w:hint="default" w:ascii="Times New Roman" w:hAnsi="Times New Roman" w:eastAsia="宋体" w:cs="Times New Roman"/>
          <w:sz w:val="23"/>
          <w:szCs w:val="23"/>
          <w:highlight w:val="none"/>
        </w:rPr>
        <w:t xml:space="preserve">符 </w:t>
      </w:r>
      <w:r>
        <w:rPr>
          <w:rFonts w:hint="default" w:ascii="Times New Roman" w:hAnsi="Times New Roman" w:eastAsia="宋体" w:cs="Times New Roman"/>
          <w:spacing w:val="1"/>
          <w:sz w:val="23"/>
          <w:szCs w:val="23"/>
          <w:highlight w:val="none"/>
        </w:rPr>
        <w:t>性分析见表</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z w:val="23"/>
          <w:szCs w:val="23"/>
          <w:highlight w:val="none"/>
        </w:rPr>
        <w:t>1.</w:t>
      </w:r>
      <w:r>
        <w:rPr>
          <w:rFonts w:hint="eastAsia" w:ascii="Times New Roman" w:hAnsi="Times New Roman" w:eastAsia="宋体" w:cs="Times New Roman"/>
          <w:sz w:val="23"/>
          <w:szCs w:val="23"/>
          <w:highlight w:val="none"/>
          <w:lang w:val="en-US" w:eastAsia="zh-CN"/>
        </w:rPr>
        <w:t>4</w:t>
      </w:r>
      <w:r>
        <w:rPr>
          <w:rFonts w:hint="default" w:ascii="Times New Roman" w:hAnsi="Times New Roman" w:eastAsia="Times New Roman" w:cs="Times New Roman"/>
          <w:sz w:val="23"/>
          <w:szCs w:val="23"/>
          <w:highlight w:val="none"/>
        </w:rPr>
        <w:t>-2</w:t>
      </w:r>
      <w:r>
        <w:rPr>
          <w:rFonts w:hint="default" w:ascii="Times New Roman" w:hAnsi="Times New Roman" w:eastAsia="宋体" w:cs="Times New Roman"/>
          <w:sz w:val="23"/>
          <w:szCs w:val="23"/>
          <w:highlight w:val="none"/>
        </w:rPr>
        <w:t>。</w:t>
      </w:r>
    </w:p>
    <w:p>
      <w:pPr>
        <w:spacing w:line="229" w:lineRule="auto"/>
        <w:ind w:left="81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16"/>
          <w:sz w:val="23"/>
          <w:szCs w:val="23"/>
          <w:highlight w:val="none"/>
        </w:rPr>
        <w:t>1.</w:t>
      </w:r>
      <w:r>
        <w:rPr>
          <w:rFonts w:hint="eastAsia" w:ascii="Times New Roman" w:hAnsi="Times New Roman" w:eastAsia="宋体" w:cs="Times New Roman"/>
          <w:b/>
          <w:bCs/>
          <w:spacing w:val="9"/>
          <w:sz w:val="23"/>
          <w:szCs w:val="23"/>
          <w:highlight w:val="none"/>
          <w:lang w:val="en-US" w:eastAsia="zh-CN"/>
        </w:rPr>
        <w:t>4</w:t>
      </w:r>
      <w:r>
        <w:rPr>
          <w:rFonts w:hint="default" w:ascii="Times New Roman" w:hAnsi="Times New Roman" w:eastAsia="Times New Roman" w:cs="Times New Roman"/>
          <w:b/>
          <w:bCs/>
          <w:spacing w:val="8"/>
          <w:sz w:val="23"/>
          <w:szCs w:val="23"/>
          <w:highlight w:val="none"/>
        </w:rPr>
        <w:t>-2</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与《关于印发大气污染防治行动计划的通知》相符性分析</w:t>
      </w:r>
    </w:p>
    <w:p>
      <w:pPr>
        <w:spacing w:line="19" w:lineRule="exact"/>
        <w:rPr>
          <w:rFonts w:hint="default" w:ascii="Times New Roman" w:hAnsi="Times New Roman" w:cs="Times New Roman"/>
          <w:highlight w:val="none"/>
        </w:rPr>
      </w:pPr>
    </w:p>
    <w:tbl>
      <w:tblPr>
        <w:tblStyle w:val="15"/>
        <w:tblW w:w="86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1"/>
        <w:gridCol w:w="5941"/>
        <w:gridCol w:w="1631"/>
        <w:gridCol w:w="4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编号</w:t>
            </w:r>
          </w:p>
        </w:tc>
        <w:tc>
          <w:tcPr>
            <w:tcW w:w="5941" w:type="dxa"/>
            <w:tcBorders>
              <w:tl2br w:val="nil"/>
              <w:tr2bl w:val="nil"/>
            </w:tcBorders>
            <w:vAlign w:val="center"/>
          </w:tcPr>
          <w:p>
            <w:pPr>
              <w:snapToGrid w:val="0"/>
              <w:spacing w:line="240" w:lineRule="auto"/>
              <w:ind w:firstLine="0" w:firstLineChars="0"/>
              <w:jc w:val="center"/>
              <w:rPr>
                <w:sz w:val="21"/>
                <w:szCs w:val="21"/>
                <w:highlight w:val="none"/>
              </w:rPr>
            </w:pPr>
            <w:r>
              <w:rPr>
                <w:sz w:val="21"/>
                <w:szCs w:val="21"/>
                <w:highlight w:val="none"/>
              </w:rPr>
              <w:t>行动计划要求</w:t>
            </w:r>
          </w:p>
        </w:tc>
        <w:tc>
          <w:tcPr>
            <w:tcW w:w="163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项目拟建</w:t>
            </w:r>
            <w:r>
              <w:rPr>
                <w:sz w:val="21"/>
                <w:szCs w:val="21"/>
                <w:highlight w:val="none"/>
              </w:rPr>
              <w:t>情况</w:t>
            </w:r>
          </w:p>
        </w:tc>
        <w:tc>
          <w:tcPr>
            <w:tcW w:w="44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评估</w:t>
            </w:r>
            <w:r>
              <w:rPr>
                <w:sz w:val="21"/>
                <w:szCs w:val="21"/>
                <w:highlight w:val="none"/>
              </w:rPr>
              <w:t>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第一条</w:t>
            </w:r>
          </w:p>
        </w:tc>
        <w:tc>
          <w:tcPr>
            <w:tcW w:w="5941"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一、加大综合治理力度，减少多污染物排放</w:t>
            </w:r>
          </w:p>
          <w:p>
            <w:pPr>
              <w:snapToGrid w:val="0"/>
              <w:spacing w:line="240" w:lineRule="auto"/>
              <w:ind w:firstLine="0" w:firstLineChars="0"/>
              <w:rPr>
                <w:sz w:val="21"/>
                <w:szCs w:val="21"/>
                <w:highlight w:val="none"/>
              </w:rPr>
            </w:pPr>
            <w:r>
              <w:rPr>
                <w:rFonts w:hint="eastAsia"/>
                <w:sz w:val="21"/>
                <w:szCs w:val="21"/>
                <w:highlight w:val="none"/>
              </w:rPr>
              <w:t>1、加强工业企业大气污染综合治理，全面整治燃煤小锅炉；</w:t>
            </w:r>
            <w:r>
              <w:rPr>
                <w:sz w:val="21"/>
                <w:szCs w:val="21"/>
                <w:highlight w:val="none"/>
              </w:rPr>
              <w:t>2</w:t>
            </w:r>
            <w:r>
              <w:rPr>
                <w:rFonts w:hint="eastAsia"/>
                <w:sz w:val="21"/>
                <w:szCs w:val="21"/>
                <w:highlight w:val="none"/>
              </w:rPr>
              <w:t>、深化面源污染治理。综合整治城市扬尘；3、强化移动源污染防治。加强城市交通管理。</w:t>
            </w:r>
          </w:p>
        </w:tc>
        <w:tc>
          <w:tcPr>
            <w:tcW w:w="163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项目办公区点采暖，生产不用热，无燃煤锅炉使用</w:t>
            </w:r>
          </w:p>
        </w:tc>
        <w:tc>
          <w:tcPr>
            <w:tcW w:w="44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第二条</w:t>
            </w:r>
          </w:p>
        </w:tc>
        <w:tc>
          <w:tcPr>
            <w:tcW w:w="5941"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二、调整优化产业结构，推动产业转型升级</w:t>
            </w:r>
          </w:p>
          <w:p>
            <w:pPr>
              <w:snapToGrid w:val="0"/>
              <w:spacing w:line="240" w:lineRule="auto"/>
              <w:ind w:firstLine="0" w:firstLineChars="0"/>
              <w:rPr>
                <w:sz w:val="21"/>
                <w:szCs w:val="21"/>
                <w:highlight w:val="none"/>
              </w:rPr>
            </w:pPr>
            <w:r>
              <w:rPr>
                <w:rFonts w:hint="eastAsia"/>
                <w:sz w:val="21"/>
                <w:szCs w:val="21"/>
                <w:highlight w:val="none"/>
              </w:rPr>
              <w:t>1、严控“两高”行业新增产能。严格控制“两高”行业新增产能，新、改、扩建项目要实行产能等量或减量置换；</w:t>
            </w:r>
            <w:r>
              <w:rPr>
                <w:sz w:val="21"/>
                <w:szCs w:val="21"/>
                <w:highlight w:val="none"/>
              </w:rPr>
              <w:t>2</w:t>
            </w:r>
            <w:r>
              <w:rPr>
                <w:rFonts w:hint="eastAsia"/>
                <w:sz w:val="21"/>
                <w:szCs w:val="21"/>
                <w:highlight w:val="none"/>
              </w:rPr>
              <w:t>、加快淘汰落后产能；3、压缩过剩产能；4、停建产能严重过剩行业违规在建项目。</w:t>
            </w:r>
          </w:p>
        </w:tc>
        <w:tc>
          <w:tcPr>
            <w:tcW w:w="163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项目属于铁选厂，不属于“</w:t>
            </w:r>
            <w:r>
              <w:rPr>
                <w:sz w:val="21"/>
                <w:szCs w:val="21"/>
                <w:highlight w:val="none"/>
              </w:rPr>
              <w:t>两高</w:t>
            </w:r>
            <w:r>
              <w:rPr>
                <w:rFonts w:hint="eastAsia"/>
                <w:sz w:val="21"/>
                <w:szCs w:val="21"/>
                <w:highlight w:val="none"/>
              </w:rPr>
              <w:t>” 及产能过剩行业</w:t>
            </w:r>
          </w:p>
        </w:tc>
        <w:tc>
          <w:tcPr>
            <w:tcW w:w="44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第三条</w:t>
            </w:r>
          </w:p>
        </w:tc>
        <w:tc>
          <w:tcPr>
            <w:tcW w:w="5941"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三、加快企业技术改造，提高科技创新能力</w:t>
            </w:r>
          </w:p>
          <w:p>
            <w:pPr>
              <w:snapToGrid w:val="0"/>
              <w:spacing w:line="240" w:lineRule="auto"/>
              <w:ind w:firstLine="0" w:firstLineChars="0"/>
              <w:rPr>
                <w:sz w:val="21"/>
                <w:szCs w:val="21"/>
                <w:highlight w:val="none"/>
              </w:rPr>
            </w:pPr>
            <w:r>
              <w:rPr>
                <w:rFonts w:hint="eastAsia"/>
                <w:sz w:val="21"/>
                <w:szCs w:val="21"/>
                <w:highlight w:val="none"/>
              </w:rPr>
              <w:t>1、强化科技研发和推广；2、全面推行清洁生产；3、大力发展循环经济；4、大力培育节能环保产业。</w:t>
            </w:r>
          </w:p>
        </w:tc>
        <w:tc>
          <w:tcPr>
            <w:tcW w:w="163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本项目推行清洁生产，废石综合利用</w:t>
            </w:r>
          </w:p>
        </w:tc>
        <w:tc>
          <w:tcPr>
            <w:tcW w:w="44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第四条</w:t>
            </w:r>
          </w:p>
        </w:tc>
        <w:tc>
          <w:tcPr>
            <w:tcW w:w="5941"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四、加快调整能源结构，增加清洁能源供应</w:t>
            </w:r>
          </w:p>
          <w:p>
            <w:pPr>
              <w:snapToGrid w:val="0"/>
              <w:spacing w:line="240" w:lineRule="auto"/>
              <w:ind w:firstLine="0" w:firstLineChars="0"/>
              <w:rPr>
                <w:sz w:val="21"/>
                <w:szCs w:val="21"/>
                <w:highlight w:val="none"/>
              </w:rPr>
            </w:pPr>
            <w:r>
              <w:rPr>
                <w:rFonts w:hint="eastAsia"/>
                <w:sz w:val="21"/>
                <w:szCs w:val="21"/>
                <w:highlight w:val="none"/>
              </w:rPr>
              <w:t>1、控制煤炭消费总量；2、加快清洁能源替代利用；3、推进煤炭清洁利用；4、提高能源使用效率。</w:t>
            </w:r>
          </w:p>
        </w:tc>
        <w:tc>
          <w:tcPr>
            <w:tcW w:w="163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项目使用电，属于清洁能源</w:t>
            </w:r>
          </w:p>
        </w:tc>
        <w:tc>
          <w:tcPr>
            <w:tcW w:w="44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第五条</w:t>
            </w:r>
          </w:p>
        </w:tc>
        <w:tc>
          <w:tcPr>
            <w:tcW w:w="5941"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五、严格节能环保准入，优化产业空间布局</w:t>
            </w:r>
          </w:p>
          <w:p>
            <w:pPr>
              <w:snapToGrid w:val="0"/>
              <w:spacing w:line="240" w:lineRule="auto"/>
              <w:ind w:firstLine="0" w:firstLineChars="0"/>
              <w:rPr>
                <w:sz w:val="21"/>
                <w:szCs w:val="21"/>
                <w:highlight w:val="none"/>
              </w:rPr>
            </w:pPr>
            <w:r>
              <w:rPr>
                <w:rFonts w:hint="eastAsia"/>
                <w:sz w:val="21"/>
                <w:szCs w:val="21"/>
                <w:highlight w:val="none"/>
              </w:rPr>
              <w:t>1、调整产业布局；2、强化节能环保指标约束；3、优化空间格局。</w:t>
            </w:r>
          </w:p>
        </w:tc>
        <w:tc>
          <w:tcPr>
            <w:tcW w:w="163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符合准入条件</w:t>
            </w:r>
          </w:p>
        </w:tc>
        <w:tc>
          <w:tcPr>
            <w:tcW w:w="44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第六条</w:t>
            </w:r>
          </w:p>
        </w:tc>
        <w:tc>
          <w:tcPr>
            <w:tcW w:w="5941"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六、发挥市场机制作用，完善环境经济政策</w:t>
            </w:r>
          </w:p>
          <w:p>
            <w:pPr>
              <w:snapToGrid w:val="0"/>
              <w:spacing w:line="240" w:lineRule="auto"/>
              <w:ind w:firstLine="0" w:firstLineChars="0"/>
              <w:rPr>
                <w:sz w:val="21"/>
                <w:szCs w:val="21"/>
                <w:highlight w:val="none"/>
              </w:rPr>
            </w:pPr>
            <w:r>
              <w:rPr>
                <w:rFonts w:hint="eastAsia"/>
                <w:sz w:val="21"/>
                <w:szCs w:val="21"/>
                <w:highlight w:val="none"/>
              </w:rPr>
              <w:t>1、发挥市场机制调节作用；2、完善价格税收政策；3、拓宽投融资渠道。</w:t>
            </w:r>
          </w:p>
        </w:tc>
        <w:tc>
          <w:tcPr>
            <w:tcW w:w="163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不涉及</w:t>
            </w:r>
          </w:p>
        </w:tc>
        <w:tc>
          <w:tcPr>
            <w:tcW w:w="44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第七条</w:t>
            </w:r>
          </w:p>
        </w:tc>
        <w:tc>
          <w:tcPr>
            <w:tcW w:w="5941"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七、健全法律法规体系，严格依法监督管理</w:t>
            </w:r>
          </w:p>
          <w:p>
            <w:pPr>
              <w:snapToGrid w:val="0"/>
              <w:spacing w:line="240" w:lineRule="auto"/>
              <w:ind w:firstLine="0" w:firstLineChars="0"/>
              <w:rPr>
                <w:sz w:val="21"/>
                <w:szCs w:val="21"/>
                <w:highlight w:val="none"/>
              </w:rPr>
            </w:pPr>
            <w:r>
              <w:rPr>
                <w:rFonts w:hint="eastAsia"/>
                <w:sz w:val="21"/>
                <w:szCs w:val="21"/>
                <w:highlight w:val="none"/>
              </w:rPr>
              <w:t>1、完善法律法规标准；2、提高环境监管能力；3、加大环保执法力度；4、实行环境信息公开。</w:t>
            </w:r>
          </w:p>
        </w:tc>
        <w:tc>
          <w:tcPr>
            <w:tcW w:w="163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不涉及</w:t>
            </w:r>
          </w:p>
        </w:tc>
        <w:tc>
          <w:tcPr>
            <w:tcW w:w="44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第八条</w:t>
            </w:r>
          </w:p>
        </w:tc>
        <w:tc>
          <w:tcPr>
            <w:tcW w:w="5941"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八、建立区域协作机制，统筹区域环境治理</w:t>
            </w:r>
          </w:p>
          <w:p>
            <w:pPr>
              <w:snapToGrid w:val="0"/>
              <w:spacing w:line="240" w:lineRule="auto"/>
              <w:ind w:firstLine="0" w:firstLineChars="0"/>
              <w:rPr>
                <w:sz w:val="21"/>
                <w:szCs w:val="21"/>
                <w:highlight w:val="none"/>
              </w:rPr>
            </w:pPr>
            <w:r>
              <w:rPr>
                <w:rFonts w:hint="eastAsia"/>
                <w:sz w:val="21"/>
                <w:szCs w:val="21"/>
                <w:highlight w:val="none"/>
              </w:rPr>
              <w:t>1、建立区域协作机制；2、分解目标任务；3、实行严格责任追究。</w:t>
            </w:r>
          </w:p>
        </w:tc>
        <w:tc>
          <w:tcPr>
            <w:tcW w:w="163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不涉及</w:t>
            </w:r>
          </w:p>
        </w:tc>
        <w:tc>
          <w:tcPr>
            <w:tcW w:w="44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第九条</w:t>
            </w:r>
          </w:p>
        </w:tc>
        <w:tc>
          <w:tcPr>
            <w:tcW w:w="5941"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九、建立监测预警应急体系，妥善应对重污染天气</w:t>
            </w:r>
          </w:p>
          <w:p>
            <w:pPr>
              <w:snapToGrid w:val="0"/>
              <w:spacing w:line="240" w:lineRule="auto"/>
              <w:ind w:firstLine="0" w:firstLineChars="0"/>
              <w:rPr>
                <w:sz w:val="21"/>
                <w:szCs w:val="21"/>
                <w:highlight w:val="none"/>
              </w:rPr>
            </w:pPr>
            <w:r>
              <w:rPr>
                <w:rFonts w:hint="eastAsia"/>
                <w:sz w:val="21"/>
                <w:szCs w:val="21"/>
                <w:highlight w:val="none"/>
              </w:rPr>
              <w:t>1、建立监测预警体系；2、制定完善应急预案；3、及时采取应急措施。</w:t>
            </w:r>
          </w:p>
        </w:tc>
        <w:tc>
          <w:tcPr>
            <w:tcW w:w="163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响应上级重污染天气应急要求</w:t>
            </w:r>
          </w:p>
        </w:tc>
        <w:tc>
          <w:tcPr>
            <w:tcW w:w="44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第十条</w:t>
            </w:r>
          </w:p>
        </w:tc>
        <w:tc>
          <w:tcPr>
            <w:tcW w:w="5941"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十、明确政府企业和社会的责任，动员全民参与环境保护</w:t>
            </w:r>
          </w:p>
          <w:p>
            <w:pPr>
              <w:snapToGrid w:val="0"/>
              <w:spacing w:line="240" w:lineRule="auto"/>
              <w:ind w:firstLine="0" w:firstLineChars="0"/>
              <w:rPr>
                <w:sz w:val="21"/>
                <w:szCs w:val="21"/>
                <w:highlight w:val="none"/>
              </w:rPr>
            </w:pPr>
            <w:r>
              <w:rPr>
                <w:rFonts w:hint="eastAsia"/>
                <w:sz w:val="21"/>
                <w:szCs w:val="21"/>
                <w:highlight w:val="none"/>
              </w:rPr>
              <w:t>1、加强部门协调联动；2、强化企业施治；3、广泛动员社会参与。</w:t>
            </w:r>
          </w:p>
        </w:tc>
        <w:tc>
          <w:tcPr>
            <w:tcW w:w="1631"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强化企业施治</w:t>
            </w:r>
          </w:p>
        </w:tc>
        <w:tc>
          <w:tcPr>
            <w:tcW w:w="44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w:t>
            </w:r>
          </w:p>
        </w:tc>
      </w:tr>
    </w:tbl>
    <w:p>
      <w:pPr>
        <w:keepNext w:val="0"/>
        <w:keepLines w:val="0"/>
        <w:pageBreakBefore w:val="0"/>
        <w:widowControl/>
        <w:kinsoku w:val="0"/>
        <w:wordWrap/>
        <w:overflowPunct/>
        <w:topLinePunct w:val="0"/>
        <w:autoSpaceDE w:val="0"/>
        <w:autoSpaceDN w:val="0"/>
        <w:bidi w:val="0"/>
        <w:adjustRightInd w:val="0"/>
        <w:snapToGrid w:val="0"/>
        <w:spacing w:line="351" w:lineRule="auto"/>
        <w:textAlignment w:val="baseline"/>
        <w:outlineLvl w:val="9"/>
        <w:rPr>
          <w:rFonts w:hint="default" w:ascii="Times New Roman" w:hAnsi="Times New Roman" w:cs="Times New Roman"/>
          <w:sz w:val="21"/>
          <w:highlight w:val="none"/>
        </w:rPr>
      </w:pPr>
      <w:r>
        <w:rPr>
          <w:rFonts w:hint="default" w:ascii="Times New Roman" w:hAnsi="Times New Roman" w:cs="Times New Roman"/>
          <w:highlight w:val="none"/>
        </w:rPr>
        <w:pict>
          <v:shape id="_x0000_s1031" o:spid="_x0000_s1031" style="position:absolute;left:0pt;margin-left:90.15pt;margin-top:49.4pt;height:0.75pt;width:415pt;mso-position-horizontal-relative:page;mso-position-vertical-relative:page;z-index:251661312;mso-width-relative:page;mso-height-relative:page;" fillcolor="#000000" filled="t" stroked="f" coordsize="8300,15" o:allowincell="f" path="m0,0l8300,0,8300,14,0,14,0,0xe">
            <v:path/>
            <v:fill on="t" focussize="0,0"/>
            <v:stroke on="f"/>
            <v:imagedata o:title=""/>
            <o:lock v:ext="edit"/>
          </v:shape>
        </w:pict>
      </w:r>
    </w:p>
    <w:p>
      <w:pPr>
        <w:keepNext w:val="0"/>
        <w:keepLines w:val="0"/>
        <w:pageBreakBefore w:val="0"/>
        <w:widowControl/>
        <w:kinsoku w:val="0"/>
        <w:wordWrap/>
        <w:overflowPunct/>
        <w:topLinePunct w:val="0"/>
        <w:autoSpaceDE w:val="0"/>
        <w:autoSpaceDN w:val="0"/>
        <w:bidi w:val="0"/>
        <w:adjustRightInd w:val="0"/>
        <w:snapToGrid w:val="0"/>
        <w:spacing w:before="74" w:line="228" w:lineRule="auto"/>
        <w:ind w:left="57"/>
        <w:textAlignment w:val="baseline"/>
        <w:outlineLvl w:val="9"/>
        <w:rPr>
          <w:rFonts w:hint="default" w:ascii="Times New Roman" w:hAnsi="Times New Roman" w:eastAsia="Times New Roman" w:cs="Times New Roman"/>
          <w:b/>
          <w:bCs/>
          <w:spacing w:val="12"/>
          <w:sz w:val="23"/>
          <w:szCs w:val="23"/>
          <w:highlight w:val="none"/>
        </w:rPr>
      </w:pPr>
    </w:p>
    <w:p>
      <w:pPr>
        <w:spacing w:before="74" w:line="228" w:lineRule="auto"/>
        <w:ind w:left="57"/>
        <w:outlineLvl w:val="2"/>
        <w:rPr>
          <w:rFonts w:hint="default" w:ascii="Times New Roman" w:hAnsi="Times New Roman" w:eastAsia="宋体" w:cs="Times New Roman"/>
          <w:sz w:val="23"/>
          <w:szCs w:val="23"/>
          <w:highlight w:val="none"/>
        </w:rPr>
      </w:pPr>
      <w:bookmarkStart w:id="30" w:name="_Toc17247"/>
      <w:bookmarkStart w:id="31" w:name="_Toc27978"/>
      <w:bookmarkStart w:id="32" w:name="_Toc14760"/>
      <w:r>
        <w:rPr>
          <w:rFonts w:hint="default" w:ascii="Times New Roman" w:hAnsi="Times New Roman" w:eastAsia="Times New Roman" w:cs="Times New Roman"/>
          <w:b/>
          <w:bCs/>
          <w:spacing w:val="12"/>
          <w:sz w:val="23"/>
          <w:szCs w:val="23"/>
          <w:highlight w:val="none"/>
        </w:rPr>
        <w:t>1</w:t>
      </w:r>
      <w:r>
        <w:rPr>
          <w:rFonts w:hint="default" w:ascii="Times New Roman" w:hAnsi="Times New Roman" w:eastAsia="Times New Roman" w:cs="Times New Roman"/>
          <w:b/>
          <w:bCs/>
          <w:spacing w:val="11"/>
          <w:sz w:val="23"/>
          <w:szCs w:val="23"/>
          <w:highlight w:val="none"/>
        </w:rPr>
        <w:t>.</w:t>
      </w:r>
      <w:r>
        <w:rPr>
          <w:rFonts w:hint="eastAsia" w:ascii="Times New Roman" w:hAnsi="Times New Roman" w:eastAsia="宋体" w:cs="Times New Roman"/>
          <w:b/>
          <w:bCs/>
          <w:spacing w:val="6"/>
          <w:sz w:val="23"/>
          <w:szCs w:val="23"/>
          <w:highlight w:val="none"/>
          <w:lang w:val="en-US" w:eastAsia="zh-CN"/>
        </w:rPr>
        <w:t>4</w:t>
      </w:r>
      <w:r>
        <w:rPr>
          <w:rFonts w:hint="default" w:ascii="Times New Roman" w:hAnsi="Times New Roman" w:eastAsia="Times New Roman" w:cs="Times New Roman"/>
          <w:b/>
          <w:bCs/>
          <w:spacing w:val="6"/>
          <w:sz w:val="23"/>
          <w:szCs w:val="23"/>
          <w:highlight w:val="none"/>
        </w:rPr>
        <w:t>.</w:t>
      </w:r>
      <w:r>
        <w:rPr>
          <w:rFonts w:hint="eastAsia" w:ascii="Times New Roman" w:hAnsi="Times New Roman" w:eastAsia="宋体" w:cs="Times New Roman"/>
          <w:b/>
          <w:bCs/>
          <w:spacing w:val="6"/>
          <w:sz w:val="23"/>
          <w:szCs w:val="23"/>
          <w:highlight w:val="none"/>
          <w:lang w:val="en-US" w:eastAsia="zh-CN"/>
        </w:rPr>
        <w:t>5</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与</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土十条</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相符性分析</w:t>
      </w:r>
      <w:bookmarkEnd w:id="30"/>
      <w:bookmarkEnd w:id="31"/>
      <w:bookmarkEnd w:id="32"/>
    </w:p>
    <w:p>
      <w:pPr>
        <w:spacing w:before="171" w:line="228" w:lineRule="auto"/>
        <w:ind w:left="47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本</w:t>
      </w:r>
      <w:r>
        <w:rPr>
          <w:rFonts w:hint="default" w:ascii="Times New Roman" w:hAnsi="Times New Roman" w:eastAsia="宋体" w:cs="Times New Roman"/>
          <w:spacing w:val="4"/>
          <w:sz w:val="20"/>
          <w:szCs w:val="20"/>
          <w:highlight w:val="none"/>
        </w:rPr>
        <w:t>项目与《土壤污染防治行动计划》  (即</w:t>
      </w:r>
      <w:r>
        <w:rPr>
          <w:rFonts w:hint="default" w:ascii="Times New Roman" w:hAnsi="Times New Roman" w:eastAsia="Times New Roman" w:cs="Times New Roman"/>
          <w:spacing w:val="4"/>
          <w:sz w:val="20"/>
          <w:szCs w:val="20"/>
          <w:highlight w:val="none"/>
        </w:rPr>
        <w:t>“</w:t>
      </w:r>
      <w:r>
        <w:rPr>
          <w:rFonts w:hint="default" w:ascii="Times New Roman" w:hAnsi="Times New Roman" w:eastAsia="宋体" w:cs="Times New Roman"/>
          <w:spacing w:val="4"/>
          <w:sz w:val="20"/>
          <w:szCs w:val="20"/>
          <w:highlight w:val="none"/>
        </w:rPr>
        <w:t>土十条</w:t>
      </w:r>
      <w:r>
        <w:rPr>
          <w:rFonts w:hint="default" w:ascii="Times New Roman" w:hAnsi="Times New Roman" w:eastAsia="Times New Roman" w:cs="Times New Roman"/>
          <w:spacing w:val="4"/>
          <w:sz w:val="20"/>
          <w:szCs w:val="20"/>
          <w:highlight w:val="none"/>
        </w:rPr>
        <w:t>”</w:t>
      </w:r>
      <w:r>
        <w:rPr>
          <w:rFonts w:hint="default" w:ascii="Times New Roman" w:hAnsi="Times New Roman" w:eastAsia="宋体" w:cs="Times New Roman"/>
          <w:spacing w:val="4"/>
          <w:sz w:val="20"/>
          <w:szCs w:val="20"/>
          <w:highlight w:val="none"/>
        </w:rPr>
        <w:t xml:space="preserve">) 的相符性分析见表 </w:t>
      </w:r>
      <w:r>
        <w:rPr>
          <w:rFonts w:hint="default" w:ascii="Times New Roman" w:hAnsi="Times New Roman" w:eastAsia="Times New Roman" w:cs="Times New Roman"/>
          <w:spacing w:val="4"/>
          <w:sz w:val="20"/>
          <w:szCs w:val="20"/>
          <w:highlight w:val="none"/>
        </w:rPr>
        <w:t>1.</w:t>
      </w:r>
      <w:r>
        <w:rPr>
          <w:rFonts w:hint="eastAsia" w:ascii="Times New Roman" w:hAnsi="Times New Roman" w:eastAsia="宋体" w:cs="Times New Roman"/>
          <w:spacing w:val="4"/>
          <w:sz w:val="20"/>
          <w:szCs w:val="20"/>
          <w:highlight w:val="none"/>
          <w:lang w:val="en-US" w:eastAsia="zh-CN"/>
        </w:rPr>
        <w:t>4</w:t>
      </w:r>
      <w:r>
        <w:rPr>
          <w:rFonts w:hint="default" w:ascii="Times New Roman" w:hAnsi="Times New Roman" w:eastAsia="Times New Roman" w:cs="Times New Roman"/>
          <w:spacing w:val="4"/>
          <w:sz w:val="20"/>
          <w:szCs w:val="20"/>
          <w:highlight w:val="none"/>
        </w:rPr>
        <w:t>-3</w:t>
      </w:r>
      <w:r>
        <w:rPr>
          <w:rFonts w:hint="default" w:ascii="Times New Roman" w:hAnsi="Times New Roman" w:eastAsia="宋体" w:cs="Times New Roman"/>
          <w:spacing w:val="4"/>
          <w:sz w:val="20"/>
          <w:szCs w:val="20"/>
          <w:highlight w:val="none"/>
        </w:rPr>
        <w:t>。</w:t>
      </w:r>
    </w:p>
    <w:p>
      <w:pPr>
        <w:spacing w:before="186" w:line="230" w:lineRule="auto"/>
        <w:ind w:left="149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8"/>
          <w:sz w:val="23"/>
          <w:szCs w:val="23"/>
          <w:highlight w:val="none"/>
        </w:rPr>
        <w:t>1.</w:t>
      </w:r>
      <w:r>
        <w:rPr>
          <w:rFonts w:hint="eastAsia" w:ascii="Times New Roman" w:hAnsi="Times New Roman" w:eastAsia="宋体" w:cs="Times New Roman"/>
          <w:b/>
          <w:bCs/>
          <w:spacing w:val="8"/>
          <w:sz w:val="23"/>
          <w:szCs w:val="23"/>
          <w:highlight w:val="none"/>
          <w:lang w:val="en-US" w:eastAsia="zh-CN"/>
        </w:rPr>
        <w:t>4</w:t>
      </w:r>
      <w:r>
        <w:rPr>
          <w:rFonts w:hint="default" w:ascii="Times New Roman" w:hAnsi="Times New Roman" w:eastAsia="Times New Roman" w:cs="Times New Roman"/>
          <w:b/>
          <w:bCs/>
          <w:spacing w:val="8"/>
          <w:sz w:val="23"/>
          <w:szCs w:val="23"/>
          <w:highlight w:val="none"/>
        </w:rPr>
        <w:t>-3</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与《土壤污染防治行动计划》相符性分</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析</w:t>
      </w:r>
    </w:p>
    <w:p>
      <w:pPr>
        <w:spacing w:line="20" w:lineRule="exact"/>
        <w:rPr>
          <w:rFonts w:hint="default" w:ascii="Times New Roman" w:hAnsi="Times New Roman" w:cs="Times New Roman"/>
          <w:highlight w:val="none"/>
        </w:rPr>
      </w:pPr>
    </w:p>
    <w:tbl>
      <w:tblPr>
        <w:tblStyle w:val="15"/>
        <w:tblW w:w="844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596"/>
        <w:gridCol w:w="1319"/>
        <w:gridCol w:w="5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6" w:type="dxa"/>
            <w:tcBorders>
              <w:tl2br w:val="nil"/>
              <w:tr2bl w:val="nil"/>
            </w:tcBorders>
            <w:vAlign w:val="center"/>
          </w:tcPr>
          <w:p>
            <w:pPr>
              <w:snapToGrid w:val="0"/>
              <w:spacing w:line="240" w:lineRule="auto"/>
              <w:ind w:firstLine="0" w:firstLineChars="0"/>
              <w:jc w:val="center"/>
              <w:rPr>
                <w:sz w:val="21"/>
                <w:szCs w:val="21"/>
                <w:highlight w:val="none"/>
              </w:rPr>
            </w:pPr>
            <w:r>
              <w:rPr>
                <w:sz w:val="21"/>
                <w:szCs w:val="21"/>
                <w:highlight w:val="none"/>
              </w:rPr>
              <w:t>行动计划要求</w:t>
            </w:r>
          </w:p>
        </w:tc>
        <w:tc>
          <w:tcPr>
            <w:tcW w:w="1319"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项目拟建</w:t>
            </w:r>
            <w:r>
              <w:rPr>
                <w:sz w:val="21"/>
                <w:szCs w:val="21"/>
                <w:highlight w:val="none"/>
              </w:rPr>
              <w:t>情况</w:t>
            </w:r>
          </w:p>
        </w:tc>
        <w:tc>
          <w:tcPr>
            <w:tcW w:w="527" w:type="dxa"/>
            <w:tcBorders>
              <w:tl2br w:val="nil"/>
              <w:tr2bl w:val="nil"/>
            </w:tcBorders>
            <w:vAlign w:val="center"/>
          </w:tcPr>
          <w:p>
            <w:pPr>
              <w:snapToGrid w:val="0"/>
              <w:spacing w:line="240" w:lineRule="auto"/>
              <w:ind w:firstLine="0" w:firstLineChars="0"/>
              <w:jc w:val="center"/>
              <w:rPr>
                <w:sz w:val="21"/>
                <w:szCs w:val="21"/>
                <w:highlight w:val="none"/>
              </w:rPr>
            </w:pPr>
            <w:r>
              <w:rPr>
                <w:sz w:val="21"/>
                <w:szCs w:val="21"/>
                <w:highlight w:val="none"/>
              </w:rPr>
              <w:t>符合性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6"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六、加强污染源监管，做好土壤污染预防工作</w:t>
            </w:r>
          </w:p>
          <w:p>
            <w:pPr>
              <w:snapToGrid w:val="0"/>
              <w:spacing w:line="240" w:lineRule="auto"/>
              <w:ind w:firstLine="0" w:firstLineChars="0"/>
              <w:rPr>
                <w:sz w:val="21"/>
                <w:szCs w:val="21"/>
                <w:highlight w:val="none"/>
              </w:rPr>
            </w:pPr>
            <w:r>
              <w:rPr>
                <w:rFonts w:hint="eastAsia"/>
                <w:sz w:val="21"/>
                <w:szCs w:val="21"/>
                <w:highlight w:val="none"/>
              </w:rPr>
              <w:t>（十八）严控工矿污染。 严防矿产资源开发污染土壤。自2017年起，内蒙古、江西、河南、湖北、湖南、广东、广西、四川、贵州、云南、陕西、甘肃、新疆等省（区）矿产资源开发活动集中的区域，执行重点污染物特别排放限值。全面整治历史遗留尾矿库，完善覆膜、压土、排洪、堤坝加固等隐患治理和闭库措施。有重点监管尾矿库的企业要开展环境风险评估，完善污染治理设施，储备应急物资。加强对矿产资源开发利用活动的辐射安全监管，有关企业每年要对本矿区土壤进行辐射环境监测。</w:t>
            </w:r>
          </w:p>
        </w:tc>
        <w:tc>
          <w:tcPr>
            <w:tcW w:w="1319"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本项目</w:t>
            </w:r>
            <w:r>
              <w:rPr>
                <w:rFonts w:hint="eastAsia" w:eastAsia="宋体"/>
                <w:sz w:val="21"/>
                <w:szCs w:val="21"/>
                <w:highlight w:val="none"/>
                <w:lang w:val="en-US" w:eastAsia="zh-CN"/>
              </w:rPr>
              <w:t>尾矿干排，</w:t>
            </w:r>
            <w:r>
              <w:rPr>
                <w:rFonts w:hint="eastAsia"/>
                <w:sz w:val="21"/>
                <w:szCs w:val="21"/>
                <w:highlight w:val="none"/>
              </w:rPr>
              <w:t>不设尾矿库</w:t>
            </w:r>
          </w:p>
        </w:tc>
        <w:tc>
          <w:tcPr>
            <w:tcW w:w="527" w:type="dxa"/>
            <w:tcBorders>
              <w:tl2br w:val="nil"/>
              <w:tr2bl w:val="nil"/>
            </w:tcBorders>
            <w:vAlign w:val="center"/>
          </w:tcPr>
          <w:p>
            <w:pPr>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6"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加强工业废物处理处置。全面整治尾矿、煤矸石、工业副产石膏、粉煤灰、赤泥、冶炼渣、电石渣、铬渣、砷渣以及脱硫、脱硝、除尘产生固体废物的堆存场所，完善防扬散、防流失、防渗漏等设施，制定整治方案并有序实施。加强工业固体废物综合利用。对电子废物、废轮胎、废塑料等再生利用活动进行清理整顿，引导有关企业采用先进适用加工工艺、集聚发展，集中建设和运营污染治理设施，防止污染土壤和地下水。自2017年起，在京津冀、长三角、珠三角等地区的部分城市开展污水与污泥、废气与废渣协同治理试点。</w:t>
            </w:r>
          </w:p>
        </w:tc>
        <w:tc>
          <w:tcPr>
            <w:tcW w:w="1319"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本项目不涉及尾矿库，浓密池、清水池等采取防渗措施。</w:t>
            </w:r>
          </w:p>
        </w:tc>
        <w:tc>
          <w:tcPr>
            <w:tcW w:w="527" w:type="dxa"/>
            <w:tcBorders>
              <w:tl2br w:val="nil"/>
              <w:tr2bl w:val="nil"/>
            </w:tcBorders>
            <w:vAlign w:val="center"/>
          </w:tcPr>
          <w:p>
            <w:pPr>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6"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七、开展污染治理与修复，改善区域土壤环境质量（二十一）明确治理与修复主体。按照“谁污染，谁治理”原则，造成土壤污染的单位或个人要承担治理与修复的主体责任。责任主体发生变更的，由变更后继承其债权、债务的单位或个人承担相关责任；土地使用权依法转让的，由土地使用权受让人或双方约定的责任人承担相关责任。责任主体灭失或责任主体不明确的，由所在地县级人民政府依法承担相关责任。</w:t>
            </w:r>
          </w:p>
        </w:tc>
        <w:tc>
          <w:tcPr>
            <w:tcW w:w="1319"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本项目采用磁选工艺，主要设备设施均室内布置</w:t>
            </w:r>
          </w:p>
        </w:tc>
        <w:tc>
          <w:tcPr>
            <w:tcW w:w="527" w:type="dxa"/>
            <w:tcBorders>
              <w:tl2br w:val="nil"/>
              <w:tr2bl w:val="nil"/>
            </w:tcBorders>
            <w:vAlign w:val="center"/>
          </w:tcPr>
          <w:p>
            <w:pPr>
              <w:snapToGrid w:val="0"/>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6"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二十三）有序开展治理与修复。确定治理与修复重点。各地要结合城市环境质量提升和发展布局调整，以拟开发建设居住、商业、学校、医疗和养老机构等项目的污染地块为重点，开展治理与修复。在江西、湖北、湖南、广东、广西、四川、贵州、云南等省份污染耕地集中区域优先组织开展治理与修复；其他省份要根据耕地土壤污染程度、环境风险及其影响范围，确定治理与修复的重点区域。到2020年，受污染耕地治理与修复面积达到1000万亩。</w:t>
            </w:r>
          </w:p>
        </w:tc>
        <w:tc>
          <w:tcPr>
            <w:tcW w:w="1319" w:type="dxa"/>
            <w:vMerge w:val="restart"/>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本项目土地为建设用地，不涉及污染土壤的治理与修复工作。</w:t>
            </w:r>
          </w:p>
        </w:tc>
        <w:tc>
          <w:tcPr>
            <w:tcW w:w="527" w:type="dxa"/>
            <w:vMerge w:val="restart"/>
            <w:tcBorders>
              <w:tl2br w:val="nil"/>
              <w:tr2bl w:val="nil"/>
            </w:tcBorders>
            <w:vAlign w:val="center"/>
          </w:tcPr>
          <w:p>
            <w:pPr>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6" w:type="dxa"/>
            <w:tcBorders>
              <w:tl2br w:val="nil"/>
              <w:tr2bl w:val="nil"/>
            </w:tcBorders>
            <w:vAlign w:val="center"/>
          </w:tcPr>
          <w:p>
            <w:pPr>
              <w:snapToGrid w:val="0"/>
              <w:spacing w:line="240" w:lineRule="auto"/>
              <w:ind w:firstLine="0" w:firstLineChars="0"/>
              <w:rPr>
                <w:sz w:val="21"/>
                <w:szCs w:val="21"/>
                <w:highlight w:val="none"/>
              </w:rPr>
            </w:pPr>
            <w:r>
              <w:rPr>
                <w:rFonts w:hint="eastAsia"/>
                <w:sz w:val="21"/>
                <w:szCs w:val="21"/>
                <w:highlight w:val="none"/>
              </w:rPr>
              <w:t>强化治理与修复工程监管。治理与修复工程原则上在原址进行，并采取必要措施防止污染土壤挖掘、堆存等造成二次污染；需要转运污染土壤的，有关责任单位要将运输时间、方式、线路和污染土壤数量、去向、最终处置措施等，提前向所在地和接收地环境保护部门报告。工程施工期间，责任单位要设立公告牌，公开工程基本情况、环境影响及其防范措施；所在地环境保护部门要对各项环境保护措施落实情况进行检查。工程完工后，责任单位要委托第三方机构对治理与修复效果进行评估，结果向社会公开。实行土壤污染治理与修复终身责任制，2017年底前，出台有关责任追究办法。</w:t>
            </w:r>
          </w:p>
        </w:tc>
        <w:tc>
          <w:tcPr>
            <w:tcW w:w="1319" w:type="dxa"/>
            <w:vMerge w:val="continue"/>
            <w:tcBorders>
              <w:tl2br w:val="nil"/>
              <w:tr2bl w:val="nil"/>
            </w:tcBorders>
            <w:vAlign w:val="center"/>
          </w:tcPr>
          <w:p>
            <w:pPr>
              <w:snapToGrid w:val="0"/>
              <w:spacing w:line="240" w:lineRule="auto"/>
              <w:ind w:firstLine="0" w:firstLineChars="0"/>
              <w:rPr>
                <w:sz w:val="21"/>
                <w:szCs w:val="21"/>
                <w:highlight w:val="none"/>
              </w:rPr>
            </w:pPr>
          </w:p>
        </w:tc>
        <w:tc>
          <w:tcPr>
            <w:tcW w:w="527" w:type="dxa"/>
            <w:vMerge w:val="continue"/>
            <w:tcBorders>
              <w:tl2br w:val="nil"/>
              <w:tr2bl w:val="nil"/>
            </w:tcBorders>
            <w:vAlign w:val="center"/>
          </w:tcPr>
          <w:p>
            <w:pPr>
              <w:snapToGrid w:val="0"/>
              <w:spacing w:line="240" w:lineRule="auto"/>
              <w:ind w:firstLine="0" w:firstLineChars="0"/>
              <w:jc w:val="center"/>
              <w:rPr>
                <w:sz w:val="21"/>
                <w:szCs w:val="21"/>
                <w:highlight w:val="none"/>
              </w:rPr>
            </w:pPr>
          </w:p>
        </w:tc>
      </w:tr>
    </w:tbl>
    <w:p>
      <w:pPr>
        <w:rPr>
          <w:rFonts w:hint="default" w:ascii="Times New Roman" w:hAnsi="Times New Roman" w:cs="Times New Roman"/>
          <w:sz w:val="21"/>
          <w:highlight w:val="none"/>
        </w:rPr>
      </w:pPr>
    </w:p>
    <w:p>
      <w:pPr>
        <w:rPr>
          <w:rFonts w:hint="default" w:ascii="Times New Roman" w:hAnsi="Times New Roman" w:cs="Times New Roman"/>
          <w:highlight w:val="none"/>
        </w:rPr>
        <w:sectPr>
          <w:headerReference r:id="rId7" w:type="default"/>
          <w:footerReference r:id="rId8" w:type="default"/>
          <w:pgSz w:w="11906" w:h="16839"/>
          <w:pgMar w:top="973" w:right="1760" w:bottom="1003" w:left="1760" w:header="654" w:footer="658" w:gutter="0"/>
          <w:pgBorders>
            <w:top w:val="none" w:sz="0" w:space="0"/>
            <w:left w:val="none" w:sz="0" w:space="0"/>
            <w:bottom w:val="none" w:sz="0" w:space="0"/>
            <w:right w:val="none" w:sz="0" w:space="0"/>
          </w:pgBorders>
          <w:pgNumType w:fmt="decimal"/>
          <w:cols w:space="720" w:num="1"/>
        </w:sectPr>
      </w:pPr>
    </w:p>
    <w:p>
      <w:pPr>
        <w:spacing w:line="320"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032" o:spid="_x0000_s1032" style="position:absolute;left:0pt;margin-left:90.15pt;margin-top:46.55pt;height:0.75pt;width:415pt;mso-position-horizontal-relative:page;mso-position-vertical-relative:page;z-index:251662336;mso-width-relative:page;mso-height-relative:page;" fillcolor="#000000" filled="t" stroked="f" coordsize="8300,15" o:allowincell="f" path="m0,0l8300,0,8300,14,0,14,0,0xe">
            <v:path/>
            <v:fill on="t" focussize="0,0"/>
            <v:stroke on="f"/>
            <v:imagedata o:title=""/>
            <o:lock v:ext="edit"/>
          </v:shape>
        </w:pict>
      </w:r>
    </w:p>
    <w:p>
      <w:pPr>
        <w:spacing w:before="75" w:line="228" w:lineRule="auto"/>
        <w:ind w:left="57"/>
        <w:outlineLvl w:val="2"/>
        <w:rPr>
          <w:rFonts w:hint="default" w:ascii="Times New Roman" w:hAnsi="Times New Roman" w:eastAsia="宋体" w:cs="Times New Roman"/>
          <w:sz w:val="23"/>
          <w:szCs w:val="23"/>
          <w:highlight w:val="none"/>
        </w:rPr>
      </w:pPr>
      <w:bookmarkStart w:id="33" w:name="_Toc18064"/>
      <w:bookmarkStart w:id="34" w:name="_Toc18531"/>
      <w:bookmarkStart w:id="35" w:name="_Toc24643"/>
      <w:r>
        <w:rPr>
          <w:rFonts w:hint="default" w:ascii="Times New Roman" w:hAnsi="Times New Roman" w:eastAsia="Times New Roman" w:cs="Times New Roman"/>
          <w:b/>
          <w:bCs/>
          <w:spacing w:val="13"/>
          <w:sz w:val="23"/>
          <w:szCs w:val="23"/>
          <w:highlight w:val="none"/>
        </w:rPr>
        <w:t>1</w:t>
      </w:r>
      <w:r>
        <w:rPr>
          <w:rFonts w:hint="default" w:ascii="Times New Roman" w:hAnsi="Times New Roman" w:eastAsia="Times New Roman" w:cs="Times New Roman"/>
          <w:b/>
          <w:bCs/>
          <w:spacing w:val="8"/>
          <w:sz w:val="23"/>
          <w:szCs w:val="23"/>
          <w:highlight w:val="none"/>
        </w:rPr>
        <w:t>.</w:t>
      </w:r>
      <w:r>
        <w:rPr>
          <w:rFonts w:hint="eastAsia" w:ascii="Times New Roman" w:hAnsi="Times New Roman" w:eastAsia="宋体" w:cs="Times New Roman"/>
          <w:b/>
          <w:bCs/>
          <w:spacing w:val="8"/>
          <w:sz w:val="23"/>
          <w:szCs w:val="23"/>
          <w:highlight w:val="none"/>
          <w:lang w:val="en-US" w:eastAsia="zh-CN"/>
        </w:rPr>
        <w:t>4</w:t>
      </w:r>
      <w:r>
        <w:rPr>
          <w:rFonts w:hint="default" w:ascii="Times New Roman" w:hAnsi="Times New Roman" w:eastAsia="Times New Roman" w:cs="Times New Roman"/>
          <w:b/>
          <w:bCs/>
          <w:spacing w:val="8"/>
          <w:sz w:val="23"/>
          <w:szCs w:val="23"/>
          <w:highlight w:val="none"/>
        </w:rPr>
        <w:t>.6</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与</w:t>
      </w:r>
      <w:r>
        <w:rPr>
          <w:rFonts w:hint="default" w:ascii="Times New Roman" w:hAnsi="Times New Roman" w:eastAsia="Times New Roman" w:cs="Times New Roman"/>
          <w:b/>
          <w:bCs/>
          <w:spacing w:val="8"/>
          <w:sz w:val="23"/>
          <w:szCs w:val="23"/>
          <w:highlight w:val="none"/>
        </w:rPr>
        <w:t>“</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河北省水污染治理工作方案</w:t>
      </w:r>
      <w:r>
        <w:rPr>
          <w:rFonts w:hint="default" w:ascii="Times New Roman" w:hAnsi="Times New Roman" w:eastAsia="Times New Roman" w:cs="Times New Roman"/>
          <w:b/>
          <w:bCs/>
          <w:spacing w:val="8"/>
          <w:sz w:val="23"/>
          <w:szCs w:val="23"/>
          <w:highlight w:val="none"/>
        </w:rPr>
        <w:t>”</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相符性分析</w:t>
      </w:r>
      <w:bookmarkEnd w:id="33"/>
      <w:bookmarkEnd w:id="34"/>
      <w:bookmarkEnd w:id="35"/>
    </w:p>
    <w:p>
      <w:pPr>
        <w:spacing w:before="171" w:line="228" w:lineRule="auto"/>
        <w:ind w:left="47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本项目与</w:t>
      </w:r>
      <w:r>
        <w:rPr>
          <w:rFonts w:hint="default" w:ascii="Times New Roman" w:hAnsi="Times New Roman" w:eastAsia="宋体" w:cs="Times New Roman"/>
          <w:spacing w:val="6"/>
          <w:sz w:val="20"/>
          <w:szCs w:val="20"/>
          <w:highlight w:val="none"/>
        </w:rPr>
        <w:t xml:space="preserve">《河北省水污染防治工作方案》的相符性分析见表 </w:t>
      </w:r>
      <w:r>
        <w:rPr>
          <w:rFonts w:hint="default" w:ascii="Times New Roman" w:hAnsi="Times New Roman" w:eastAsia="Times New Roman" w:cs="Times New Roman"/>
          <w:spacing w:val="6"/>
          <w:sz w:val="20"/>
          <w:szCs w:val="20"/>
          <w:highlight w:val="none"/>
        </w:rPr>
        <w:t>1.</w:t>
      </w:r>
      <w:r>
        <w:rPr>
          <w:rFonts w:hint="eastAsia" w:ascii="Times New Roman" w:hAnsi="Times New Roman" w:eastAsia="宋体" w:cs="Times New Roman"/>
          <w:spacing w:val="6"/>
          <w:sz w:val="20"/>
          <w:szCs w:val="20"/>
          <w:highlight w:val="none"/>
          <w:lang w:val="en-US" w:eastAsia="zh-CN"/>
        </w:rPr>
        <w:t>4</w:t>
      </w:r>
      <w:r>
        <w:rPr>
          <w:rFonts w:hint="default" w:ascii="Times New Roman" w:hAnsi="Times New Roman" w:eastAsia="Times New Roman" w:cs="Times New Roman"/>
          <w:spacing w:val="6"/>
          <w:sz w:val="20"/>
          <w:szCs w:val="20"/>
          <w:highlight w:val="none"/>
        </w:rPr>
        <w:t>-4</w:t>
      </w:r>
      <w:r>
        <w:rPr>
          <w:rFonts w:hint="default" w:ascii="Times New Roman" w:hAnsi="Times New Roman" w:eastAsia="宋体" w:cs="Times New Roman"/>
          <w:spacing w:val="6"/>
          <w:sz w:val="20"/>
          <w:szCs w:val="20"/>
          <w:highlight w:val="none"/>
        </w:rPr>
        <w:t>。</w:t>
      </w:r>
    </w:p>
    <w:p>
      <w:pPr>
        <w:spacing w:before="186" w:line="230" w:lineRule="auto"/>
        <w:ind w:left="113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13"/>
          <w:sz w:val="23"/>
          <w:szCs w:val="23"/>
          <w:highlight w:val="none"/>
        </w:rPr>
        <w:t>1</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4</w:t>
      </w:r>
      <w:r>
        <w:rPr>
          <w:rFonts w:hint="default" w:ascii="Times New Roman" w:hAnsi="Times New Roman" w:eastAsia="Times New Roman" w:cs="Times New Roman"/>
          <w:b/>
          <w:bCs/>
          <w:spacing w:val="7"/>
          <w:sz w:val="23"/>
          <w:szCs w:val="23"/>
          <w:highlight w:val="none"/>
        </w:rPr>
        <w:t>-4</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与《河北省水污染防治工作方案》相符性分析</w:t>
      </w:r>
    </w:p>
    <w:p>
      <w:pPr>
        <w:spacing w:line="19" w:lineRule="exact"/>
        <w:rPr>
          <w:rFonts w:hint="default" w:ascii="Times New Roman" w:hAnsi="Times New Roman" w:cs="Times New Roman"/>
          <w:highlight w:val="none"/>
        </w:rPr>
      </w:pPr>
    </w:p>
    <w:tbl>
      <w:tblPr>
        <w:tblStyle w:val="15"/>
        <w:tblW w:w="844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361"/>
        <w:gridCol w:w="768"/>
        <w:gridCol w:w="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行动计划要求</w:t>
            </w:r>
          </w:p>
        </w:tc>
        <w:tc>
          <w:tcPr>
            <w:tcW w:w="768"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项目情况</w:t>
            </w: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鼓励发展节水高效现代农业、低耗水高新技术产业以及生态保护型旅游业，严格控制缺水地区、水污染严重地区和敏感区域高耗水、高污染行业发展。</w:t>
            </w:r>
          </w:p>
        </w:tc>
        <w:tc>
          <w:tcPr>
            <w:tcW w:w="768" w:type="dxa"/>
            <w:vMerge w:val="restart"/>
            <w:tcBorders>
              <w:tl2br w:val="nil"/>
              <w:tr2bl w:val="nil"/>
            </w:tcBorders>
            <w:vAlign w:val="center"/>
          </w:tcPr>
          <w:p>
            <w:pPr>
              <w:adjustRightInd w:val="0"/>
              <w:snapToGrid w:val="0"/>
              <w:spacing w:line="240" w:lineRule="auto"/>
              <w:ind w:firstLine="0" w:firstLineChars="0"/>
              <w:rPr>
                <w:sz w:val="21"/>
                <w:szCs w:val="21"/>
                <w:highlight w:val="none"/>
              </w:rPr>
            </w:pPr>
            <w:r>
              <w:rPr>
                <w:rFonts w:hint="eastAsia"/>
                <w:sz w:val="21"/>
                <w:szCs w:val="21"/>
                <w:highlight w:val="none"/>
              </w:rPr>
              <w:t>本项目选矿废水经处理循环使用不外排；</w:t>
            </w:r>
            <w:r>
              <w:rPr>
                <w:sz w:val="21"/>
                <w:szCs w:val="21"/>
                <w:highlight w:val="none"/>
              </w:rPr>
              <w:t>不属于过剩产能、落后产能行业，项目废水不外排</w:t>
            </w: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推进污染企业退出。各市于2016年底前，结合化解过剩产能、节能减排和企业兼并重组，出台辖区城市建成区内现有钢铁、造纸、石油化工、制革、印染、食品发酵、原料药制造、化工等污染较重企业搬迁改造或依法关闭实施方案，明确完成时限，推动污染企业有序退出。</w:t>
            </w:r>
          </w:p>
        </w:tc>
        <w:tc>
          <w:tcPr>
            <w:tcW w:w="768" w:type="dxa"/>
            <w:vMerge w:val="continue"/>
            <w:tcBorders>
              <w:tl2br w:val="nil"/>
              <w:tr2bl w:val="nil"/>
            </w:tcBorders>
            <w:vAlign w:val="center"/>
          </w:tcPr>
          <w:p>
            <w:pPr>
              <w:adjustRightInd w:val="0"/>
              <w:snapToGrid w:val="0"/>
              <w:spacing w:line="240" w:lineRule="auto"/>
              <w:ind w:firstLine="0" w:firstLineChars="0"/>
              <w:rPr>
                <w:sz w:val="21"/>
                <w:szCs w:val="21"/>
                <w:highlight w:val="none"/>
              </w:rPr>
            </w:pP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加大落后产能淘汰力度。</w:t>
            </w:r>
          </w:p>
        </w:tc>
        <w:tc>
          <w:tcPr>
            <w:tcW w:w="768" w:type="dxa"/>
            <w:vMerge w:val="continue"/>
            <w:tcBorders>
              <w:tl2br w:val="nil"/>
              <w:tr2bl w:val="nil"/>
            </w:tcBorders>
            <w:vAlign w:val="center"/>
          </w:tcPr>
          <w:p>
            <w:pPr>
              <w:adjustRightInd w:val="0"/>
              <w:snapToGrid w:val="0"/>
              <w:spacing w:line="240" w:lineRule="auto"/>
              <w:ind w:firstLine="0" w:firstLineChars="0"/>
              <w:rPr>
                <w:sz w:val="21"/>
                <w:szCs w:val="21"/>
                <w:highlight w:val="none"/>
              </w:rPr>
            </w:pP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推进产业升级转型。各市要结合实际，推进循环发展和工业企业绿色转型。围绕全省钢铁、水泥、玻璃、焦化、石化、轻工、食品、纺织服装、医药等传统产业，加大技术改造力度，提高节能减排水平和资源综合利用水平，实现向低投入、低消耗、低污染、高产出的“三低一高”转变，突出节能降耗减排治污，大力发展战略性新兴产业。</w:t>
            </w:r>
          </w:p>
        </w:tc>
        <w:tc>
          <w:tcPr>
            <w:tcW w:w="768" w:type="dxa"/>
            <w:vMerge w:val="continue"/>
            <w:tcBorders>
              <w:tl2br w:val="nil"/>
              <w:tr2bl w:val="nil"/>
            </w:tcBorders>
            <w:vAlign w:val="center"/>
          </w:tcPr>
          <w:p>
            <w:pPr>
              <w:adjustRightInd w:val="0"/>
              <w:snapToGrid w:val="0"/>
              <w:spacing w:line="240" w:lineRule="auto"/>
              <w:ind w:firstLine="0" w:firstLineChars="0"/>
              <w:rPr>
                <w:sz w:val="21"/>
                <w:szCs w:val="21"/>
                <w:highlight w:val="none"/>
              </w:rPr>
            </w:pP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严格控制工业污染源排放。全面取缔“十小”落后企业。2016年6月底前，完成全省装备水平低、环保设施差的小型企业排查，制定和实施不符合国家产业政策的小型造纸、制革、印染、染料、炼焦、炼砷、炼硫、炼油、电镀、农药等严重污染水环境的生产项目取缔实施方案，于2016年底前全部取缔。</w:t>
            </w:r>
          </w:p>
        </w:tc>
        <w:tc>
          <w:tcPr>
            <w:tcW w:w="768" w:type="dxa"/>
            <w:vMerge w:val="restart"/>
            <w:tcBorders>
              <w:tl2br w:val="nil"/>
              <w:tr2bl w:val="nil"/>
            </w:tcBorders>
            <w:vAlign w:val="center"/>
          </w:tcPr>
          <w:p>
            <w:pPr>
              <w:adjustRightInd w:val="0"/>
              <w:snapToGrid w:val="0"/>
              <w:spacing w:line="240" w:lineRule="auto"/>
              <w:ind w:firstLine="0" w:firstLineChars="0"/>
              <w:rPr>
                <w:sz w:val="21"/>
                <w:szCs w:val="21"/>
                <w:highlight w:val="none"/>
              </w:rPr>
            </w:pPr>
            <w:r>
              <w:rPr>
                <w:rFonts w:hint="eastAsia"/>
                <w:sz w:val="21"/>
                <w:szCs w:val="21"/>
                <w:highlight w:val="none"/>
              </w:rPr>
              <w:t>企业</w:t>
            </w:r>
            <w:r>
              <w:rPr>
                <w:sz w:val="21"/>
                <w:szCs w:val="21"/>
                <w:highlight w:val="none"/>
              </w:rPr>
              <w:t>不属于 “十小”企业及十大重点行业</w:t>
            </w:r>
            <w:r>
              <w:rPr>
                <w:rFonts w:hint="eastAsia"/>
                <w:sz w:val="21"/>
                <w:szCs w:val="21"/>
                <w:highlight w:val="none"/>
              </w:rPr>
              <w:t>；企业</w:t>
            </w:r>
            <w:r>
              <w:rPr>
                <w:sz w:val="21"/>
                <w:szCs w:val="21"/>
                <w:highlight w:val="none"/>
              </w:rPr>
              <w:t>废水不外排</w:t>
            </w: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专项整治“十大”重点行业。全面排查造纸、焦化、氮肥、有色金属、印染、农副食品加工、原料药制造、制革、农药、电镀等“十大”重点行业水污染物排放情况，到2016年6月底前，出台全省“十大”重点行业专项治理与清洁化改造方案，明确治理目标、任务和期限。</w:t>
            </w:r>
          </w:p>
        </w:tc>
        <w:tc>
          <w:tcPr>
            <w:tcW w:w="768" w:type="dxa"/>
            <w:vMerge w:val="continue"/>
            <w:tcBorders>
              <w:tl2br w:val="nil"/>
              <w:tr2bl w:val="nil"/>
            </w:tcBorders>
            <w:vAlign w:val="center"/>
          </w:tcPr>
          <w:p>
            <w:pPr>
              <w:adjustRightInd w:val="0"/>
              <w:snapToGrid w:val="0"/>
              <w:spacing w:line="240" w:lineRule="auto"/>
              <w:ind w:firstLine="0" w:firstLineChars="0"/>
              <w:rPr>
                <w:sz w:val="21"/>
                <w:szCs w:val="21"/>
                <w:highlight w:val="none"/>
              </w:rPr>
            </w:pP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推动工业企业入园进区。确因不具备入园条件需原地保留的涉水工业企业，须明确保留条件，实施尾水深度处理，实行最严格的排放标准，否则一律予以关停。</w:t>
            </w:r>
          </w:p>
        </w:tc>
        <w:tc>
          <w:tcPr>
            <w:tcW w:w="768" w:type="dxa"/>
            <w:vMerge w:val="restart"/>
            <w:tcBorders>
              <w:tl2br w:val="nil"/>
              <w:tr2bl w:val="nil"/>
            </w:tcBorders>
            <w:vAlign w:val="center"/>
          </w:tcPr>
          <w:p>
            <w:pPr>
              <w:adjustRightInd w:val="0"/>
              <w:snapToGrid w:val="0"/>
              <w:spacing w:line="240" w:lineRule="auto"/>
              <w:ind w:firstLine="0" w:firstLineChars="0"/>
              <w:rPr>
                <w:sz w:val="21"/>
                <w:szCs w:val="21"/>
                <w:highlight w:val="none"/>
              </w:rPr>
            </w:pPr>
            <w:r>
              <w:rPr>
                <w:rFonts w:hint="eastAsia"/>
                <w:sz w:val="21"/>
                <w:szCs w:val="21"/>
                <w:highlight w:val="none"/>
              </w:rPr>
              <w:t>项目无生产生活废水外排，并进行合理防渗，</w:t>
            </w:r>
            <w:r>
              <w:rPr>
                <w:sz w:val="21"/>
                <w:szCs w:val="21"/>
                <w:highlight w:val="none"/>
              </w:rPr>
              <w:t>防止对地下水的污染</w:t>
            </w: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所有排污单位要采取措施确保稳定达标排放。对超标或超排放总量的排污单位依法限产限排或责令停产整治，并及时通报超标排污企业的名单、超标排污时间等信息，对整治仍不能达到要求且情节严重的排污单位依法责令停业、关闭，查封、扣押污染物排放的设施、设备</w:t>
            </w:r>
            <w:r>
              <w:rPr>
                <w:rFonts w:hint="eastAsia"/>
                <w:sz w:val="21"/>
                <w:szCs w:val="21"/>
                <w:highlight w:val="none"/>
              </w:rPr>
              <w:t>。</w:t>
            </w:r>
          </w:p>
        </w:tc>
        <w:tc>
          <w:tcPr>
            <w:tcW w:w="768" w:type="dxa"/>
            <w:vMerge w:val="continue"/>
            <w:tcBorders>
              <w:tl2br w:val="nil"/>
              <w:tr2bl w:val="nil"/>
            </w:tcBorders>
            <w:vAlign w:val="center"/>
          </w:tcPr>
          <w:p>
            <w:pPr>
              <w:adjustRightInd w:val="0"/>
              <w:snapToGrid w:val="0"/>
              <w:spacing w:line="240" w:lineRule="auto"/>
              <w:ind w:firstLine="0" w:firstLineChars="0"/>
              <w:jc w:val="center"/>
              <w:rPr>
                <w:sz w:val="21"/>
                <w:szCs w:val="21"/>
                <w:highlight w:val="none"/>
              </w:rPr>
            </w:pP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严厉打击环境违法行为。重点打击私设暗管或利用渗井、渗坑、矿井、溶洞等排放、倾倒含有毒有害污染物废水、含病原体污水，监测数据弄虚作假，不正常使用水污染物处理设施，或者未经批准拆除、闲置水污染物处理设施等环境违法行为</w:t>
            </w:r>
            <w:r>
              <w:rPr>
                <w:rFonts w:hint="eastAsia"/>
                <w:sz w:val="21"/>
                <w:szCs w:val="21"/>
                <w:highlight w:val="none"/>
              </w:rPr>
              <w:t>。</w:t>
            </w:r>
          </w:p>
        </w:tc>
        <w:tc>
          <w:tcPr>
            <w:tcW w:w="768" w:type="dxa"/>
            <w:vMerge w:val="continue"/>
            <w:tcBorders>
              <w:tl2br w:val="nil"/>
              <w:tr2bl w:val="nil"/>
            </w:tcBorders>
            <w:vAlign w:val="center"/>
          </w:tcPr>
          <w:p>
            <w:pPr>
              <w:adjustRightInd w:val="0"/>
              <w:snapToGrid w:val="0"/>
              <w:spacing w:line="240" w:lineRule="auto"/>
              <w:ind w:firstLine="0" w:firstLineChars="0"/>
              <w:jc w:val="center"/>
              <w:rPr>
                <w:sz w:val="21"/>
                <w:szCs w:val="21"/>
                <w:highlight w:val="none"/>
              </w:rPr>
            </w:pP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shd w:val="clear" w:color="auto" w:fill="auto"/>
            <w:vAlign w:val="center"/>
          </w:tcPr>
          <w:p>
            <w:pPr>
              <w:adjustRightInd w:val="0"/>
              <w:snapToGrid w:val="0"/>
              <w:spacing w:line="240" w:lineRule="auto"/>
              <w:ind w:firstLine="0" w:firstLineChars="0"/>
              <w:rPr>
                <w:sz w:val="21"/>
                <w:szCs w:val="21"/>
                <w:highlight w:val="none"/>
              </w:rPr>
            </w:pPr>
            <w:r>
              <w:rPr>
                <w:rFonts w:hint="eastAsia" w:ascii="宋体" w:hAnsi="宋体" w:cs="宋体"/>
                <w:sz w:val="21"/>
                <w:szCs w:val="21"/>
                <w:highlight w:val="none"/>
              </w:rPr>
              <w:t>加强工业水循环使用，推进矿井水综合利用，煤炭矿区补充用水、周边地区生产和生态用水优先使用矿井水，加强洗煤废水循环利用。推广先进污水深度处理技术，加强高耗水企业废水再生回用。</w:t>
            </w:r>
          </w:p>
        </w:tc>
        <w:tc>
          <w:tcPr>
            <w:tcW w:w="768" w:type="dxa"/>
            <w:vMerge w:val="restart"/>
            <w:tcBorders>
              <w:tl2br w:val="nil"/>
              <w:tr2bl w:val="nil"/>
            </w:tcBorders>
            <w:shd w:val="clear" w:color="auto" w:fill="auto"/>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项目不在地下水超采区，生产废水循环使用，不外排</w:t>
            </w: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1" w:type="dxa"/>
            <w:tcBorders>
              <w:tl2br w:val="nil"/>
              <w:tr2bl w:val="nil"/>
            </w:tcBorders>
            <w:vAlign w:val="center"/>
          </w:tcPr>
          <w:p>
            <w:pPr>
              <w:adjustRightInd w:val="0"/>
              <w:snapToGrid w:val="0"/>
              <w:spacing w:line="240" w:lineRule="auto"/>
              <w:ind w:firstLine="0" w:firstLineChars="0"/>
              <w:rPr>
                <w:sz w:val="21"/>
                <w:szCs w:val="21"/>
                <w:highlight w:val="none"/>
              </w:rPr>
            </w:pPr>
            <w:r>
              <w:rPr>
                <w:sz w:val="21"/>
                <w:szCs w:val="21"/>
                <w:highlight w:val="none"/>
              </w:rPr>
              <w:t>遏制地下水超采。严格控制地下水超采。在唐山、廊坊、保定、沧州、衡水、邢台、邯郸等地面沉降、地裂缝、岩溶塌陷等地质灾害易发区开发利用地下水，应进行地质灾害危险性评估。严格控制深层承压水开采</w:t>
            </w:r>
            <w:r>
              <w:rPr>
                <w:rFonts w:hint="eastAsia"/>
                <w:sz w:val="21"/>
                <w:szCs w:val="21"/>
                <w:highlight w:val="none"/>
              </w:rPr>
              <w:t>。</w:t>
            </w:r>
          </w:p>
        </w:tc>
        <w:tc>
          <w:tcPr>
            <w:tcW w:w="768" w:type="dxa"/>
            <w:vMerge w:val="continue"/>
            <w:tcBorders>
              <w:tl2br w:val="nil"/>
              <w:tr2bl w:val="nil"/>
            </w:tcBorders>
            <w:vAlign w:val="center"/>
          </w:tcPr>
          <w:p>
            <w:pPr>
              <w:adjustRightInd w:val="0"/>
              <w:snapToGrid w:val="0"/>
              <w:spacing w:line="240" w:lineRule="auto"/>
              <w:ind w:firstLine="0" w:firstLineChars="0"/>
              <w:jc w:val="center"/>
              <w:rPr>
                <w:sz w:val="21"/>
                <w:szCs w:val="21"/>
                <w:highlight w:val="none"/>
              </w:rPr>
            </w:pPr>
          </w:p>
        </w:tc>
        <w:tc>
          <w:tcPr>
            <w:tcW w:w="313" w:type="dxa"/>
            <w:tcBorders>
              <w:tl2br w:val="nil"/>
              <w:tr2bl w:val="nil"/>
            </w:tcBorders>
            <w:vAlign w:val="center"/>
          </w:tcPr>
          <w:p>
            <w:pPr>
              <w:adjustRightInd w:val="0"/>
              <w:snapToGrid w:val="0"/>
              <w:spacing w:line="240" w:lineRule="auto"/>
              <w:ind w:firstLine="0" w:firstLineChars="0"/>
              <w:jc w:val="center"/>
              <w:rPr>
                <w:sz w:val="21"/>
                <w:szCs w:val="21"/>
                <w:highlight w:val="none"/>
              </w:rPr>
            </w:pPr>
            <w:r>
              <w:rPr>
                <w:sz w:val="21"/>
                <w:szCs w:val="21"/>
                <w:highlight w:val="none"/>
              </w:rPr>
              <w:t>符合</w:t>
            </w:r>
          </w:p>
        </w:tc>
      </w:tr>
    </w:tbl>
    <w:p>
      <w:pPr>
        <w:rPr>
          <w:rFonts w:hint="default" w:ascii="Times New Roman" w:hAnsi="Times New Roman" w:cs="Times New Roman"/>
          <w:sz w:val="21"/>
          <w:highlight w:val="none"/>
        </w:rPr>
      </w:pPr>
    </w:p>
    <w:p>
      <w:pPr>
        <w:rPr>
          <w:rFonts w:hint="default" w:ascii="Times New Roman" w:hAnsi="Times New Roman" w:cs="Times New Roman"/>
          <w:highlight w:val="none"/>
        </w:rPr>
        <w:sectPr>
          <w:headerReference r:id="rId9" w:type="default"/>
          <w:footerReference r:id="rId10" w:type="default"/>
          <w:pgSz w:w="11906" w:h="16839"/>
          <w:pgMar w:top="916" w:right="1760" w:bottom="946" w:left="1760" w:header="599" w:footer="600" w:gutter="0"/>
          <w:pgBorders>
            <w:top w:val="none" w:sz="0" w:space="0"/>
            <w:left w:val="none" w:sz="0" w:space="0"/>
            <w:bottom w:val="none" w:sz="0" w:space="0"/>
            <w:right w:val="none" w:sz="0" w:space="0"/>
          </w:pgBorders>
          <w:pgNumType w:fmt="decimal"/>
          <w:cols w:space="720" w:num="1"/>
        </w:sectPr>
      </w:pPr>
    </w:p>
    <w:p>
      <w:pPr>
        <w:spacing w:line="320"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033" o:spid="_x0000_s1033" style="position:absolute;left:0pt;margin-left:90.15pt;margin-top:46.55pt;height:0.75pt;width:661.6pt;mso-position-horizontal-relative:page;mso-position-vertical-relative:page;z-index:251663360;mso-width-relative:page;mso-height-relative:page;" fillcolor="#000000" filled="t" stroked="f" coordsize="13231,15" o:allowincell="f" path="m0,0l13231,0,13231,14,0,14,0,0xe">
            <v:path/>
            <v:fill on="t" focussize="0,0"/>
            <v:stroke on="f"/>
            <v:imagedata o:title=""/>
            <o:lock v:ext="edit"/>
          </v:shape>
        </w:pict>
      </w:r>
    </w:p>
    <w:p>
      <w:pPr>
        <w:spacing w:line="320" w:lineRule="auto"/>
        <w:rPr>
          <w:rFonts w:hint="default" w:ascii="Times New Roman" w:hAnsi="Times New Roman" w:cs="Times New Roman"/>
          <w:sz w:val="21"/>
          <w:highlight w:val="none"/>
        </w:rPr>
      </w:pPr>
    </w:p>
    <w:p>
      <w:pPr>
        <w:spacing w:before="75" w:line="230" w:lineRule="auto"/>
        <w:ind w:left="137"/>
        <w:outlineLvl w:val="2"/>
        <w:rPr>
          <w:rFonts w:hint="default" w:ascii="Times New Roman" w:hAnsi="Times New Roman" w:eastAsia="宋体" w:cs="Times New Roman"/>
          <w:sz w:val="23"/>
          <w:szCs w:val="23"/>
          <w:highlight w:val="none"/>
        </w:rPr>
      </w:pPr>
      <w:bookmarkStart w:id="36" w:name="_Toc15837"/>
      <w:bookmarkStart w:id="37" w:name="_Toc8425"/>
      <w:bookmarkStart w:id="38" w:name="_Toc17714"/>
      <w:r>
        <w:rPr>
          <w:rFonts w:hint="default" w:ascii="Times New Roman" w:hAnsi="Times New Roman" w:eastAsia="Times New Roman" w:cs="Times New Roman"/>
          <w:b/>
          <w:bCs/>
          <w:spacing w:val="9"/>
          <w:sz w:val="23"/>
          <w:szCs w:val="23"/>
          <w:highlight w:val="none"/>
        </w:rPr>
        <w:t>1.</w:t>
      </w:r>
      <w:r>
        <w:rPr>
          <w:rFonts w:hint="eastAsia" w:ascii="Times New Roman" w:hAnsi="Times New Roman" w:eastAsia="宋体" w:cs="Times New Roman"/>
          <w:b/>
          <w:bCs/>
          <w:spacing w:val="9"/>
          <w:sz w:val="23"/>
          <w:szCs w:val="23"/>
          <w:highlight w:val="none"/>
          <w:lang w:val="en-US" w:eastAsia="zh-CN"/>
        </w:rPr>
        <w:t>4</w:t>
      </w:r>
      <w:r>
        <w:rPr>
          <w:rFonts w:hint="default" w:ascii="Times New Roman" w:hAnsi="Times New Roman" w:eastAsia="Times New Roman" w:cs="Times New Roman"/>
          <w:b/>
          <w:bCs/>
          <w:spacing w:val="9"/>
          <w:sz w:val="23"/>
          <w:szCs w:val="23"/>
          <w:highlight w:val="none"/>
        </w:rPr>
        <w:t>.7</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14:textOutline w14:w="4358" w14:cap="sq" w14:cmpd="sng">
            <w14:solidFill>
              <w14:srgbClr w14:val="000000"/>
            </w14:solidFill>
            <w14:prstDash w14:val="solid"/>
            <w14:bevel/>
          </w14:textOutline>
        </w:rPr>
        <w:t>与《遵化市铁选矿综合治理工作实施方案》相符性分</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析</w:t>
      </w:r>
      <w:bookmarkEnd w:id="36"/>
      <w:bookmarkEnd w:id="37"/>
      <w:bookmarkEnd w:id="38"/>
    </w:p>
    <w:p>
      <w:pPr>
        <w:spacing w:line="256" w:lineRule="auto"/>
        <w:rPr>
          <w:rFonts w:hint="default" w:ascii="Times New Roman" w:hAnsi="Times New Roman" w:cs="Times New Roman"/>
          <w:sz w:val="21"/>
          <w:highlight w:val="none"/>
        </w:rPr>
      </w:pPr>
    </w:p>
    <w:p>
      <w:pPr>
        <w:spacing w:before="75" w:line="227" w:lineRule="auto"/>
        <w:ind w:left="6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 xml:space="preserve">本项目与《遵化市铁选矿综合治理工作实施方案》的相符性分析见表 </w:t>
      </w:r>
      <w:r>
        <w:rPr>
          <w:rFonts w:hint="default" w:ascii="Times New Roman" w:hAnsi="Times New Roman" w:eastAsia="Times New Roman" w:cs="Times New Roman"/>
          <w:spacing w:val="7"/>
          <w:sz w:val="23"/>
          <w:szCs w:val="23"/>
          <w:highlight w:val="none"/>
        </w:rPr>
        <w:t>1.</w:t>
      </w:r>
      <w:r>
        <w:rPr>
          <w:rFonts w:hint="eastAsia" w:ascii="Times New Roman" w:hAnsi="Times New Roman" w:eastAsia="宋体" w:cs="Times New Roman"/>
          <w:spacing w:val="7"/>
          <w:sz w:val="23"/>
          <w:szCs w:val="23"/>
          <w:highlight w:val="none"/>
          <w:lang w:val="en-US" w:eastAsia="zh-CN"/>
        </w:rPr>
        <w:t>4</w:t>
      </w:r>
      <w:r>
        <w:rPr>
          <w:rFonts w:hint="default" w:ascii="Times New Roman" w:hAnsi="Times New Roman" w:eastAsia="Times New Roman" w:cs="Times New Roman"/>
          <w:spacing w:val="7"/>
          <w:sz w:val="23"/>
          <w:szCs w:val="23"/>
          <w:highlight w:val="none"/>
        </w:rPr>
        <w:t>-</w:t>
      </w:r>
      <w:r>
        <w:rPr>
          <w:rFonts w:hint="eastAsia" w:ascii="Times New Roman" w:hAnsi="Times New Roman" w:eastAsia="宋体" w:cs="Times New Roman"/>
          <w:spacing w:val="7"/>
          <w:sz w:val="23"/>
          <w:szCs w:val="23"/>
          <w:highlight w:val="none"/>
          <w:lang w:val="en-US" w:eastAsia="zh-CN"/>
        </w:rPr>
        <w:t>5</w:t>
      </w:r>
      <w:r>
        <w:rPr>
          <w:rFonts w:hint="default" w:ascii="Times New Roman" w:hAnsi="Times New Roman" w:eastAsia="宋体" w:cs="Times New Roman"/>
          <w:spacing w:val="2"/>
          <w:sz w:val="23"/>
          <w:szCs w:val="23"/>
          <w:highlight w:val="none"/>
        </w:rPr>
        <w:t>。</w:t>
      </w:r>
    </w:p>
    <w:p>
      <w:pPr>
        <w:spacing w:before="215" w:line="230" w:lineRule="auto"/>
        <w:ind w:left="319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14"/>
          <w:sz w:val="23"/>
          <w:szCs w:val="23"/>
          <w:highlight w:val="none"/>
        </w:rPr>
        <w:t>1.</w:t>
      </w:r>
      <w:r>
        <w:rPr>
          <w:rFonts w:hint="eastAsia" w:ascii="Times New Roman" w:hAnsi="Times New Roman" w:eastAsia="宋体" w:cs="Times New Roman"/>
          <w:b/>
          <w:bCs/>
          <w:spacing w:val="14"/>
          <w:sz w:val="23"/>
          <w:szCs w:val="23"/>
          <w:highlight w:val="none"/>
          <w:lang w:val="en-US" w:eastAsia="zh-CN"/>
        </w:rPr>
        <w:t>4</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5</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与《遵化市铁选矿综合治理工作实施方案》相符性分析</w:t>
      </w:r>
    </w:p>
    <w:p>
      <w:pPr>
        <w:spacing w:line="19" w:lineRule="exact"/>
        <w:rPr>
          <w:rFonts w:hint="default" w:ascii="Times New Roman" w:hAnsi="Times New Roman" w:cs="Times New Roman"/>
          <w:highlight w:val="none"/>
        </w:rPr>
      </w:pPr>
    </w:p>
    <w:tbl>
      <w:tblPr>
        <w:tblStyle w:val="15"/>
        <w:tblW w:w="14174" w:type="dxa"/>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70"/>
        <w:gridCol w:w="6177"/>
        <w:gridCol w:w="6305"/>
        <w:gridCol w:w="82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blHeader/>
        </w:trPr>
        <w:tc>
          <w:tcPr>
            <w:tcW w:w="870" w:type="dxa"/>
            <w:vAlign w:val="center"/>
          </w:tcPr>
          <w:p>
            <w:pPr>
              <w:spacing w:line="240" w:lineRule="auto"/>
              <w:ind w:firstLine="0" w:firstLineChars="0"/>
              <w:jc w:val="center"/>
              <w:rPr>
                <w:bCs/>
                <w:sz w:val="21"/>
                <w:szCs w:val="21"/>
                <w:highlight w:val="none"/>
              </w:rPr>
            </w:pPr>
            <w:r>
              <w:rPr>
                <w:rFonts w:hint="eastAsia" w:cs="宋体"/>
                <w:bCs/>
                <w:sz w:val="21"/>
                <w:szCs w:val="21"/>
                <w:highlight w:val="none"/>
              </w:rPr>
              <w:t>内容</w:t>
            </w:r>
          </w:p>
        </w:tc>
        <w:tc>
          <w:tcPr>
            <w:tcW w:w="6177" w:type="dxa"/>
            <w:vAlign w:val="center"/>
          </w:tcPr>
          <w:p>
            <w:pPr>
              <w:spacing w:line="240" w:lineRule="auto"/>
              <w:ind w:firstLine="0" w:firstLineChars="0"/>
              <w:jc w:val="center"/>
              <w:rPr>
                <w:rFonts w:cs="宋体"/>
                <w:bCs/>
                <w:sz w:val="21"/>
                <w:szCs w:val="21"/>
                <w:highlight w:val="none"/>
              </w:rPr>
            </w:pPr>
            <w:r>
              <w:rPr>
                <w:rFonts w:hint="eastAsia" w:hAnsi="宋体"/>
                <w:bCs/>
                <w:sz w:val="21"/>
                <w:szCs w:val="21"/>
                <w:highlight w:val="none"/>
              </w:rPr>
              <w:t>《遵化市铁选矿综合治理工作实施方案》</w:t>
            </w:r>
            <w:r>
              <w:rPr>
                <w:rFonts w:hint="eastAsia" w:cs="宋体"/>
                <w:bCs/>
                <w:sz w:val="21"/>
                <w:szCs w:val="21"/>
                <w:highlight w:val="none"/>
              </w:rPr>
              <w:t>要求</w:t>
            </w:r>
          </w:p>
        </w:tc>
        <w:tc>
          <w:tcPr>
            <w:tcW w:w="6305" w:type="dxa"/>
            <w:vAlign w:val="center"/>
          </w:tcPr>
          <w:p>
            <w:pPr>
              <w:spacing w:line="240" w:lineRule="auto"/>
              <w:ind w:firstLine="0" w:firstLineChars="0"/>
              <w:jc w:val="center"/>
              <w:rPr>
                <w:bCs/>
                <w:sz w:val="21"/>
                <w:szCs w:val="21"/>
                <w:highlight w:val="none"/>
              </w:rPr>
            </w:pPr>
            <w:r>
              <w:rPr>
                <w:rFonts w:hint="eastAsia"/>
                <w:sz w:val="21"/>
                <w:szCs w:val="21"/>
                <w:highlight w:val="none"/>
              </w:rPr>
              <w:t>项目拟建</w:t>
            </w:r>
            <w:r>
              <w:rPr>
                <w:sz w:val="21"/>
                <w:szCs w:val="21"/>
                <w:highlight w:val="none"/>
              </w:rPr>
              <w:t>情况</w:t>
            </w:r>
          </w:p>
        </w:tc>
        <w:tc>
          <w:tcPr>
            <w:tcW w:w="822" w:type="dxa"/>
            <w:vAlign w:val="center"/>
          </w:tcPr>
          <w:p>
            <w:pPr>
              <w:spacing w:line="240" w:lineRule="auto"/>
              <w:ind w:firstLine="0" w:firstLineChars="0"/>
              <w:jc w:val="center"/>
              <w:rPr>
                <w:rFonts w:cs="宋体"/>
                <w:bCs/>
                <w:sz w:val="21"/>
                <w:szCs w:val="21"/>
                <w:highlight w:val="none"/>
              </w:rPr>
            </w:pPr>
            <w:r>
              <w:rPr>
                <w:rFonts w:hint="eastAsia" w:cs="宋体"/>
                <w:bCs/>
                <w:sz w:val="21"/>
                <w:szCs w:val="21"/>
                <w:highlight w:val="none"/>
              </w:rPr>
              <w:t>符合性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sz w:val="21"/>
                <w:szCs w:val="21"/>
                <w:highlight w:val="none"/>
              </w:rPr>
            </w:pPr>
            <w:r>
              <w:rPr>
                <w:rFonts w:hint="eastAsia" w:cs="宋体"/>
                <w:sz w:val="21"/>
                <w:szCs w:val="21"/>
                <w:highlight w:val="none"/>
              </w:rPr>
              <w:t>原料堆场</w:t>
            </w:r>
          </w:p>
        </w:tc>
        <w:tc>
          <w:tcPr>
            <w:tcW w:w="6177" w:type="dxa"/>
            <w:vAlign w:val="center"/>
          </w:tcPr>
          <w:p>
            <w:pPr>
              <w:spacing w:line="240" w:lineRule="auto"/>
              <w:ind w:firstLine="0" w:firstLineChars="0"/>
              <w:jc w:val="center"/>
              <w:rPr>
                <w:sz w:val="21"/>
                <w:szCs w:val="21"/>
                <w:highlight w:val="none"/>
              </w:rPr>
            </w:pPr>
            <w:r>
              <w:rPr>
                <w:rFonts w:hint="eastAsia" w:hAnsi="宋体"/>
                <w:bCs/>
                <w:sz w:val="21"/>
                <w:szCs w:val="21"/>
                <w:highlight w:val="none"/>
              </w:rPr>
              <w:t>原料堆场不能露天堆放，设置原料库，加装喷淋抑尘装置。</w:t>
            </w:r>
          </w:p>
        </w:tc>
        <w:tc>
          <w:tcPr>
            <w:tcW w:w="6305" w:type="dxa"/>
            <w:vAlign w:val="center"/>
          </w:tcPr>
          <w:p>
            <w:pPr>
              <w:spacing w:line="240" w:lineRule="auto"/>
              <w:ind w:firstLine="0" w:firstLineChars="0"/>
              <w:jc w:val="center"/>
              <w:rPr>
                <w:sz w:val="21"/>
                <w:szCs w:val="21"/>
                <w:highlight w:val="none"/>
              </w:rPr>
            </w:pPr>
            <w:r>
              <w:rPr>
                <w:rFonts w:hint="eastAsia"/>
                <w:bCs/>
                <w:sz w:val="21"/>
                <w:szCs w:val="21"/>
                <w:highlight w:val="none"/>
              </w:rPr>
              <w:t>原料</w:t>
            </w:r>
            <w:r>
              <w:rPr>
                <w:rFonts w:hint="eastAsia"/>
                <w:bCs/>
                <w:sz w:val="21"/>
                <w:szCs w:val="21"/>
                <w:highlight w:val="none"/>
                <w:lang w:val="en-US" w:eastAsia="zh-CN"/>
              </w:rPr>
              <w:t>不在厂区</w:t>
            </w:r>
            <w:r>
              <w:rPr>
                <w:rFonts w:hint="eastAsia"/>
                <w:bCs/>
                <w:sz w:val="21"/>
                <w:szCs w:val="21"/>
                <w:highlight w:val="none"/>
              </w:rPr>
              <w:t>堆存</w:t>
            </w:r>
            <w:r>
              <w:rPr>
                <w:rFonts w:hint="eastAsia" w:cs="宋体"/>
                <w:sz w:val="21"/>
                <w:szCs w:val="21"/>
                <w:highlight w:val="none"/>
                <w:lang w:eastAsia="zh-CN"/>
              </w:rPr>
              <w:t>，</w:t>
            </w:r>
            <w:r>
              <w:rPr>
                <w:rFonts w:hint="eastAsia" w:cs="宋体"/>
                <w:sz w:val="21"/>
                <w:szCs w:val="21"/>
                <w:highlight w:val="none"/>
                <w:lang w:val="en-US" w:eastAsia="zh-CN"/>
              </w:rPr>
              <w:t>运输车辆直接将原料卸入受料仓，</w:t>
            </w:r>
            <w:r>
              <w:rPr>
                <w:rFonts w:hint="eastAsia" w:cs="宋体"/>
                <w:sz w:val="21"/>
                <w:szCs w:val="21"/>
                <w:highlight w:val="none"/>
              </w:rPr>
              <w:t>受料仓设置喷淋抑尘装置</w:t>
            </w:r>
            <w:r>
              <w:rPr>
                <w:rFonts w:hint="eastAsia" w:cs="宋体"/>
                <w:sz w:val="21"/>
                <w:szCs w:val="21"/>
                <w:highlight w:val="none"/>
                <w:lang w:eastAsia="zh-CN"/>
              </w:rPr>
              <w:t>。</w:t>
            </w:r>
          </w:p>
        </w:tc>
        <w:tc>
          <w:tcPr>
            <w:tcW w:w="822" w:type="dxa"/>
            <w:vAlign w:val="center"/>
          </w:tcPr>
          <w:p>
            <w:pPr>
              <w:spacing w:line="240" w:lineRule="auto"/>
              <w:ind w:firstLine="0" w:firstLineChars="0"/>
              <w:jc w:val="center"/>
              <w:rPr>
                <w:rFonts w:hAnsi="宋体"/>
                <w:bCs/>
                <w:sz w:val="21"/>
                <w:szCs w:val="21"/>
                <w:highlight w:val="none"/>
              </w:rPr>
            </w:pPr>
            <w:r>
              <w:rPr>
                <w:rFonts w:hint="eastAsia" w:hAnsi="宋体"/>
                <w:bCs/>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sz w:val="21"/>
                <w:szCs w:val="21"/>
                <w:highlight w:val="none"/>
              </w:rPr>
            </w:pPr>
            <w:r>
              <w:rPr>
                <w:rFonts w:hint="eastAsia" w:cs="宋体"/>
                <w:sz w:val="21"/>
                <w:szCs w:val="21"/>
                <w:highlight w:val="none"/>
              </w:rPr>
              <w:t>尾矿库</w:t>
            </w:r>
          </w:p>
        </w:tc>
        <w:tc>
          <w:tcPr>
            <w:tcW w:w="6177" w:type="dxa"/>
            <w:vAlign w:val="center"/>
          </w:tcPr>
          <w:p>
            <w:pPr>
              <w:spacing w:line="240" w:lineRule="auto"/>
              <w:ind w:firstLine="0" w:firstLineChars="0"/>
              <w:jc w:val="center"/>
              <w:rPr>
                <w:sz w:val="21"/>
                <w:szCs w:val="21"/>
                <w:highlight w:val="none"/>
              </w:rPr>
            </w:pPr>
            <w:r>
              <w:rPr>
                <w:rFonts w:hint="eastAsia" w:cs="宋体"/>
                <w:sz w:val="21"/>
                <w:szCs w:val="21"/>
                <w:highlight w:val="none"/>
              </w:rPr>
              <w:t>尾矿库铺设喷淋管路实施喷淋抑尘，堆存及卸料作业采取喷淋抑尘措施，并及时清运。</w:t>
            </w:r>
          </w:p>
        </w:tc>
        <w:tc>
          <w:tcPr>
            <w:tcW w:w="6305" w:type="dxa"/>
            <w:vAlign w:val="center"/>
          </w:tcPr>
          <w:p>
            <w:pPr>
              <w:spacing w:line="240" w:lineRule="auto"/>
              <w:ind w:firstLine="0" w:firstLineChars="0"/>
              <w:jc w:val="center"/>
              <w:rPr>
                <w:sz w:val="21"/>
                <w:szCs w:val="21"/>
                <w:highlight w:val="none"/>
              </w:rPr>
            </w:pPr>
            <w:r>
              <w:rPr>
                <w:rFonts w:hint="eastAsia"/>
                <w:sz w:val="21"/>
                <w:szCs w:val="21"/>
                <w:highlight w:val="none"/>
              </w:rPr>
              <w:t>本项目不建设尾矿库。</w:t>
            </w:r>
          </w:p>
        </w:tc>
        <w:tc>
          <w:tcPr>
            <w:tcW w:w="822"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sz w:val="21"/>
                <w:szCs w:val="21"/>
                <w:highlight w:val="none"/>
              </w:rPr>
            </w:pPr>
            <w:r>
              <w:rPr>
                <w:rFonts w:hint="eastAsia" w:cs="宋体"/>
                <w:sz w:val="21"/>
                <w:szCs w:val="21"/>
                <w:highlight w:val="none"/>
              </w:rPr>
              <w:t>受料仓</w:t>
            </w:r>
          </w:p>
        </w:tc>
        <w:tc>
          <w:tcPr>
            <w:tcW w:w="6177" w:type="dxa"/>
            <w:vAlign w:val="center"/>
          </w:tcPr>
          <w:p>
            <w:pPr>
              <w:spacing w:line="240" w:lineRule="auto"/>
              <w:ind w:firstLine="0" w:firstLineChars="0"/>
              <w:jc w:val="center"/>
              <w:rPr>
                <w:sz w:val="21"/>
                <w:szCs w:val="21"/>
                <w:highlight w:val="none"/>
              </w:rPr>
            </w:pPr>
            <w:r>
              <w:rPr>
                <w:rFonts w:hint="eastAsia" w:cs="宋体"/>
                <w:sz w:val="21"/>
                <w:szCs w:val="21"/>
                <w:highlight w:val="none"/>
              </w:rPr>
              <w:t>一级破碎受料仓要建三面围挡并带顶的料棚，料棚进深尺度不小于</w:t>
            </w:r>
            <w:r>
              <w:rPr>
                <w:sz w:val="21"/>
                <w:szCs w:val="21"/>
                <w:highlight w:val="none"/>
              </w:rPr>
              <w:t>8</w:t>
            </w:r>
            <w:r>
              <w:rPr>
                <w:rFonts w:hint="eastAsia" w:cs="宋体"/>
                <w:sz w:val="21"/>
                <w:szCs w:val="21"/>
                <w:highlight w:val="none"/>
              </w:rPr>
              <w:t>米，受料仓设置除尘器或喷淋抑尘装置，有效防止卸料扬尘外溢，受料仓围挡发生破损时必须及时维修完善。</w:t>
            </w:r>
          </w:p>
        </w:tc>
        <w:tc>
          <w:tcPr>
            <w:tcW w:w="6305" w:type="dxa"/>
            <w:vAlign w:val="center"/>
          </w:tcPr>
          <w:p>
            <w:pPr>
              <w:spacing w:line="240" w:lineRule="auto"/>
              <w:ind w:firstLine="0" w:firstLineChars="0"/>
              <w:jc w:val="center"/>
              <w:rPr>
                <w:rFonts w:cs="宋体"/>
                <w:sz w:val="21"/>
                <w:szCs w:val="21"/>
                <w:highlight w:val="none"/>
              </w:rPr>
            </w:pPr>
            <w:r>
              <w:rPr>
                <w:rFonts w:hint="eastAsia"/>
                <w:bCs/>
                <w:sz w:val="21"/>
                <w:szCs w:val="21"/>
                <w:highlight w:val="none"/>
              </w:rPr>
              <w:t>原料</w:t>
            </w:r>
            <w:r>
              <w:rPr>
                <w:rFonts w:hint="eastAsia"/>
                <w:bCs/>
                <w:sz w:val="21"/>
                <w:szCs w:val="21"/>
                <w:highlight w:val="none"/>
                <w:lang w:val="en-US" w:eastAsia="zh-CN"/>
              </w:rPr>
              <w:t>不在厂区</w:t>
            </w:r>
            <w:r>
              <w:rPr>
                <w:rFonts w:hint="eastAsia"/>
                <w:bCs/>
                <w:sz w:val="21"/>
                <w:szCs w:val="21"/>
                <w:highlight w:val="none"/>
              </w:rPr>
              <w:t>堆存，</w:t>
            </w:r>
            <w:r>
              <w:rPr>
                <w:bCs/>
                <w:sz w:val="21"/>
                <w:szCs w:val="21"/>
                <w:highlight w:val="none"/>
              </w:rPr>
              <w:t>设置</w:t>
            </w:r>
            <w:r>
              <w:rPr>
                <w:rFonts w:hint="eastAsia" w:cs="宋体"/>
                <w:sz w:val="21"/>
                <w:szCs w:val="21"/>
                <w:highlight w:val="none"/>
              </w:rPr>
              <w:t>建</w:t>
            </w:r>
            <w:r>
              <w:rPr>
                <w:rFonts w:hint="eastAsia" w:cs="宋体"/>
                <w:sz w:val="21"/>
                <w:szCs w:val="21"/>
                <w:highlight w:val="none"/>
                <w:lang w:val="en-US" w:eastAsia="zh-CN"/>
              </w:rPr>
              <w:t>有</w:t>
            </w:r>
            <w:r>
              <w:rPr>
                <w:rFonts w:hint="eastAsia" w:cs="宋体"/>
                <w:sz w:val="21"/>
                <w:szCs w:val="21"/>
                <w:highlight w:val="none"/>
              </w:rPr>
              <w:t>三面围挡并带顶的料棚，料棚进深尺度不小于</w:t>
            </w:r>
            <w:r>
              <w:rPr>
                <w:sz w:val="21"/>
                <w:szCs w:val="21"/>
                <w:highlight w:val="none"/>
              </w:rPr>
              <w:t>8</w:t>
            </w:r>
            <w:r>
              <w:rPr>
                <w:rFonts w:hint="eastAsia" w:cs="宋体"/>
                <w:sz w:val="21"/>
                <w:szCs w:val="21"/>
                <w:highlight w:val="none"/>
              </w:rPr>
              <w:t>米，受料仓设置喷淋抑尘装置</w:t>
            </w:r>
            <w:r>
              <w:rPr>
                <w:rFonts w:hint="eastAsia" w:cs="宋体"/>
                <w:sz w:val="21"/>
                <w:szCs w:val="21"/>
                <w:highlight w:val="none"/>
                <w:lang w:eastAsia="zh-CN"/>
              </w:rPr>
              <w:t>，</w:t>
            </w:r>
            <w:r>
              <w:rPr>
                <w:rFonts w:hint="eastAsia" w:cs="宋体"/>
                <w:sz w:val="21"/>
                <w:szCs w:val="21"/>
                <w:highlight w:val="none"/>
              </w:rPr>
              <w:t>发现受料仓围挡发生破损时，及时维修完善</w:t>
            </w:r>
            <w:r>
              <w:rPr>
                <w:rFonts w:hint="eastAsia" w:cs="宋体"/>
                <w:sz w:val="21"/>
                <w:szCs w:val="21"/>
                <w:highlight w:val="none"/>
                <w:lang w:eastAsia="zh-CN"/>
              </w:rPr>
              <w:t>，</w:t>
            </w:r>
            <w:r>
              <w:rPr>
                <w:rFonts w:hint="eastAsia" w:cs="宋体"/>
                <w:sz w:val="21"/>
                <w:szCs w:val="21"/>
                <w:highlight w:val="none"/>
                <w:lang w:val="en-US" w:eastAsia="zh-CN"/>
              </w:rPr>
              <w:t>运输车辆直接将原料卸入受料仓，不在厂区堆存</w:t>
            </w:r>
            <w:r>
              <w:rPr>
                <w:rFonts w:hint="eastAsia"/>
                <w:sz w:val="21"/>
                <w:szCs w:val="21"/>
                <w:highlight w:val="none"/>
              </w:rPr>
              <w:t>。</w:t>
            </w:r>
          </w:p>
        </w:tc>
        <w:tc>
          <w:tcPr>
            <w:tcW w:w="822"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sz w:val="21"/>
                <w:szCs w:val="21"/>
                <w:highlight w:val="none"/>
              </w:rPr>
            </w:pPr>
            <w:r>
              <w:rPr>
                <w:rFonts w:hint="eastAsia" w:cs="宋体"/>
                <w:sz w:val="21"/>
                <w:szCs w:val="21"/>
                <w:highlight w:val="none"/>
              </w:rPr>
              <w:t>破碎及磁选</w:t>
            </w:r>
          </w:p>
        </w:tc>
        <w:tc>
          <w:tcPr>
            <w:tcW w:w="6177" w:type="dxa"/>
            <w:vAlign w:val="center"/>
          </w:tcPr>
          <w:p>
            <w:pPr>
              <w:spacing w:line="240" w:lineRule="auto"/>
              <w:ind w:firstLine="0" w:firstLineChars="0"/>
              <w:jc w:val="center"/>
              <w:rPr>
                <w:sz w:val="21"/>
                <w:szCs w:val="21"/>
                <w:highlight w:val="none"/>
              </w:rPr>
            </w:pPr>
            <w:r>
              <w:rPr>
                <w:rFonts w:hint="eastAsia" w:cs="宋体"/>
                <w:sz w:val="21"/>
                <w:szCs w:val="21"/>
                <w:highlight w:val="none"/>
              </w:rPr>
              <w:t>一级破碎、二级破碎及球磨机设备必须全部建设封闭式厂房，并配套建设抑尘、除尘设施</w:t>
            </w:r>
            <w:r>
              <w:rPr>
                <w:sz w:val="21"/>
                <w:szCs w:val="21"/>
                <w:highlight w:val="none"/>
              </w:rPr>
              <w:t>,</w:t>
            </w:r>
            <w:r>
              <w:rPr>
                <w:rFonts w:hint="eastAsia" w:cs="宋体"/>
                <w:sz w:val="21"/>
                <w:szCs w:val="21"/>
                <w:highlight w:val="none"/>
              </w:rPr>
              <w:t>除尘器排气筒高度不低于</w:t>
            </w:r>
            <w:r>
              <w:rPr>
                <w:sz w:val="21"/>
                <w:szCs w:val="21"/>
                <w:highlight w:val="none"/>
              </w:rPr>
              <w:t>15</w:t>
            </w:r>
            <w:r>
              <w:rPr>
                <w:rFonts w:hint="eastAsia" w:cs="宋体"/>
                <w:sz w:val="21"/>
                <w:szCs w:val="21"/>
                <w:highlight w:val="none"/>
              </w:rPr>
              <w:t>米，生产废水循环利用，不允许外排。</w:t>
            </w:r>
          </w:p>
        </w:tc>
        <w:tc>
          <w:tcPr>
            <w:tcW w:w="6305" w:type="dxa"/>
            <w:vAlign w:val="center"/>
          </w:tcPr>
          <w:p>
            <w:pPr>
              <w:spacing w:line="240" w:lineRule="auto"/>
              <w:ind w:firstLine="0" w:firstLineChars="0"/>
              <w:jc w:val="center"/>
              <w:rPr>
                <w:rFonts w:cs="宋体"/>
                <w:sz w:val="21"/>
                <w:szCs w:val="21"/>
                <w:highlight w:val="none"/>
              </w:rPr>
            </w:pPr>
            <w:r>
              <w:rPr>
                <w:sz w:val="21"/>
                <w:szCs w:val="21"/>
                <w:highlight w:val="none"/>
              </w:rPr>
              <w:t>本项目破碎</w:t>
            </w:r>
            <w:r>
              <w:rPr>
                <w:rFonts w:hint="eastAsia" w:eastAsia="宋体"/>
                <w:sz w:val="21"/>
                <w:szCs w:val="21"/>
                <w:highlight w:val="none"/>
                <w:lang w:val="en-US" w:eastAsia="zh-CN"/>
              </w:rPr>
              <w:t>筛分</w:t>
            </w:r>
            <w:r>
              <w:rPr>
                <w:sz w:val="21"/>
                <w:szCs w:val="21"/>
                <w:highlight w:val="none"/>
              </w:rPr>
              <w:t>设备</w:t>
            </w:r>
            <w:r>
              <w:rPr>
                <w:rFonts w:hint="eastAsia"/>
                <w:sz w:val="21"/>
                <w:szCs w:val="21"/>
                <w:highlight w:val="none"/>
              </w:rPr>
              <w:t>均布置在封闭生产车间内</w:t>
            </w:r>
            <w:r>
              <w:rPr>
                <w:sz w:val="21"/>
                <w:szCs w:val="21"/>
                <w:highlight w:val="none"/>
              </w:rPr>
              <w:t>，</w:t>
            </w:r>
            <w:r>
              <w:rPr>
                <w:rFonts w:hint="eastAsia"/>
                <w:sz w:val="21"/>
                <w:szCs w:val="21"/>
                <w:highlight w:val="none"/>
              </w:rPr>
              <w:t>并配套建设喷雾抑尘装置</w:t>
            </w:r>
            <w:r>
              <w:rPr>
                <w:rFonts w:hint="eastAsia" w:ascii="仿宋" w:hAnsi="仿宋" w:eastAsia="仿宋" w:cs="仿宋"/>
                <w:sz w:val="21"/>
                <w:szCs w:val="21"/>
                <w:highlight w:val="none"/>
              </w:rPr>
              <w:t>、</w:t>
            </w:r>
            <w:r>
              <w:rPr>
                <w:rFonts w:hint="eastAsia"/>
                <w:sz w:val="21"/>
                <w:szCs w:val="21"/>
                <w:highlight w:val="none"/>
              </w:rPr>
              <w:t>脉冲布袋除尘器，除尘器排气筒高度</w:t>
            </w:r>
            <w:r>
              <w:rPr>
                <w:rFonts w:hint="eastAsia" w:cs="宋体"/>
                <w:sz w:val="21"/>
                <w:szCs w:val="21"/>
                <w:highlight w:val="none"/>
              </w:rPr>
              <w:t>不低于</w:t>
            </w:r>
            <w:r>
              <w:rPr>
                <w:sz w:val="21"/>
                <w:szCs w:val="21"/>
                <w:highlight w:val="none"/>
              </w:rPr>
              <w:t>15</w:t>
            </w:r>
            <w:r>
              <w:rPr>
                <w:rFonts w:hint="eastAsia" w:cs="宋体"/>
                <w:sz w:val="21"/>
                <w:szCs w:val="21"/>
                <w:highlight w:val="none"/>
              </w:rPr>
              <w:t>米</w:t>
            </w:r>
            <w:r>
              <w:rPr>
                <w:rFonts w:hint="eastAsia"/>
                <w:sz w:val="21"/>
                <w:szCs w:val="21"/>
                <w:highlight w:val="none"/>
              </w:rPr>
              <w:t>；</w:t>
            </w:r>
            <w:r>
              <w:rPr>
                <w:sz w:val="21"/>
                <w:szCs w:val="21"/>
                <w:highlight w:val="none"/>
              </w:rPr>
              <w:t>生产废水</w:t>
            </w:r>
            <w:r>
              <w:rPr>
                <w:rFonts w:hint="eastAsia"/>
                <w:sz w:val="21"/>
                <w:szCs w:val="21"/>
                <w:highlight w:val="none"/>
              </w:rPr>
              <w:t>经处理后</w:t>
            </w:r>
            <w:r>
              <w:rPr>
                <w:sz w:val="21"/>
                <w:szCs w:val="21"/>
                <w:highlight w:val="none"/>
              </w:rPr>
              <w:t>循环使用不外排。</w:t>
            </w:r>
          </w:p>
        </w:tc>
        <w:tc>
          <w:tcPr>
            <w:tcW w:w="822"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Merge w:val="restart"/>
            <w:vAlign w:val="center"/>
          </w:tcPr>
          <w:p>
            <w:pPr>
              <w:spacing w:line="240" w:lineRule="auto"/>
              <w:ind w:firstLine="0" w:firstLineChars="0"/>
              <w:jc w:val="center"/>
              <w:rPr>
                <w:sz w:val="21"/>
                <w:szCs w:val="21"/>
                <w:highlight w:val="none"/>
              </w:rPr>
            </w:pPr>
            <w:r>
              <w:rPr>
                <w:rFonts w:hint="eastAsia" w:cs="宋体"/>
                <w:sz w:val="21"/>
                <w:szCs w:val="21"/>
                <w:highlight w:val="none"/>
              </w:rPr>
              <w:t>原料输送转运</w:t>
            </w:r>
          </w:p>
        </w:tc>
        <w:tc>
          <w:tcPr>
            <w:tcW w:w="6177" w:type="dxa"/>
            <w:vAlign w:val="center"/>
          </w:tcPr>
          <w:p>
            <w:pPr>
              <w:spacing w:line="240" w:lineRule="auto"/>
              <w:ind w:firstLine="0" w:firstLineChars="0"/>
              <w:jc w:val="center"/>
              <w:rPr>
                <w:sz w:val="21"/>
                <w:szCs w:val="21"/>
                <w:highlight w:val="none"/>
              </w:rPr>
            </w:pPr>
            <w:r>
              <w:rPr>
                <w:rFonts w:hAnsi="宋体"/>
                <w:sz w:val="21"/>
                <w:szCs w:val="21"/>
                <w:highlight w:val="none"/>
              </w:rPr>
              <w:t>从一级破碎出料口</w:t>
            </w:r>
            <w:r>
              <w:rPr>
                <w:rFonts w:hint="eastAsia" w:hAnsi="宋体"/>
                <w:sz w:val="21"/>
                <w:szCs w:val="21"/>
                <w:highlight w:val="none"/>
              </w:rPr>
              <w:t>（加装收尘、抑尘设施）</w:t>
            </w:r>
            <w:r>
              <w:rPr>
                <w:rFonts w:hAnsi="宋体"/>
                <w:sz w:val="21"/>
                <w:szCs w:val="21"/>
                <w:highlight w:val="none"/>
              </w:rPr>
              <w:t>至二级破碎</w:t>
            </w:r>
            <w:r>
              <w:rPr>
                <w:rFonts w:hint="eastAsia" w:hAnsi="宋体"/>
                <w:sz w:val="21"/>
                <w:szCs w:val="21"/>
                <w:highlight w:val="none"/>
              </w:rPr>
              <w:t>（入料口加装收尘、抑尘设施，出料口加装抑尘设施）</w:t>
            </w:r>
            <w:r>
              <w:rPr>
                <w:rFonts w:hAnsi="宋体"/>
                <w:sz w:val="21"/>
                <w:szCs w:val="21"/>
                <w:highlight w:val="none"/>
              </w:rPr>
              <w:t>、</w:t>
            </w:r>
            <w:r>
              <w:rPr>
                <w:rFonts w:hint="eastAsia" w:hAnsi="宋体"/>
                <w:sz w:val="21"/>
                <w:szCs w:val="21"/>
                <w:highlight w:val="none"/>
              </w:rPr>
              <w:t>磁选</w:t>
            </w:r>
            <w:r>
              <w:rPr>
                <w:rFonts w:hAnsi="宋体"/>
                <w:sz w:val="21"/>
                <w:szCs w:val="21"/>
                <w:highlight w:val="none"/>
              </w:rPr>
              <w:t>、成品库的物料输送以及二级破碎、返矿输送</w:t>
            </w:r>
            <w:r>
              <w:rPr>
                <w:rFonts w:hint="eastAsia" w:hAnsi="宋体"/>
                <w:sz w:val="21"/>
                <w:szCs w:val="21"/>
                <w:highlight w:val="none"/>
              </w:rPr>
              <w:t>，室外输送系统必须全部建设满足日常检修、清扫落料要求的全封闭皮带通廊，</w:t>
            </w:r>
            <w:r>
              <w:rPr>
                <w:rFonts w:hAnsi="宋体"/>
                <w:sz w:val="21"/>
                <w:szCs w:val="21"/>
                <w:highlight w:val="none"/>
              </w:rPr>
              <w:t>皮带通廊落料转运端</w:t>
            </w:r>
            <w:r>
              <w:rPr>
                <w:rFonts w:hint="eastAsia" w:hAnsi="宋体"/>
                <w:sz w:val="21"/>
                <w:szCs w:val="21"/>
                <w:highlight w:val="none"/>
              </w:rPr>
              <w:t>根据物料的含水率设置收尘、抑尘设施。</w:t>
            </w:r>
          </w:p>
        </w:tc>
        <w:tc>
          <w:tcPr>
            <w:tcW w:w="6305" w:type="dxa"/>
            <w:vAlign w:val="center"/>
          </w:tcPr>
          <w:p>
            <w:pPr>
              <w:spacing w:line="240" w:lineRule="auto"/>
              <w:ind w:firstLine="0" w:firstLineChars="0"/>
              <w:jc w:val="center"/>
              <w:rPr>
                <w:sz w:val="21"/>
                <w:szCs w:val="21"/>
                <w:highlight w:val="none"/>
              </w:rPr>
            </w:pPr>
            <w:r>
              <w:rPr>
                <w:rFonts w:hint="eastAsia" w:cs="宋体"/>
                <w:sz w:val="21"/>
                <w:szCs w:val="21"/>
                <w:highlight w:val="none"/>
              </w:rPr>
              <w:t>皮带输送机全部设置全封闭皮带通廊，车间内的皮带转运落料端在产尘节点设置抑尘、收尘措施，并派专人进行日常检修、清扫落料。</w:t>
            </w:r>
          </w:p>
        </w:tc>
        <w:tc>
          <w:tcPr>
            <w:tcW w:w="822"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Merge w:val="continue"/>
            <w:vAlign w:val="center"/>
          </w:tcPr>
          <w:p>
            <w:pPr>
              <w:spacing w:line="240" w:lineRule="auto"/>
              <w:ind w:firstLine="0" w:firstLineChars="0"/>
              <w:rPr>
                <w:rFonts w:eastAsia="Times New Roman"/>
                <w:sz w:val="21"/>
                <w:szCs w:val="21"/>
                <w:highlight w:val="none"/>
              </w:rPr>
            </w:pPr>
          </w:p>
        </w:tc>
        <w:tc>
          <w:tcPr>
            <w:tcW w:w="6177" w:type="dxa"/>
            <w:vAlign w:val="center"/>
          </w:tcPr>
          <w:p>
            <w:pPr>
              <w:spacing w:line="240" w:lineRule="auto"/>
              <w:ind w:firstLine="0" w:firstLineChars="0"/>
              <w:jc w:val="center"/>
              <w:rPr>
                <w:sz w:val="21"/>
                <w:szCs w:val="21"/>
                <w:highlight w:val="none"/>
              </w:rPr>
            </w:pPr>
            <w:r>
              <w:rPr>
                <w:rFonts w:hint="eastAsia" w:cs="宋体"/>
                <w:sz w:val="21"/>
                <w:szCs w:val="21"/>
                <w:highlight w:val="none"/>
              </w:rPr>
              <w:t>物料转运系统必须实现封闭，发生破损及时维修完善。</w:t>
            </w:r>
          </w:p>
        </w:tc>
        <w:tc>
          <w:tcPr>
            <w:tcW w:w="6305" w:type="dxa"/>
            <w:vAlign w:val="center"/>
          </w:tcPr>
          <w:p>
            <w:pPr>
              <w:spacing w:line="240" w:lineRule="auto"/>
              <w:ind w:firstLine="0" w:firstLineChars="0"/>
              <w:rPr>
                <w:sz w:val="21"/>
                <w:szCs w:val="21"/>
                <w:highlight w:val="none"/>
              </w:rPr>
            </w:pPr>
            <w:r>
              <w:rPr>
                <w:rFonts w:hint="eastAsia"/>
                <w:sz w:val="21"/>
                <w:szCs w:val="21"/>
                <w:highlight w:val="none"/>
              </w:rPr>
              <w:t>物料转运设置封闭皮带廊道和汽车运输通廊，发生破损及时维修完善。</w:t>
            </w:r>
          </w:p>
        </w:tc>
        <w:tc>
          <w:tcPr>
            <w:tcW w:w="822" w:type="dxa"/>
            <w:vAlign w:val="center"/>
          </w:tcPr>
          <w:p>
            <w:pPr>
              <w:spacing w:line="240" w:lineRule="auto"/>
              <w:ind w:firstLine="0" w:firstLineChars="0"/>
              <w:jc w:val="center"/>
              <w:rPr>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rFonts w:hint="eastAsia" w:cs="宋体"/>
                <w:sz w:val="21"/>
                <w:szCs w:val="21"/>
                <w:highlight w:val="none"/>
              </w:rPr>
            </w:pPr>
            <w:r>
              <w:rPr>
                <w:rFonts w:hint="eastAsia" w:cs="宋体"/>
                <w:sz w:val="21"/>
                <w:szCs w:val="21"/>
                <w:highlight w:val="none"/>
              </w:rPr>
              <w:t>成品</w:t>
            </w:r>
          </w:p>
          <w:p>
            <w:pPr>
              <w:spacing w:line="240" w:lineRule="auto"/>
              <w:ind w:firstLine="0" w:firstLineChars="0"/>
              <w:jc w:val="center"/>
              <w:rPr>
                <w:sz w:val="21"/>
                <w:szCs w:val="21"/>
                <w:highlight w:val="none"/>
              </w:rPr>
            </w:pPr>
            <w:r>
              <w:rPr>
                <w:rFonts w:hint="eastAsia" w:cs="宋体"/>
                <w:sz w:val="21"/>
                <w:szCs w:val="21"/>
                <w:highlight w:val="none"/>
              </w:rPr>
              <w:t>堆场</w:t>
            </w:r>
          </w:p>
        </w:tc>
        <w:tc>
          <w:tcPr>
            <w:tcW w:w="6177" w:type="dxa"/>
            <w:vAlign w:val="center"/>
          </w:tcPr>
          <w:p>
            <w:pPr>
              <w:spacing w:line="240" w:lineRule="auto"/>
              <w:ind w:firstLine="0" w:firstLineChars="0"/>
              <w:jc w:val="center"/>
              <w:rPr>
                <w:sz w:val="21"/>
                <w:szCs w:val="21"/>
                <w:highlight w:val="none"/>
              </w:rPr>
            </w:pPr>
            <w:r>
              <w:rPr>
                <w:rFonts w:hAnsi="宋体"/>
                <w:sz w:val="21"/>
                <w:szCs w:val="21"/>
                <w:highlight w:val="none"/>
              </w:rPr>
              <w:t>成品、半成品物料</w:t>
            </w:r>
            <w:r>
              <w:rPr>
                <w:rFonts w:hint="eastAsia" w:hAnsi="宋体"/>
                <w:sz w:val="21"/>
                <w:szCs w:val="21"/>
                <w:highlight w:val="none"/>
              </w:rPr>
              <w:t>不能</w:t>
            </w:r>
            <w:r>
              <w:rPr>
                <w:rFonts w:hAnsi="宋体"/>
                <w:sz w:val="21"/>
                <w:szCs w:val="21"/>
                <w:highlight w:val="none"/>
              </w:rPr>
              <w:t>露天堆存</w:t>
            </w:r>
            <w:r>
              <w:rPr>
                <w:rFonts w:hint="eastAsia" w:hAnsi="宋体"/>
                <w:sz w:val="21"/>
                <w:szCs w:val="21"/>
                <w:highlight w:val="none"/>
              </w:rPr>
              <w:t>，进封闭料库，设置喷淋抑尘措施。场区要全部实现硬化或绿化，每天定时清扫保洁、洒水抑尘。</w:t>
            </w:r>
          </w:p>
        </w:tc>
        <w:tc>
          <w:tcPr>
            <w:tcW w:w="6305" w:type="dxa"/>
            <w:vAlign w:val="center"/>
          </w:tcPr>
          <w:p>
            <w:pPr>
              <w:spacing w:line="240" w:lineRule="auto"/>
              <w:ind w:firstLine="0" w:firstLineChars="0"/>
              <w:rPr>
                <w:sz w:val="21"/>
                <w:szCs w:val="21"/>
                <w:highlight w:val="none"/>
              </w:rPr>
            </w:pPr>
            <w:r>
              <w:rPr>
                <w:sz w:val="21"/>
                <w:szCs w:val="21"/>
                <w:highlight w:val="none"/>
              </w:rPr>
              <w:t>本项目</w:t>
            </w:r>
            <w:r>
              <w:rPr>
                <w:rFonts w:hint="eastAsia"/>
                <w:sz w:val="21"/>
                <w:szCs w:val="21"/>
                <w:highlight w:val="none"/>
                <w:lang w:val="en-US" w:eastAsia="zh-CN"/>
              </w:rPr>
              <w:t>物料</w:t>
            </w:r>
            <w:r>
              <w:rPr>
                <w:sz w:val="21"/>
                <w:szCs w:val="21"/>
                <w:highlight w:val="none"/>
              </w:rPr>
              <w:t>储存在</w:t>
            </w:r>
            <w:r>
              <w:rPr>
                <w:rFonts w:hint="eastAsia"/>
                <w:sz w:val="21"/>
                <w:szCs w:val="21"/>
                <w:highlight w:val="none"/>
              </w:rPr>
              <w:t>封闭库</w:t>
            </w:r>
            <w:r>
              <w:rPr>
                <w:sz w:val="21"/>
                <w:szCs w:val="21"/>
                <w:highlight w:val="none"/>
              </w:rPr>
              <w:t>内，</w:t>
            </w:r>
            <w:r>
              <w:rPr>
                <w:rFonts w:hint="eastAsia"/>
                <w:sz w:val="21"/>
                <w:szCs w:val="21"/>
                <w:highlight w:val="none"/>
              </w:rPr>
              <w:t>中间粉矿设置于封闭</w:t>
            </w:r>
            <w:r>
              <w:rPr>
                <w:rFonts w:hint="eastAsia"/>
                <w:sz w:val="21"/>
                <w:szCs w:val="21"/>
                <w:highlight w:val="none"/>
                <w:lang w:val="en-US" w:eastAsia="zh-CN"/>
              </w:rPr>
              <w:t>车间</w:t>
            </w:r>
            <w:r>
              <w:rPr>
                <w:rFonts w:hint="eastAsia"/>
                <w:sz w:val="21"/>
                <w:szCs w:val="21"/>
                <w:highlight w:val="none"/>
              </w:rPr>
              <w:t>内。精粉库库顶部</w:t>
            </w:r>
            <w:r>
              <w:rPr>
                <w:sz w:val="21"/>
                <w:szCs w:val="21"/>
                <w:highlight w:val="none"/>
              </w:rPr>
              <w:t>设置喷雾抑尘装置（电伴热）</w:t>
            </w:r>
            <w:r>
              <w:rPr>
                <w:rFonts w:hint="eastAsia"/>
                <w:sz w:val="21"/>
                <w:szCs w:val="21"/>
                <w:highlight w:val="none"/>
              </w:rPr>
              <w:t>，喷雾抑尘装置喷雾面积覆盖整个库</w:t>
            </w:r>
            <w:r>
              <w:rPr>
                <w:sz w:val="21"/>
                <w:szCs w:val="21"/>
                <w:highlight w:val="none"/>
              </w:rPr>
              <w:t>。</w:t>
            </w:r>
            <w:r>
              <w:rPr>
                <w:rFonts w:hint="eastAsia" w:cs="宋体"/>
                <w:sz w:val="21"/>
                <w:szCs w:val="21"/>
                <w:highlight w:val="none"/>
              </w:rPr>
              <w:t>厂区“非硬即绿”，并安排专人每天定时清扫保洁、洒水抑尘。</w:t>
            </w:r>
          </w:p>
        </w:tc>
        <w:tc>
          <w:tcPr>
            <w:tcW w:w="822"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sz w:val="21"/>
                <w:szCs w:val="21"/>
                <w:highlight w:val="none"/>
              </w:rPr>
            </w:pPr>
            <w:r>
              <w:rPr>
                <w:rFonts w:hint="eastAsia" w:cs="宋体"/>
                <w:sz w:val="21"/>
                <w:szCs w:val="21"/>
                <w:highlight w:val="none"/>
              </w:rPr>
              <w:t>喷淋供水设施</w:t>
            </w:r>
          </w:p>
        </w:tc>
        <w:tc>
          <w:tcPr>
            <w:tcW w:w="6177" w:type="dxa"/>
            <w:vAlign w:val="center"/>
          </w:tcPr>
          <w:p>
            <w:pPr>
              <w:spacing w:line="240" w:lineRule="auto"/>
              <w:ind w:firstLine="0" w:firstLineChars="0"/>
              <w:rPr>
                <w:sz w:val="21"/>
                <w:szCs w:val="21"/>
                <w:highlight w:val="none"/>
              </w:rPr>
            </w:pPr>
            <w:r>
              <w:rPr>
                <w:rFonts w:hint="eastAsia" w:cs="宋体"/>
                <w:sz w:val="21"/>
                <w:szCs w:val="21"/>
                <w:highlight w:val="none"/>
              </w:rPr>
              <w:t>一级破碎入料口、落料口、皮带落料转运端、选矿厂、原料堆场、尾矿库等建设的喷淋设施</w:t>
            </w:r>
            <w:r>
              <w:rPr>
                <w:rFonts w:hint="eastAsia"/>
                <w:sz w:val="21"/>
                <w:szCs w:val="21"/>
                <w:highlight w:val="none"/>
              </w:rPr>
              <w:t>，</w:t>
            </w:r>
            <w:r>
              <w:rPr>
                <w:rFonts w:hint="eastAsia" w:cs="宋体"/>
                <w:sz w:val="21"/>
                <w:szCs w:val="21"/>
                <w:highlight w:val="none"/>
              </w:rPr>
              <w:t>供水管路采取保溫措施确保冬季正常使用。</w:t>
            </w:r>
          </w:p>
        </w:tc>
        <w:tc>
          <w:tcPr>
            <w:tcW w:w="6305"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本项目在一级破碎入料口、落料口、皮带落料转运端、原料</w:t>
            </w:r>
            <w:r>
              <w:rPr>
                <w:rFonts w:hint="eastAsia" w:eastAsia="宋体" w:cs="宋体"/>
                <w:sz w:val="21"/>
                <w:szCs w:val="21"/>
                <w:highlight w:val="none"/>
                <w:lang w:val="en-US" w:eastAsia="zh-CN"/>
              </w:rPr>
              <w:t>棚</w:t>
            </w:r>
            <w:r>
              <w:rPr>
                <w:rFonts w:hint="eastAsia" w:cs="宋体"/>
                <w:sz w:val="21"/>
                <w:szCs w:val="21"/>
                <w:highlight w:val="none"/>
              </w:rPr>
              <w:t>、铁精粉库等处设置了的喷淋设施，供水管路使用保温棉包裹并设置电伴热，确保冬季正常使用。</w:t>
            </w:r>
          </w:p>
        </w:tc>
        <w:tc>
          <w:tcPr>
            <w:tcW w:w="822"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rFonts w:cs="宋体"/>
                <w:b/>
                <w:bCs/>
                <w:sz w:val="21"/>
                <w:szCs w:val="21"/>
                <w:highlight w:val="none"/>
              </w:rPr>
            </w:pPr>
            <w:r>
              <w:rPr>
                <w:rFonts w:hint="eastAsia" w:cs="宋体"/>
                <w:sz w:val="21"/>
                <w:szCs w:val="21"/>
                <w:highlight w:val="none"/>
              </w:rPr>
              <w:t>除尘设施</w:t>
            </w:r>
          </w:p>
        </w:tc>
        <w:tc>
          <w:tcPr>
            <w:tcW w:w="6177" w:type="dxa"/>
            <w:vAlign w:val="center"/>
          </w:tcPr>
          <w:p>
            <w:pPr>
              <w:spacing w:line="240" w:lineRule="auto"/>
              <w:ind w:firstLine="0" w:firstLineChars="0"/>
              <w:jc w:val="center"/>
              <w:rPr>
                <w:sz w:val="21"/>
                <w:szCs w:val="21"/>
                <w:highlight w:val="none"/>
              </w:rPr>
            </w:pPr>
            <w:r>
              <w:rPr>
                <w:rFonts w:hAnsi="宋体"/>
                <w:sz w:val="21"/>
                <w:szCs w:val="21"/>
                <w:highlight w:val="none"/>
              </w:rPr>
              <w:t>除尘设施采用高效脉冲布袋除尘器等先进除尘方式，</w:t>
            </w:r>
            <w:r>
              <w:rPr>
                <w:rFonts w:hint="eastAsia" w:hAnsi="宋体"/>
                <w:sz w:val="21"/>
                <w:szCs w:val="21"/>
                <w:highlight w:val="none"/>
              </w:rPr>
              <w:t>破碎设备的</w:t>
            </w:r>
            <w:r>
              <w:rPr>
                <w:bCs/>
                <w:sz w:val="21"/>
                <w:szCs w:val="21"/>
                <w:highlight w:val="none"/>
              </w:rPr>
              <w:t>除尘风量、集气罩尺寸以及管道直径的设计要完全满足彻底解决生产设备粉尘无组织外溢需要(单台破碎设备的除尘设计风量按大于12000m</w:t>
            </w:r>
            <w:r>
              <w:rPr>
                <w:bCs/>
                <w:sz w:val="21"/>
                <w:szCs w:val="21"/>
                <w:highlight w:val="none"/>
                <w:vertAlign w:val="superscript"/>
              </w:rPr>
              <w:t>3</w:t>
            </w:r>
            <w:r>
              <w:rPr>
                <w:bCs/>
                <w:sz w:val="21"/>
                <w:szCs w:val="21"/>
                <w:highlight w:val="none"/>
              </w:rPr>
              <w:t>/h计算）</w:t>
            </w:r>
          </w:p>
        </w:tc>
        <w:tc>
          <w:tcPr>
            <w:tcW w:w="6305" w:type="dxa"/>
            <w:vAlign w:val="center"/>
          </w:tcPr>
          <w:p>
            <w:pPr>
              <w:spacing w:line="240" w:lineRule="auto"/>
              <w:ind w:firstLine="0" w:firstLineChars="0"/>
              <w:rPr>
                <w:rFonts w:ascii="宋体" w:hAnsi="宋体"/>
                <w:b/>
                <w:bCs/>
                <w:sz w:val="21"/>
                <w:szCs w:val="21"/>
                <w:highlight w:val="none"/>
              </w:rPr>
            </w:pPr>
            <w:r>
              <w:rPr>
                <w:rFonts w:hint="eastAsia" w:cs="宋体"/>
                <w:sz w:val="21"/>
                <w:szCs w:val="21"/>
                <w:highlight w:val="none"/>
              </w:rPr>
              <w:t>本项目设1条破碎筛分生产线，在破碎、筛分环节及落料点除尘设施各采用1台离线脉冲布袋除尘器，除尘风量为</w:t>
            </w:r>
            <w:r>
              <w:rPr>
                <w:rFonts w:hint="eastAsia"/>
                <w:bCs/>
                <w:sz w:val="21"/>
                <w:szCs w:val="21"/>
                <w:highlight w:val="none"/>
              </w:rPr>
              <w:t>40000</w:t>
            </w:r>
            <w:r>
              <w:rPr>
                <w:bCs/>
                <w:sz w:val="21"/>
                <w:szCs w:val="21"/>
                <w:highlight w:val="none"/>
              </w:rPr>
              <w:t>m</w:t>
            </w:r>
            <w:r>
              <w:rPr>
                <w:bCs/>
                <w:sz w:val="21"/>
                <w:szCs w:val="21"/>
                <w:highlight w:val="none"/>
                <w:vertAlign w:val="superscript"/>
              </w:rPr>
              <w:t>3</w:t>
            </w:r>
            <w:r>
              <w:rPr>
                <w:bCs/>
                <w:sz w:val="21"/>
                <w:szCs w:val="21"/>
                <w:highlight w:val="none"/>
              </w:rPr>
              <w:t>/h</w:t>
            </w:r>
            <w:r>
              <w:rPr>
                <w:rFonts w:hint="eastAsia" w:cs="宋体"/>
                <w:sz w:val="21"/>
                <w:szCs w:val="21"/>
                <w:highlight w:val="none"/>
              </w:rPr>
              <w:t>，集气罩尺寸以及管道直径满足彻底解决生产设备粉尘无组织外溢需要</w:t>
            </w:r>
            <w:r>
              <w:rPr>
                <w:rFonts w:hint="eastAsia"/>
                <w:sz w:val="21"/>
                <w:szCs w:val="21"/>
                <w:highlight w:val="none"/>
              </w:rPr>
              <w:t>。</w:t>
            </w:r>
          </w:p>
        </w:tc>
        <w:tc>
          <w:tcPr>
            <w:tcW w:w="822"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rFonts w:eastAsia="Times New Roman"/>
                <w:sz w:val="21"/>
                <w:szCs w:val="21"/>
                <w:highlight w:val="none"/>
              </w:rPr>
            </w:pPr>
            <w:r>
              <w:rPr>
                <w:rFonts w:hint="eastAsia" w:cs="宋体"/>
                <w:sz w:val="21"/>
                <w:szCs w:val="21"/>
                <w:highlight w:val="none"/>
              </w:rPr>
              <w:t>噪声控制</w:t>
            </w:r>
          </w:p>
        </w:tc>
        <w:tc>
          <w:tcPr>
            <w:tcW w:w="6177" w:type="dxa"/>
            <w:vAlign w:val="center"/>
          </w:tcPr>
          <w:p>
            <w:pPr>
              <w:spacing w:line="240" w:lineRule="auto"/>
              <w:ind w:firstLine="0" w:firstLineChars="0"/>
              <w:rPr>
                <w:sz w:val="21"/>
                <w:szCs w:val="21"/>
                <w:highlight w:val="none"/>
              </w:rPr>
            </w:pPr>
            <w:r>
              <w:rPr>
                <w:rFonts w:hint="eastAsia" w:cs="宋体"/>
                <w:sz w:val="21"/>
                <w:szCs w:val="21"/>
                <w:highlight w:val="none"/>
              </w:rPr>
              <w:t>破碎机、振动筛、球磨机等噪声振动较大的生产设备，机座采用基础减震措施，加装減震器，并采取相应降噪措施，噪声排放达到工矿企业厂界噪声排放标准。</w:t>
            </w:r>
          </w:p>
        </w:tc>
        <w:tc>
          <w:tcPr>
            <w:tcW w:w="6305" w:type="dxa"/>
            <w:vAlign w:val="center"/>
          </w:tcPr>
          <w:p>
            <w:pPr>
              <w:spacing w:line="240" w:lineRule="auto"/>
              <w:ind w:firstLine="0" w:firstLineChars="0"/>
              <w:jc w:val="center"/>
              <w:rPr>
                <w:sz w:val="21"/>
                <w:szCs w:val="21"/>
                <w:highlight w:val="none"/>
              </w:rPr>
            </w:pPr>
            <w:r>
              <w:rPr>
                <w:rFonts w:hint="eastAsia" w:cs="宋体"/>
                <w:sz w:val="21"/>
                <w:szCs w:val="21"/>
                <w:highlight w:val="none"/>
              </w:rPr>
              <w:t>本项目生产设备等均加装了基础减震垫，置于封闭带夹心彩钢板车间内，综合降噪25dB（A）以上，</w:t>
            </w:r>
            <w:r>
              <w:rPr>
                <w:rFonts w:cs="宋体"/>
                <w:sz w:val="21"/>
                <w:szCs w:val="21"/>
                <w:highlight w:val="none"/>
              </w:rPr>
              <w:t>项目厂界的噪声</w:t>
            </w:r>
            <w:r>
              <w:rPr>
                <w:rFonts w:hint="eastAsia" w:cs="宋体"/>
                <w:sz w:val="21"/>
                <w:szCs w:val="21"/>
                <w:highlight w:val="none"/>
              </w:rPr>
              <w:t>满足</w:t>
            </w:r>
            <w:r>
              <w:rPr>
                <w:rFonts w:cs="宋体"/>
                <w:sz w:val="21"/>
                <w:szCs w:val="21"/>
                <w:highlight w:val="none"/>
              </w:rPr>
              <w:t>《工业企业厂界</w:t>
            </w:r>
            <w:r>
              <w:rPr>
                <w:rFonts w:hint="eastAsia" w:cs="宋体"/>
                <w:sz w:val="21"/>
                <w:szCs w:val="21"/>
                <w:highlight w:val="none"/>
              </w:rPr>
              <w:t>环境</w:t>
            </w:r>
            <w:r>
              <w:rPr>
                <w:rFonts w:cs="宋体"/>
                <w:sz w:val="21"/>
                <w:szCs w:val="21"/>
                <w:highlight w:val="none"/>
              </w:rPr>
              <w:t>噪声排放标准》（GB12348-2008）2类标准。</w:t>
            </w:r>
          </w:p>
        </w:tc>
        <w:tc>
          <w:tcPr>
            <w:tcW w:w="822"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rFonts w:eastAsia="Times New Roman"/>
                <w:sz w:val="21"/>
                <w:szCs w:val="21"/>
                <w:highlight w:val="none"/>
              </w:rPr>
            </w:pPr>
            <w:r>
              <w:rPr>
                <w:rFonts w:hint="eastAsia" w:cs="宋体"/>
                <w:sz w:val="21"/>
                <w:szCs w:val="21"/>
                <w:highlight w:val="none"/>
              </w:rPr>
              <w:t>视频监控</w:t>
            </w:r>
          </w:p>
        </w:tc>
        <w:tc>
          <w:tcPr>
            <w:tcW w:w="6177" w:type="dxa"/>
            <w:vAlign w:val="center"/>
          </w:tcPr>
          <w:p>
            <w:pPr>
              <w:spacing w:line="240" w:lineRule="auto"/>
              <w:ind w:firstLine="0" w:firstLineChars="0"/>
              <w:rPr>
                <w:sz w:val="21"/>
                <w:szCs w:val="21"/>
                <w:highlight w:val="none"/>
              </w:rPr>
            </w:pPr>
            <w:r>
              <w:rPr>
                <w:rFonts w:hint="eastAsia" w:cs="宋体"/>
                <w:sz w:val="21"/>
                <w:szCs w:val="21"/>
                <w:highlight w:val="none"/>
              </w:rPr>
              <w:t>生产作业区按要求设置视频监控，并与唐山市环保局遵化市分局联网</w:t>
            </w:r>
            <w:r>
              <w:rPr>
                <w:rFonts w:hint="eastAsia"/>
                <w:sz w:val="21"/>
                <w:szCs w:val="21"/>
                <w:highlight w:val="none"/>
              </w:rPr>
              <w:t>，</w:t>
            </w:r>
            <w:r>
              <w:rPr>
                <w:rFonts w:hint="eastAsia" w:cs="宋体"/>
                <w:sz w:val="21"/>
                <w:szCs w:val="21"/>
                <w:highlight w:val="none"/>
              </w:rPr>
              <w:t>实现</w:t>
            </w:r>
            <w:r>
              <w:rPr>
                <w:sz w:val="21"/>
                <w:szCs w:val="21"/>
                <w:highlight w:val="none"/>
              </w:rPr>
              <w:t>24</w:t>
            </w:r>
            <w:r>
              <w:rPr>
                <w:rFonts w:hint="eastAsia" w:cs="宋体"/>
                <w:sz w:val="21"/>
                <w:szCs w:val="21"/>
                <w:highlight w:val="none"/>
              </w:rPr>
              <w:t>小时视频监控。对发现的超标排放、无组织粉尘、扬尘污染问题，按照相关法律法规子以从严处罚。</w:t>
            </w:r>
          </w:p>
        </w:tc>
        <w:tc>
          <w:tcPr>
            <w:tcW w:w="6305" w:type="dxa"/>
            <w:vAlign w:val="center"/>
          </w:tcPr>
          <w:p>
            <w:pPr>
              <w:spacing w:line="240" w:lineRule="auto"/>
              <w:ind w:firstLine="0" w:firstLineChars="0"/>
              <w:jc w:val="center"/>
              <w:rPr>
                <w:sz w:val="21"/>
                <w:szCs w:val="21"/>
                <w:highlight w:val="none"/>
              </w:rPr>
            </w:pPr>
            <w:r>
              <w:rPr>
                <w:rFonts w:hint="eastAsia" w:cs="宋体"/>
                <w:sz w:val="21"/>
                <w:szCs w:val="21"/>
                <w:highlight w:val="none"/>
              </w:rPr>
              <w:t>本项目</w:t>
            </w:r>
            <w:r>
              <w:rPr>
                <w:rFonts w:hint="eastAsia" w:cs="宋体"/>
                <w:sz w:val="21"/>
                <w:szCs w:val="21"/>
                <w:highlight w:val="none"/>
                <w:lang w:val="en-US" w:eastAsia="zh-CN"/>
              </w:rPr>
              <w:t>成品</w:t>
            </w:r>
            <w:r>
              <w:rPr>
                <w:rFonts w:hint="eastAsia" w:cs="宋体"/>
                <w:sz w:val="21"/>
                <w:szCs w:val="21"/>
                <w:highlight w:val="none"/>
              </w:rPr>
              <w:t>库门口及库房内、生产车间内、布袋除尘器设置视频监控，并与唐山市环境保护局遵化市分局联网，实现24小时视频监控。</w:t>
            </w:r>
          </w:p>
        </w:tc>
        <w:tc>
          <w:tcPr>
            <w:tcW w:w="822" w:type="dxa"/>
            <w:vAlign w:val="center"/>
          </w:tcPr>
          <w:p>
            <w:pPr>
              <w:spacing w:line="240" w:lineRule="auto"/>
              <w:ind w:firstLine="0" w:firstLineChars="0"/>
              <w:jc w:val="center"/>
              <w:rPr>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rFonts w:eastAsia="Times New Roman"/>
                <w:sz w:val="21"/>
                <w:szCs w:val="21"/>
                <w:highlight w:val="none"/>
              </w:rPr>
            </w:pPr>
            <w:r>
              <w:rPr>
                <w:rFonts w:hint="eastAsia" w:cs="宋体"/>
                <w:sz w:val="21"/>
                <w:szCs w:val="21"/>
                <w:highlight w:val="none"/>
              </w:rPr>
              <w:t>排放限值</w:t>
            </w:r>
          </w:p>
        </w:tc>
        <w:tc>
          <w:tcPr>
            <w:tcW w:w="6177" w:type="dxa"/>
            <w:vAlign w:val="center"/>
          </w:tcPr>
          <w:p>
            <w:pPr>
              <w:spacing w:line="240" w:lineRule="auto"/>
              <w:ind w:firstLine="0" w:firstLineChars="0"/>
              <w:jc w:val="both"/>
              <w:rPr>
                <w:sz w:val="21"/>
                <w:szCs w:val="21"/>
                <w:highlight w:val="none"/>
              </w:rPr>
            </w:pPr>
            <w:r>
              <w:rPr>
                <w:rFonts w:hint="eastAsia" w:cs="宋体"/>
                <w:sz w:val="21"/>
                <w:szCs w:val="21"/>
                <w:highlight w:val="none"/>
              </w:rPr>
              <w:t>按照环境保护部发布的《铁矿采选工业污染物排放标准》（GB28661-2012），执行表5新建企业大气污染物排放限值，选矿厂的矿石运输、转载、矿仓、破碎等生产工序或设施颗粒物最高允许排放限值为</w:t>
            </w:r>
            <w:r>
              <w:rPr>
                <w:rFonts w:hint="eastAsia"/>
                <w:sz w:val="21"/>
                <w:szCs w:val="21"/>
                <w:highlight w:val="none"/>
              </w:rPr>
              <w:t>2</w:t>
            </w:r>
            <w:r>
              <w:rPr>
                <w:sz w:val="21"/>
                <w:szCs w:val="21"/>
                <w:highlight w:val="none"/>
              </w:rPr>
              <w:t>0mg/m</w:t>
            </w:r>
            <w:r>
              <w:rPr>
                <w:sz w:val="21"/>
                <w:szCs w:val="21"/>
                <w:highlight w:val="none"/>
                <w:vertAlign w:val="superscript"/>
              </w:rPr>
              <w:t>3</w:t>
            </w:r>
            <w:r>
              <w:rPr>
                <w:rFonts w:hint="eastAsia" w:cs="宋体"/>
                <w:sz w:val="21"/>
                <w:szCs w:val="21"/>
                <w:highlight w:val="none"/>
              </w:rPr>
              <w:t>，选矿厂、尾矿库等作业场所颗粒物无组织排放限值为</w:t>
            </w:r>
            <w:r>
              <w:rPr>
                <w:rFonts w:hint="eastAsia"/>
                <w:sz w:val="21"/>
                <w:szCs w:val="21"/>
                <w:highlight w:val="none"/>
              </w:rPr>
              <w:t>1.0</w:t>
            </w:r>
            <w:r>
              <w:rPr>
                <w:sz w:val="21"/>
                <w:szCs w:val="21"/>
                <w:highlight w:val="none"/>
              </w:rPr>
              <w:t>mg/m</w:t>
            </w:r>
            <w:r>
              <w:rPr>
                <w:sz w:val="21"/>
                <w:szCs w:val="21"/>
                <w:highlight w:val="none"/>
                <w:vertAlign w:val="superscript"/>
              </w:rPr>
              <w:t>3</w:t>
            </w:r>
            <w:r>
              <w:rPr>
                <w:sz w:val="21"/>
                <w:szCs w:val="21"/>
                <w:highlight w:val="none"/>
              </w:rPr>
              <w:t xml:space="preserve"> (</w:t>
            </w:r>
            <w:r>
              <w:rPr>
                <w:rFonts w:hint="eastAsia" w:cs="宋体"/>
                <w:sz w:val="21"/>
                <w:szCs w:val="21"/>
                <w:highlight w:val="none"/>
              </w:rPr>
              <w:t>厂界外</w:t>
            </w:r>
            <w:r>
              <w:rPr>
                <w:sz w:val="21"/>
                <w:szCs w:val="21"/>
                <w:highlight w:val="none"/>
              </w:rPr>
              <w:t>10</w:t>
            </w:r>
            <w:r>
              <w:rPr>
                <w:rFonts w:hint="eastAsia" w:cs="宋体"/>
                <w:sz w:val="21"/>
                <w:szCs w:val="21"/>
                <w:highlight w:val="none"/>
              </w:rPr>
              <w:t>米处</w:t>
            </w:r>
            <w:r>
              <w:rPr>
                <w:sz w:val="21"/>
                <w:szCs w:val="21"/>
                <w:highlight w:val="none"/>
              </w:rPr>
              <w:t>)</w:t>
            </w:r>
            <w:r>
              <w:rPr>
                <w:rFonts w:hint="eastAsia" w:ascii="宋体" w:hAnsi="宋体" w:cs="宋体"/>
                <w:sz w:val="21"/>
                <w:szCs w:val="21"/>
                <w:highlight w:val="none"/>
              </w:rPr>
              <w:t>。</w:t>
            </w:r>
          </w:p>
        </w:tc>
        <w:tc>
          <w:tcPr>
            <w:tcW w:w="6305" w:type="dxa"/>
            <w:vAlign w:val="center"/>
          </w:tcPr>
          <w:p>
            <w:pPr>
              <w:spacing w:line="240" w:lineRule="auto"/>
              <w:ind w:firstLine="0" w:firstLineChars="0"/>
              <w:jc w:val="both"/>
              <w:rPr>
                <w:sz w:val="21"/>
                <w:szCs w:val="21"/>
                <w:highlight w:val="none"/>
              </w:rPr>
            </w:pPr>
            <w:r>
              <w:rPr>
                <w:rFonts w:hint="default" w:ascii="Times New Roman" w:hAnsi="Times New Roman" w:cs="Times New Roman"/>
                <w:sz w:val="21"/>
                <w:szCs w:val="21"/>
                <w:highlight w:val="none"/>
              </w:rPr>
              <w:t>采取相应措施后颗粒物排放满足《铁矿采选工业污染物排放标准》（GB28661-2012）表6新建企业大气污染物特别排放限值，选矿厂的矿石运输、转载、矿仓、破碎等生产工序或设施颗粒物最高允许排放限值为10mg/m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，选矿厂、尾矿库等作业场所颗粒物无组织排放限值为1.0mg/m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（厂界外10米处）。</w:t>
            </w:r>
          </w:p>
        </w:tc>
        <w:tc>
          <w:tcPr>
            <w:tcW w:w="822" w:type="dxa"/>
            <w:vAlign w:val="center"/>
          </w:tcPr>
          <w:p>
            <w:pPr>
              <w:spacing w:line="240" w:lineRule="auto"/>
              <w:ind w:firstLine="0" w:firstLineChars="0"/>
              <w:jc w:val="center"/>
              <w:rPr>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Merge w:val="restart"/>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规范管理</w:t>
            </w:r>
          </w:p>
        </w:tc>
        <w:tc>
          <w:tcPr>
            <w:tcW w:w="6177"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设置专职环保管理人员，管理人员要熟悉环保业务，具备企业日常环境管理经验。</w:t>
            </w:r>
          </w:p>
        </w:tc>
        <w:tc>
          <w:tcPr>
            <w:tcW w:w="6305" w:type="dxa"/>
            <w:vAlign w:val="center"/>
          </w:tcPr>
          <w:p>
            <w:pPr>
              <w:spacing w:line="240" w:lineRule="auto"/>
              <w:ind w:firstLine="0" w:firstLineChars="0"/>
              <w:jc w:val="center"/>
              <w:rPr>
                <w:sz w:val="21"/>
                <w:szCs w:val="21"/>
                <w:highlight w:val="none"/>
              </w:rPr>
            </w:pPr>
            <w:r>
              <w:rPr>
                <w:rFonts w:hint="eastAsia" w:cs="宋体"/>
                <w:sz w:val="21"/>
                <w:szCs w:val="21"/>
                <w:highlight w:val="none"/>
              </w:rPr>
              <w:t>设有专职环保管理人员，熟悉环保业务，具备相关管理经验。</w:t>
            </w:r>
          </w:p>
        </w:tc>
        <w:tc>
          <w:tcPr>
            <w:tcW w:w="822"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Merge w:val="continue"/>
            <w:vAlign w:val="center"/>
          </w:tcPr>
          <w:p>
            <w:pPr>
              <w:spacing w:line="240" w:lineRule="auto"/>
              <w:ind w:firstLine="0" w:firstLineChars="0"/>
              <w:rPr>
                <w:rFonts w:cs="宋体"/>
                <w:sz w:val="21"/>
                <w:szCs w:val="21"/>
                <w:highlight w:val="none"/>
              </w:rPr>
            </w:pPr>
          </w:p>
        </w:tc>
        <w:tc>
          <w:tcPr>
            <w:tcW w:w="6177"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建立企业环境管理制度、严格岗位管理及排污口规范化管理，建立健全运行管理制度，明确岗位环保职责和日常环保行为规范、建立和落实环保岗位考核制度。</w:t>
            </w:r>
          </w:p>
        </w:tc>
        <w:tc>
          <w:tcPr>
            <w:tcW w:w="6305" w:type="dxa"/>
            <w:vAlign w:val="center"/>
          </w:tcPr>
          <w:p>
            <w:pPr>
              <w:spacing w:line="240" w:lineRule="auto"/>
              <w:ind w:firstLine="0" w:firstLineChars="0"/>
              <w:jc w:val="center"/>
              <w:rPr>
                <w:sz w:val="21"/>
                <w:szCs w:val="21"/>
                <w:highlight w:val="none"/>
              </w:rPr>
            </w:pPr>
            <w:r>
              <w:rPr>
                <w:rFonts w:hint="eastAsia" w:cs="宋体"/>
                <w:sz w:val="21"/>
                <w:szCs w:val="21"/>
                <w:highlight w:val="none"/>
              </w:rPr>
              <w:t>制定企业环境管理制度，明确了岗位环保职责和日常环保行为规范、建立和落实环保岗位考核制度。</w:t>
            </w:r>
          </w:p>
        </w:tc>
        <w:tc>
          <w:tcPr>
            <w:tcW w:w="822" w:type="dxa"/>
            <w:vMerge w:val="restart"/>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Merge w:val="continue"/>
            <w:vAlign w:val="center"/>
          </w:tcPr>
          <w:p>
            <w:pPr>
              <w:spacing w:line="240" w:lineRule="auto"/>
              <w:ind w:firstLine="0" w:firstLineChars="0"/>
              <w:rPr>
                <w:rFonts w:cs="宋体"/>
                <w:sz w:val="21"/>
                <w:szCs w:val="21"/>
                <w:highlight w:val="none"/>
              </w:rPr>
            </w:pPr>
          </w:p>
        </w:tc>
        <w:tc>
          <w:tcPr>
            <w:tcW w:w="6177" w:type="dxa"/>
            <w:vAlign w:val="center"/>
          </w:tcPr>
          <w:p>
            <w:pPr>
              <w:spacing w:line="240" w:lineRule="auto"/>
              <w:ind w:firstLine="0" w:firstLineChars="0"/>
              <w:jc w:val="center"/>
              <w:rPr>
                <w:rFonts w:cs="宋体"/>
                <w:sz w:val="21"/>
                <w:szCs w:val="21"/>
                <w:highlight w:val="none"/>
              </w:rPr>
            </w:pPr>
            <w:r>
              <w:rPr>
                <w:rFonts w:hint="eastAsia" w:cs="宋体"/>
                <w:sz w:val="21"/>
                <w:szCs w:val="21"/>
                <w:highlight w:val="none"/>
              </w:rPr>
              <w:t>制定和落实生产设备设施和污染防治设施运行维护和管理制度，建立环保设施运行台账，确保各项设备设施稳定、正常运行。</w:t>
            </w:r>
          </w:p>
        </w:tc>
        <w:tc>
          <w:tcPr>
            <w:tcW w:w="6305" w:type="dxa"/>
            <w:vAlign w:val="center"/>
          </w:tcPr>
          <w:p>
            <w:pPr>
              <w:spacing w:line="240" w:lineRule="auto"/>
              <w:ind w:firstLine="0" w:firstLineChars="0"/>
              <w:jc w:val="center"/>
              <w:rPr>
                <w:sz w:val="21"/>
                <w:szCs w:val="21"/>
                <w:highlight w:val="none"/>
              </w:rPr>
            </w:pPr>
            <w:r>
              <w:rPr>
                <w:rFonts w:hint="eastAsia" w:cs="宋体"/>
                <w:sz w:val="21"/>
                <w:szCs w:val="21"/>
                <w:highlight w:val="none"/>
              </w:rPr>
              <w:t>制定《环保管理制度》、《环保岗位考核制度》、《环保设备管理制度》、《污染防治设施运行管理制度》，建立环保设施运行台账，保证各项设备设施稳定、正常运行。</w:t>
            </w:r>
          </w:p>
        </w:tc>
        <w:tc>
          <w:tcPr>
            <w:tcW w:w="822" w:type="dxa"/>
            <w:vMerge w:val="continue"/>
            <w:vAlign w:val="center"/>
          </w:tcPr>
          <w:p>
            <w:pPr>
              <w:spacing w:line="240" w:lineRule="auto"/>
              <w:ind w:firstLine="0" w:firstLineChars="0"/>
              <w:jc w:val="center"/>
              <w:rPr>
                <w:rFonts w:cs="宋体"/>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Merge w:val="continue"/>
            <w:vAlign w:val="center"/>
          </w:tcPr>
          <w:p>
            <w:pPr>
              <w:spacing w:line="240" w:lineRule="auto"/>
              <w:ind w:firstLine="0" w:firstLineChars="0"/>
              <w:rPr>
                <w:rFonts w:cs="宋体"/>
                <w:sz w:val="21"/>
                <w:szCs w:val="21"/>
                <w:highlight w:val="none"/>
              </w:rPr>
            </w:pPr>
          </w:p>
        </w:tc>
        <w:tc>
          <w:tcPr>
            <w:tcW w:w="6177" w:type="dxa"/>
            <w:vAlign w:val="center"/>
          </w:tcPr>
          <w:p>
            <w:pPr>
              <w:spacing w:line="240" w:lineRule="auto"/>
              <w:ind w:firstLine="0" w:firstLineChars="0"/>
              <w:rPr>
                <w:rFonts w:cs="宋体"/>
                <w:sz w:val="21"/>
                <w:szCs w:val="21"/>
                <w:highlight w:val="none"/>
              </w:rPr>
            </w:pPr>
            <w:r>
              <w:rPr>
                <w:rFonts w:hint="eastAsia" w:cs="宋体"/>
                <w:sz w:val="21"/>
                <w:szCs w:val="21"/>
                <w:highlight w:val="none"/>
              </w:rPr>
              <w:t>落实环境污染报告制度、环境巡查制度、环保事故管理制度。</w:t>
            </w:r>
          </w:p>
        </w:tc>
        <w:tc>
          <w:tcPr>
            <w:tcW w:w="6305" w:type="dxa"/>
            <w:vAlign w:val="center"/>
          </w:tcPr>
          <w:p>
            <w:pPr>
              <w:spacing w:line="240" w:lineRule="auto"/>
              <w:ind w:firstLine="0" w:firstLineChars="0"/>
              <w:jc w:val="center"/>
              <w:rPr>
                <w:sz w:val="21"/>
                <w:szCs w:val="21"/>
                <w:highlight w:val="none"/>
              </w:rPr>
            </w:pPr>
            <w:r>
              <w:rPr>
                <w:rFonts w:hint="eastAsia" w:cs="宋体"/>
                <w:sz w:val="21"/>
                <w:szCs w:val="21"/>
                <w:highlight w:val="none"/>
              </w:rPr>
              <w:t>落实环境污染报告制度、环境巡查制度、环保事故管理制度。</w:t>
            </w:r>
          </w:p>
        </w:tc>
        <w:tc>
          <w:tcPr>
            <w:tcW w:w="822" w:type="dxa"/>
            <w:vMerge w:val="continue"/>
            <w:vAlign w:val="center"/>
          </w:tcPr>
          <w:p>
            <w:pPr>
              <w:spacing w:line="240" w:lineRule="auto"/>
              <w:ind w:firstLine="0" w:firstLineChars="0"/>
              <w:jc w:val="center"/>
              <w:rPr>
                <w:rFonts w:cs="宋体"/>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sz w:val="21"/>
                <w:szCs w:val="21"/>
                <w:highlight w:val="none"/>
              </w:rPr>
            </w:pPr>
            <w:r>
              <w:rPr>
                <w:rFonts w:hint="eastAsia" w:cs="宋体"/>
                <w:sz w:val="21"/>
                <w:szCs w:val="21"/>
                <w:highlight w:val="none"/>
              </w:rPr>
              <w:t>场区及道路硬化绿化</w:t>
            </w:r>
          </w:p>
        </w:tc>
        <w:tc>
          <w:tcPr>
            <w:tcW w:w="6177" w:type="dxa"/>
            <w:vAlign w:val="center"/>
          </w:tcPr>
          <w:p>
            <w:pPr>
              <w:spacing w:line="240" w:lineRule="auto"/>
              <w:ind w:firstLine="0" w:firstLineChars="0"/>
              <w:rPr>
                <w:sz w:val="21"/>
                <w:szCs w:val="21"/>
                <w:highlight w:val="none"/>
              </w:rPr>
            </w:pPr>
            <w:r>
              <w:rPr>
                <w:rFonts w:hint="eastAsia"/>
                <w:sz w:val="21"/>
                <w:szCs w:val="21"/>
                <w:highlight w:val="none"/>
              </w:rPr>
              <w:t>配套采矿至公路路网、铁选矿厂区运输通道及成品库房至公路路网道路的硬化、绿化，路面宽度6米，水泥混凝土厚度不低于0.3米，路基宽度6.5米（按照田间道路的标准执行），要在合理位置安装自动洗车设备。两侧要参照三级公路绿化标准进行绿化，每侧需栽植两行胸径不低于10厘米的绿化树木，株距5米，并保证整体绿化效果。每座选矿必须配备一台清扫车和一台洒水车，生产期间，道路路面不间断清扫保洁、洒水抑尘，保持路面整洁、湿润不起尘，有效防止运输环节扬尘污染，同时车辆拉货上路时不允许沥水。两家以上铁选矿共用的运输道路，其硬化、绿化、清扫洒水工作，由所在乡镇政府组织协调，相关企业共同出资解决。</w:t>
            </w:r>
          </w:p>
        </w:tc>
        <w:tc>
          <w:tcPr>
            <w:tcW w:w="6305" w:type="dxa"/>
            <w:vAlign w:val="center"/>
          </w:tcPr>
          <w:p>
            <w:pPr>
              <w:spacing w:line="240" w:lineRule="auto"/>
              <w:ind w:firstLine="0" w:firstLineChars="0"/>
              <w:rPr>
                <w:sz w:val="21"/>
                <w:szCs w:val="21"/>
                <w:highlight w:val="none"/>
              </w:rPr>
            </w:pPr>
            <w:r>
              <w:rPr>
                <w:rFonts w:hint="eastAsia"/>
                <w:sz w:val="21"/>
                <w:szCs w:val="21"/>
                <w:highlight w:val="none"/>
              </w:rPr>
              <w:t>建设配套原料及产品运输道路，路面宽度6m，水泥混凝土厚度不低于0.3m，路基宽度6.5m，在精粉库及厂区门口安装洗车设备。道路两侧按照三级公路绿化标准进行绿化。</w:t>
            </w:r>
          </w:p>
          <w:p>
            <w:pPr>
              <w:spacing w:line="240" w:lineRule="auto"/>
              <w:ind w:firstLine="0" w:firstLineChars="0"/>
              <w:rPr>
                <w:sz w:val="21"/>
                <w:szCs w:val="21"/>
                <w:highlight w:val="none"/>
              </w:rPr>
            </w:pPr>
            <w:r>
              <w:rPr>
                <w:rFonts w:hint="eastAsia"/>
                <w:sz w:val="21"/>
                <w:szCs w:val="21"/>
                <w:highlight w:val="none"/>
              </w:rPr>
              <w:t>厂区内配备1台清扫车和1台洒水车，生产期间，保证道路路面不间断清扫保洁、洒水抑尘，保持路面整洁、湿润不起尘，有效防止运输环节扬尘污染，同时车辆拉货上路时不允许沥水。</w:t>
            </w:r>
          </w:p>
          <w:p>
            <w:pPr>
              <w:spacing w:line="240" w:lineRule="auto"/>
              <w:ind w:firstLine="0" w:firstLineChars="0"/>
              <w:jc w:val="both"/>
              <w:rPr>
                <w:sz w:val="21"/>
                <w:szCs w:val="21"/>
                <w:highlight w:val="none"/>
              </w:rPr>
            </w:pPr>
            <w:r>
              <w:rPr>
                <w:rFonts w:hint="eastAsia"/>
                <w:sz w:val="21"/>
                <w:szCs w:val="21"/>
                <w:highlight w:val="none"/>
              </w:rPr>
              <w:t>企业厂区外运输道路的绿化、硬化、清扫、洒水工作，由本企业出资解决。</w:t>
            </w:r>
          </w:p>
        </w:tc>
        <w:tc>
          <w:tcPr>
            <w:tcW w:w="822" w:type="dxa"/>
            <w:vAlign w:val="center"/>
          </w:tcPr>
          <w:p>
            <w:pPr>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sz w:val="21"/>
                <w:szCs w:val="21"/>
                <w:highlight w:val="none"/>
              </w:rPr>
            </w:pPr>
            <w:r>
              <w:rPr>
                <w:rFonts w:hint="eastAsia"/>
                <w:sz w:val="21"/>
                <w:szCs w:val="21"/>
                <w:highlight w:val="none"/>
              </w:rPr>
              <w:t>生产规模</w:t>
            </w:r>
          </w:p>
        </w:tc>
        <w:tc>
          <w:tcPr>
            <w:tcW w:w="6177" w:type="dxa"/>
            <w:vAlign w:val="center"/>
          </w:tcPr>
          <w:p>
            <w:pPr>
              <w:spacing w:line="240" w:lineRule="auto"/>
              <w:ind w:firstLine="0" w:firstLineChars="0"/>
              <w:rPr>
                <w:sz w:val="21"/>
                <w:szCs w:val="21"/>
                <w:highlight w:val="none"/>
              </w:rPr>
            </w:pPr>
            <w:r>
              <w:rPr>
                <w:rFonts w:hint="eastAsia"/>
                <w:sz w:val="21"/>
                <w:szCs w:val="21"/>
                <w:highlight w:val="none"/>
              </w:rPr>
              <w:t>粗选年处理原矿能力不得低于15万吨，精选年处理铁粉能力不得低于20万吨。</w:t>
            </w:r>
          </w:p>
        </w:tc>
        <w:tc>
          <w:tcPr>
            <w:tcW w:w="6305" w:type="dxa"/>
            <w:vAlign w:val="center"/>
          </w:tcPr>
          <w:p>
            <w:pPr>
              <w:spacing w:line="240" w:lineRule="auto"/>
              <w:ind w:firstLine="0" w:firstLineChars="0"/>
              <w:jc w:val="center"/>
              <w:rPr>
                <w:sz w:val="21"/>
                <w:szCs w:val="21"/>
                <w:highlight w:val="none"/>
              </w:rPr>
            </w:pPr>
            <w:r>
              <w:rPr>
                <w:rFonts w:hint="eastAsia"/>
                <w:sz w:val="21"/>
                <w:szCs w:val="21"/>
                <w:highlight w:val="none"/>
              </w:rPr>
              <w:t>本项目</w:t>
            </w:r>
            <w:r>
              <w:rPr>
                <w:rFonts w:hint="eastAsia"/>
                <w:sz w:val="21"/>
                <w:szCs w:val="21"/>
                <w:highlight w:val="none"/>
                <w:lang w:val="en-US" w:eastAsia="zh-CN"/>
              </w:rPr>
              <w:t>实施后全厂</w:t>
            </w:r>
            <w:r>
              <w:rPr>
                <w:rFonts w:hint="eastAsia"/>
                <w:sz w:val="21"/>
                <w:szCs w:val="21"/>
                <w:highlight w:val="none"/>
              </w:rPr>
              <w:t>年处理铁矿石（原矿）</w:t>
            </w:r>
            <w:r>
              <w:rPr>
                <w:rFonts w:hint="eastAsia"/>
                <w:sz w:val="21"/>
                <w:szCs w:val="21"/>
                <w:highlight w:val="none"/>
                <w:lang w:val="en-US" w:eastAsia="zh-CN"/>
              </w:rPr>
              <w:t>110</w:t>
            </w:r>
            <w:r>
              <w:rPr>
                <w:rFonts w:hint="eastAsia"/>
                <w:sz w:val="21"/>
                <w:szCs w:val="21"/>
                <w:highlight w:val="none"/>
              </w:rPr>
              <w:t>万吨。</w:t>
            </w:r>
          </w:p>
        </w:tc>
        <w:tc>
          <w:tcPr>
            <w:tcW w:w="822" w:type="dxa"/>
            <w:vAlign w:val="center"/>
          </w:tcPr>
          <w:p>
            <w:pPr>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sz w:val="21"/>
                <w:szCs w:val="21"/>
                <w:highlight w:val="none"/>
              </w:rPr>
            </w:pPr>
            <w:r>
              <w:rPr>
                <w:rFonts w:hint="eastAsia"/>
                <w:sz w:val="21"/>
                <w:szCs w:val="21"/>
                <w:highlight w:val="none"/>
              </w:rPr>
              <w:t>无入河排污口</w:t>
            </w:r>
          </w:p>
        </w:tc>
        <w:tc>
          <w:tcPr>
            <w:tcW w:w="6177" w:type="dxa"/>
            <w:vAlign w:val="center"/>
          </w:tcPr>
          <w:p>
            <w:pPr>
              <w:spacing w:line="240" w:lineRule="auto"/>
              <w:ind w:firstLine="0" w:firstLineChars="0"/>
              <w:rPr>
                <w:sz w:val="21"/>
                <w:szCs w:val="21"/>
                <w:highlight w:val="none"/>
              </w:rPr>
            </w:pPr>
            <w:r>
              <w:rPr>
                <w:rFonts w:hint="eastAsia"/>
                <w:sz w:val="21"/>
                <w:szCs w:val="21"/>
                <w:highlight w:val="none"/>
              </w:rPr>
              <w:t>对于临河建设的选矿企业均不得设置入河排污口，生产过程中产生的污水必须排入低于地面的尾矿库，并定期进行清理；建设沉砂池及净水池，提高水循环利用率。</w:t>
            </w:r>
          </w:p>
        </w:tc>
        <w:tc>
          <w:tcPr>
            <w:tcW w:w="6305" w:type="dxa"/>
            <w:vAlign w:val="center"/>
          </w:tcPr>
          <w:p>
            <w:pPr>
              <w:spacing w:line="240" w:lineRule="auto"/>
              <w:ind w:firstLine="0" w:firstLineChars="0"/>
              <w:jc w:val="center"/>
              <w:rPr>
                <w:sz w:val="21"/>
                <w:szCs w:val="21"/>
                <w:highlight w:val="none"/>
              </w:rPr>
            </w:pPr>
            <w:r>
              <w:rPr>
                <w:rFonts w:hint="eastAsia"/>
                <w:sz w:val="21"/>
                <w:szCs w:val="21"/>
                <w:highlight w:val="none"/>
              </w:rPr>
              <w:t>本项目不临河道，无入河排污口。项目不建设尾矿库，生产废水循环利用不外排。</w:t>
            </w:r>
          </w:p>
        </w:tc>
        <w:tc>
          <w:tcPr>
            <w:tcW w:w="822" w:type="dxa"/>
            <w:vAlign w:val="center"/>
          </w:tcPr>
          <w:p>
            <w:pPr>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sz w:val="21"/>
                <w:szCs w:val="21"/>
                <w:highlight w:val="none"/>
              </w:rPr>
            </w:pPr>
            <w:r>
              <w:rPr>
                <w:rFonts w:hint="eastAsia"/>
                <w:sz w:val="21"/>
                <w:szCs w:val="21"/>
                <w:highlight w:val="none"/>
              </w:rPr>
              <w:t>符合河库安全保护距离</w:t>
            </w:r>
          </w:p>
        </w:tc>
        <w:tc>
          <w:tcPr>
            <w:tcW w:w="6177" w:type="dxa"/>
            <w:vAlign w:val="center"/>
          </w:tcPr>
          <w:p>
            <w:pPr>
              <w:spacing w:line="240" w:lineRule="auto"/>
              <w:ind w:firstLine="0" w:firstLineChars="0"/>
              <w:rPr>
                <w:sz w:val="21"/>
                <w:szCs w:val="21"/>
                <w:highlight w:val="none"/>
              </w:rPr>
            </w:pPr>
            <w:r>
              <w:rPr>
                <w:rFonts w:hint="eastAsia"/>
                <w:sz w:val="21"/>
                <w:szCs w:val="21"/>
                <w:highlight w:val="none"/>
              </w:rPr>
              <w:t>水库安全保护距离为淹没线以外500米；重点河道黎河、沙河、淋河、魏进河为河提外坡脚以外100米，其中尾矿库距离河道不低于150米；一般性河道为50米，其中尾矿库距离不能低于100米；支流及排水沟渠为20米，其中尾矿库距离不能低于50米。河库安全保护范围内不再新设铁选矿。对保护距离范围内已有的铁选矿，实施绿化隔离，在河提与选矿间建立绿化隔离带，其中重点保护区域在河堤外绿化厚度不低于30米、一般性河道河堤外绿化厚度不低于20米、支流及其他河流河堤外绿化厚度不低于10米，种植要求乔木与灌木相结合。</w:t>
            </w:r>
          </w:p>
        </w:tc>
        <w:tc>
          <w:tcPr>
            <w:tcW w:w="6305" w:type="dxa"/>
            <w:vAlign w:val="center"/>
          </w:tcPr>
          <w:p>
            <w:pPr>
              <w:spacing w:line="240" w:lineRule="auto"/>
              <w:ind w:firstLine="0" w:firstLineChars="0"/>
              <w:jc w:val="center"/>
              <w:rPr>
                <w:sz w:val="21"/>
                <w:szCs w:val="21"/>
                <w:highlight w:val="none"/>
              </w:rPr>
            </w:pPr>
            <w:r>
              <w:rPr>
                <w:rFonts w:hint="eastAsia"/>
                <w:sz w:val="21"/>
                <w:szCs w:val="21"/>
                <w:highlight w:val="none"/>
              </w:rPr>
              <w:t>本项目周边500m范围内无河流及水库，同时取得遵化市水务局满足河库安全距离的证明。</w:t>
            </w:r>
          </w:p>
        </w:tc>
        <w:tc>
          <w:tcPr>
            <w:tcW w:w="822" w:type="dxa"/>
            <w:vAlign w:val="center"/>
          </w:tcPr>
          <w:p>
            <w:pPr>
              <w:spacing w:line="240" w:lineRule="auto"/>
              <w:ind w:firstLine="0" w:firstLineChars="0"/>
              <w:jc w:val="center"/>
              <w:rPr>
                <w:sz w:val="21"/>
                <w:szCs w:val="21"/>
                <w:highlight w:val="none"/>
              </w:rPr>
            </w:pPr>
            <w:r>
              <w:rPr>
                <w:rFonts w:hint="eastAsia"/>
                <w:sz w:val="21"/>
                <w:szCs w:val="21"/>
                <w:highlight w:val="none"/>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870" w:type="dxa"/>
            <w:vAlign w:val="center"/>
          </w:tcPr>
          <w:p>
            <w:pPr>
              <w:spacing w:line="240" w:lineRule="auto"/>
              <w:ind w:firstLine="0" w:firstLineChars="0"/>
              <w:jc w:val="center"/>
              <w:rPr>
                <w:sz w:val="21"/>
                <w:szCs w:val="21"/>
                <w:highlight w:val="none"/>
              </w:rPr>
            </w:pPr>
            <w:r>
              <w:rPr>
                <w:rFonts w:hint="eastAsia"/>
                <w:sz w:val="21"/>
                <w:szCs w:val="21"/>
                <w:highlight w:val="none"/>
              </w:rPr>
              <w:t>/</w:t>
            </w:r>
          </w:p>
        </w:tc>
        <w:tc>
          <w:tcPr>
            <w:tcW w:w="6177" w:type="dxa"/>
            <w:vAlign w:val="center"/>
          </w:tcPr>
          <w:p>
            <w:pPr>
              <w:spacing w:line="240" w:lineRule="auto"/>
              <w:ind w:firstLine="0" w:firstLineChars="0"/>
              <w:rPr>
                <w:sz w:val="21"/>
                <w:szCs w:val="21"/>
                <w:highlight w:val="none"/>
              </w:rPr>
            </w:pPr>
            <w:r>
              <w:rPr>
                <w:rFonts w:hint="eastAsia"/>
                <w:sz w:val="21"/>
                <w:szCs w:val="21"/>
                <w:highlight w:val="none"/>
              </w:rPr>
              <w:t>旅游景区、景点周边或通往景区的旅游线路两侧有碍观瞻的铁选矿，合理设置景观墙或景观带消除观瞻影响。</w:t>
            </w:r>
          </w:p>
        </w:tc>
        <w:tc>
          <w:tcPr>
            <w:tcW w:w="6305" w:type="dxa"/>
            <w:vAlign w:val="center"/>
          </w:tcPr>
          <w:p>
            <w:pPr>
              <w:spacing w:line="240" w:lineRule="auto"/>
              <w:ind w:firstLine="0" w:firstLineChars="0"/>
              <w:jc w:val="center"/>
              <w:rPr>
                <w:sz w:val="21"/>
                <w:szCs w:val="21"/>
                <w:highlight w:val="none"/>
              </w:rPr>
            </w:pPr>
            <w:r>
              <w:rPr>
                <w:rFonts w:hint="eastAsia"/>
                <w:sz w:val="21"/>
                <w:szCs w:val="21"/>
                <w:highlight w:val="none"/>
              </w:rPr>
              <w:t>项目不在旅游景区、景点周边或通往景区的旅游线路两侧。</w:t>
            </w:r>
          </w:p>
        </w:tc>
        <w:tc>
          <w:tcPr>
            <w:tcW w:w="822" w:type="dxa"/>
            <w:vAlign w:val="center"/>
          </w:tcPr>
          <w:p>
            <w:pPr>
              <w:spacing w:line="240" w:lineRule="auto"/>
              <w:ind w:firstLine="0" w:firstLineChars="0"/>
              <w:jc w:val="center"/>
              <w:rPr>
                <w:sz w:val="21"/>
                <w:szCs w:val="21"/>
                <w:highlight w:val="none"/>
              </w:rPr>
            </w:pPr>
            <w:r>
              <w:rPr>
                <w:rFonts w:hint="eastAsia"/>
                <w:sz w:val="21"/>
                <w:szCs w:val="21"/>
                <w:highlight w:val="none"/>
              </w:rPr>
              <w:t>符合</w:t>
            </w:r>
          </w:p>
        </w:tc>
      </w:tr>
    </w:tbl>
    <w:p>
      <w:pPr>
        <w:rPr>
          <w:rFonts w:hint="default" w:ascii="Times New Roman" w:hAnsi="Times New Roman" w:cs="Times New Roman"/>
          <w:sz w:val="21"/>
          <w:highlight w:val="none"/>
        </w:rPr>
      </w:pPr>
    </w:p>
    <w:p>
      <w:pPr>
        <w:rPr>
          <w:rFonts w:hint="default" w:ascii="Times New Roman" w:hAnsi="Times New Roman" w:cs="Times New Roman"/>
          <w:highlight w:val="none"/>
        </w:rPr>
        <w:sectPr>
          <w:headerReference r:id="rId11" w:type="default"/>
          <w:footerReference r:id="rId12" w:type="default"/>
          <w:pgSz w:w="16839" w:h="11906"/>
          <w:pgMar w:top="916" w:right="1680" w:bottom="914" w:left="1680" w:header="599" w:footer="534"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0" w:beforeLines="50" w:line="440" w:lineRule="exact"/>
        <w:textAlignment w:val="baseline"/>
        <w:outlineLvl w:val="2"/>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shape id="_x0000_s1038" o:spid="_x0000_s1038" style="position:absolute;left:0pt;margin-left:89.85pt;margin-top:60.75pt;height:0.75pt;width:415.65pt;mso-position-horizontal-relative:page;mso-position-vertical-relative:page;z-index:251664384;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Times New Roman" w:cs="Times New Roman"/>
          <w:b/>
          <w:bCs/>
          <w:spacing w:val="7"/>
          <w:sz w:val="23"/>
          <w:szCs w:val="23"/>
          <w:highlight w:val="none"/>
        </w:rPr>
        <w:t>1.</w:t>
      </w:r>
      <w:r>
        <w:rPr>
          <w:rFonts w:hint="eastAsia" w:ascii="Times New Roman" w:hAnsi="Times New Roman" w:eastAsia="宋体" w:cs="Times New Roman"/>
          <w:b/>
          <w:bCs/>
          <w:spacing w:val="7"/>
          <w:sz w:val="23"/>
          <w:szCs w:val="23"/>
          <w:highlight w:val="none"/>
          <w:lang w:val="en-US" w:eastAsia="zh-CN"/>
        </w:rPr>
        <w:t>4</w:t>
      </w:r>
      <w:r>
        <w:rPr>
          <w:rFonts w:hint="default" w:ascii="Times New Roman" w:hAnsi="Times New Roman" w:eastAsia="Times New Roman" w:cs="Times New Roman"/>
          <w:b/>
          <w:bCs/>
          <w:spacing w:val="7"/>
          <w:sz w:val="23"/>
          <w:szCs w:val="23"/>
          <w:highlight w:val="none"/>
        </w:rPr>
        <w:t>.8“</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三线一单</w:t>
      </w:r>
      <w:r>
        <w:rPr>
          <w:rFonts w:hint="default" w:ascii="Times New Roman" w:hAnsi="Times New Roman" w:eastAsia="Times New Roman" w:cs="Times New Roman"/>
          <w:b/>
          <w:bCs/>
          <w:spacing w:val="7"/>
          <w:sz w:val="23"/>
          <w:szCs w:val="23"/>
          <w:highlight w:val="none"/>
        </w:rPr>
        <w:t>”</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符合性分</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析</w:t>
      </w:r>
    </w:p>
    <w:p>
      <w:pPr>
        <w:spacing w:before="75" w:line="400" w:lineRule="auto"/>
        <w:ind w:left="20" w:right="77"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根据《关于以改善环境质量为核心加强环境影响评价管理的通知》 (环环</w:t>
      </w:r>
      <w:r>
        <w:rPr>
          <w:rFonts w:hint="default" w:ascii="Times New Roman" w:hAnsi="Times New Roman" w:eastAsia="宋体" w:cs="Times New Roman"/>
          <w:sz w:val="23"/>
          <w:szCs w:val="23"/>
          <w:highlight w:val="none"/>
        </w:rPr>
        <w:t xml:space="preserve">评 </w:t>
      </w:r>
      <w:r>
        <w:rPr>
          <w:rFonts w:hint="default" w:ascii="Times New Roman" w:hAnsi="Times New Roman" w:eastAsia="Times New Roman" w:cs="Times New Roman"/>
          <w:spacing w:val="8"/>
          <w:sz w:val="23"/>
          <w:szCs w:val="23"/>
          <w:highlight w:val="none"/>
        </w:rPr>
        <w:t xml:space="preserve">[2016] 150 </w:t>
      </w:r>
      <w:r>
        <w:rPr>
          <w:rFonts w:hint="default" w:ascii="Times New Roman" w:hAnsi="Times New Roman" w:eastAsia="宋体" w:cs="Times New Roman"/>
          <w:spacing w:val="8"/>
          <w:sz w:val="23"/>
          <w:szCs w:val="23"/>
          <w:highlight w:val="none"/>
        </w:rPr>
        <w:t>号) ，要求以生态保护红线、环境质量底线、资源利用上线和环境</w:t>
      </w:r>
      <w:r>
        <w:rPr>
          <w:rFonts w:hint="default" w:ascii="Times New Roman" w:hAnsi="Times New Roman" w:eastAsia="宋体" w:cs="Times New Roman"/>
          <w:spacing w:val="1"/>
          <w:sz w:val="23"/>
          <w:szCs w:val="23"/>
          <w:highlight w:val="none"/>
        </w:rPr>
        <w:t>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入负面清单 (以下简称</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三线一单</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 为手段，强化空间、总量和准入环境管理</w:t>
      </w:r>
      <w:r>
        <w:rPr>
          <w:rFonts w:hint="default" w:ascii="Times New Roman" w:hAnsi="Times New Roman" w:eastAsia="宋体" w:cs="Times New Roman"/>
          <w:spacing w:val="6"/>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本项目建设与上述要求的符合性分析如下：</w:t>
      </w:r>
    </w:p>
    <w:p>
      <w:pPr>
        <w:spacing w:before="4" w:line="226" w:lineRule="auto"/>
        <w:ind w:left="50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①生态保护红</w:t>
      </w:r>
      <w:r>
        <w:rPr>
          <w:rFonts w:hint="default" w:ascii="Times New Roman" w:hAnsi="Times New Roman" w:eastAsia="宋体" w:cs="Times New Roman"/>
          <w:spacing w:val="7"/>
          <w:sz w:val="23"/>
          <w:szCs w:val="23"/>
          <w:highlight w:val="none"/>
        </w:rPr>
        <w:t>线</w:t>
      </w:r>
    </w:p>
    <w:p>
      <w:pPr>
        <w:tabs>
          <w:tab w:val="left" w:pos="146"/>
        </w:tabs>
        <w:spacing w:before="220" w:line="401" w:lineRule="auto"/>
        <w:ind w:left="20" w:right="27"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生态保护红线包括重点生态功能区保护红线、生态敏感脆弱区保护红线和</w:t>
      </w:r>
      <w:r>
        <w:rPr>
          <w:rFonts w:hint="default" w:ascii="Times New Roman" w:hAnsi="Times New Roman" w:eastAsia="宋体" w:cs="Times New Roman"/>
          <w:spacing w:val="5"/>
          <w:sz w:val="23"/>
          <w:szCs w:val="23"/>
          <w:highlight w:val="none"/>
        </w:rPr>
        <w:t>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止</w:t>
      </w:r>
      <w:r>
        <w:rPr>
          <w:rFonts w:hint="default" w:ascii="Times New Roman" w:hAnsi="Times New Roman" w:eastAsia="宋体" w:cs="Times New Roman"/>
          <w:spacing w:val="12"/>
          <w:sz w:val="23"/>
          <w:szCs w:val="23"/>
          <w:highlight w:val="none"/>
        </w:rPr>
        <w:t>开</w:t>
      </w:r>
      <w:r>
        <w:rPr>
          <w:rFonts w:hint="default" w:ascii="Times New Roman" w:hAnsi="Times New Roman" w:eastAsia="宋体" w:cs="Times New Roman"/>
          <w:spacing w:val="9"/>
          <w:sz w:val="23"/>
          <w:szCs w:val="23"/>
          <w:highlight w:val="none"/>
        </w:rPr>
        <w:t>发区保护红线。根据经环境保护部审定的《河北省生态保护红线划定方案》</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 xml:space="preserve"> ，本项目位于遵化市苏家洼镇张家坟村南</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9"/>
          <w:sz w:val="23"/>
          <w:szCs w:val="23"/>
          <w:highlight w:val="none"/>
          <w:lang w:val="en-US" w:eastAsia="zh-CN"/>
        </w:rPr>
        <w:t>现有厂区内</w:t>
      </w:r>
      <w:r>
        <w:rPr>
          <w:rFonts w:hint="default" w:ascii="Times New Roman" w:hAnsi="Times New Roman" w:eastAsia="宋体" w:cs="Times New Roman"/>
          <w:spacing w:val="6"/>
          <w:sz w:val="23"/>
          <w:szCs w:val="23"/>
          <w:highlight w:val="none"/>
        </w:rPr>
        <w:t>，该区域未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划</w:t>
      </w:r>
      <w:r>
        <w:rPr>
          <w:rFonts w:hint="default" w:ascii="Times New Roman" w:hAnsi="Times New Roman" w:eastAsia="宋体" w:cs="Times New Roman"/>
          <w:spacing w:val="9"/>
          <w:sz w:val="23"/>
          <w:szCs w:val="23"/>
          <w:highlight w:val="none"/>
        </w:rPr>
        <w:t>定生态保护红线，故本项目不在生态保护红线区内。</w:t>
      </w:r>
    </w:p>
    <w:p>
      <w:pPr>
        <w:spacing w:before="1" w:line="225" w:lineRule="auto"/>
        <w:ind w:left="49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②环境质量底</w:t>
      </w:r>
      <w:r>
        <w:rPr>
          <w:rFonts w:hint="default" w:ascii="Times New Roman" w:hAnsi="Times New Roman" w:eastAsia="宋体" w:cs="Times New Roman"/>
          <w:spacing w:val="8"/>
          <w:sz w:val="23"/>
          <w:szCs w:val="23"/>
          <w:highlight w:val="none"/>
        </w:rPr>
        <w:t>线</w:t>
      </w:r>
    </w:p>
    <w:p>
      <w:pPr>
        <w:spacing w:before="185" w:line="403" w:lineRule="auto"/>
        <w:ind w:left="24" w:right="94"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项目所在区域为农村</w:t>
      </w:r>
      <w:r>
        <w:rPr>
          <w:rFonts w:hint="default" w:ascii="Times New Roman" w:hAnsi="Times New Roman" w:eastAsia="宋体" w:cs="Times New Roman"/>
          <w:spacing w:val="3"/>
          <w:sz w:val="23"/>
          <w:szCs w:val="23"/>
          <w:highlight w:val="none"/>
        </w:rPr>
        <w:t>区域，环境空气属《环境空气质量标准》</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3"/>
          <w:sz w:val="23"/>
          <w:szCs w:val="23"/>
          <w:highlight w:val="none"/>
        </w:rPr>
        <w:t>3095-2012)</w:t>
      </w:r>
      <w:r>
        <w:rPr>
          <w:rFonts w:hint="default" w:ascii="Times New Roman" w:hAnsi="Times New Roman" w:eastAsia="Times New Roman" w:cs="Times New Roman"/>
          <w:sz w:val="23"/>
          <w:szCs w:val="23"/>
          <w:highlight w:val="none"/>
        </w:rPr>
        <w:t xml:space="preserve"> </w:t>
      </w:r>
      <w:r>
        <w:rPr>
          <w:rFonts w:hint="default" w:ascii="Times New Roman" w:hAnsi="Times New Roman" w:eastAsia="宋体" w:cs="Times New Roman"/>
          <w:spacing w:val="1"/>
          <w:sz w:val="23"/>
          <w:szCs w:val="23"/>
          <w:highlight w:val="none"/>
        </w:rPr>
        <w:t>二类区；区域地下水主要适用于分散式</w:t>
      </w:r>
      <w:r>
        <w:rPr>
          <w:rFonts w:hint="default" w:ascii="Times New Roman" w:hAnsi="Times New Roman" w:eastAsia="宋体" w:cs="Times New Roman"/>
          <w:sz w:val="23"/>
          <w:szCs w:val="23"/>
          <w:highlight w:val="none"/>
        </w:rPr>
        <w:t>生活饮用水水源及工、农业用水，根据《地</w:t>
      </w:r>
      <w:r>
        <w:rPr>
          <w:rFonts w:hint="default" w:ascii="Times New Roman" w:hAnsi="Times New Roman" w:eastAsia="宋体" w:cs="Times New Roman"/>
          <w:spacing w:val="6"/>
          <w:sz w:val="23"/>
          <w:szCs w:val="23"/>
          <w:highlight w:val="none"/>
        </w:rPr>
        <w:t>下水质量标准》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3"/>
          <w:sz w:val="23"/>
          <w:szCs w:val="23"/>
          <w:highlight w:val="none"/>
        </w:rPr>
        <w:t xml:space="preserve">14848-2017) </w:t>
      </w:r>
      <w:r>
        <w:rPr>
          <w:rFonts w:hint="default" w:ascii="Times New Roman" w:hAnsi="Times New Roman" w:eastAsia="宋体" w:cs="Times New Roman"/>
          <w:spacing w:val="3"/>
          <w:sz w:val="23"/>
          <w:szCs w:val="23"/>
          <w:highlight w:val="none"/>
        </w:rPr>
        <w:t xml:space="preserve">，区域地下水质量执行 </w:t>
      </w:r>
      <w:r>
        <w:rPr>
          <w:rFonts w:hint="default" w:ascii="Times New Roman" w:hAnsi="Times New Roman" w:eastAsia="Times New Roman" w:cs="Times New Roman"/>
          <w:sz w:val="23"/>
          <w:szCs w:val="23"/>
          <w:highlight w:val="none"/>
        </w:rPr>
        <w:t>III</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类标准；项目所在</w:t>
      </w:r>
      <w:r>
        <w:rPr>
          <w:rFonts w:hint="default" w:ascii="Times New Roman" w:hAnsi="Times New Roman" w:eastAsia="宋体" w:cs="Times New Roman"/>
          <w:spacing w:val="4"/>
          <w:sz w:val="23"/>
          <w:szCs w:val="23"/>
          <w:highlight w:val="none"/>
        </w:rPr>
        <w:t>区域属于《声</w:t>
      </w:r>
      <w:r>
        <w:rPr>
          <w:rFonts w:hint="default" w:ascii="Times New Roman" w:hAnsi="Times New Roman" w:eastAsia="宋体" w:cs="Times New Roman"/>
          <w:spacing w:val="3"/>
          <w:sz w:val="23"/>
          <w:szCs w:val="23"/>
          <w:highlight w:val="none"/>
        </w:rPr>
        <w:t>环</w:t>
      </w:r>
      <w:r>
        <w:rPr>
          <w:rFonts w:hint="default" w:ascii="Times New Roman" w:hAnsi="Times New Roman" w:eastAsia="宋体" w:cs="Times New Roman"/>
          <w:spacing w:val="2"/>
          <w:sz w:val="23"/>
          <w:szCs w:val="23"/>
          <w:highlight w:val="none"/>
        </w:rPr>
        <w:t>境质量标准》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2"/>
          <w:sz w:val="23"/>
          <w:szCs w:val="23"/>
          <w:highlight w:val="none"/>
        </w:rPr>
        <w:t>3096-2008)</w:t>
      </w:r>
      <w:r>
        <w:rPr>
          <w:rFonts w:hint="default" w:ascii="Times New Roman" w:hAnsi="Times New Roman" w:eastAsia="宋体" w:cs="Times New Roman"/>
          <w:spacing w:val="2"/>
          <w:sz w:val="23"/>
          <w:szCs w:val="23"/>
          <w:highlight w:val="none"/>
        </w:rPr>
        <w:t xml:space="preserve">中的 </w:t>
      </w:r>
      <w:r>
        <w:rPr>
          <w:rFonts w:hint="default" w:ascii="Times New Roman" w:hAnsi="Times New Roman" w:eastAsia="Times New Roman" w:cs="Times New Roman"/>
          <w:spacing w:val="2"/>
          <w:sz w:val="23"/>
          <w:szCs w:val="23"/>
          <w:highlight w:val="none"/>
        </w:rPr>
        <w:t xml:space="preserve">2 </w:t>
      </w:r>
      <w:r>
        <w:rPr>
          <w:rFonts w:hint="default" w:ascii="Times New Roman" w:hAnsi="Times New Roman" w:eastAsia="宋体" w:cs="Times New Roman"/>
          <w:spacing w:val="2"/>
          <w:sz w:val="23"/>
          <w:szCs w:val="23"/>
          <w:highlight w:val="none"/>
        </w:rPr>
        <w:t>类功能区</w:t>
      </w:r>
      <w:r>
        <w:rPr>
          <w:rFonts w:hint="default" w:ascii="Times New Roman" w:hAnsi="Times New Roman" w:eastAsia="宋体" w:cs="Times New Roman"/>
          <w:sz w:val="23"/>
          <w:szCs w:val="23"/>
          <w:highlight w:val="none"/>
        </w:rPr>
        <w:t>。</w:t>
      </w:r>
    </w:p>
    <w:p>
      <w:pPr>
        <w:spacing w:before="27" w:line="401" w:lineRule="auto"/>
        <w:ind w:left="21"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根据工程分析，项目各产污环节采取了完善的污染防治措施，严格控制污染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物</w:t>
      </w:r>
      <w:r>
        <w:rPr>
          <w:rFonts w:hint="default" w:ascii="Times New Roman" w:hAnsi="Times New Roman" w:eastAsia="宋体" w:cs="Times New Roman"/>
          <w:spacing w:val="10"/>
          <w:sz w:val="23"/>
          <w:szCs w:val="23"/>
          <w:highlight w:val="none"/>
        </w:rPr>
        <w:t>排放。本项目采取完善的污染源处理措施，各类污染物均能够实现达标排放。</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项</w:t>
      </w:r>
      <w:r>
        <w:rPr>
          <w:rFonts w:hint="default" w:ascii="Times New Roman" w:hAnsi="Times New Roman" w:eastAsia="宋体" w:cs="Times New Roman"/>
          <w:spacing w:val="7"/>
          <w:sz w:val="23"/>
          <w:szCs w:val="23"/>
          <w:highlight w:val="none"/>
        </w:rPr>
        <w:t>目生产废水经浓密池处理达标后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回</w:t>
      </w:r>
      <w:r>
        <w:rPr>
          <w:rFonts w:hint="default" w:ascii="Times New Roman" w:hAnsi="Times New Roman" w:eastAsia="宋体" w:cs="Times New Roman"/>
          <w:spacing w:val="7"/>
          <w:sz w:val="23"/>
          <w:szCs w:val="23"/>
          <w:highlight w:val="none"/>
        </w:rPr>
        <w:t>用选矿作业，不外排。</w:t>
      </w:r>
      <w:r>
        <w:rPr>
          <w:rFonts w:hint="eastAsia" w:ascii="Times New Roman" w:hAnsi="Times New Roman" w:eastAsia="宋体" w:cs="Times New Roman"/>
          <w:spacing w:val="7"/>
          <w:sz w:val="23"/>
          <w:szCs w:val="23"/>
          <w:highlight w:val="none"/>
          <w:lang w:val="en-US" w:eastAsia="zh-CN"/>
        </w:rPr>
        <w:t>尾矿砂</w:t>
      </w:r>
      <w:r>
        <w:rPr>
          <w:rFonts w:hint="default" w:ascii="Times New Roman" w:hAnsi="Times New Roman" w:eastAsia="宋体" w:cs="Times New Roman"/>
          <w:spacing w:val="7"/>
          <w:sz w:val="23"/>
          <w:szCs w:val="23"/>
          <w:highlight w:val="none"/>
        </w:rPr>
        <w:t>、</w:t>
      </w:r>
      <w:r>
        <w:rPr>
          <w:rFonts w:hint="eastAsia" w:ascii="Times New Roman" w:hAnsi="Times New Roman" w:eastAsia="宋体" w:cs="Times New Roman"/>
          <w:spacing w:val="7"/>
          <w:sz w:val="23"/>
          <w:szCs w:val="23"/>
          <w:highlight w:val="none"/>
          <w:lang w:val="en-US" w:eastAsia="zh-CN"/>
        </w:rPr>
        <w:t>废钢球、废矿物油</w:t>
      </w:r>
      <w:r>
        <w:rPr>
          <w:rFonts w:hint="default" w:ascii="Times New Roman" w:hAnsi="Times New Roman" w:eastAsia="宋体" w:cs="Times New Roman"/>
          <w:spacing w:val="7"/>
          <w:sz w:val="23"/>
          <w:szCs w:val="23"/>
          <w:highlight w:val="none"/>
        </w:rPr>
        <w:t>等固体废物全部综合利用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或</w:t>
      </w:r>
      <w:r>
        <w:rPr>
          <w:rFonts w:hint="default" w:ascii="Times New Roman" w:hAnsi="Times New Roman" w:eastAsia="宋体" w:cs="Times New Roman"/>
          <w:spacing w:val="7"/>
          <w:sz w:val="23"/>
          <w:szCs w:val="23"/>
          <w:highlight w:val="none"/>
        </w:rPr>
        <w:t>妥善处置</w:t>
      </w:r>
      <w:r>
        <w:rPr>
          <w:rFonts w:hint="eastAsia" w:ascii="Times New Roman" w:hAnsi="Times New Roman" w:eastAsia="宋体" w:cs="Times New Roman"/>
          <w:spacing w:val="7"/>
          <w:sz w:val="23"/>
          <w:szCs w:val="23"/>
          <w:highlight w:val="none"/>
          <w:lang w:eastAsia="zh-CN"/>
        </w:rPr>
        <w:t>，</w:t>
      </w:r>
      <w:r>
        <w:rPr>
          <w:rFonts w:hint="default" w:ascii="Times New Roman" w:hAnsi="Times New Roman" w:eastAsia="宋体" w:cs="Times New Roman"/>
          <w:spacing w:val="7"/>
          <w:sz w:val="23"/>
          <w:szCs w:val="23"/>
          <w:highlight w:val="none"/>
        </w:rPr>
        <w:t>通过对危废间、浓密池、车间等采取防渗措施，不会对地下水产生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污</w:t>
      </w:r>
      <w:r>
        <w:rPr>
          <w:rFonts w:hint="default" w:ascii="Times New Roman" w:hAnsi="Times New Roman" w:eastAsia="宋体" w:cs="Times New Roman"/>
          <w:spacing w:val="7"/>
          <w:sz w:val="23"/>
          <w:szCs w:val="23"/>
          <w:highlight w:val="none"/>
        </w:rPr>
        <w:t>染影响，项目建设对地下水环境的影响是可接受的。经预测，项目实施后各场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地各产噪设</w:t>
      </w:r>
      <w:r>
        <w:rPr>
          <w:rFonts w:hint="default" w:ascii="Times New Roman" w:hAnsi="Times New Roman" w:eastAsia="宋体" w:cs="Times New Roman"/>
          <w:spacing w:val="7"/>
          <w:sz w:val="23"/>
          <w:szCs w:val="23"/>
          <w:highlight w:val="none"/>
        </w:rPr>
        <w:t>备</w:t>
      </w:r>
      <w:r>
        <w:rPr>
          <w:rFonts w:hint="default" w:ascii="Times New Roman" w:hAnsi="Times New Roman" w:eastAsia="宋体" w:cs="Times New Roman"/>
          <w:spacing w:val="4"/>
          <w:sz w:val="23"/>
          <w:szCs w:val="23"/>
          <w:highlight w:val="none"/>
        </w:rPr>
        <w:t>对各场界贡献值满足《工业企业厂界环境噪声》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4"/>
          <w:sz w:val="23"/>
          <w:szCs w:val="23"/>
          <w:highlight w:val="none"/>
        </w:rPr>
        <w:t>12348-2008</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 xml:space="preserve">中 </w:t>
      </w:r>
      <w:r>
        <w:rPr>
          <w:rFonts w:hint="default" w:ascii="Times New Roman" w:hAnsi="Times New Roman" w:eastAsia="Times New Roman" w:cs="Times New Roman"/>
          <w:spacing w:val="4"/>
          <w:sz w:val="23"/>
          <w:szCs w:val="23"/>
          <w:highlight w:val="none"/>
        </w:rPr>
        <w:t xml:space="preserve">2 </w:t>
      </w:r>
      <w:r>
        <w:rPr>
          <w:rFonts w:hint="default" w:ascii="Times New Roman" w:hAnsi="Times New Roman" w:eastAsia="宋体" w:cs="Times New Roman"/>
          <w:spacing w:val="4"/>
          <w:sz w:val="23"/>
          <w:szCs w:val="23"/>
          <w:highlight w:val="none"/>
        </w:rPr>
        <w:t>标准要求，</w:t>
      </w:r>
      <w:r>
        <w:rPr>
          <w:rFonts w:hint="default" w:ascii="Times New Roman" w:hAnsi="Times New Roman" w:eastAsia="宋体" w:cs="Times New Roman"/>
          <w:spacing w:val="3"/>
          <w:sz w:val="23"/>
          <w:szCs w:val="23"/>
          <w:highlight w:val="none"/>
        </w:rPr>
        <w:t>预</w:t>
      </w:r>
      <w:r>
        <w:rPr>
          <w:rFonts w:hint="default" w:ascii="Times New Roman" w:hAnsi="Times New Roman" w:eastAsia="宋体" w:cs="Times New Roman"/>
          <w:spacing w:val="2"/>
          <w:sz w:val="23"/>
          <w:szCs w:val="23"/>
          <w:highlight w:val="none"/>
        </w:rPr>
        <w:t>测值均满足《声环境质量标准》</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2"/>
          <w:sz w:val="23"/>
          <w:szCs w:val="23"/>
          <w:highlight w:val="none"/>
        </w:rPr>
        <w:t>3096-2008)</w:t>
      </w:r>
      <w:r>
        <w:rPr>
          <w:rFonts w:hint="default" w:ascii="Times New Roman" w:hAnsi="Times New Roman" w:eastAsia="宋体" w:cs="Times New Roman"/>
          <w:spacing w:val="2"/>
          <w:sz w:val="23"/>
          <w:szCs w:val="23"/>
          <w:highlight w:val="none"/>
        </w:rPr>
        <w:t xml:space="preserve">中 </w:t>
      </w:r>
      <w:r>
        <w:rPr>
          <w:rFonts w:hint="default" w:ascii="Times New Roman" w:hAnsi="Times New Roman" w:eastAsia="Times New Roman" w:cs="Times New Roman"/>
          <w:spacing w:val="2"/>
          <w:sz w:val="23"/>
          <w:szCs w:val="23"/>
          <w:highlight w:val="none"/>
        </w:rPr>
        <w:t xml:space="preserve">2 </w:t>
      </w:r>
      <w:r>
        <w:rPr>
          <w:rFonts w:hint="default" w:ascii="Times New Roman" w:hAnsi="Times New Roman" w:eastAsia="宋体" w:cs="Times New Roman"/>
          <w:spacing w:val="2"/>
          <w:sz w:val="23"/>
          <w:szCs w:val="23"/>
          <w:highlight w:val="none"/>
        </w:rPr>
        <w:t>类标准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的</w:t>
      </w:r>
      <w:r>
        <w:rPr>
          <w:rFonts w:hint="default" w:ascii="Times New Roman" w:hAnsi="Times New Roman" w:eastAsia="宋体" w:cs="Times New Roman"/>
          <w:spacing w:val="7"/>
          <w:sz w:val="23"/>
          <w:szCs w:val="23"/>
          <w:highlight w:val="none"/>
        </w:rPr>
        <w:t>要求。因此，在严格落实废气、废水、噪声、固废等污染防治措施前提下，项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目的实施不会对周围环境产生明显影响</w:t>
      </w:r>
      <w:r>
        <w:rPr>
          <w:rFonts w:hint="default" w:ascii="Times New Roman" w:hAnsi="Times New Roman" w:eastAsia="宋体" w:cs="Times New Roman"/>
          <w:spacing w:val="7"/>
          <w:sz w:val="23"/>
          <w:szCs w:val="23"/>
          <w:highlight w:val="none"/>
        </w:rPr>
        <w:t>。</w:t>
      </w:r>
    </w:p>
    <w:p>
      <w:pPr>
        <w:spacing w:before="1" w:line="225" w:lineRule="auto"/>
        <w:ind w:left="499"/>
        <w:rPr>
          <w:rFonts w:hint="default" w:ascii="Times New Roman" w:hAnsi="Times New Roman" w:cs="Times New Roman"/>
          <w:sz w:val="21"/>
          <w:highlight w:val="none"/>
        </w:rPr>
      </w:pPr>
      <w:r>
        <w:rPr>
          <w:rFonts w:hint="default" w:ascii="Times New Roman" w:hAnsi="Times New Roman" w:eastAsia="宋体" w:cs="Times New Roman"/>
          <w:spacing w:val="9"/>
          <w:sz w:val="23"/>
          <w:szCs w:val="23"/>
          <w:highlight w:val="none"/>
        </w:rPr>
        <w:t>③资源利用上</w:t>
      </w:r>
      <w:r>
        <w:rPr>
          <w:rFonts w:hint="default" w:ascii="Times New Roman" w:hAnsi="Times New Roman" w:eastAsia="宋体" w:cs="Times New Roman"/>
          <w:spacing w:val="8"/>
          <w:sz w:val="23"/>
          <w:szCs w:val="23"/>
          <w:highlight w:val="none"/>
        </w:rPr>
        <w:t>线</w:t>
      </w:r>
      <w:r>
        <w:rPr>
          <w:rFonts w:hint="default" w:ascii="Times New Roman" w:hAnsi="Times New Roman" w:cs="Times New Roman"/>
          <w:highlight w:val="none"/>
        </w:rPr>
        <w:pict>
          <v:shape id="_x0000_s1041" o:spid="_x0000_s1041" style="position:absolute;left:0pt;margin-left:89.85pt;margin-top:60.75pt;height:0.75pt;width:415.65pt;mso-position-horizontal-relative:page;mso-position-vertical-relative:page;z-index:251665408;mso-width-relative:page;mso-height-relative:page;" fillcolor="#000000" filled="t" stroked="f" coordsize="8312,15" o:allowincell="f" path="m0,0l8312,0,8312,14,0,14,0,0xe">
            <v:path/>
            <v:fill on="t" focussize="0,0"/>
            <v:stroke on="f"/>
            <v:imagedata o:title=""/>
            <o:lock v:ext="edit"/>
          </v:shape>
        </w:pict>
      </w:r>
    </w:p>
    <w:p>
      <w:pPr>
        <w:spacing w:before="74" w:line="400" w:lineRule="auto"/>
        <w:ind w:left="21" w:right="17"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本项目建设生产过程中，主要利用的资源是铁矿石，水。项目原料为铁矿</w:t>
      </w:r>
      <w:r>
        <w:rPr>
          <w:rFonts w:hint="default" w:ascii="Times New Roman" w:hAnsi="Times New Roman" w:eastAsia="宋体" w:cs="Times New Roman"/>
          <w:sz w:val="23"/>
          <w:szCs w:val="23"/>
          <w:highlight w:val="none"/>
        </w:rPr>
        <w:t xml:space="preserve">石， </w:t>
      </w:r>
      <w:r>
        <w:rPr>
          <w:rFonts w:hint="default" w:ascii="Times New Roman" w:hAnsi="Times New Roman" w:eastAsia="宋体" w:cs="Times New Roman"/>
          <w:spacing w:val="7"/>
          <w:sz w:val="23"/>
          <w:szCs w:val="23"/>
          <w:highlight w:val="none"/>
        </w:rPr>
        <w:t>来源于冀东及周边地区，资源丰富，原料供应有保障。项目用水为地下水 (取</w:t>
      </w:r>
      <w:r>
        <w:rPr>
          <w:rFonts w:hint="default" w:ascii="Times New Roman" w:hAnsi="Times New Roman" w:eastAsia="宋体" w:cs="Times New Roman"/>
          <w:spacing w:val="6"/>
          <w:sz w:val="23"/>
          <w:szCs w:val="23"/>
          <w:highlight w:val="none"/>
        </w:rPr>
        <w:t>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证见附件) </w:t>
      </w:r>
      <w:r>
        <w:rPr>
          <w:rFonts w:hint="default" w:ascii="Times New Roman" w:hAnsi="Times New Roman" w:eastAsia="宋体" w:cs="Times New Roman"/>
          <w:spacing w:val="4"/>
          <w:sz w:val="23"/>
          <w:szCs w:val="23"/>
          <w:highlight w:val="none"/>
        </w:rPr>
        <w:t>，根据《河北省人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9"/>
          <w:sz w:val="23"/>
          <w:szCs w:val="23"/>
          <w:highlight w:val="none"/>
        </w:rPr>
        <w:t>民</w:t>
      </w:r>
      <w:r>
        <w:rPr>
          <w:rFonts w:hint="default" w:ascii="Times New Roman" w:hAnsi="Times New Roman" w:eastAsia="宋体" w:cs="Times New Roman"/>
          <w:spacing w:val="14"/>
          <w:sz w:val="23"/>
          <w:szCs w:val="23"/>
          <w:highlight w:val="none"/>
        </w:rPr>
        <w:t>政府关于公布地下水超采区、禁止开采区和限制开采区范围的通知》冀政字</w:t>
      </w:r>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12"/>
          <w:sz w:val="23"/>
          <w:szCs w:val="23"/>
          <w:highlight w:val="none"/>
        </w:rPr>
        <w:t>2</w:t>
      </w:r>
      <w:r>
        <w:rPr>
          <w:rFonts w:hint="default" w:ascii="Times New Roman" w:hAnsi="Times New Roman" w:eastAsia="Times New Roman" w:cs="Times New Roman"/>
          <w:spacing w:val="10"/>
          <w:sz w:val="23"/>
          <w:szCs w:val="23"/>
          <w:highlight w:val="none"/>
        </w:rPr>
        <w:t>0</w:t>
      </w:r>
      <w:r>
        <w:rPr>
          <w:rFonts w:hint="eastAsia" w:ascii="Times New Roman" w:hAnsi="Times New Roman" w:eastAsia="宋体" w:cs="Times New Roman"/>
          <w:spacing w:val="10"/>
          <w:sz w:val="23"/>
          <w:szCs w:val="23"/>
          <w:highlight w:val="none"/>
          <w:lang w:val="en-US" w:eastAsia="zh-CN"/>
        </w:rPr>
        <w:t>22</w:t>
      </w:r>
      <w:r>
        <w:rPr>
          <w:rFonts w:hint="default" w:ascii="Times New Roman" w:hAnsi="Times New Roman" w:eastAsia="宋体" w:cs="Times New Roman"/>
          <w:spacing w:val="10"/>
          <w:sz w:val="23"/>
          <w:szCs w:val="23"/>
          <w:highlight w:val="none"/>
        </w:rPr>
        <w:t>〕</w:t>
      </w:r>
      <w:r>
        <w:rPr>
          <w:rFonts w:hint="eastAsia" w:ascii="Times New Roman" w:hAnsi="Times New Roman" w:eastAsia="宋体" w:cs="Times New Roman"/>
          <w:spacing w:val="10"/>
          <w:sz w:val="23"/>
          <w:szCs w:val="23"/>
          <w:highlight w:val="none"/>
          <w:lang w:val="en-US" w:eastAsia="zh-CN"/>
        </w:rPr>
        <w:t>59</w:t>
      </w:r>
      <w:r>
        <w:rPr>
          <w:rFonts w:hint="default" w:ascii="Times New Roman" w:hAnsi="Times New Roman" w:eastAsia="宋体" w:cs="Times New Roman"/>
          <w:spacing w:val="10"/>
          <w:sz w:val="23"/>
          <w:szCs w:val="23"/>
          <w:highlight w:val="none"/>
        </w:rPr>
        <w:t>号，项目所在地不属于超采、禁采和限采范围内，项目所在区地下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水</w:t>
      </w:r>
      <w:r>
        <w:rPr>
          <w:rFonts w:hint="default" w:ascii="Times New Roman" w:hAnsi="Times New Roman" w:eastAsia="宋体" w:cs="Times New Roman"/>
          <w:spacing w:val="8"/>
          <w:sz w:val="23"/>
          <w:szCs w:val="23"/>
          <w:highlight w:val="none"/>
        </w:rPr>
        <w:t>资源丰富，水资源供应有保障。</w:t>
      </w:r>
    </w:p>
    <w:p>
      <w:pPr>
        <w:spacing w:before="1" w:line="225" w:lineRule="auto"/>
        <w:ind w:left="49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④</w:t>
      </w:r>
      <w:r>
        <w:rPr>
          <w:rFonts w:hint="default" w:ascii="Times New Roman" w:hAnsi="Times New Roman" w:eastAsia="宋体" w:cs="Times New Roman"/>
          <w:spacing w:val="9"/>
          <w:sz w:val="23"/>
          <w:szCs w:val="23"/>
          <w:highlight w:val="none"/>
        </w:rPr>
        <w:t>环境准入负面清单</w:t>
      </w:r>
    </w:p>
    <w:p>
      <w:pPr>
        <w:spacing w:before="219" w:line="400" w:lineRule="auto"/>
        <w:ind w:left="20" w:right="78" w:firstLine="48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本</w:t>
      </w:r>
      <w:r>
        <w:rPr>
          <w:rFonts w:hint="default" w:ascii="Times New Roman" w:hAnsi="Times New Roman" w:eastAsia="宋体" w:cs="Times New Roman"/>
          <w:spacing w:val="8"/>
          <w:sz w:val="23"/>
          <w:szCs w:val="23"/>
          <w:highlight w:val="none"/>
        </w:rPr>
        <w:t>项目生产规模为年处理</w:t>
      </w:r>
      <w:r>
        <w:rPr>
          <w:rFonts w:hint="eastAsia" w:ascii="Times New Roman" w:hAnsi="Times New Roman" w:eastAsia="宋体" w:cs="Times New Roman"/>
          <w:spacing w:val="8"/>
          <w:sz w:val="23"/>
          <w:szCs w:val="23"/>
          <w:highlight w:val="none"/>
          <w:lang w:val="en-US" w:eastAsia="zh-CN"/>
        </w:rPr>
        <w:t>110</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万吨铁矿石，不属于《产业结构调整指导</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目录</w:t>
      </w:r>
      <w:r>
        <w:rPr>
          <w:rFonts w:hint="default" w:ascii="Times New Roman" w:hAnsi="Times New Roman" w:eastAsia="Times New Roman" w:cs="Times New Roman"/>
          <w:spacing w:val="12"/>
          <w:sz w:val="23"/>
          <w:szCs w:val="23"/>
          <w:highlight w:val="none"/>
        </w:rPr>
        <w:t>(2</w:t>
      </w:r>
      <w:r>
        <w:rPr>
          <w:rFonts w:hint="default" w:ascii="Times New Roman" w:hAnsi="Times New Roman" w:eastAsia="Times New Roman" w:cs="Times New Roman"/>
          <w:spacing w:val="6"/>
          <w:sz w:val="23"/>
          <w:szCs w:val="23"/>
          <w:highlight w:val="none"/>
        </w:rPr>
        <w:t>01</w:t>
      </w:r>
      <w:r>
        <w:rPr>
          <w:rFonts w:hint="eastAsia" w:ascii="Times New Roman" w:hAnsi="Times New Roman" w:eastAsia="宋体" w:cs="Times New Roman"/>
          <w:spacing w:val="6"/>
          <w:sz w:val="23"/>
          <w:szCs w:val="23"/>
          <w:highlight w:val="none"/>
          <w:lang w:val="en-US" w:eastAsia="zh-CN"/>
        </w:rPr>
        <w:t>9</w:t>
      </w:r>
      <w:r>
        <w:rPr>
          <w:rFonts w:hint="default" w:ascii="Times New Roman" w:hAnsi="Times New Roman" w:eastAsia="宋体" w:cs="Times New Roman"/>
          <w:spacing w:val="6"/>
          <w:sz w:val="23"/>
          <w:szCs w:val="23"/>
          <w:highlight w:val="none"/>
        </w:rPr>
        <w:t>年本) 禁止或限制类工程，属</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于</w:t>
      </w:r>
      <w:r>
        <w:rPr>
          <w:rFonts w:hint="default" w:ascii="Times New Roman" w:hAnsi="Times New Roman" w:eastAsia="宋体" w:cs="Times New Roman"/>
          <w:spacing w:val="7"/>
          <w:sz w:val="23"/>
          <w:szCs w:val="23"/>
          <w:highlight w:val="none"/>
        </w:rPr>
        <w:t>允许建设类工程；不属于《河北省人民政府办公厅关于印发河北省新增限制和</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淘汰类</w:t>
      </w:r>
      <w:r>
        <w:rPr>
          <w:rFonts w:hint="default" w:ascii="Times New Roman" w:hAnsi="Times New Roman" w:eastAsia="宋体" w:cs="Times New Roman"/>
          <w:spacing w:val="10"/>
          <w:sz w:val="23"/>
          <w:szCs w:val="23"/>
          <w:highlight w:val="none"/>
        </w:rPr>
        <w:t>产</w:t>
      </w:r>
      <w:r>
        <w:rPr>
          <w:rFonts w:hint="default" w:ascii="Times New Roman" w:hAnsi="Times New Roman" w:eastAsia="宋体" w:cs="Times New Roman"/>
          <w:spacing w:val="6"/>
          <w:sz w:val="23"/>
          <w:szCs w:val="23"/>
          <w:highlight w:val="none"/>
        </w:rPr>
        <w:t>业目录的通知》  (冀政办发</w:t>
      </w:r>
      <w:r>
        <w:rPr>
          <w:rFonts w:hint="default" w:ascii="Times New Roman" w:hAnsi="Times New Roman" w:eastAsia="Times New Roman" w:cs="Times New Roman"/>
          <w:spacing w:val="6"/>
          <w:sz w:val="23"/>
          <w:szCs w:val="23"/>
          <w:highlight w:val="none"/>
        </w:rPr>
        <w:t xml:space="preserve">[2015]7 </w:t>
      </w:r>
      <w:r>
        <w:rPr>
          <w:rFonts w:hint="default" w:ascii="Times New Roman" w:hAnsi="Times New Roman" w:eastAsia="宋体" w:cs="Times New Roman"/>
          <w:spacing w:val="6"/>
          <w:sz w:val="23"/>
          <w:szCs w:val="23"/>
          <w:highlight w:val="none"/>
        </w:rPr>
        <w:t>号) 中所规定的禁止和限制建设的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工</w:t>
      </w:r>
      <w:r>
        <w:rPr>
          <w:rFonts w:hint="default" w:ascii="Times New Roman" w:hAnsi="Times New Roman" w:eastAsia="宋体" w:cs="Times New Roman"/>
          <w:spacing w:val="7"/>
          <w:sz w:val="23"/>
          <w:szCs w:val="23"/>
          <w:highlight w:val="none"/>
        </w:rPr>
        <w:t>程。本项目与主要产业、环境准入要求对比，本项目满足相关的产业、环境准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入</w:t>
      </w:r>
      <w:r>
        <w:rPr>
          <w:rFonts w:hint="default" w:ascii="Times New Roman" w:hAnsi="Times New Roman" w:eastAsia="宋体" w:cs="Times New Roman"/>
          <w:spacing w:val="7"/>
          <w:sz w:val="23"/>
          <w:szCs w:val="23"/>
          <w:highlight w:val="none"/>
        </w:rPr>
        <w:t>条件和要求。</w:t>
      </w:r>
    </w:p>
    <w:p>
      <w:pPr>
        <w:spacing w:before="8" w:line="228" w:lineRule="auto"/>
        <w:ind w:left="502"/>
        <w:rPr>
          <w:rFonts w:hint="default" w:ascii="Times New Roman" w:hAnsi="Times New Roman" w:eastAsia="宋体" w:cs="Times New Roman"/>
          <w:spacing w:val="8"/>
          <w:sz w:val="23"/>
          <w:szCs w:val="23"/>
          <w:highlight w:val="none"/>
        </w:rPr>
      </w:pPr>
      <w:r>
        <w:rPr>
          <w:rFonts w:hint="default" w:ascii="Times New Roman" w:hAnsi="Times New Roman" w:eastAsia="宋体" w:cs="Times New Roman"/>
          <w:spacing w:val="16"/>
          <w:sz w:val="23"/>
          <w:szCs w:val="23"/>
          <w:highlight w:val="none"/>
        </w:rPr>
        <w:t>经</w:t>
      </w:r>
      <w:r>
        <w:rPr>
          <w:rFonts w:hint="default" w:ascii="Times New Roman" w:hAnsi="Times New Roman" w:eastAsia="宋体" w:cs="Times New Roman"/>
          <w:spacing w:val="11"/>
          <w:sz w:val="23"/>
          <w:szCs w:val="23"/>
          <w:highlight w:val="none"/>
        </w:rPr>
        <w:t>以</w:t>
      </w:r>
      <w:r>
        <w:rPr>
          <w:rFonts w:hint="default" w:ascii="Times New Roman" w:hAnsi="Times New Roman" w:eastAsia="宋体" w:cs="Times New Roman"/>
          <w:spacing w:val="8"/>
          <w:sz w:val="23"/>
          <w:szCs w:val="23"/>
          <w:highlight w:val="none"/>
        </w:rPr>
        <w:t>上分析可知，本项目符合</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三线一单</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的要求。</w:t>
      </w:r>
    </w:p>
    <w:p>
      <w:pPr>
        <w:spacing w:before="75" w:line="228" w:lineRule="auto"/>
        <w:ind w:left="27"/>
        <w:outlineLvl w:val="2"/>
        <w:rPr>
          <w:rFonts w:hint="eastAsia" w:ascii="宋体" w:hAnsi="宋体" w:eastAsia="宋体" w:cs="宋体"/>
          <w:spacing w:val="7"/>
          <w:sz w:val="23"/>
          <w:szCs w:val="23"/>
          <w:highlight w:val="none"/>
          <w14:textOutline w14:w="4358" w14:cap="sq" w14:cmpd="sng">
            <w14:solidFill>
              <w14:srgbClr w14:val="000000"/>
            </w14:solidFill>
            <w14:prstDash w14:val="solid"/>
            <w14:bevel/>
          </w14:textOutline>
        </w:rPr>
      </w:pPr>
      <w:bookmarkStart w:id="39" w:name="_Toc17937"/>
      <w:bookmarkStart w:id="40" w:name="_Toc30082"/>
      <w:bookmarkStart w:id="41" w:name="_Toc16993"/>
      <w:r>
        <w:rPr>
          <w:rFonts w:hint="eastAsia" w:ascii="宋体" w:hAnsi="宋体" w:eastAsia="宋体" w:cs="宋体"/>
          <w:spacing w:val="7"/>
          <w:sz w:val="23"/>
          <w:szCs w:val="23"/>
          <w:highlight w:val="none"/>
          <w:lang w:val="en-US" w:eastAsia="zh-CN"/>
          <w14:textOutline w14:w="4358" w14:cap="sq" w14:cmpd="sng">
            <w14:solidFill>
              <w14:srgbClr w14:val="000000"/>
            </w14:solidFill>
            <w14:prstDash w14:val="solid"/>
            <w14:bevel/>
          </w14:textOutline>
        </w:rPr>
        <w:t>1.4.9</w:t>
      </w:r>
      <w:r>
        <w:rPr>
          <w:rFonts w:ascii="宋体" w:hAnsi="宋体" w:eastAsia="宋体" w:cs="宋体"/>
          <w:spacing w:val="7"/>
          <w:sz w:val="23"/>
          <w:szCs w:val="23"/>
          <w:highlight w:val="none"/>
          <w14:textOutline w14:w="4358" w14:cap="sq" w14:cmpd="sng">
            <w14:solidFill>
              <w14:srgbClr w14:val="000000"/>
            </w14:solidFill>
            <w14:prstDash w14:val="solid"/>
            <w14:bevel/>
          </w14:textOutline>
        </w:rPr>
        <w:t xml:space="preserve"> 与</w:t>
      </w:r>
      <w:r>
        <w:rPr>
          <w:rFonts w:hint="eastAsia" w:ascii="宋体" w:hAnsi="宋体" w:eastAsia="宋体" w:cs="宋体"/>
          <w:spacing w:val="7"/>
          <w:sz w:val="23"/>
          <w:szCs w:val="23"/>
          <w:highlight w:val="none"/>
          <w14:textOutline w14:w="4358" w14:cap="sq" w14:cmpd="sng">
            <w14:solidFill>
              <w14:srgbClr w14:val="000000"/>
            </w14:solidFill>
            <w14:prstDash w14:val="solid"/>
            <w14:bevel/>
          </w14:textOutline>
        </w:rPr>
        <w:t>《唐山市人民政府关于实施“三线一单”生态环境分区管控的意见（唐政字[2021]48号）符合性分析</w:t>
      </w:r>
      <w:bookmarkEnd w:id="39"/>
      <w:bookmarkEnd w:id="40"/>
      <w:bookmarkEnd w:id="41"/>
    </w:p>
    <w:p>
      <w:pPr>
        <w:spacing w:before="305" w:line="385" w:lineRule="auto"/>
        <w:ind w:left="20" w:right="15" w:firstLine="487"/>
        <w:rPr>
          <w:rFonts w:hint="default" w:ascii="Times New Roman" w:hAnsi="Times New Roman" w:eastAsia="宋体" w:cs="Times New Roman"/>
          <w:spacing w:val="6"/>
          <w:sz w:val="23"/>
          <w:szCs w:val="23"/>
          <w:highlight w:val="none"/>
        </w:rPr>
      </w:pPr>
      <w:r>
        <w:rPr>
          <w:rFonts w:hint="default" w:ascii="Times New Roman" w:hAnsi="Times New Roman" w:eastAsia="宋体" w:cs="Times New Roman"/>
          <w:spacing w:val="6"/>
          <w:sz w:val="23"/>
          <w:szCs w:val="23"/>
          <w:highlight w:val="none"/>
        </w:rPr>
        <w:t>本项目</w:t>
      </w:r>
      <w:r>
        <w:rPr>
          <w:rFonts w:hint="default" w:ascii="Times New Roman" w:hAnsi="Times New Roman" w:eastAsia="宋体" w:cs="Times New Roman"/>
          <w:spacing w:val="6"/>
          <w:sz w:val="23"/>
          <w:szCs w:val="23"/>
          <w:highlight w:val="none"/>
          <w:lang w:val="en-US" w:eastAsia="zh-CN"/>
        </w:rPr>
        <w:t>属于文件规定的一般管控单元范畴</w:t>
      </w:r>
      <w:r>
        <w:rPr>
          <w:rFonts w:hint="default" w:ascii="Times New Roman" w:hAnsi="Times New Roman" w:eastAsia="宋体" w:cs="Times New Roman"/>
          <w:spacing w:val="6"/>
          <w:sz w:val="23"/>
          <w:szCs w:val="23"/>
          <w:highlight w:val="none"/>
        </w:rPr>
        <w:t>，</w:t>
      </w:r>
      <w:r>
        <w:rPr>
          <w:rFonts w:hint="default" w:ascii="Times New Roman" w:hAnsi="Times New Roman" w:eastAsia="宋体" w:cs="Times New Roman"/>
          <w:spacing w:val="6"/>
          <w:sz w:val="23"/>
          <w:szCs w:val="23"/>
          <w:highlight w:val="none"/>
          <w:lang w:val="en-US" w:eastAsia="zh-CN"/>
        </w:rPr>
        <w:t>符合性分析见表1.</w:t>
      </w:r>
      <w:r>
        <w:rPr>
          <w:rFonts w:hint="eastAsia" w:ascii="Times New Roman" w:hAnsi="Times New Roman" w:eastAsia="宋体" w:cs="Times New Roman"/>
          <w:spacing w:val="6"/>
          <w:sz w:val="23"/>
          <w:szCs w:val="23"/>
          <w:highlight w:val="none"/>
          <w:lang w:val="en-US" w:eastAsia="zh-CN"/>
        </w:rPr>
        <w:t>4</w:t>
      </w:r>
      <w:r>
        <w:rPr>
          <w:rFonts w:hint="default" w:ascii="Times New Roman" w:hAnsi="Times New Roman" w:eastAsia="宋体" w:cs="Times New Roman"/>
          <w:spacing w:val="6"/>
          <w:sz w:val="23"/>
          <w:szCs w:val="23"/>
          <w:highlight w:val="none"/>
          <w:lang w:val="en-US" w:eastAsia="zh-CN"/>
        </w:rPr>
        <w:t>-</w:t>
      </w:r>
      <w:r>
        <w:rPr>
          <w:rFonts w:hint="eastAsia" w:ascii="Times New Roman" w:hAnsi="Times New Roman" w:eastAsia="宋体" w:cs="Times New Roman"/>
          <w:spacing w:val="6"/>
          <w:sz w:val="23"/>
          <w:szCs w:val="23"/>
          <w:highlight w:val="none"/>
          <w:lang w:val="en-US" w:eastAsia="zh-CN"/>
        </w:rPr>
        <w:t>6</w:t>
      </w:r>
      <w:r>
        <w:rPr>
          <w:rFonts w:hint="default" w:ascii="Times New Roman" w:hAnsi="Times New Roman" w:eastAsia="宋体" w:cs="Times New Roman"/>
          <w:spacing w:val="6"/>
          <w:sz w:val="23"/>
          <w:szCs w:val="23"/>
          <w:highlight w:val="none"/>
        </w:rPr>
        <w:t>。</w:t>
      </w:r>
    </w:p>
    <w:p>
      <w:pPr>
        <w:pStyle w:val="6"/>
        <w:spacing w:line="480" w:lineRule="exact"/>
        <w:ind w:firstLine="480"/>
        <w:rPr>
          <w:rFonts w:ascii="宋体" w:hAnsi="宋体" w:eastAsia="宋体" w:cs="宋体"/>
          <w:snapToGrid w:val="0"/>
          <w:color w:val="000000"/>
          <w:spacing w:val="6"/>
          <w:kern w:val="0"/>
          <w:sz w:val="23"/>
          <w:szCs w:val="23"/>
          <w:highlight w:val="none"/>
          <w14:textOutline w14:w="4358" w14:cap="sq" w14:cmpd="sng">
            <w14:solidFill>
              <w14:srgbClr w14:val="000000"/>
            </w14:solidFill>
            <w14:prstDash w14:val="solid"/>
            <w14:bevel/>
          </w14:textOutline>
        </w:rPr>
      </w:pPr>
      <w:r>
        <w:rPr>
          <w:rFonts w:hint="eastAsia"/>
          <w:szCs w:val="24"/>
          <w:highlight w:val="none"/>
        </w:rPr>
        <w:t xml:space="preserve">  </w:t>
      </w:r>
      <w:r>
        <w:rPr>
          <w:rFonts w:ascii="宋体" w:hAnsi="宋体" w:eastAsia="宋体" w:cs="宋体"/>
          <w:snapToGrid w:val="0"/>
          <w:color w:val="000000"/>
          <w:spacing w:val="6"/>
          <w:kern w:val="0"/>
          <w:sz w:val="23"/>
          <w:szCs w:val="23"/>
          <w:highlight w:val="none"/>
          <w14:textOutline w14:w="4358" w14:cap="sq" w14:cmpd="sng">
            <w14:solidFill>
              <w14:srgbClr w14:val="000000"/>
            </w14:solidFill>
            <w14:prstDash w14:val="solid"/>
            <w14:bevel/>
          </w14:textOutline>
        </w:rPr>
        <w:t xml:space="preserve">表 </w:t>
      </w:r>
      <w:r>
        <w:rPr>
          <w:rFonts w:hint="eastAsia"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1.4-6</w:t>
      </w:r>
      <w:r>
        <w:rPr>
          <w:rFonts w:ascii="宋体" w:hAnsi="宋体" w:eastAsia="宋体" w:cs="宋体"/>
          <w:snapToGrid w:val="0"/>
          <w:color w:val="000000"/>
          <w:spacing w:val="6"/>
          <w:kern w:val="0"/>
          <w:sz w:val="23"/>
          <w:szCs w:val="23"/>
          <w:highlight w:val="none"/>
          <w14:textOutline w14:w="4358" w14:cap="sq" w14:cmpd="sng">
            <w14:solidFill>
              <w14:srgbClr w14:val="000000"/>
            </w14:solidFill>
            <w14:prstDash w14:val="solid"/>
            <w14:bevel/>
          </w14:textOutline>
        </w:rPr>
        <w:t xml:space="preserve">   与</w:t>
      </w:r>
      <w:r>
        <w:rPr>
          <w:rFonts w:hint="eastAsia" w:ascii="宋体" w:hAnsi="宋体" w:eastAsia="宋体" w:cs="宋体"/>
          <w:snapToGrid w:val="0"/>
          <w:color w:val="000000"/>
          <w:spacing w:val="6"/>
          <w:kern w:val="0"/>
          <w:sz w:val="23"/>
          <w:szCs w:val="23"/>
          <w:highlight w:val="none"/>
          <w14:textOutline w14:w="4358" w14:cap="sq" w14:cmpd="sng">
            <w14:solidFill>
              <w14:srgbClr w14:val="000000"/>
            </w14:solidFill>
            <w14:prstDash w14:val="solid"/>
            <w14:bevel/>
          </w14:textOutline>
        </w:rPr>
        <w:t>唐政字[2021]48号</w:t>
      </w:r>
      <w:r>
        <w:rPr>
          <w:rFonts w:hint="eastAsia"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文</w:t>
      </w:r>
      <w:r>
        <w:rPr>
          <w:rFonts w:hint="eastAsia" w:ascii="宋体" w:hAnsi="宋体" w:eastAsia="宋体" w:cs="宋体"/>
          <w:snapToGrid w:val="0"/>
          <w:color w:val="000000"/>
          <w:spacing w:val="6"/>
          <w:kern w:val="0"/>
          <w:sz w:val="23"/>
          <w:szCs w:val="23"/>
          <w:highlight w:val="none"/>
          <w14:textOutline w14:w="4358" w14:cap="sq" w14:cmpd="sng">
            <w14:solidFill>
              <w14:srgbClr w14:val="000000"/>
            </w14:solidFill>
            <w14:prstDash w14:val="solid"/>
            <w14:bevel/>
          </w14:textOutline>
        </w:rPr>
        <w:t>符合性</w:t>
      </w:r>
      <w:r>
        <w:rPr>
          <w:rFonts w:ascii="宋体" w:hAnsi="宋体" w:eastAsia="宋体" w:cs="宋体"/>
          <w:snapToGrid w:val="0"/>
          <w:color w:val="000000"/>
          <w:spacing w:val="6"/>
          <w:kern w:val="0"/>
          <w:sz w:val="23"/>
          <w:szCs w:val="23"/>
          <w:highlight w:val="none"/>
          <w14:textOutline w14:w="4358" w14:cap="sq" w14:cmpd="sng">
            <w14:solidFill>
              <w14:srgbClr w14:val="000000"/>
            </w14:solidFill>
            <w14:prstDash w14:val="solid"/>
            <w14:bevel/>
          </w14:textOutline>
        </w:rPr>
        <w:t>分析</w:t>
      </w:r>
    </w:p>
    <w:tbl>
      <w:tblPr>
        <w:tblStyle w:val="15"/>
        <w:tblW w:w="8601"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23"/>
        <w:gridCol w:w="4135"/>
        <w:gridCol w:w="2049"/>
        <w:gridCol w:w="89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blHeader/>
          <w:jc w:val="center"/>
        </w:trPr>
        <w:tc>
          <w:tcPr>
            <w:tcW w:w="15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210" w:firstLineChars="100"/>
              <w:rPr>
                <w:rFonts w:hint="eastAsia" w:ascii="Times New Roman" w:hAnsi="Times New Roman" w:eastAsia="宋体" w:cs="Times New Roman"/>
                <w:sz w:val="21"/>
                <w:szCs w:val="21"/>
                <w:highlight w:val="none"/>
                <w:lang w:val="zh-CN" w:eastAsia="zh-CN"/>
              </w:rPr>
            </w:pPr>
            <w:r>
              <w:rPr>
                <w:rFonts w:hint="eastAsia" w:ascii="Times New Roman" w:hAnsi="Times New Roman" w:eastAsia="宋体" w:cs="Times New Roman"/>
                <w:sz w:val="21"/>
                <w:szCs w:val="21"/>
                <w:highlight w:val="none"/>
                <w:lang w:val="en-US" w:eastAsia="zh-CN"/>
              </w:rPr>
              <w:t>管控维度</w:t>
            </w:r>
          </w:p>
        </w:tc>
        <w:tc>
          <w:tcPr>
            <w:tcW w:w="4135"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default" w:ascii="Times New Roman" w:hAnsi="Times New Roman" w:cs="Times New Roman"/>
                <w:sz w:val="21"/>
                <w:szCs w:val="21"/>
                <w:highlight w:val="none"/>
                <w:lang w:val="zh-CN"/>
              </w:rPr>
            </w:pPr>
            <w:r>
              <w:rPr>
                <w:rFonts w:hint="default" w:ascii="Times New Roman" w:hAnsi="Times New Roman" w:cs="Times New Roman"/>
                <w:sz w:val="21"/>
                <w:szCs w:val="21"/>
                <w:highlight w:val="none"/>
                <w:lang w:val="zh-CN"/>
              </w:rPr>
              <w:t>唐政字[2021]48号相关要求</w:t>
            </w:r>
          </w:p>
        </w:tc>
        <w:tc>
          <w:tcPr>
            <w:tcW w:w="20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210" w:firstLineChars="100"/>
              <w:rPr>
                <w:rFonts w:hint="default" w:ascii="Times New Roman" w:hAnsi="Times New Roman" w:cs="Times New Roman"/>
                <w:sz w:val="21"/>
                <w:szCs w:val="21"/>
                <w:highlight w:val="none"/>
                <w:lang w:val="zh-CN"/>
              </w:rPr>
            </w:pPr>
            <w:r>
              <w:rPr>
                <w:rFonts w:hint="default" w:ascii="Times New Roman" w:hAnsi="Times New Roman" w:cs="Times New Roman"/>
                <w:sz w:val="21"/>
                <w:szCs w:val="21"/>
                <w:highlight w:val="none"/>
                <w:lang w:val="zh-CN"/>
              </w:rPr>
              <w:t>项目拟建情况</w:t>
            </w:r>
          </w:p>
        </w:tc>
        <w:tc>
          <w:tcPr>
            <w:tcW w:w="8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cs="Times New Roman"/>
                <w:sz w:val="21"/>
                <w:szCs w:val="21"/>
                <w:highlight w:val="none"/>
                <w:lang w:val="zh-CN"/>
              </w:rPr>
            </w:pPr>
            <w:r>
              <w:rPr>
                <w:rFonts w:hint="default" w:ascii="Times New Roman" w:hAnsi="Times New Roman" w:cs="Times New Roman"/>
                <w:sz w:val="21"/>
                <w:szCs w:val="21"/>
                <w:highlight w:val="none"/>
                <w:lang w:val="zh-CN"/>
              </w:rPr>
              <w:t>符合性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blHeader/>
          <w:jc w:val="center"/>
        </w:trPr>
        <w:tc>
          <w:tcPr>
            <w:tcW w:w="15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空间布局约束</w:t>
            </w:r>
          </w:p>
        </w:tc>
        <w:tc>
          <w:tcPr>
            <w:tcW w:w="413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cs="Times New Roman"/>
                <w:sz w:val="21"/>
                <w:szCs w:val="21"/>
                <w:highlight w:val="none"/>
                <w:lang w:val="zh-CN"/>
              </w:rPr>
            </w:pPr>
            <w:r>
              <w:rPr>
                <w:rFonts w:hint="default" w:ascii="Times New Roman" w:hAnsi="Times New Roman" w:cs="Times New Roman"/>
                <w:sz w:val="21"/>
                <w:szCs w:val="21"/>
                <w:highlight w:val="none"/>
                <w:lang w:val="zh-CN"/>
              </w:rPr>
              <w:t>1、禁止勘查超贫磁铁矿，不再新设探矿权。严格控制探矿权数量，严格审查与规划论证。在符合矿山准入条件前提下，可以优先设置采矿权。2、新建企业原则上均应建在工业集聚区。对城市建成区内重污染企业、不符合安全防护距离和卫生防护距离的危化企业实施有序搬迁改造或依法关闭。</w:t>
            </w:r>
          </w:p>
        </w:tc>
        <w:tc>
          <w:tcPr>
            <w:tcW w:w="20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cs="Times New Roman"/>
                <w:sz w:val="21"/>
                <w:szCs w:val="21"/>
                <w:highlight w:val="none"/>
                <w:lang w:val="zh-CN"/>
              </w:rPr>
            </w:pPr>
            <w:r>
              <w:rPr>
                <w:rFonts w:hint="default" w:ascii="Times New Roman" w:hAnsi="Times New Roman" w:cs="Times New Roman"/>
                <w:sz w:val="21"/>
                <w:szCs w:val="21"/>
                <w:highlight w:val="none"/>
                <w:lang w:val="zh-CN"/>
              </w:rPr>
              <w:t>本项目</w:t>
            </w:r>
            <w:r>
              <w:rPr>
                <w:rFonts w:hint="eastAsia" w:ascii="Times New Roman" w:hAnsi="Times New Roman" w:eastAsia="宋体" w:cs="Times New Roman"/>
                <w:sz w:val="21"/>
                <w:szCs w:val="21"/>
                <w:highlight w:val="none"/>
                <w:lang w:val="en-US" w:eastAsia="zh-CN"/>
              </w:rPr>
              <w:t>为选矿厂，在现有厂区内进行改扩建，不涉及探矿、采矿</w:t>
            </w:r>
            <w:r>
              <w:rPr>
                <w:rFonts w:hint="default" w:ascii="Times New Roman" w:hAnsi="Times New Roman" w:cs="Times New Roman"/>
                <w:sz w:val="21"/>
                <w:szCs w:val="21"/>
                <w:highlight w:val="none"/>
                <w:lang w:val="zh-CN"/>
              </w:rPr>
              <w:t>。</w:t>
            </w:r>
          </w:p>
        </w:tc>
        <w:tc>
          <w:tcPr>
            <w:tcW w:w="8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cs="Times New Roman"/>
                <w:sz w:val="21"/>
                <w:szCs w:val="21"/>
                <w:highlight w:val="none"/>
                <w:lang w:val="zh-CN"/>
              </w:rPr>
            </w:pPr>
            <w:r>
              <w:rPr>
                <w:rFonts w:hint="default" w:ascii="Times New Roman" w:hAnsi="Times New Roman" w:cs="Times New Roman"/>
                <w:sz w:val="21"/>
                <w:szCs w:val="21"/>
                <w:highlight w:val="none"/>
                <w:lang w:val="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blHeader/>
          <w:jc w:val="center"/>
        </w:trPr>
        <w:tc>
          <w:tcPr>
            <w:tcW w:w="15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污染物排放管控</w:t>
            </w:r>
          </w:p>
        </w:tc>
        <w:tc>
          <w:tcPr>
            <w:tcW w:w="413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cs="Times New Roman"/>
                <w:sz w:val="21"/>
                <w:szCs w:val="21"/>
                <w:highlight w:val="none"/>
                <w:lang w:val="zh-CN"/>
              </w:rPr>
            </w:pPr>
            <w:r>
              <w:rPr>
                <w:rFonts w:hint="eastAsia" w:ascii="Times New Roman" w:hAnsi="Times New Roman" w:eastAsia="宋体" w:cs="Times New Roman"/>
                <w:sz w:val="21"/>
                <w:szCs w:val="21"/>
                <w:highlight w:val="none"/>
                <w:lang w:val="en-US" w:eastAsia="zh-CN"/>
              </w:rPr>
              <w:t>1</w:t>
            </w:r>
            <w:r>
              <w:rPr>
                <w:rFonts w:hint="default" w:ascii="Times New Roman" w:hAnsi="Times New Roman" w:cs="Times New Roman"/>
                <w:sz w:val="21"/>
                <w:szCs w:val="21"/>
                <w:highlight w:val="none"/>
                <w:lang w:val="zh-CN"/>
              </w:rPr>
              <w:t>、加快推进水泥重点行业污染深度治理，各工序(环节) 排污点源全部完成治理设施升级改造推进企业环境管理精细化，确保污染物稳定达标排放。2、推进工业炉窑全面达标排放。已有行业排放标准的工业炉窑，严格执行行业排放标准相关规定，配套建设高效脱硫脱硝除尘设施，确保稳定达标排放。</w:t>
            </w:r>
          </w:p>
        </w:tc>
        <w:tc>
          <w:tcPr>
            <w:tcW w:w="20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cs="Times New Roman"/>
                <w:sz w:val="21"/>
                <w:szCs w:val="21"/>
                <w:highlight w:val="none"/>
                <w:lang w:val="zh-CN"/>
              </w:rPr>
            </w:pPr>
            <w:r>
              <w:rPr>
                <w:rFonts w:hint="default" w:ascii="Times New Roman" w:hAnsi="Times New Roman" w:cs="Times New Roman"/>
                <w:sz w:val="21"/>
                <w:szCs w:val="21"/>
                <w:highlight w:val="none"/>
                <w:lang w:val="zh-CN"/>
              </w:rPr>
              <w:t>本项目为铁选矿企业，</w:t>
            </w:r>
            <w:r>
              <w:rPr>
                <w:rFonts w:hint="eastAsia" w:ascii="Times New Roman" w:hAnsi="Times New Roman" w:eastAsia="宋体" w:cs="Times New Roman"/>
                <w:sz w:val="21"/>
                <w:szCs w:val="21"/>
                <w:highlight w:val="none"/>
                <w:lang w:val="en-US" w:eastAsia="zh-CN"/>
              </w:rPr>
              <w:t>无工业炉窑</w:t>
            </w:r>
            <w:r>
              <w:rPr>
                <w:rFonts w:hint="default" w:ascii="Times New Roman" w:hAnsi="Times New Roman" w:cs="Times New Roman"/>
                <w:sz w:val="21"/>
                <w:szCs w:val="21"/>
                <w:highlight w:val="none"/>
                <w:lang w:val="zh-CN"/>
              </w:rPr>
              <w:t>。</w:t>
            </w:r>
          </w:p>
        </w:tc>
        <w:tc>
          <w:tcPr>
            <w:tcW w:w="8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cs="Times New Roman"/>
                <w:sz w:val="21"/>
                <w:szCs w:val="21"/>
                <w:highlight w:val="none"/>
                <w:lang w:val="zh-CN"/>
              </w:rPr>
            </w:pPr>
            <w:r>
              <w:rPr>
                <w:rFonts w:hint="default" w:ascii="Times New Roman" w:hAnsi="Times New Roman" w:cs="Times New Roman"/>
                <w:sz w:val="21"/>
                <w:szCs w:val="21"/>
                <w:highlight w:val="none"/>
                <w:lang w:val="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blHeader/>
          <w:jc w:val="center"/>
        </w:trPr>
        <w:tc>
          <w:tcPr>
            <w:tcW w:w="15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资源利用效率要求</w:t>
            </w:r>
          </w:p>
        </w:tc>
        <w:tc>
          <w:tcPr>
            <w:tcW w:w="413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cs="Times New Roman"/>
                <w:sz w:val="21"/>
                <w:szCs w:val="21"/>
                <w:highlight w:val="none"/>
                <w:lang w:val="zh-CN"/>
              </w:rPr>
            </w:pPr>
            <w:r>
              <w:rPr>
                <w:rFonts w:hint="default" w:ascii="Times New Roman" w:hAnsi="Times New Roman" w:cs="Times New Roman"/>
                <w:sz w:val="21"/>
                <w:szCs w:val="21"/>
                <w:highlight w:val="none"/>
                <w:lang w:val="zh-CN"/>
              </w:rPr>
              <w:t>适当压缩产业和城镇空间规模，城乡建设用地规模减量维持在现有水平</w:t>
            </w:r>
            <w:r>
              <w:rPr>
                <w:rFonts w:hint="eastAsia" w:ascii="Times New Roman" w:hAnsi="Times New Roman" w:cs="Times New Roman"/>
                <w:sz w:val="21"/>
                <w:szCs w:val="21"/>
                <w:highlight w:val="none"/>
                <w:lang w:val="zh-CN"/>
              </w:rPr>
              <w:t>。</w:t>
            </w:r>
          </w:p>
        </w:tc>
        <w:tc>
          <w:tcPr>
            <w:tcW w:w="204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本项目在现有厂区内进行改扩建，不新增占地</w:t>
            </w:r>
          </w:p>
        </w:tc>
        <w:tc>
          <w:tcPr>
            <w:tcW w:w="8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bl>
    <w:p>
      <w:pPr>
        <w:spacing w:before="75" w:line="228" w:lineRule="auto"/>
        <w:ind w:left="27"/>
        <w:outlineLvl w:val="2"/>
        <w:rPr>
          <w:rFonts w:hint="default" w:ascii="宋体" w:hAnsi="宋体" w:eastAsia="宋体" w:cs="宋体"/>
          <w:spacing w:val="7"/>
          <w:sz w:val="23"/>
          <w:szCs w:val="23"/>
          <w:highlight w:val="none"/>
          <w:lang w:eastAsia="zh-CN"/>
          <w14:textOutline w14:w="4358" w14:cap="sq" w14:cmpd="sng">
            <w14:solidFill>
              <w14:srgbClr w14:val="000000"/>
            </w14:solidFill>
            <w14:prstDash w14:val="solid"/>
            <w14:bevel/>
          </w14:textOutline>
        </w:rPr>
      </w:pPr>
      <w:r>
        <w:rPr>
          <w:rFonts w:hint="eastAsia" w:ascii="宋体" w:hAnsi="宋体" w:eastAsia="宋体" w:cs="宋体"/>
          <w:spacing w:val="7"/>
          <w:sz w:val="23"/>
          <w:szCs w:val="23"/>
          <w:highlight w:val="none"/>
          <w:lang w:val="en-US" w:eastAsia="zh-CN"/>
          <w14:textOutline w14:w="4358" w14:cap="sq" w14:cmpd="sng">
            <w14:solidFill>
              <w14:srgbClr w14:val="000000"/>
            </w14:solidFill>
            <w14:prstDash w14:val="solid"/>
            <w14:bevel/>
          </w14:textOutline>
        </w:rPr>
        <w:t>1.4.10与</w:t>
      </w:r>
      <w:r>
        <w:rPr>
          <w:rFonts w:hint="default" w:ascii="宋体" w:hAnsi="宋体" w:eastAsia="宋体" w:cs="宋体"/>
          <w:spacing w:val="7"/>
          <w:sz w:val="23"/>
          <w:szCs w:val="23"/>
          <w:highlight w:val="none"/>
          <w:lang w:eastAsia="zh-CN"/>
          <w14:textOutline w14:w="4358" w14:cap="sq" w14:cmpd="sng">
            <w14:solidFill>
              <w14:srgbClr w14:val="000000"/>
            </w14:solidFill>
            <w14:prstDash w14:val="solid"/>
            <w14:bevel/>
          </w14:textOutline>
        </w:rPr>
        <w:t>《煤场、料场、渣场扬尘污染控制技术规范》（DB13/T2352-2016）</w:t>
      </w:r>
      <w:r>
        <w:rPr>
          <w:rFonts w:hint="eastAsia" w:ascii="宋体" w:hAnsi="宋体" w:eastAsia="宋体" w:cs="宋体"/>
          <w:spacing w:val="7"/>
          <w:sz w:val="23"/>
          <w:szCs w:val="23"/>
          <w:highlight w:val="none"/>
          <w:lang w:val="en-US" w:eastAsia="zh-CN"/>
          <w14:textOutline w14:w="4358" w14:cap="sq" w14:cmpd="sng">
            <w14:solidFill>
              <w14:srgbClr w14:val="000000"/>
            </w14:solidFill>
            <w14:prstDash w14:val="solid"/>
            <w14:bevel/>
          </w14:textOutline>
        </w:rPr>
        <w:t>符合性</w:t>
      </w:r>
      <w:r>
        <w:rPr>
          <w:rFonts w:hint="default" w:ascii="宋体" w:hAnsi="宋体" w:eastAsia="宋体" w:cs="宋体"/>
          <w:spacing w:val="7"/>
          <w:sz w:val="23"/>
          <w:szCs w:val="23"/>
          <w:highlight w:val="none"/>
          <w:lang w:eastAsia="zh-CN"/>
          <w14:textOutline w14:w="4358" w14:cap="sq" w14:cmpd="sng">
            <w14:solidFill>
              <w14:srgbClr w14:val="000000"/>
            </w14:solidFill>
            <w14:prstDash w14:val="solid"/>
            <w14:bevel/>
          </w14:textOutline>
        </w:rPr>
        <w:t>分析</w:t>
      </w:r>
    </w:p>
    <w:p>
      <w:pPr>
        <w:pStyle w:val="20"/>
        <w:keepNext w:val="0"/>
        <w:keepLines w:val="0"/>
        <w:pageBreakBefore w:val="0"/>
        <w:widowControl/>
        <w:kinsoku/>
        <w:wordWrap/>
        <w:overflowPunct/>
        <w:topLinePunct w:val="0"/>
        <w:autoSpaceDE w:val="0"/>
        <w:autoSpaceDN w:val="0"/>
        <w:bidi w:val="0"/>
        <w:adjustRightInd w:val="0"/>
        <w:snapToGrid w:val="0"/>
        <w:spacing w:after="157" w:afterLines="50"/>
        <w:ind w:firstLine="480" w:firstLineChars="20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本项目与</w:t>
      </w:r>
      <w:r>
        <w:rPr>
          <w:rFonts w:hint="default" w:ascii="Times New Roman" w:hAnsi="Times New Roman" w:cs="Times New Roman"/>
          <w:highlight w:val="none"/>
        </w:rPr>
        <w:t>《煤场、料场、渣场扬尘污染控制技术规范》（DB13/T2352-2016）</w:t>
      </w:r>
      <w:r>
        <w:rPr>
          <w:rFonts w:hint="eastAsia" w:ascii="Times New Roman" w:hAnsi="Times New Roman" w:cs="Times New Roman"/>
          <w:highlight w:val="none"/>
          <w:lang w:val="en-US" w:eastAsia="zh-CN"/>
        </w:rPr>
        <w:t>对物料运输、装卸、存储相关要求符合性分析见下表。</w:t>
      </w:r>
    </w:p>
    <w:p>
      <w:pPr>
        <w:pStyle w:val="6"/>
        <w:spacing w:line="480" w:lineRule="exact"/>
        <w:ind w:firstLine="480"/>
        <w:rPr>
          <w:rFonts w:hint="default"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pPr>
      <w:r>
        <w:rPr>
          <w:rFonts w:hint="default"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表</w:t>
      </w:r>
      <w:r>
        <w:rPr>
          <w:rFonts w:hint="eastAsia"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1.4-7</w:t>
      </w:r>
      <w:r>
        <w:rPr>
          <w:rFonts w:hint="default"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 xml:space="preserve"> 与《煤场、料场、渣场扬尘污染控制技术规范》（DB13/T2352-2016）</w:t>
      </w:r>
      <w:r>
        <w:rPr>
          <w:rFonts w:hint="eastAsia"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相关要求符合性分析</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4942"/>
        <w:gridCol w:w="2322"/>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项目</w:t>
            </w:r>
          </w:p>
        </w:tc>
        <w:tc>
          <w:tcPr>
            <w:tcW w:w="2871" w:type="pct"/>
            <w:vAlign w:val="center"/>
          </w:tcPr>
          <w:p>
            <w:pPr>
              <w:pStyle w:val="21"/>
              <w:widowControl w:val="0"/>
              <w:spacing w:line="240" w:lineRule="auto"/>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技术要求</w:t>
            </w:r>
          </w:p>
        </w:tc>
        <w:tc>
          <w:tcPr>
            <w:tcW w:w="1349" w:type="pct"/>
            <w:vAlign w:val="center"/>
          </w:tcPr>
          <w:p>
            <w:pPr>
              <w:pStyle w:val="21"/>
              <w:widowControl w:val="0"/>
              <w:spacing w:line="240" w:lineRule="auto"/>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本项目情况</w:t>
            </w:r>
          </w:p>
        </w:tc>
        <w:tc>
          <w:tcPr>
            <w:tcW w:w="0" w:type="auto"/>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分析判定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Merge w:val="restart"/>
            <w:vAlign w:val="center"/>
          </w:tcPr>
          <w:p>
            <w:pPr>
              <w:pStyle w:val="21"/>
              <w:widowControl w:val="0"/>
              <w:spacing w:line="240" w:lineRule="auto"/>
              <w:jc w:val="left"/>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物料运输</w:t>
            </w:r>
          </w:p>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装卸</w:t>
            </w:r>
          </w:p>
        </w:tc>
        <w:tc>
          <w:tcPr>
            <w:tcW w:w="2871"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块状物料运输车辆装载高度最高点不得超过车辆槽帮上沿40cm，两侧边缘应当低于槽帮上缘10cm。车斗应用苫布覆盖，苫布边缘至少要遮住槽帮上沿以下15cm。物料转运时转运设施应采取密闭措施，转运站和落料点配套抽风收尘装置。</w:t>
            </w:r>
          </w:p>
        </w:tc>
        <w:tc>
          <w:tcPr>
            <w:tcW w:w="1349"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本项目矿石运输车辆装载高度最高点不超过车辆槽帮上沿40cm，两侧边缘低于槽帮上缘10cm。物料进厂后通过全封闭皮带机转运，落料点设集气罩收集废气</w:t>
            </w:r>
          </w:p>
        </w:tc>
        <w:tc>
          <w:tcPr>
            <w:tcW w:w="0" w:type="auto"/>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Merge w:val="continue"/>
            <w:vAlign w:val="center"/>
          </w:tcPr>
          <w:p>
            <w:pPr>
              <w:pStyle w:val="21"/>
              <w:widowControl w:val="0"/>
              <w:spacing w:line="240" w:lineRule="auto"/>
              <w:jc w:val="left"/>
              <w:rPr>
                <w:rFonts w:hint="default" w:ascii="Times New Roman" w:hAnsi="Times New Roman" w:cs="Times New Roman"/>
                <w:highlight w:val="none"/>
                <w:lang w:val="en-US" w:eastAsia="zh-CN"/>
              </w:rPr>
            </w:pPr>
          </w:p>
        </w:tc>
        <w:tc>
          <w:tcPr>
            <w:tcW w:w="2871"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应设置洗车平台，完善排水设施，防止泥土粘带。运输车辆在料场出口内侧设置洗车平台，车辆驶离料场前，应在洗车平台清洗轮胎及车身，不得带泥上路。洗车平台四周应设置防溢座、废水导流渠、废水收集池、沉砂池及其它防治设施，收集洗车以及降水过程中产生的废水和泥浆。</w:t>
            </w:r>
          </w:p>
        </w:tc>
        <w:tc>
          <w:tcPr>
            <w:tcW w:w="1349"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厂区出入口、成品库门口设有洗车平台，配备</w:t>
            </w:r>
            <w:r>
              <w:rPr>
                <w:rFonts w:hint="eastAsia" w:ascii="Times New Roman" w:hAnsi="Times New Roman" w:cs="Times New Roman"/>
                <w:highlight w:val="none"/>
              </w:rPr>
              <w:t>全覆盖式强制喷淋清洗设施</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洗车废水沉淀处理后循环利用不外排。</w:t>
            </w:r>
          </w:p>
        </w:tc>
        <w:tc>
          <w:tcPr>
            <w:tcW w:w="0" w:type="auto"/>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Merge w:val="continue"/>
            <w:vAlign w:val="center"/>
          </w:tcPr>
          <w:p>
            <w:pPr>
              <w:pStyle w:val="21"/>
              <w:widowControl w:val="0"/>
              <w:spacing w:line="240" w:lineRule="auto"/>
              <w:jc w:val="left"/>
              <w:rPr>
                <w:rFonts w:hint="default" w:ascii="Times New Roman" w:hAnsi="Times New Roman" w:cs="Times New Roman"/>
                <w:highlight w:val="none"/>
                <w:lang w:val="en-US" w:eastAsia="zh-CN"/>
              </w:rPr>
            </w:pPr>
          </w:p>
        </w:tc>
        <w:tc>
          <w:tcPr>
            <w:tcW w:w="2871" w:type="pct"/>
            <w:vAlign w:val="center"/>
          </w:tcPr>
          <w:p>
            <w:pPr>
              <w:pStyle w:val="21"/>
              <w:widowControl w:val="0"/>
              <w:spacing w:line="240" w:lineRule="auto"/>
              <w:jc w:val="left"/>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露天装卸物料应当采取洒水、喷淋等抑尘措施，密闭输送物料应在装卸处配备吸尘、喷淋等设施。</w:t>
            </w:r>
          </w:p>
        </w:tc>
        <w:tc>
          <w:tcPr>
            <w:tcW w:w="1349"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本项目不露天装卸物料</w:t>
            </w:r>
          </w:p>
        </w:tc>
        <w:tc>
          <w:tcPr>
            <w:tcW w:w="0" w:type="auto"/>
            <w:vAlign w:val="center"/>
          </w:tcPr>
          <w:p>
            <w:pPr>
              <w:pStyle w:val="21"/>
              <w:widowControl w:val="0"/>
              <w:spacing w:line="240" w:lineRule="auto"/>
              <w:jc w:val="left"/>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物料存储</w:t>
            </w:r>
          </w:p>
        </w:tc>
        <w:tc>
          <w:tcPr>
            <w:tcW w:w="2871"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粉状物料储存可采用入棚、入仓储存，棚内设有喷淋装置，在物料装卸时洒水降尘，棚内应设置横向防雨天窗，也可采用防风抑尘网+喷淋装置进行储存。</w:t>
            </w:r>
          </w:p>
        </w:tc>
        <w:tc>
          <w:tcPr>
            <w:tcW w:w="1349"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厂区物料全部堆存于封闭库房内，不露天堆存</w:t>
            </w:r>
          </w:p>
        </w:tc>
        <w:tc>
          <w:tcPr>
            <w:tcW w:w="0" w:type="auto"/>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符合</w:t>
            </w:r>
          </w:p>
        </w:tc>
      </w:tr>
    </w:tbl>
    <w:p>
      <w:pPr>
        <w:spacing w:before="75" w:line="228" w:lineRule="auto"/>
        <w:ind w:left="27"/>
        <w:outlineLvl w:val="2"/>
        <w:rPr>
          <w:rFonts w:hint="eastAsia" w:ascii="宋体" w:hAnsi="宋体" w:eastAsia="宋体" w:cs="宋体"/>
          <w:spacing w:val="7"/>
          <w:sz w:val="23"/>
          <w:szCs w:val="23"/>
          <w:highlight w:val="none"/>
          <w:lang w:val="en-US" w:eastAsia="zh-CN"/>
          <w14:textOutline w14:w="4358" w14:cap="sq" w14:cmpd="sng">
            <w14:solidFill>
              <w14:srgbClr w14:val="000000"/>
            </w14:solidFill>
            <w14:prstDash w14:val="solid"/>
            <w14:bevel/>
          </w14:textOutline>
        </w:rPr>
      </w:pPr>
      <w:bookmarkStart w:id="42" w:name="_Toc17905"/>
      <w:bookmarkStart w:id="43" w:name="_Toc26668"/>
      <w:bookmarkStart w:id="44" w:name="_Toc20842"/>
      <w:r>
        <w:rPr>
          <w:rFonts w:hint="eastAsia" w:ascii="宋体" w:hAnsi="宋体" w:eastAsia="宋体" w:cs="宋体"/>
          <w:spacing w:val="7"/>
          <w:sz w:val="23"/>
          <w:szCs w:val="23"/>
          <w:highlight w:val="none"/>
          <w:lang w:val="en-US" w:eastAsia="zh-CN"/>
          <w14:textOutline w14:w="4358" w14:cap="sq" w14:cmpd="sng">
            <w14:solidFill>
              <w14:srgbClr w14:val="000000"/>
            </w14:solidFill>
            <w14:prstDash w14:val="solid"/>
            <w14:bevel/>
          </w14:textOutline>
        </w:rPr>
        <w:t>1.4.11</w:t>
      </w:r>
      <w:r>
        <w:rPr>
          <w:rFonts w:hint="default" w:ascii="宋体" w:hAnsi="宋体" w:eastAsia="宋体" w:cs="宋体"/>
          <w:spacing w:val="7"/>
          <w:sz w:val="23"/>
          <w:szCs w:val="23"/>
          <w:highlight w:val="none"/>
          <w:lang w:val="en-US" w:eastAsia="zh-CN"/>
          <w14:textOutline w14:w="4358" w14:cap="sq" w14:cmpd="sng">
            <w14:solidFill>
              <w14:srgbClr w14:val="000000"/>
            </w14:solidFill>
            <w14:prstDash w14:val="solid"/>
            <w14:bevel/>
          </w14:textOutline>
        </w:rPr>
        <w:t xml:space="preserve"> </w:t>
      </w:r>
      <w:r>
        <w:rPr>
          <w:rFonts w:hint="eastAsia" w:ascii="宋体" w:hAnsi="宋体" w:eastAsia="宋体" w:cs="宋体"/>
          <w:spacing w:val="7"/>
          <w:sz w:val="23"/>
          <w:szCs w:val="23"/>
          <w:highlight w:val="none"/>
          <w:lang w:val="en-US" w:eastAsia="zh-CN"/>
          <w14:textOutline w14:w="4358" w14:cap="sq" w14:cmpd="sng">
            <w14:solidFill>
              <w14:srgbClr w14:val="000000"/>
            </w14:solidFill>
            <w14:prstDash w14:val="solid"/>
            <w14:bevel/>
          </w14:textOutline>
        </w:rPr>
        <w:t>《河北省十一个行业重污染天气应急减排措施制定技术指南（试行）》</w:t>
      </w:r>
    </w:p>
    <w:p>
      <w:pPr>
        <w:pStyle w:val="20"/>
        <w:ind w:firstLine="480"/>
        <w:rPr>
          <w:rFonts w:hint="default" w:ascii="Times New Roman" w:hAnsi="Times New Roman" w:eastAsia="宋体" w:cs="Times New Roman"/>
          <w:highlight w:val="none"/>
          <w:lang w:val="en-US" w:eastAsia="zh-CN" w:bidi="ar"/>
        </w:rPr>
      </w:pPr>
      <w:r>
        <w:rPr>
          <w:rFonts w:hint="eastAsia" w:ascii="Times New Roman" w:hAnsi="Times New Roman" w:eastAsia="宋体" w:cs="Times New Roman"/>
          <w:highlight w:val="none"/>
          <w:lang w:val="en-US" w:eastAsia="zh-CN" w:bidi="ar"/>
        </w:rPr>
        <w:t>本项目与</w:t>
      </w:r>
      <w:r>
        <w:rPr>
          <w:rFonts w:hint="eastAsia" w:ascii="Times New Roman" w:hAnsi="Times New Roman" w:eastAsia="宋体" w:cs="Times New Roman"/>
          <w:highlight w:val="none"/>
          <w:lang w:eastAsia="zh-CN" w:bidi="ar"/>
        </w:rPr>
        <w:t>《河北省十一个行业重污染天气应急减排措施制定技术指南（试行）》</w:t>
      </w:r>
      <w:r>
        <w:rPr>
          <w:rFonts w:hint="eastAsia" w:ascii="Times New Roman" w:hAnsi="Times New Roman" w:eastAsia="宋体" w:cs="Times New Roman"/>
          <w:highlight w:val="none"/>
          <w:lang w:val="en-US" w:eastAsia="zh-CN" w:bidi="ar"/>
        </w:rPr>
        <w:t>矿石采选与加工行业绩效分级指标符合性分析情况见下表。</w:t>
      </w:r>
    </w:p>
    <w:p>
      <w:pPr>
        <w:pStyle w:val="6"/>
        <w:spacing w:line="480" w:lineRule="exact"/>
        <w:ind w:firstLine="480"/>
        <w:rPr>
          <w:rFonts w:hint="default"/>
          <w:color w:val="auto"/>
          <w:highlight w:val="none"/>
          <w:lang w:val="en-US" w:eastAsia="zh-CN"/>
        </w:rPr>
      </w:pPr>
      <w:r>
        <w:rPr>
          <w:rFonts w:hint="default"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表</w:t>
      </w:r>
      <w:r>
        <w:rPr>
          <w:rFonts w:hint="eastAsia"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1.4</w:t>
      </w:r>
      <w:r>
        <w:rPr>
          <w:rFonts w:hint="default"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w:t>
      </w:r>
      <w:r>
        <w:rPr>
          <w:rFonts w:hint="eastAsia"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8</w:t>
      </w:r>
      <w:r>
        <w:rPr>
          <w:rFonts w:hint="default"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 xml:space="preserve"> 与</w:t>
      </w:r>
      <w:r>
        <w:rPr>
          <w:rFonts w:hint="eastAsia"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黑色金属矿采选与加工行业绩效引领性指标相关分析</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3736"/>
        <w:gridCol w:w="2555"/>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引领性指标</w:t>
            </w:r>
          </w:p>
        </w:tc>
        <w:tc>
          <w:tcPr>
            <w:tcW w:w="2170" w:type="pct"/>
            <w:vAlign w:val="center"/>
          </w:tcPr>
          <w:p>
            <w:pPr>
              <w:pStyle w:val="21"/>
              <w:widowControl w:val="0"/>
              <w:spacing w:line="240" w:lineRule="auto"/>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黑色金属矿采选采选与加工</w:t>
            </w:r>
          </w:p>
        </w:tc>
        <w:tc>
          <w:tcPr>
            <w:tcW w:w="1484" w:type="pct"/>
            <w:vAlign w:val="center"/>
          </w:tcPr>
          <w:p>
            <w:pPr>
              <w:pStyle w:val="21"/>
              <w:widowControl w:val="0"/>
              <w:spacing w:line="240" w:lineRule="auto"/>
              <w:jc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本项目情况</w:t>
            </w:r>
          </w:p>
        </w:tc>
        <w:tc>
          <w:tcPr>
            <w:tcW w:w="643"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分析判定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装备水平</w:t>
            </w:r>
          </w:p>
        </w:tc>
        <w:tc>
          <w:tcPr>
            <w:tcW w:w="2170"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粗破破碎机等效处理能力不小于PE1200*1500mm</w:t>
            </w:r>
          </w:p>
        </w:tc>
        <w:tc>
          <w:tcPr>
            <w:tcW w:w="1484"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粗破破碎机等效处理能力不小于PE1200*1500mm</w:t>
            </w:r>
          </w:p>
        </w:tc>
        <w:tc>
          <w:tcPr>
            <w:tcW w:w="643"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能源类型</w:t>
            </w:r>
          </w:p>
        </w:tc>
        <w:tc>
          <w:tcPr>
            <w:tcW w:w="2170"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生产工业锅炉采用电、天然气、净化后煤气等能源</w:t>
            </w:r>
          </w:p>
        </w:tc>
        <w:tc>
          <w:tcPr>
            <w:tcW w:w="1484"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不涉及</w:t>
            </w:r>
          </w:p>
        </w:tc>
        <w:tc>
          <w:tcPr>
            <w:tcW w:w="643"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污染治理技术</w:t>
            </w:r>
          </w:p>
        </w:tc>
        <w:tc>
          <w:tcPr>
            <w:tcW w:w="2170"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rPr>
              <w:t>除尘采用覆膜滤袋、滤筒等高效除尘技术（设计除尘效率不低于99%）</w:t>
            </w:r>
          </w:p>
        </w:tc>
        <w:tc>
          <w:tcPr>
            <w:tcW w:w="1484"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rPr>
              <w:t>除尘采用覆膜滤袋（设计除尘效率不低于99%）</w:t>
            </w:r>
          </w:p>
        </w:tc>
        <w:tc>
          <w:tcPr>
            <w:tcW w:w="643"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无组织排放管控</w:t>
            </w:r>
          </w:p>
        </w:tc>
        <w:tc>
          <w:tcPr>
            <w:tcW w:w="2170" w:type="pct"/>
            <w:vAlign w:val="center"/>
          </w:tcPr>
          <w:p>
            <w:pPr>
              <w:pStyle w:val="21"/>
              <w:widowControl w:val="0"/>
              <w:spacing w:line="240" w:lineRule="auto"/>
              <w:jc w:val="left"/>
              <w:rPr>
                <w:rFonts w:hint="eastAsia" w:ascii="Times New Roman" w:hAnsi="Times New Roman" w:cs="Times New Roman"/>
                <w:highlight w:val="none"/>
              </w:rPr>
            </w:pPr>
            <w:r>
              <w:rPr>
                <w:rFonts w:hint="eastAsia" w:ascii="Times New Roman" w:hAnsi="Times New Roman" w:cs="Times New Roman"/>
                <w:highlight w:val="none"/>
              </w:rPr>
              <w:t>（1）破碎、筛分、干选、辊磨等设备全部置于封闭厂房内。</w:t>
            </w:r>
          </w:p>
          <w:p>
            <w:pPr>
              <w:pStyle w:val="21"/>
              <w:widowControl w:val="0"/>
              <w:spacing w:line="240" w:lineRule="auto"/>
              <w:jc w:val="left"/>
              <w:rPr>
                <w:rFonts w:hint="eastAsia" w:ascii="Times New Roman" w:hAnsi="Times New Roman" w:cs="Times New Roman"/>
                <w:highlight w:val="none"/>
              </w:rPr>
            </w:pPr>
            <w:r>
              <w:rPr>
                <w:rFonts w:hint="eastAsia" w:ascii="Times New Roman" w:hAnsi="Times New Roman" w:cs="Times New Roman"/>
                <w:highlight w:val="none"/>
              </w:rPr>
              <w:t>（2）除尘器出灰口应采取密闭措施，除尘灰不得直接卸落到地面；除尘灰采取袋装、罐装等密闭措施收集、存放和运输；</w:t>
            </w:r>
          </w:p>
          <w:p>
            <w:pPr>
              <w:pStyle w:val="21"/>
              <w:widowControl w:val="0"/>
              <w:spacing w:line="240" w:lineRule="auto"/>
              <w:jc w:val="left"/>
              <w:rPr>
                <w:rFonts w:hint="eastAsia" w:ascii="Times New Roman" w:hAnsi="Times New Roman" w:cs="Times New Roman"/>
                <w:highlight w:val="none"/>
              </w:rPr>
            </w:pPr>
            <w:r>
              <w:rPr>
                <w:rFonts w:hint="eastAsia" w:ascii="Times New Roman" w:hAnsi="Times New Roman" w:cs="Times New Roman"/>
                <w:highlight w:val="none"/>
              </w:rPr>
              <w:t>（3）车间环境整洁，地面、墙面及设备顶部无明显积尘，车间无可见粉尘；原辅材料及产品分区有序摆放。</w:t>
            </w:r>
          </w:p>
          <w:p>
            <w:pPr>
              <w:pStyle w:val="21"/>
              <w:widowControl w:val="0"/>
              <w:spacing w:line="240" w:lineRule="auto"/>
              <w:jc w:val="left"/>
              <w:rPr>
                <w:rFonts w:hint="eastAsia" w:ascii="Times New Roman" w:hAnsi="Times New Roman" w:cs="Times New Roman"/>
                <w:highlight w:val="none"/>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4</w:t>
            </w:r>
            <w:r>
              <w:rPr>
                <w:rFonts w:hint="eastAsia" w:ascii="Times New Roman" w:hAnsi="Times New Roman" w:cs="Times New Roman"/>
                <w:highlight w:val="none"/>
                <w:lang w:eastAsia="zh-CN"/>
              </w:rPr>
              <w:t>）</w:t>
            </w:r>
            <w:r>
              <w:rPr>
                <w:rFonts w:hint="eastAsia" w:ascii="Times New Roman" w:hAnsi="Times New Roman" w:cs="Times New Roman"/>
                <w:highlight w:val="none"/>
              </w:rPr>
              <w:t>物料储存</w:t>
            </w:r>
            <w:r>
              <w:rPr>
                <w:rFonts w:hint="eastAsia" w:ascii="Times New Roman" w:hAnsi="Times New Roman" w:cs="Times New Roman"/>
                <w:highlight w:val="none"/>
                <w:lang w:eastAsia="zh-CN"/>
              </w:rPr>
              <w:t>：</w:t>
            </w:r>
            <w:r>
              <w:rPr>
                <w:rFonts w:hint="eastAsia" w:ascii="Times New Roman" w:hAnsi="Times New Roman" w:cs="Times New Roman"/>
                <w:highlight w:val="none"/>
              </w:rPr>
              <w:t>储存铁精粉等易产生扬尘的粉状或者粒状物料的，应当采取入棚、入仓的</w:t>
            </w:r>
          </w:p>
          <w:p>
            <w:pPr>
              <w:pStyle w:val="21"/>
              <w:widowControl w:val="0"/>
              <w:spacing w:line="240" w:lineRule="auto"/>
              <w:jc w:val="left"/>
              <w:rPr>
                <w:rFonts w:hint="eastAsia" w:ascii="Times New Roman" w:hAnsi="Times New Roman" w:cs="Times New Roman"/>
                <w:highlight w:val="none"/>
              </w:rPr>
            </w:pPr>
            <w:r>
              <w:rPr>
                <w:rFonts w:hint="eastAsia" w:ascii="Times New Roman" w:hAnsi="Times New Roman" w:cs="Times New Roman"/>
                <w:highlight w:val="none"/>
              </w:rPr>
              <w:t>方式封闭储存。</w:t>
            </w:r>
          </w:p>
          <w:p>
            <w:pPr>
              <w:pStyle w:val="21"/>
              <w:widowControl w:val="0"/>
              <w:spacing w:line="240" w:lineRule="auto"/>
              <w:jc w:val="left"/>
              <w:rPr>
                <w:rFonts w:hint="eastAsia" w:ascii="Times New Roman" w:hAnsi="Times New Roman" w:cs="Times New Roman"/>
                <w:highlight w:val="none"/>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5</w:t>
            </w:r>
            <w:r>
              <w:rPr>
                <w:rFonts w:hint="eastAsia" w:ascii="Times New Roman" w:hAnsi="Times New Roman" w:cs="Times New Roman"/>
                <w:highlight w:val="none"/>
                <w:lang w:eastAsia="zh-CN"/>
              </w:rPr>
              <w:t>）</w:t>
            </w:r>
            <w:r>
              <w:rPr>
                <w:rFonts w:hint="eastAsia" w:ascii="Times New Roman" w:hAnsi="Times New Roman" w:cs="Times New Roman"/>
                <w:highlight w:val="none"/>
              </w:rPr>
              <w:t>物料</w:t>
            </w:r>
            <w:r>
              <w:rPr>
                <w:rFonts w:hint="eastAsia" w:ascii="Times New Roman" w:hAnsi="Times New Roman" w:cs="Times New Roman"/>
                <w:highlight w:val="none"/>
                <w:lang w:val="en-US" w:eastAsia="zh-CN"/>
              </w:rPr>
              <w:t>运输</w:t>
            </w:r>
            <w:r>
              <w:rPr>
                <w:rFonts w:hint="eastAsia" w:ascii="Times New Roman" w:hAnsi="Times New Roman" w:cs="Times New Roman"/>
                <w:highlight w:val="none"/>
                <w:lang w:eastAsia="zh-CN"/>
              </w:rPr>
              <w:t>：</w:t>
            </w:r>
            <w:r>
              <w:rPr>
                <w:rFonts w:hint="eastAsia" w:ascii="Times New Roman" w:hAnsi="Times New Roman" w:cs="Times New Roman"/>
                <w:highlight w:val="none"/>
              </w:rPr>
              <w:t>厂区内永久道路应硬化，保持清洁，湿式清扫，路面无明显可见积尘；其它道路</w:t>
            </w:r>
          </w:p>
          <w:p>
            <w:pPr>
              <w:pStyle w:val="21"/>
              <w:widowControl w:val="0"/>
              <w:spacing w:line="240" w:lineRule="auto"/>
              <w:jc w:val="left"/>
              <w:rPr>
                <w:rFonts w:hint="eastAsia" w:ascii="Times New Roman" w:hAnsi="Times New Roman" w:cs="Times New Roman"/>
                <w:highlight w:val="none"/>
              </w:rPr>
            </w:pPr>
            <w:r>
              <w:rPr>
                <w:rFonts w:hint="eastAsia" w:ascii="Times New Roman" w:hAnsi="Times New Roman" w:cs="Times New Roman"/>
                <w:highlight w:val="none"/>
              </w:rPr>
              <w:t>平整压实，并采取定期洒水清扫等抑尘措施。</w:t>
            </w:r>
          </w:p>
          <w:p>
            <w:pPr>
              <w:pStyle w:val="21"/>
              <w:widowControl w:val="0"/>
              <w:spacing w:line="240" w:lineRule="auto"/>
              <w:jc w:val="left"/>
              <w:rPr>
                <w:rFonts w:hint="eastAsia" w:ascii="Times New Roman" w:hAnsi="Times New Roman" w:cs="Times New Roman"/>
                <w:highlight w:val="none"/>
              </w:rPr>
            </w:pPr>
            <w:r>
              <w:rPr>
                <w:rFonts w:hint="eastAsia" w:ascii="Times New Roman" w:hAnsi="Times New Roman" w:cs="Times New Roman"/>
                <w:highlight w:val="none"/>
                <w:lang w:val="en-US" w:eastAsia="zh-CN"/>
              </w:rPr>
              <w:t>洗车平台：</w:t>
            </w:r>
            <w:r>
              <w:rPr>
                <w:rFonts w:hint="eastAsia" w:ascii="Times New Roman" w:hAnsi="Times New Roman" w:cs="Times New Roman"/>
                <w:highlight w:val="none"/>
              </w:rPr>
              <w:t>料场出口处（厂区出入口）安装运输车辆侧向全覆盖式强制喷淋清洗设施，地面</w:t>
            </w:r>
          </w:p>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rPr>
              <w:t>至少设置一排花式喷射喷头。喷淋设施应充分考虑冷冻期结冰问题，合理优化地面基础设计，洗车平台应低于地面（呈斜坡状）；清洗完成后车辆应在洗车槽内短暂停留，避免因车身带水过多造成道路湿滑和冬季积水结冰等安全隐患；冲洗介质可使用温水、添加防冻物质等有效防冻措施；冲洗水循环利用，不外排。</w:t>
            </w:r>
          </w:p>
        </w:tc>
        <w:tc>
          <w:tcPr>
            <w:tcW w:w="1484"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本项目</w:t>
            </w:r>
            <w:r>
              <w:rPr>
                <w:rFonts w:hint="eastAsia" w:ascii="Times New Roman" w:hAnsi="Times New Roman" w:cs="Times New Roman"/>
                <w:highlight w:val="none"/>
              </w:rPr>
              <w:t>破碎、筛分、干选、辊磨等设备全部</w:t>
            </w:r>
            <w:r>
              <w:rPr>
                <w:rFonts w:hint="eastAsia" w:ascii="Times New Roman" w:hAnsi="Times New Roman" w:cs="Times New Roman"/>
                <w:highlight w:val="none"/>
                <w:lang w:val="en-US" w:eastAsia="zh-CN"/>
              </w:rPr>
              <w:t>布置于封闭生产车间内；除尘器灰仓底部设水箱，除尘灰卸至水箱内，由渣浆泵打入球磨机回用于生产；厂区物料全部堆存于封闭库房内，不露天堆存，车间定期清扫可保持环境整洁；厂区配备洒水车、湿扫车定期对厂区进行清扫；厂区出入口、成品库门口设有洗车平台，配备</w:t>
            </w:r>
            <w:r>
              <w:rPr>
                <w:rFonts w:hint="eastAsia" w:ascii="Times New Roman" w:hAnsi="Times New Roman" w:cs="Times New Roman"/>
                <w:highlight w:val="none"/>
              </w:rPr>
              <w:t>全覆盖式强制喷淋清洗设施</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洗车废水沉淀处理后循环利用不外排。</w:t>
            </w:r>
          </w:p>
        </w:tc>
        <w:tc>
          <w:tcPr>
            <w:tcW w:w="643"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排放限值</w:t>
            </w:r>
          </w:p>
        </w:tc>
        <w:tc>
          <w:tcPr>
            <w:tcW w:w="2170"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default" w:ascii="Times New Roman" w:hAnsi="Times New Roman" w:cs="Times New Roman"/>
                <w:highlight w:val="none"/>
              </w:rPr>
              <w:t>颗粒物有组织排放浓度不超过10mg/m</w:t>
            </w:r>
            <w:r>
              <w:rPr>
                <w:rFonts w:hint="default" w:ascii="Times New Roman" w:hAnsi="Times New Roman" w:cs="Times New Roman"/>
                <w:highlight w:val="none"/>
                <w:vertAlign w:val="superscript"/>
              </w:rPr>
              <w:t>3</w:t>
            </w:r>
            <w:r>
              <w:rPr>
                <w:rFonts w:hint="default" w:ascii="Times New Roman" w:hAnsi="Times New Roman" w:cs="Times New Roman"/>
                <w:highlight w:val="none"/>
              </w:rPr>
              <w:t>；颗粒无组织排放浓度不高于1mg/m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tc>
        <w:tc>
          <w:tcPr>
            <w:tcW w:w="1484"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default" w:ascii="Times New Roman" w:hAnsi="Times New Roman" w:cs="Times New Roman"/>
                <w:highlight w:val="none"/>
              </w:rPr>
              <w:t>颗粒物有组织排放浓度不超过10mg/m</w:t>
            </w:r>
            <w:r>
              <w:rPr>
                <w:rFonts w:hint="default" w:ascii="Times New Roman" w:hAnsi="Times New Roman" w:cs="Times New Roman"/>
                <w:highlight w:val="none"/>
                <w:vertAlign w:val="superscript"/>
              </w:rPr>
              <w:t>3</w:t>
            </w:r>
            <w:r>
              <w:rPr>
                <w:rFonts w:hint="default" w:ascii="Times New Roman" w:hAnsi="Times New Roman" w:cs="Times New Roman"/>
                <w:highlight w:val="none"/>
              </w:rPr>
              <w:t>；颗粒无组织排放浓度不高于1mg/m</w:t>
            </w:r>
            <w:r>
              <w:rPr>
                <w:rFonts w:hint="default" w:ascii="Times New Roman" w:hAnsi="Times New Roman" w:cs="Times New Roman"/>
                <w:highlight w:val="none"/>
                <w:vertAlign w:val="superscript"/>
              </w:rPr>
              <w:t>3</w:t>
            </w:r>
          </w:p>
        </w:tc>
        <w:tc>
          <w:tcPr>
            <w:tcW w:w="643"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监测监控水平</w:t>
            </w:r>
          </w:p>
        </w:tc>
        <w:tc>
          <w:tcPr>
            <w:tcW w:w="2170"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生产加工区破碎筛分车间附近布设空气质量监测微站，监测PM</w:t>
            </w:r>
            <w:r>
              <w:rPr>
                <w:rFonts w:hint="eastAsia" w:ascii="Times New Roman" w:hAnsi="Times New Roman" w:cs="Times New Roman"/>
                <w:highlight w:val="none"/>
                <w:vertAlign w:val="subscript"/>
                <w:lang w:val="en-US" w:eastAsia="zh-CN"/>
              </w:rPr>
              <w:t>10</w:t>
            </w:r>
            <w:r>
              <w:rPr>
                <w:rFonts w:hint="eastAsia" w:ascii="Times New Roman" w:hAnsi="Times New Roman" w:cs="Times New Roman"/>
                <w:highlight w:val="none"/>
                <w:lang w:val="en-US" w:eastAsia="zh-CN"/>
              </w:rPr>
              <w:t>；污染治理设施安装分表计电设施；料场出入口安装高清视频监控设施，视频监控系统数据保存6 个月以上；</w:t>
            </w:r>
          </w:p>
        </w:tc>
        <w:tc>
          <w:tcPr>
            <w:tcW w:w="1484"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本项目设有空气质量监测微站；污染治理设施安装分表计电设施；各生产车间、库房出入口安有高清视频监控设施，视频监控系统数据保存6 个月以上；</w:t>
            </w:r>
          </w:p>
        </w:tc>
        <w:tc>
          <w:tcPr>
            <w:tcW w:w="643"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运输方式</w:t>
            </w:r>
          </w:p>
        </w:tc>
        <w:tc>
          <w:tcPr>
            <w:tcW w:w="2170"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物料公路运输全部使用达到国五及以上排放标准重型载货车辆（含燃气）或新能源车辆；厂内运输车辆全部达到国五及以上排放标准（含燃气)或使用新能源车辆</w:t>
            </w:r>
          </w:p>
        </w:tc>
        <w:tc>
          <w:tcPr>
            <w:tcW w:w="1484"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本项目物料运输全部使用达到国五及以上排放标准重型载货车辆</w:t>
            </w:r>
          </w:p>
        </w:tc>
        <w:tc>
          <w:tcPr>
            <w:tcW w:w="643"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运输监管</w:t>
            </w:r>
          </w:p>
        </w:tc>
        <w:tc>
          <w:tcPr>
            <w:tcW w:w="2170"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rPr>
              <w:t>参照《重污染天气重点行业移动源应急管理技术指南》建立门禁系统和电子台账</w:t>
            </w:r>
          </w:p>
        </w:tc>
        <w:tc>
          <w:tcPr>
            <w:tcW w:w="1484" w:type="pct"/>
            <w:vAlign w:val="center"/>
          </w:tcPr>
          <w:p>
            <w:pPr>
              <w:pStyle w:val="21"/>
              <w:widowControl w:val="0"/>
              <w:spacing w:line="240" w:lineRule="auto"/>
              <w:jc w:val="lef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根据</w:t>
            </w:r>
            <w:r>
              <w:rPr>
                <w:rFonts w:hint="eastAsia" w:ascii="Times New Roman" w:hAnsi="Times New Roman" w:cs="Times New Roman"/>
                <w:highlight w:val="none"/>
              </w:rPr>
              <w:t>《重污染天气重点行业移动源应急管理技术指南》建立门禁系统和电子台账</w:t>
            </w:r>
          </w:p>
        </w:tc>
        <w:tc>
          <w:tcPr>
            <w:tcW w:w="643" w:type="pct"/>
            <w:vAlign w:val="center"/>
          </w:tcPr>
          <w:p>
            <w:pPr>
              <w:pStyle w:val="21"/>
              <w:widowControl w:val="0"/>
              <w:spacing w:line="240" w:lineRule="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满足</w:t>
            </w:r>
          </w:p>
        </w:tc>
      </w:tr>
    </w:tbl>
    <w:p>
      <w:pPr>
        <w:spacing w:line="393" w:lineRule="auto"/>
        <w:ind w:left="26" w:right="46" w:firstLine="480"/>
        <w:jc w:val="both"/>
        <w:rPr>
          <w:rFonts w:hint="eastAsia" w:ascii="Times New Roman" w:hAnsi="Times New Roman" w:eastAsia="宋体" w:cs="Times New Roman"/>
          <w:spacing w:val="8"/>
          <w:sz w:val="23"/>
          <w:szCs w:val="23"/>
          <w:highlight w:val="none"/>
          <w:lang w:val="en-US" w:eastAsia="zh-CN"/>
        </w:rPr>
      </w:pPr>
      <w:r>
        <w:rPr>
          <w:rFonts w:hint="eastAsia" w:ascii="Times New Roman" w:hAnsi="Times New Roman" w:eastAsia="宋体" w:cs="Times New Roman"/>
          <w:spacing w:val="8"/>
          <w:sz w:val="23"/>
          <w:szCs w:val="23"/>
          <w:highlight w:val="none"/>
          <w:lang w:val="en-US" w:eastAsia="zh-CN"/>
        </w:rPr>
        <w:t>综上所述，</w:t>
      </w:r>
      <w:r>
        <w:rPr>
          <w:rFonts w:hint="default" w:ascii="Times New Roman" w:hAnsi="Times New Roman" w:eastAsia="宋体" w:cs="Times New Roman"/>
          <w:spacing w:val="8"/>
          <w:sz w:val="23"/>
          <w:szCs w:val="23"/>
          <w:highlight w:val="none"/>
        </w:rPr>
        <w:t>遵化市势竹矿业有限公司</w:t>
      </w:r>
      <w:r>
        <w:rPr>
          <w:rFonts w:hint="eastAsia" w:ascii="Times New Roman" w:hAnsi="Times New Roman" w:eastAsia="宋体" w:cs="Times New Roman"/>
          <w:spacing w:val="8"/>
          <w:sz w:val="23"/>
          <w:szCs w:val="23"/>
          <w:highlight w:val="none"/>
          <w:lang w:val="en-US" w:eastAsia="zh-CN"/>
        </w:rPr>
        <w:t>属于引领性企业，黄色预警期间：鼓励企业结合实际，自主采取减排措施；红色预警期间：停止矿石破碎等涉气工序作业。</w:t>
      </w:r>
    </w:p>
    <w:p>
      <w:pPr>
        <w:spacing w:before="75" w:line="228" w:lineRule="auto"/>
        <w:ind w:left="27"/>
        <w:outlineLvl w:val="2"/>
        <w:rPr>
          <w:rFonts w:hint="eastAsia" w:ascii="宋体" w:hAnsi="宋体" w:eastAsia="宋体" w:cs="宋体"/>
          <w:spacing w:val="7"/>
          <w:sz w:val="23"/>
          <w:szCs w:val="23"/>
          <w:highlight w:val="none"/>
          <w:lang w:val="en-US" w:eastAsia="zh-CN"/>
          <w14:textOutline w14:w="4358" w14:cap="sq" w14:cmpd="sng">
            <w14:solidFill>
              <w14:srgbClr w14:val="000000"/>
            </w14:solidFill>
            <w14:prstDash w14:val="solid"/>
            <w14:bevel/>
          </w14:textOutline>
        </w:rPr>
      </w:pPr>
      <w:r>
        <w:rPr>
          <w:rFonts w:hint="eastAsia" w:ascii="宋体" w:hAnsi="宋体" w:eastAsia="宋体" w:cs="宋体"/>
          <w:spacing w:val="7"/>
          <w:sz w:val="23"/>
          <w:szCs w:val="23"/>
          <w:highlight w:val="none"/>
          <w:lang w:val="en-US" w:eastAsia="zh-CN"/>
          <w14:textOutline w14:w="4358" w14:cap="sq" w14:cmpd="sng">
            <w14:solidFill>
              <w14:srgbClr w14:val="000000"/>
            </w14:solidFill>
            <w14:prstDash w14:val="solid"/>
            <w14:bevel/>
          </w14:textOutline>
        </w:rPr>
        <w:t>1.4.12 《关于“十四五”大宗固体废弃物综合利用的指导意见》（发改环资 [2021]381号）符合性分析</w:t>
      </w:r>
    </w:p>
    <w:p>
      <w:pPr>
        <w:pStyle w:val="6"/>
        <w:spacing w:line="480" w:lineRule="exact"/>
        <w:ind w:firstLine="480"/>
        <w:rPr>
          <w:rFonts w:hint="eastAsia"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pPr>
      <w:r>
        <w:rPr>
          <w:rFonts w:hint="eastAsia"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 xml:space="preserve">  表1.4-9  与《关于“十四五”大宗固体废弃物综合利用的指导意见》</w:t>
      </w:r>
    </w:p>
    <w:p>
      <w:pPr>
        <w:pStyle w:val="6"/>
        <w:spacing w:line="480" w:lineRule="exact"/>
        <w:ind w:firstLine="480"/>
        <w:rPr>
          <w:rFonts w:hint="eastAsia"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pPr>
      <w:r>
        <w:rPr>
          <w:rFonts w:hint="eastAsia" w:ascii="宋体" w:hAnsi="宋体" w:eastAsia="宋体" w:cs="宋体"/>
          <w:snapToGrid w:val="0"/>
          <w:color w:val="000000"/>
          <w:spacing w:val="6"/>
          <w:kern w:val="0"/>
          <w:sz w:val="23"/>
          <w:szCs w:val="23"/>
          <w:highlight w:val="none"/>
          <w:lang w:val="en-US" w:eastAsia="zh-CN"/>
          <w14:textOutline w14:w="4358" w14:cap="sq" w14:cmpd="sng">
            <w14:solidFill>
              <w14:srgbClr w14:val="000000"/>
            </w14:solidFill>
            <w14:prstDash w14:val="solid"/>
            <w14:bevel/>
          </w14:textOutline>
        </w:rPr>
        <w:t>（发改环资 [2021]381号）符合性分析</w:t>
      </w:r>
    </w:p>
    <w:tbl>
      <w:tblPr>
        <w:tblStyle w:val="15"/>
        <w:tblW w:w="4998"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996"/>
        <w:gridCol w:w="3790"/>
        <w:gridCol w:w="81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blHeader/>
          <w:jc w:val="center"/>
        </w:trPr>
        <w:tc>
          <w:tcPr>
            <w:tcW w:w="23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210" w:firstLineChars="100"/>
              <w:rPr>
                <w:sz w:val="21"/>
                <w:szCs w:val="21"/>
                <w:highlight w:val="none"/>
                <w:lang w:val="zh-CN"/>
              </w:rPr>
            </w:pPr>
            <w:r>
              <w:rPr>
                <w:rFonts w:hint="eastAsia"/>
                <w:sz w:val="21"/>
                <w:szCs w:val="21"/>
                <w:highlight w:val="none"/>
                <w:lang w:val="zh-CN" w:eastAsia="zh-CN"/>
              </w:rPr>
              <w:t xml:space="preserve">发改环资 </w:t>
            </w:r>
            <w:r>
              <w:rPr>
                <w:rFonts w:hint="eastAsia"/>
                <w:sz w:val="21"/>
                <w:szCs w:val="21"/>
                <w:highlight w:val="none"/>
                <w:lang w:val="en-US" w:eastAsia="zh-CN"/>
              </w:rPr>
              <w:t>[</w:t>
            </w:r>
            <w:r>
              <w:rPr>
                <w:rFonts w:hint="eastAsia"/>
                <w:sz w:val="21"/>
                <w:szCs w:val="21"/>
                <w:highlight w:val="none"/>
                <w:lang w:val="zh-CN" w:eastAsia="zh-CN"/>
              </w:rPr>
              <w:t>2021</w:t>
            </w:r>
            <w:r>
              <w:rPr>
                <w:rFonts w:hint="eastAsia"/>
                <w:sz w:val="21"/>
                <w:szCs w:val="21"/>
                <w:highlight w:val="none"/>
                <w:lang w:val="en-US" w:eastAsia="zh-CN"/>
              </w:rPr>
              <w:t>]</w:t>
            </w:r>
            <w:r>
              <w:rPr>
                <w:rFonts w:hint="eastAsia"/>
                <w:sz w:val="21"/>
                <w:szCs w:val="21"/>
                <w:highlight w:val="none"/>
                <w:lang w:val="zh-CN" w:eastAsia="zh-CN"/>
              </w:rPr>
              <w:t>381号</w:t>
            </w:r>
            <w:r>
              <w:rPr>
                <w:rFonts w:hint="eastAsia"/>
                <w:sz w:val="21"/>
                <w:szCs w:val="21"/>
                <w:highlight w:val="none"/>
                <w:lang w:val="zh-CN"/>
              </w:rPr>
              <w:t>相关要求</w:t>
            </w:r>
          </w:p>
        </w:tc>
        <w:tc>
          <w:tcPr>
            <w:tcW w:w="2202" w:type="pct"/>
            <w:tcBorders>
              <w:top w:val="single" w:color="auto" w:sz="4" w:space="0"/>
              <w:left w:val="single" w:color="auto" w:sz="4" w:space="0"/>
              <w:bottom w:val="single" w:color="auto" w:sz="4" w:space="0"/>
              <w:right w:val="single" w:color="auto" w:sz="4" w:space="0"/>
            </w:tcBorders>
            <w:vAlign w:val="center"/>
          </w:tcPr>
          <w:p>
            <w:pPr>
              <w:spacing w:line="240" w:lineRule="auto"/>
              <w:ind w:firstLine="1050" w:firstLineChars="500"/>
              <w:rPr>
                <w:sz w:val="21"/>
                <w:szCs w:val="21"/>
                <w:highlight w:val="none"/>
                <w:lang w:val="zh-CN"/>
              </w:rPr>
            </w:pPr>
            <w:r>
              <w:rPr>
                <w:rFonts w:hint="eastAsia"/>
                <w:sz w:val="21"/>
                <w:szCs w:val="21"/>
                <w:highlight w:val="none"/>
                <w:lang w:val="zh-CN"/>
              </w:rPr>
              <w:t>项目拟建情况</w:t>
            </w:r>
          </w:p>
        </w:tc>
        <w:tc>
          <w:tcPr>
            <w:tcW w:w="47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1"/>
                <w:szCs w:val="21"/>
                <w:highlight w:val="none"/>
                <w:lang w:val="zh-CN"/>
              </w:rPr>
            </w:pPr>
            <w:r>
              <w:rPr>
                <w:rFonts w:hint="eastAsia"/>
                <w:sz w:val="21"/>
                <w:szCs w:val="21"/>
                <w:highlight w:val="none"/>
                <w:lang w:val="zh-CN"/>
              </w:rPr>
              <w:t>符合性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blHeader/>
          <w:jc w:val="center"/>
        </w:trPr>
        <w:tc>
          <w:tcPr>
            <w:tcW w:w="23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both"/>
              <w:rPr>
                <w:rFonts w:hint="eastAsia"/>
                <w:sz w:val="21"/>
                <w:szCs w:val="21"/>
                <w:highlight w:val="none"/>
                <w:lang w:val="zh-CN"/>
              </w:rPr>
            </w:pPr>
            <w:r>
              <w:rPr>
                <w:rFonts w:hint="eastAsia"/>
                <w:sz w:val="21"/>
                <w:szCs w:val="21"/>
                <w:highlight w:val="none"/>
                <w:lang w:val="zh-CN"/>
              </w:rPr>
              <w:t>到2025年，</w:t>
            </w:r>
            <w:r>
              <w:rPr>
                <w:rFonts w:hint="eastAsia"/>
                <w:sz w:val="21"/>
                <w:szCs w:val="21"/>
                <w:highlight w:val="none"/>
                <w:lang w:val="en-US" w:eastAsia="zh-CN"/>
              </w:rPr>
              <w:t>煤矸</w:t>
            </w:r>
            <w:r>
              <w:rPr>
                <w:rFonts w:hint="eastAsia"/>
                <w:sz w:val="21"/>
                <w:szCs w:val="21"/>
                <w:highlight w:val="none"/>
                <w:lang w:val="zh-CN"/>
              </w:rPr>
              <w:t>石、粉煤灰、尾矿、治炼渣、工业副产石膏、建筑垃圾、农作物秸秆等大宗固废的综合利用能力显著提升，利用规模不断扩大，新增大宗固废综合利用率达到60%，存量大宗固废有序减少。大宗固废综合利用水平不断提高，综合利用产业体系不断完善；关键瓶颂技术取得突破，大宗固废综合利用技术创新体系逐步建立；政策法规、标准和统计体系逐步健全，大宗固废综合利用制度基本完善；产业间融合共生、区域间协同发展模式不断创新；集约高效的产业基地和骨干企业示范引领作用显善增强，大宗周废综合利用产业高质量发展新格局基本形成。</w:t>
            </w:r>
          </w:p>
        </w:tc>
        <w:tc>
          <w:tcPr>
            <w:tcW w:w="220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eastAsia="宋体"/>
                <w:sz w:val="21"/>
                <w:szCs w:val="21"/>
                <w:highlight w:val="none"/>
                <w:lang w:val="en-US" w:eastAsia="zh-CN"/>
              </w:rPr>
            </w:pPr>
            <w:r>
              <w:rPr>
                <w:rFonts w:hint="eastAsia"/>
                <w:sz w:val="21"/>
                <w:szCs w:val="21"/>
                <w:highlight w:val="none"/>
                <w:lang w:val="en-US" w:eastAsia="zh-CN"/>
              </w:rPr>
              <w:t>本项目采用尾矿干排工艺，尾矿利用率达到100%。</w:t>
            </w:r>
          </w:p>
        </w:tc>
        <w:tc>
          <w:tcPr>
            <w:tcW w:w="47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1"/>
                <w:szCs w:val="21"/>
                <w:highlight w:val="none"/>
                <w:lang w:val="zh-CN"/>
              </w:rPr>
            </w:pPr>
            <w:r>
              <w:rPr>
                <w:rFonts w:hint="eastAsia"/>
                <w:sz w:val="21"/>
                <w:szCs w:val="21"/>
                <w:highlight w:val="none"/>
                <w:lang w:val="zh-CN"/>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blHeader/>
          <w:jc w:val="center"/>
        </w:trPr>
        <w:tc>
          <w:tcPr>
            <w:tcW w:w="23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both"/>
              <w:rPr>
                <w:rFonts w:hint="eastAsia"/>
                <w:sz w:val="21"/>
                <w:szCs w:val="21"/>
                <w:highlight w:val="none"/>
                <w:lang w:val="zh-CN"/>
              </w:rPr>
            </w:pPr>
            <w:r>
              <w:rPr>
                <w:rFonts w:hint="eastAsia"/>
                <w:sz w:val="21"/>
                <w:szCs w:val="21"/>
                <w:highlight w:val="none"/>
                <w:lang w:val="zh-CN"/>
              </w:rPr>
              <w:t>稳步推进金属尾矿有价组分高效提取及整体利用，推动采矿废石制备砂石骨料、陶粒、干混砂浆等砂源替代材料和胶凝回填利用，探索尾矿在生态环境治理领域的利用。加快推进黑色金属、有色金属、稀贵金属等共伴生矿产资源综合开发利用和有价组分梯级回收，推动有价金属提取后剩余废渣的规模化利用。依法依规推动已闭库尾矿库生态修复，未经批准不得擅自回吃</w:t>
            </w:r>
            <w:r>
              <w:rPr>
                <w:rFonts w:hint="eastAsia"/>
                <w:sz w:val="21"/>
                <w:szCs w:val="21"/>
                <w:highlight w:val="none"/>
                <w:lang w:val="en-US" w:eastAsia="zh-CN"/>
              </w:rPr>
              <w:t>尾</w:t>
            </w:r>
            <w:r>
              <w:rPr>
                <w:rFonts w:hint="eastAsia"/>
                <w:sz w:val="21"/>
                <w:szCs w:val="21"/>
                <w:highlight w:val="none"/>
                <w:lang w:val="zh-CN"/>
              </w:rPr>
              <w:t>矿。</w:t>
            </w:r>
          </w:p>
        </w:tc>
        <w:tc>
          <w:tcPr>
            <w:tcW w:w="220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default" w:eastAsia="宋体"/>
                <w:sz w:val="21"/>
                <w:szCs w:val="21"/>
                <w:highlight w:val="none"/>
                <w:lang w:val="en-US" w:eastAsia="zh-CN"/>
              </w:rPr>
            </w:pPr>
            <w:r>
              <w:rPr>
                <w:rFonts w:hint="eastAsia"/>
                <w:sz w:val="21"/>
                <w:szCs w:val="21"/>
                <w:highlight w:val="none"/>
                <w:lang w:val="en-US" w:eastAsia="zh-CN"/>
              </w:rPr>
              <w:t>公司生产工艺过程利用废石制备</w:t>
            </w:r>
            <w:r>
              <w:rPr>
                <w:rFonts w:hint="eastAsia"/>
                <w:sz w:val="21"/>
                <w:szCs w:val="21"/>
                <w:highlight w:val="none"/>
                <w:lang w:val="zh-CN"/>
              </w:rPr>
              <w:t>砂石骨料，</w:t>
            </w:r>
            <w:r>
              <w:rPr>
                <w:rFonts w:hint="eastAsia"/>
                <w:sz w:val="21"/>
                <w:szCs w:val="21"/>
                <w:highlight w:val="none"/>
                <w:lang w:val="en-US" w:eastAsia="zh-CN"/>
              </w:rPr>
              <w:t>有效减少尾矿产生量，尾矿全部综合利用。</w:t>
            </w:r>
          </w:p>
        </w:tc>
        <w:tc>
          <w:tcPr>
            <w:tcW w:w="47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1"/>
                <w:szCs w:val="21"/>
                <w:highlight w:val="none"/>
                <w:lang w:val="zh-CN"/>
              </w:rPr>
            </w:pPr>
            <w:r>
              <w:rPr>
                <w:rFonts w:hint="eastAsia"/>
                <w:sz w:val="21"/>
                <w:szCs w:val="21"/>
                <w:highlight w:val="none"/>
                <w:lang w:val="zh-CN"/>
              </w:rPr>
              <w:t>符合</w:t>
            </w:r>
          </w:p>
        </w:tc>
      </w:tr>
    </w:tbl>
    <w:p>
      <w:pPr>
        <w:pStyle w:val="14"/>
        <w:rPr>
          <w:rFonts w:hint="eastAsia"/>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120" w:line="221" w:lineRule="auto"/>
        <w:ind w:left="28"/>
        <w:textAlignment w:val="baseline"/>
        <w:outlineLvl w:val="1"/>
        <w:rPr>
          <w:rFonts w:hint="default" w:ascii="Times New Roman" w:hAnsi="Times New Roman" w:eastAsia="宋体" w:cs="Times New Roman"/>
          <w:sz w:val="28"/>
          <w:szCs w:val="28"/>
          <w:highlight w:val="none"/>
          <w:lang w:val="en-US" w:eastAsia="zh-CN"/>
        </w:rPr>
      </w:pPr>
      <w:r>
        <w:rPr>
          <w:rFonts w:hint="default" w:ascii="Times New Roman" w:hAnsi="Times New Roman" w:eastAsia="Times New Roman" w:cs="Times New Roman"/>
          <w:b/>
          <w:bCs/>
          <w:spacing w:val="-1"/>
          <w:sz w:val="28"/>
          <w:szCs w:val="28"/>
          <w:highlight w:val="none"/>
        </w:rPr>
        <w:t>1.</w:t>
      </w:r>
      <w:r>
        <w:rPr>
          <w:rFonts w:hint="eastAsia" w:ascii="Times New Roman" w:hAnsi="Times New Roman" w:eastAsia="宋体" w:cs="Times New Roman"/>
          <w:b/>
          <w:bCs/>
          <w:sz w:val="28"/>
          <w:szCs w:val="28"/>
          <w:highlight w:val="none"/>
          <w:lang w:val="en-US" w:eastAsia="zh-CN"/>
        </w:rPr>
        <w:t>5</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关注的主要环境问题</w:t>
      </w:r>
      <w:r>
        <w:rPr>
          <w:rFonts w:hint="eastAsia" w:ascii="Times New Roman" w:hAnsi="Times New Roman" w:eastAsia="宋体" w:cs="Times New Roman"/>
          <w:sz w:val="28"/>
          <w:szCs w:val="28"/>
          <w:highlight w:val="none"/>
          <w:lang w:val="en-US" w:eastAsia="zh-CN"/>
          <w14:textOutline w14:w="5103" w14:cap="sq" w14:cmpd="sng">
            <w14:solidFill>
              <w14:srgbClr w14:val="000000"/>
            </w14:solidFill>
            <w14:prstDash w14:val="solid"/>
            <w14:bevel/>
          </w14:textOutline>
        </w:rPr>
        <w:t>及环境影响</w:t>
      </w:r>
      <w:bookmarkEnd w:id="42"/>
      <w:bookmarkEnd w:id="43"/>
      <w:bookmarkEnd w:id="44"/>
    </w:p>
    <w:p>
      <w:pPr>
        <w:keepNext w:val="0"/>
        <w:keepLines w:val="0"/>
        <w:pageBreakBefore w:val="0"/>
        <w:widowControl/>
        <w:kinsoku w:val="0"/>
        <w:wordWrap/>
        <w:overflowPunct/>
        <w:topLinePunct w:val="0"/>
        <w:autoSpaceDE w:val="0"/>
        <w:autoSpaceDN w:val="0"/>
        <w:bidi w:val="0"/>
        <w:adjustRightInd w:val="0"/>
        <w:snapToGrid w:val="0"/>
        <w:spacing w:before="0" w:beforeLines="50" w:line="228" w:lineRule="auto"/>
        <w:ind w:left="505"/>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根据</w:t>
      </w:r>
      <w:r>
        <w:rPr>
          <w:rFonts w:hint="default" w:ascii="Times New Roman" w:hAnsi="Times New Roman" w:eastAsia="宋体" w:cs="Times New Roman"/>
          <w:spacing w:val="7"/>
          <w:sz w:val="23"/>
          <w:szCs w:val="23"/>
          <w:highlight w:val="none"/>
        </w:rPr>
        <w:t>本</w:t>
      </w:r>
      <w:r>
        <w:rPr>
          <w:rFonts w:hint="default" w:ascii="Times New Roman" w:hAnsi="Times New Roman" w:eastAsia="宋体" w:cs="Times New Roman"/>
          <w:spacing w:val="6"/>
          <w:sz w:val="23"/>
          <w:szCs w:val="23"/>
          <w:highlight w:val="none"/>
        </w:rPr>
        <w:t>项目生产情况，本次环境影响评价主要关注的环境问题为：  (</w:t>
      </w:r>
      <w:r>
        <w:rPr>
          <w:rFonts w:hint="default" w:ascii="Times New Roman" w:hAnsi="Times New Roman" w:eastAsia="Times New Roman" w:cs="Times New Roman"/>
          <w:spacing w:val="6"/>
          <w:sz w:val="23"/>
          <w:szCs w:val="23"/>
          <w:highlight w:val="none"/>
        </w:rPr>
        <w:t>1</w:t>
      </w:r>
      <w:r>
        <w:rPr>
          <w:rFonts w:hint="default" w:ascii="Times New Roman" w:hAnsi="Times New Roman" w:eastAsia="宋体" w:cs="Times New Roman"/>
          <w:spacing w:val="6"/>
          <w:sz w:val="23"/>
          <w:szCs w:val="23"/>
          <w:highlight w:val="none"/>
        </w:rPr>
        <w:t>) 废</w:t>
      </w:r>
    </w:p>
    <w:p>
      <w:pPr>
        <w:spacing w:before="198" w:line="385" w:lineRule="auto"/>
        <w:ind w:left="23" w:hanging="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
          <w:sz w:val="23"/>
          <w:szCs w:val="23"/>
          <w:highlight w:val="none"/>
        </w:rPr>
        <w:t>气：颗粒物</w:t>
      </w:r>
      <w:r>
        <w:rPr>
          <w:rFonts w:hint="eastAsia" w:ascii="Times New Roman" w:hAnsi="Times New Roman" w:eastAsia="宋体" w:cs="Times New Roman"/>
          <w:spacing w:val="1"/>
          <w:sz w:val="23"/>
          <w:szCs w:val="23"/>
          <w:highlight w:val="none"/>
          <w:lang w:val="en-US" w:eastAsia="zh-CN"/>
        </w:rPr>
        <w:t>是否能够达标排放</w:t>
      </w:r>
      <w:r>
        <w:rPr>
          <w:rFonts w:hint="default" w:ascii="Times New Roman" w:hAnsi="Times New Roman" w:eastAsia="宋体" w:cs="Times New Roman"/>
          <w:spacing w:val="1"/>
          <w:sz w:val="23"/>
          <w:szCs w:val="23"/>
          <w:highlight w:val="none"/>
        </w:rPr>
        <w:t>；  (</w:t>
      </w:r>
      <w:r>
        <w:rPr>
          <w:rFonts w:hint="default" w:ascii="Times New Roman" w:hAnsi="Times New Roman" w:eastAsia="Times New Roman" w:cs="Times New Roman"/>
          <w:spacing w:val="1"/>
          <w:sz w:val="23"/>
          <w:szCs w:val="23"/>
          <w:highlight w:val="none"/>
        </w:rPr>
        <w:t>2</w:t>
      </w:r>
      <w:r>
        <w:rPr>
          <w:rFonts w:hint="default" w:ascii="Times New Roman" w:hAnsi="Times New Roman" w:eastAsia="宋体" w:cs="Times New Roman"/>
          <w:spacing w:val="1"/>
          <w:sz w:val="23"/>
          <w:szCs w:val="23"/>
          <w:highlight w:val="none"/>
        </w:rPr>
        <w:t>) 噪声：生产设备运</w:t>
      </w:r>
      <w:r>
        <w:rPr>
          <w:rFonts w:hint="default" w:ascii="Times New Roman" w:hAnsi="Times New Roman" w:eastAsia="宋体" w:cs="Times New Roman"/>
          <w:sz w:val="23"/>
          <w:szCs w:val="23"/>
          <w:highlight w:val="none"/>
        </w:rPr>
        <w:t>行过程中产生的噪声</w:t>
      </w:r>
      <w:r>
        <w:rPr>
          <w:rFonts w:hint="eastAsia" w:ascii="Times New Roman" w:hAnsi="Times New Roman" w:eastAsia="宋体" w:cs="Times New Roman"/>
          <w:sz w:val="23"/>
          <w:szCs w:val="23"/>
          <w:highlight w:val="none"/>
          <w:lang w:val="en-US" w:eastAsia="zh-CN"/>
        </w:rPr>
        <w:t>控制措施是否合理</w:t>
      </w:r>
      <w:r>
        <w:rPr>
          <w:rFonts w:hint="default" w:ascii="Times New Roman" w:hAnsi="Times New Roman" w:eastAsia="宋体" w:cs="Times New Roman"/>
          <w:sz w:val="23"/>
          <w:szCs w:val="23"/>
          <w:highlight w:val="none"/>
        </w:rPr>
        <w:t>；  (</w:t>
      </w:r>
      <w:r>
        <w:rPr>
          <w:rFonts w:hint="default" w:ascii="Times New Roman" w:hAnsi="Times New Roman" w:eastAsia="Times New Roman" w:cs="Times New Roman"/>
          <w:sz w:val="23"/>
          <w:szCs w:val="23"/>
          <w:highlight w:val="none"/>
        </w:rPr>
        <w:t>3</w:t>
      </w:r>
      <w:r>
        <w:rPr>
          <w:rFonts w:hint="default" w:ascii="Times New Roman" w:hAnsi="Times New Roman" w:eastAsia="宋体" w:cs="Times New Roman"/>
          <w:sz w:val="23"/>
          <w:szCs w:val="23"/>
          <w:highlight w:val="none"/>
        </w:rPr>
        <w:t>) 地下水：项目</w:t>
      </w:r>
      <w:r>
        <w:rPr>
          <w:rFonts w:hint="default" w:ascii="Times New Roman" w:hAnsi="Times New Roman" w:eastAsia="宋体" w:cs="Times New Roman"/>
          <w:spacing w:val="4"/>
          <w:sz w:val="23"/>
          <w:szCs w:val="23"/>
          <w:highlight w:val="none"/>
        </w:rPr>
        <w:t>建设</w:t>
      </w:r>
      <w:r>
        <w:rPr>
          <w:rFonts w:hint="eastAsia" w:ascii="Times New Roman" w:hAnsi="Times New Roman" w:eastAsia="宋体" w:cs="Times New Roman"/>
          <w:spacing w:val="4"/>
          <w:sz w:val="23"/>
          <w:szCs w:val="23"/>
          <w:highlight w:val="none"/>
          <w:lang w:val="en-US" w:eastAsia="zh-CN"/>
        </w:rPr>
        <w:t>运营</w:t>
      </w:r>
      <w:r>
        <w:rPr>
          <w:rFonts w:hint="default" w:ascii="Times New Roman" w:hAnsi="Times New Roman" w:eastAsia="宋体" w:cs="Times New Roman"/>
          <w:spacing w:val="4"/>
          <w:sz w:val="23"/>
          <w:szCs w:val="23"/>
          <w:highlight w:val="none"/>
        </w:rPr>
        <w:t>对区域地下水环境</w:t>
      </w:r>
      <w:r>
        <w:rPr>
          <w:rFonts w:hint="eastAsia" w:ascii="Times New Roman" w:hAnsi="Times New Roman" w:eastAsia="宋体" w:cs="Times New Roman"/>
          <w:spacing w:val="4"/>
          <w:sz w:val="23"/>
          <w:szCs w:val="23"/>
          <w:highlight w:val="none"/>
          <w:lang w:val="en-US" w:eastAsia="zh-CN"/>
        </w:rPr>
        <w:t>是否产生不利</w:t>
      </w:r>
      <w:r>
        <w:rPr>
          <w:rFonts w:hint="default" w:ascii="Times New Roman" w:hAnsi="Times New Roman" w:eastAsia="宋体" w:cs="Times New Roman"/>
          <w:spacing w:val="2"/>
          <w:sz w:val="23"/>
          <w:szCs w:val="23"/>
          <w:highlight w:val="none"/>
        </w:rPr>
        <w:t>影响。  (</w:t>
      </w:r>
      <w:r>
        <w:rPr>
          <w:rFonts w:hint="default" w:ascii="Times New Roman" w:hAnsi="Times New Roman" w:eastAsia="Times New Roman" w:cs="Times New Roman"/>
          <w:spacing w:val="2"/>
          <w:sz w:val="23"/>
          <w:szCs w:val="23"/>
          <w:highlight w:val="none"/>
        </w:rPr>
        <w:t>4</w:t>
      </w:r>
      <w:r>
        <w:rPr>
          <w:rFonts w:hint="default" w:ascii="Times New Roman" w:hAnsi="Times New Roman" w:eastAsia="宋体" w:cs="Times New Roman"/>
          <w:spacing w:val="2"/>
          <w:sz w:val="23"/>
          <w:szCs w:val="23"/>
          <w:highlight w:val="none"/>
        </w:rPr>
        <w:t xml:space="preserve">) </w:t>
      </w:r>
      <w:r>
        <w:rPr>
          <w:rFonts w:hint="eastAsia" w:ascii="Times New Roman" w:hAnsi="Times New Roman" w:eastAsia="宋体" w:cs="Times New Roman"/>
          <w:spacing w:val="2"/>
          <w:sz w:val="23"/>
          <w:szCs w:val="23"/>
          <w:highlight w:val="none"/>
          <w:lang w:val="en-US" w:eastAsia="zh-CN"/>
        </w:rPr>
        <w:t>固废</w:t>
      </w:r>
      <w:r>
        <w:rPr>
          <w:rFonts w:hint="default" w:ascii="Times New Roman" w:hAnsi="Times New Roman" w:eastAsia="宋体" w:cs="Times New Roman"/>
          <w:spacing w:val="2"/>
          <w:sz w:val="23"/>
          <w:szCs w:val="23"/>
          <w:highlight w:val="none"/>
        </w:rPr>
        <w:t>：</w:t>
      </w:r>
      <w:r>
        <w:rPr>
          <w:rFonts w:hint="eastAsia" w:ascii="Times New Roman" w:hAnsi="Times New Roman" w:eastAsia="宋体" w:cs="Times New Roman"/>
          <w:spacing w:val="2"/>
          <w:sz w:val="23"/>
          <w:szCs w:val="23"/>
          <w:highlight w:val="none"/>
          <w:lang w:val="en-US" w:eastAsia="zh-CN"/>
        </w:rPr>
        <w:t>尾矿砂、废钢球、废矿物油等是否能够得到妥善处置</w:t>
      </w:r>
      <w:r>
        <w:rPr>
          <w:rFonts w:hint="default" w:ascii="Times New Roman" w:hAnsi="Times New Roman" w:eastAsia="宋体" w:cs="Times New Roman"/>
          <w:spacing w:val="2"/>
          <w:sz w:val="23"/>
          <w:szCs w:val="23"/>
          <w:highlight w:val="none"/>
        </w:rPr>
        <w:t>。</w:t>
      </w:r>
    </w:p>
    <w:p>
      <w:pPr>
        <w:spacing w:line="393" w:lineRule="auto"/>
        <w:ind w:left="26" w:right="46"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项目产生的废气主要为原料及成品等物料堆存、转运过程中产生的颗粒物</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原</w:t>
      </w:r>
      <w:r>
        <w:rPr>
          <w:rFonts w:hint="default" w:ascii="Times New Roman" w:hAnsi="Times New Roman" w:eastAsia="宋体" w:cs="Times New Roman"/>
          <w:spacing w:val="7"/>
          <w:sz w:val="23"/>
          <w:szCs w:val="23"/>
          <w:highlight w:val="none"/>
        </w:rPr>
        <w:t>料破碎、筛分过程中产生的颗粒物，本项目有组织排放颗粒物采取离线清灰脉</w:t>
      </w:r>
      <w:r>
        <w:rPr>
          <w:rFonts w:hint="default" w:ascii="Times New Roman" w:hAnsi="Times New Roman" w:cs="Times New Roman"/>
          <w:highlight w:val="none"/>
        </w:rPr>
        <w:pict>
          <v:shape id="_x0000_s1043" o:spid="_x0000_s1043" style="position:absolute;left:0pt;margin-left:89.85pt;margin-top:60.75pt;height:0.75pt;width:415.65pt;mso-position-horizontal-relative:page;mso-position-vertical-relative:page;z-index:251666432;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10"/>
          <w:sz w:val="23"/>
          <w:szCs w:val="23"/>
          <w:highlight w:val="none"/>
        </w:rPr>
        <w:t xml:space="preserve">冲布袋除尘器处理后由 </w:t>
      </w:r>
      <w:r>
        <w:rPr>
          <w:rFonts w:hint="default" w:ascii="Times New Roman" w:hAnsi="Times New Roman" w:eastAsia="Times New Roman" w:cs="Times New Roman"/>
          <w:spacing w:val="10"/>
          <w:sz w:val="23"/>
          <w:szCs w:val="23"/>
          <w:highlight w:val="none"/>
        </w:rPr>
        <w:t>19</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0"/>
          <w:sz w:val="23"/>
          <w:szCs w:val="23"/>
          <w:highlight w:val="none"/>
        </w:rPr>
        <w:t xml:space="preserve"> </w:t>
      </w:r>
      <w:r>
        <w:rPr>
          <w:rFonts w:hint="default" w:ascii="Times New Roman" w:hAnsi="Times New Roman" w:eastAsia="宋体" w:cs="Times New Roman"/>
          <w:spacing w:val="10"/>
          <w:sz w:val="23"/>
          <w:szCs w:val="23"/>
          <w:highlight w:val="none"/>
        </w:rPr>
        <w:t>高排气筒达标排放，无组织排放颗粒物采取厂房</w:t>
      </w:r>
      <w:r>
        <w:rPr>
          <w:rFonts w:hint="default" w:ascii="Times New Roman" w:hAnsi="Times New Roman" w:eastAsia="宋体" w:cs="Times New Roman"/>
          <w:spacing w:val="7"/>
          <w:sz w:val="23"/>
          <w:szCs w:val="23"/>
          <w:highlight w:val="none"/>
        </w:rPr>
        <w:t>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闭</w:t>
      </w:r>
      <w:r>
        <w:rPr>
          <w:rFonts w:hint="default" w:ascii="Times New Roman" w:hAnsi="Times New Roman" w:eastAsia="宋体" w:cs="Times New Roman"/>
          <w:spacing w:val="7"/>
          <w:sz w:val="23"/>
          <w:szCs w:val="23"/>
          <w:highlight w:val="none"/>
        </w:rPr>
        <w:t>，喷雾抑尘等措施，厂界达标；本项目生产废水经处理后回用于生产，无生产废水外排；</w:t>
      </w:r>
      <w:r>
        <w:rPr>
          <w:rFonts w:hint="eastAsia" w:ascii="Times New Roman" w:hAnsi="Times New Roman" w:eastAsia="宋体" w:cs="Times New Roman"/>
          <w:spacing w:val="7"/>
          <w:sz w:val="23"/>
          <w:szCs w:val="23"/>
          <w:highlight w:val="none"/>
          <w:lang w:val="en-US" w:eastAsia="zh-CN"/>
        </w:rPr>
        <w:t>厂区</w:t>
      </w:r>
      <w:r>
        <w:rPr>
          <w:rFonts w:hint="default" w:ascii="Times New Roman" w:hAnsi="Times New Roman" w:eastAsia="宋体" w:cs="Times New Roman"/>
          <w:spacing w:val="7"/>
          <w:sz w:val="23"/>
          <w:szCs w:val="23"/>
          <w:highlight w:val="none"/>
        </w:rPr>
        <w:t>危废间、浓密</w:t>
      </w:r>
      <w:r>
        <w:rPr>
          <w:rFonts w:hint="default" w:ascii="Times New Roman" w:hAnsi="Times New Roman" w:eastAsia="宋体" w:cs="Times New Roman"/>
          <w:spacing w:val="14"/>
          <w:sz w:val="23"/>
          <w:szCs w:val="23"/>
          <w:highlight w:val="none"/>
        </w:rPr>
        <w:t>池</w:t>
      </w:r>
      <w:r>
        <w:rPr>
          <w:rFonts w:hint="default" w:ascii="Times New Roman" w:hAnsi="Times New Roman" w:eastAsia="宋体" w:cs="Times New Roman"/>
          <w:spacing w:val="7"/>
          <w:sz w:val="23"/>
          <w:szCs w:val="23"/>
          <w:highlight w:val="none"/>
        </w:rPr>
        <w:t>、清水池、事故池等均进行了防渗工程，正常状况下不会对地下水质量产生影</w:t>
      </w:r>
      <w:r>
        <w:rPr>
          <w:rFonts w:hint="default" w:ascii="Times New Roman" w:hAnsi="Times New Roman" w:eastAsia="宋体" w:cs="Times New Roman"/>
          <w:spacing w:val="14"/>
          <w:sz w:val="23"/>
          <w:szCs w:val="23"/>
          <w:highlight w:val="none"/>
        </w:rPr>
        <w:t>响</w:t>
      </w:r>
      <w:r>
        <w:rPr>
          <w:rFonts w:hint="default" w:ascii="Times New Roman" w:hAnsi="Times New Roman" w:eastAsia="宋体" w:cs="Times New Roman"/>
          <w:spacing w:val="7"/>
          <w:sz w:val="23"/>
          <w:szCs w:val="23"/>
          <w:highlight w:val="none"/>
        </w:rPr>
        <w:t>；项目的噪声污染源主要为破碎机、筛分机、风机</w:t>
      </w:r>
      <w:r>
        <w:rPr>
          <w:rFonts w:hint="eastAsia" w:ascii="Times New Roman" w:hAnsi="Times New Roman" w:eastAsia="宋体" w:cs="Times New Roman"/>
          <w:spacing w:val="7"/>
          <w:sz w:val="23"/>
          <w:szCs w:val="23"/>
          <w:highlight w:val="none"/>
          <w:lang w:eastAsia="zh-CN"/>
        </w:rPr>
        <w:t>、</w:t>
      </w:r>
      <w:r>
        <w:rPr>
          <w:rFonts w:hint="eastAsia" w:ascii="Times New Roman" w:hAnsi="Times New Roman" w:eastAsia="宋体" w:cs="Times New Roman"/>
          <w:spacing w:val="7"/>
          <w:sz w:val="23"/>
          <w:szCs w:val="23"/>
          <w:highlight w:val="none"/>
          <w:lang w:val="en-US" w:eastAsia="zh-CN"/>
        </w:rPr>
        <w:t>空压机</w:t>
      </w:r>
      <w:r>
        <w:rPr>
          <w:rFonts w:hint="default" w:ascii="Times New Roman" w:hAnsi="Times New Roman" w:eastAsia="宋体" w:cs="Times New Roman"/>
          <w:spacing w:val="7"/>
          <w:sz w:val="23"/>
          <w:szCs w:val="23"/>
          <w:highlight w:val="none"/>
        </w:rPr>
        <w:t>等产生的噪声，经</w:t>
      </w:r>
      <w:r>
        <w:rPr>
          <w:rFonts w:hint="default" w:ascii="Times New Roman" w:hAnsi="Times New Roman" w:eastAsia="宋体" w:cs="Times New Roman"/>
          <w:spacing w:val="14"/>
          <w:sz w:val="23"/>
          <w:szCs w:val="23"/>
          <w:highlight w:val="none"/>
        </w:rPr>
        <w:t>采</w:t>
      </w:r>
      <w:r>
        <w:rPr>
          <w:rFonts w:hint="default" w:ascii="Times New Roman" w:hAnsi="Times New Roman" w:eastAsia="宋体" w:cs="Times New Roman"/>
          <w:spacing w:val="7"/>
          <w:sz w:val="23"/>
          <w:szCs w:val="23"/>
          <w:highlight w:val="none"/>
        </w:rPr>
        <w:t>取隔声、减振等措施后，到达厂界外的噪声贡献值满足《工业企业厂界环境噪</w:t>
      </w:r>
      <w:r>
        <w:rPr>
          <w:rFonts w:hint="default" w:ascii="Times New Roman" w:hAnsi="Times New Roman" w:eastAsia="宋体" w:cs="Times New Roman"/>
          <w:spacing w:val="18"/>
          <w:sz w:val="23"/>
          <w:szCs w:val="23"/>
          <w:highlight w:val="none"/>
        </w:rPr>
        <w:t>声排放</w:t>
      </w:r>
      <w:r>
        <w:rPr>
          <w:rFonts w:hint="default" w:ascii="Times New Roman" w:hAnsi="Times New Roman" w:eastAsia="宋体" w:cs="Times New Roman"/>
          <w:spacing w:val="11"/>
          <w:sz w:val="23"/>
          <w:szCs w:val="23"/>
          <w:highlight w:val="none"/>
        </w:rPr>
        <w:t>标</w:t>
      </w:r>
      <w:r>
        <w:rPr>
          <w:rFonts w:hint="default" w:ascii="Times New Roman" w:hAnsi="Times New Roman" w:eastAsia="宋体" w:cs="Times New Roman"/>
          <w:spacing w:val="9"/>
          <w:sz w:val="23"/>
          <w:szCs w:val="23"/>
          <w:highlight w:val="none"/>
        </w:rPr>
        <w:t>准》</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GBl</w:t>
      </w:r>
      <w:r>
        <w:rPr>
          <w:rFonts w:hint="default" w:ascii="Times New Roman" w:hAnsi="Times New Roman" w:eastAsia="Times New Roman" w:cs="Times New Roman"/>
          <w:spacing w:val="9"/>
          <w:sz w:val="23"/>
          <w:szCs w:val="23"/>
          <w:highlight w:val="none"/>
        </w:rPr>
        <w:t xml:space="preserve">2348-2008)2 </w:t>
      </w:r>
      <w:r>
        <w:rPr>
          <w:rFonts w:hint="default" w:ascii="Times New Roman" w:hAnsi="Times New Roman" w:eastAsia="宋体" w:cs="Times New Roman"/>
          <w:spacing w:val="9"/>
          <w:sz w:val="23"/>
          <w:szCs w:val="23"/>
          <w:highlight w:val="none"/>
        </w:rPr>
        <w:t>类标准要求；本项目固体废弃物全部合理处置或</w:t>
      </w:r>
      <w:r>
        <w:rPr>
          <w:rFonts w:hint="default" w:ascii="Times New Roman" w:hAnsi="Times New Roman" w:eastAsia="宋体" w:cs="Times New Roman"/>
          <w:spacing w:val="14"/>
          <w:sz w:val="23"/>
          <w:szCs w:val="23"/>
          <w:highlight w:val="none"/>
        </w:rPr>
        <w:t>综</w:t>
      </w:r>
      <w:r>
        <w:rPr>
          <w:rFonts w:hint="default" w:ascii="Times New Roman" w:hAnsi="Times New Roman" w:eastAsia="宋体" w:cs="Times New Roman"/>
          <w:spacing w:val="7"/>
          <w:sz w:val="23"/>
          <w:szCs w:val="23"/>
          <w:highlight w:val="none"/>
        </w:rPr>
        <w:t>合利用，不外排</w:t>
      </w:r>
      <w:r>
        <w:rPr>
          <w:rFonts w:hint="eastAsia" w:ascii="Times New Roman" w:hAnsi="Times New Roman" w:eastAsia="宋体" w:cs="Times New Roman"/>
          <w:spacing w:val="7"/>
          <w:sz w:val="23"/>
          <w:szCs w:val="23"/>
          <w:highlight w:val="none"/>
          <w:lang w:eastAsia="zh-CN"/>
        </w:rPr>
        <w:t>，</w:t>
      </w:r>
      <w:r>
        <w:rPr>
          <w:rFonts w:hint="default" w:ascii="Times New Roman" w:hAnsi="Times New Roman" w:eastAsia="宋体" w:cs="Times New Roman"/>
          <w:spacing w:val="7"/>
          <w:sz w:val="23"/>
          <w:szCs w:val="23"/>
          <w:highlight w:val="none"/>
        </w:rPr>
        <w:t>故项目的建设不会对周围</w:t>
      </w:r>
      <w:r>
        <w:rPr>
          <w:rFonts w:hint="default" w:ascii="Times New Roman" w:hAnsi="Times New Roman" w:eastAsia="宋体" w:cs="Times New Roman"/>
          <w:spacing w:val="9"/>
          <w:sz w:val="23"/>
          <w:szCs w:val="23"/>
          <w:highlight w:val="none"/>
        </w:rPr>
        <w:t>环</w:t>
      </w:r>
      <w:r>
        <w:rPr>
          <w:rFonts w:hint="default" w:ascii="Times New Roman" w:hAnsi="Times New Roman" w:eastAsia="宋体" w:cs="Times New Roman"/>
          <w:spacing w:val="7"/>
          <w:sz w:val="23"/>
          <w:szCs w:val="23"/>
          <w:highlight w:val="none"/>
        </w:rPr>
        <w:t>境造成影响。</w:t>
      </w:r>
    </w:p>
    <w:p>
      <w:pPr>
        <w:spacing w:before="89" w:line="219" w:lineRule="auto"/>
        <w:ind w:left="30"/>
        <w:outlineLvl w:val="1"/>
        <w:rPr>
          <w:rFonts w:hint="default" w:ascii="Times New Roman" w:hAnsi="Times New Roman" w:eastAsia="宋体" w:cs="Times New Roman"/>
          <w:sz w:val="28"/>
          <w:szCs w:val="28"/>
          <w:highlight w:val="none"/>
        </w:rPr>
      </w:pPr>
      <w:bookmarkStart w:id="45" w:name="_Toc30261"/>
      <w:bookmarkStart w:id="46" w:name="_Toc6295"/>
      <w:bookmarkStart w:id="47" w:name="_Toc5238"/>
      <w:r>
        <w:rPr>
          <w:rFonts w:hint="default" w:ascii="Times New Roman" w:hAnsi="Times New Roman" w:eastAsia="Times New Roman" w:cs="Times New Roman"/>
          <w:b/>
          <w:bCs/>
          <w:spacing w:val="-2"/>
          <w:sz w:val="28"/>
          <w:szCs w:val="28"/>
          <w:highlight w:val="none"/>
        </w:rPr>
        <w:t>1.</w:t>
      </w:r>
      <w:r>
        <w:rPr>
          <w:rFonts w:hint="eastAsia" w:ascii="Times New Roman" w:hAnsi="Times New Roman" w:eastAsia="宋体" w:cs="Times New Roman"/>
          <w:b/>
          <w:bCs/>
          <w:spacing w:val="-2"/>
          <w:sz w:val="28"/>
          <w:szCs w:val="28"/>
          <w:highlight w:val="none"/>
          <w:lang w:val="en-US" w:eastAsia="zh-CN"/>
        </w:rPr>
        <w:t>6</w:t>
      </w:r>
      <w:r>
        <w:rPr>
          <w:rFonts w:hint="default" w:ascii="Times New Roman" w:hAnsi="Times New Roman" w:eastAsia="Times New Roman" w:cs="Times New Roman"/>
          <w:spacing w:val="-2"/>
          <w:sz w:val="28"/>
          <w:szCs w:val="28"/>
          <w:highlight w:val="none"/>
        </w:rPr>
        <w:t xml:space="preserve">  </w:t>
      </w:r>
      <w:r>
        <w:rPr>
          <w:rFonts w:hint="default" w:ascii="Times New Roman" w:hAnsi="Times New Roman" w:eastAsia="宋体" w:cs="Times New Roman"/>
          <w:spacing w:val="-2"/>
          <w:sz w:val="28"/>
          <w:szCs w:val="28"/>
          <w:highlight w:val="none"/>
          <w14:textOutline w14:w="5103" w14:cap="sq" w14:cmpd="sng">
            <w14:solidFill>
              <w14:srgbClr w14:val="000000"/>
            </w14:solidFill>
            <w14:prstDash w14:val="solid"/>
            <w14:bevel/>
          </w14:textOutline>
        </w:rPr>
        <w:t>评价</w:t>
      </w:r>
      <w:r>
        <w:rPr>
          <w:rFonts w:hint="default" w:ascii="Times New Roman" w:hAnsi="Times New Roman" w:eastAsia="宋体" w:cs="Times New Roman"/>
          <w:spacing w:val="-1"/>
          <w:sz w:val="28"/>
          <w:szCs w:val="28"/>
          <w:highlight w:val="none"/>
          <w14:textOutline w14:w="5103" w14:cap="sq" w14:cmpd="sng">
            <w14:solidFill>
              <w14:srgbClr w14:val="000000"/>
            </w14:solidFill>
            <w14:prstDash w14:val="solid"/>
            <w14:bevel/>
          </w14:textOutline>
        </w:rPr>
        <w:t>结论</w:t>
      </w:r>
      <w:bookmarkEnd w:id="45"/>
      <w:bookmarkEnd w:id="46"/>
      <w:bookmarkEnd w:id="47"/>
    </w:p>
    <w:p>
      <w:pPr>
        <w:spacing w:line="246" w:lineRule="auto"/>
        <w:rPr>
          <w:rFonts w:hint="default" w:ascii="Times New Roman" w:hAnsi="Times New Roman" w:cs="Times New Roman"/>
          <w:sz w:val="21"/>
          <w:highlight w:val="none"/>
        </w:rPr>
      </w:pPr>
    </w:p>
    <w:p>
      <w:pPr>
        <w:spacing w:before="75" w:line="401" w:lineRule="auto"/>
        <w:ind w:left="21" w:firstLine="48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经本次评价分析，生产工艺中主要污染源采用的防治措施可行，污染物达</w:t>
      </w:r>
      <w:r>
        <w:rPr>
          <w:rFonts w:hint="default" w:ascii="Times New Roman" w:hAnsi="Times New Roman" w:eastAsia="宋体" w:cs="Times New Roman"/>
          <w:spacing w:val="5"/>
          <w:sz w:val="23"/>
          <w:szCs w:val="23"/>
          <w:highlight w:val="none"/>
        </w:rPr>
        <w:t>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5"/>
          <w:sz w:val="23"/>
          <w:szCs w:val="23"/>
          <w:highlight w:val="none"/>
        </w:rPr>
        <w:t>排</w:t>
      </w:r>
      <w:r>
        <w:rPr>
          <w:rFonts w:hint="default" w:ascii="Times New Roman" w:hAnsi="Times New Roman" w:eastAsia="宋体" w:cs="Times New Roman"/>
          <w:spacing w:val="3"/>
          <w:sz w:val="23"/>
          <w:szCs w:val="23"/>
          <w:highlight w:val="none"/>
        </w:rPr>
        <w:t>放，对周围环境影响较小。只要切实落实工程环保实施方案，并</w:t>
      </w:r>
      <w:r>
        <w:rPr>
          <w:rFonts w:hint="eastAsia" w:ascii="Times New Roman" w:hAnsi="Times New Roman" w:eastAsia="宋体" w:cs="Times New Roman"/>
          <w:spacing w:val="3"/>
          <w:sz w:val="23"/>
          <w:szCs w:val="23"/>
          <w:highlight w:val="none"/>
          <w:lang w:val="en-US" w:eastAsia="zh-CN"/>
        </w:rPr>
        <w:t>妥善落实</w:t>
      </w:r>
      <w:r>
        <w:rPr>
          <w:rFonts w:hint="eastAsia" w:ascii="Times New Roman" w:hAnsi="Times New Roman" w:eastAsia="宋体" w:cs="Times New Roman"/>
          <w:spacing w:val="3"/>
          <w:sz w:val="23"/>
          <w:szCs w:val="23"/>
          <w:highlight w:val="none"/>
          <w:lang w:eastAsia="zh-CN"/>
        </w:rPr>
        <w:t>“</w:t>
      </w:r>
      <w:r>
        <w:rPr>
          <w:rFonts w:hint="default" w:ascii="Times New Roman" w:hAnsi="Times New Roman" w:eastAsia="宋体" w:cs="Times New Roman"/>
          <w:spacing w:val="3"/>
          <w:sz w:val="23"/>
          <w:szCs w:val="23"/>
          <w:highlight w:val="none"/>
        </w:rPr>
        <w:t>三同时</w:t>
      </w:r>
      <w:r>
        <w:rPr>
          <w:rFonts w:hint="eastAsia" w:ascii="Times New Roman" w:hAnsi="Times New Roman" w:eastAsia="宋体" w:cs="Times New Roman"/>
          <w:spacing w:val="3"/>
          <w:sz w:val="23"/>
          <w:szCs w:val="23"/>
          <w:highlight w:val="none"/>
          <w:lang w:eastAsia="zh-CN"/>
        </w:rPr>
        <w:t>”</w:t>
      </w:r>
      <w:r>
        <w:rPr>
          <w:rFonts w:hint="eastAsia" w:ascii="Times New Roman" w:hAnsi="Times New Roman" w:eastAsia="宋体" w:cs="Times New Roman"/>
          <w:spacing w:val="3"/>
          <w:sz w:val="23"/>
          <w:szCs w:val="23"/>
          <w:highlight w:val="none"/>
          <w:lang w:val="en-US" w:eastAsia="zh-CN"/>
        </w:rPr>
        <w:t>提出的各项污染防治措施</w:t>
      </w:r>
      <w:r>
        <w:rPr>
          <w:rFonts w:hint="default" w:ascii="Times New Roman" w:hAnsi="Times New Roman" w:eastAsia="宋体" w:cs="Times New Roman"/>
          <w:spacing w:val="3"/>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同</w:t>
      </w:r>
      <w:r>
        <w:rPr>
          <w:rFonts w:hint="default" w:ascii="Times New Roman" w:hAnsi="Times New Roman" w:eastAsia="宋体" w:cs="Times New Roman"/>
          <w:spacing w:val="9"/>
          <w:sz w:val="23"/>
          <w:szCs w:val="23"/>
          <w:highlight w:val="none"/>
        </w:rPr>
        <w:t>时加强环境管理，从环境保护角度考虑，该项目建设可行。</w:t>
      </w:r>
    </w:p>
    <w:p>
      <w:pPr>
        <w:rPr>
          <w:rFonts w:hint="default" w:ascii="Times New Roman" w:hAnsi="Times New Roman" w:cs="Times New Roman"/>
          <w:highlight w:val="none"/>
        </w:rPr>
        <w:sectPr>
          <w:headerReference r:id="rId13" w:type="default"/>
          <w:footerReference r:id="rId14" w:type="default"/>
          <w:pgSz w:w="11906" w:h="16839"/>
          <w:pgMar w:top="1200" w:right="1731" w:bottom="1310" w:left="1785" w:header="882" w:footer="1027" w:gutter="0"/>
          <w:pgBorders>
            <w:top w:val="none" w:sz="0" w:space="0"/>
            <w:left w:val="none" w:sz="0" w:space="0"/>
            <w:bottom w:val="none" w:sz="0" w:space="0"/>
            <w:right w:val="none" w:sz="0" w:space="0"/>
          </w:pgBorders>
          <w:pgNumType w:fmt="decimal"/>
          <w:cols w:space="720" w:num="1"/>
        </w:sectPr>
      </w:pPr>
    </w:p>
    <w:p>
      <w:pPr>
        <w:spacing w:line="406"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044" o:spid="_x0000_s1044" style="position:absolute;left:0pt;margin-left:89.85pt;margin-top:60.75pt;height:0.75pt;width:415.65pt;mso-position-horizontal-relative:page;mso-position-vertical-relative:page;z-index:251667456;mso-width-relative:page;mso-height-relative:page;" fillcolor="#000000" filled="t" stroked="f" coordsize="8312,15" o:allowincell="f" path="m0,0l8312,0,8312,14,0,14,0,0xe">
            <v:path/>
            <v:fill on="t" focussize="0,0"/>
            <v:stroke on="f"/>
            <v:imagedata o:title=""/>
            <o:lock v:ext="edit"/>
          </v:shape>
        </w:pict>
      </w:r>
    </w:p>
    <w:p>
      <w:pPr>
        <w:spacing w:before="94" w:line="231" w:lineRule="auto"/>
        <w:ind w:left="18"/>
        <w:outlineLvl w:val="0"/>
        <w:rPr>
          <w:rFonts w:hint="default" w:ascii="Times New Roman" w:hAnsi="Times New Roman" w:eastAsia="黑体" w:cs="Times New Roman"/>
          <w:sz w:val="29"/>
          <w:szCs w:val="29"/>
          <w:highlight w:val="none"/>
        </w:rPr>
      </w:pPr>
      <w:bookmarkStart w:id="48" w:name="_Toc10730"/>
      <w:bookmarkStart w:id="49" w:name="_Toc16781"/>
      <w:bookmarkStart w:id="50" w:name="_Toc3605"/>
      <w:r>
        <w:rPr>
          <w:rFonts w:hint="default" w:ascii="Times New Roman" w:hAnsi="Times New Roman" w:eastAsia="Times New Roman" w:cs="Times New Roman"/>
          <w:b/>
          <w:bCs/>
          <w:spacing w:val="6"/>
          <w:sz w:val="29"/>
          <w:szCs w:val="29"/>
          <w:highlight w:val="none"/>
        </w:rPr>
        <w:t>2</w:t>
      </w:r>
      <w:r>
        <w:rPr>
          <w:rFonts w:hint="default" w:ascii="Times New Roman" w:hAnsi="Times New Roman" w:eastAsia="Times New Roman" w:cs="Times New Roman"/>
          <w:spacing w:val="4"/>
          <w:sz w:val="29"/>
          <w:szCs w:val="29"/>
          <w:highlight w:val="none"/>
        </w:rPr>
        <w:t xml:space="preserve">  </w:t>
      </w:r>
      <w:r>
        <w:rPr>
          <w:rFonts w:hint="default" w:ascii="Times New Roman" w:hAnsi="Times New Roman" w:eastAsia="黑体" w:cs="Times New Roman"/>
          <w:spacing w:val="4"/>
          <w:sz w:val="29"/>
          <w:szCs w:val="29"/>
          <w:highlight w:val="none"/>
          <w14:textOutline w14:w="5448" w14:cap="sq" w14:cmpd="sng">
            <w14:solidFill>
              <w14:srgbClr w14:val="000000"/>
            </w14:solidFill>
            <w14:prstDash w14:val="solid"/>
            <w14:bevel/>
          </w14:textOutline>
        </w:rPr>
        <w:t>总则</w:t>
      </w:r>
      <w:bookmarkEnd w:id="48"/>
      <w:bookmarkEnd w:id="49"/>
      <w:bookmarkEnd w:id="50"/>
    </w:p>
    <w:p>
      <w:pPr>
        <w:spacing w:before="272" w:line="220" w:lineRule="auto"/>
        <w:ind w:left="18"/>
        <w:outlineLvl w:val="1"/>
        <w:rPr>
          <w:rFonts w:hint="default" w:ascii="Times New Roman" w:hAnsi="Times New Roman" w:eastAsia="宋体" w:cs="Times New Roman"/>
          <w:sz w:val="28"/>
          <w:szCs w:val="28"/>
          <w:highlight w:val="none"/>
        </w:rPr>
      </w:pPr>
      <w:bookmarkStart w:id="51" w:name="_Toc31097"/>
      <w:bookmarkStart w:id="52" w:name="_Toc25624"/>
      <w:bookmarkStart w:id="53" w:name="_Toc25651"/>
      <w:r>
        <w:rPr>
          <w:rFonts w:hint="default" w:ascii="Times New Roman" w:hAnsi="Times New Roman" w:eastAsia="Times New Roman" w:cs="Times New Roman"/>
          <w:b/>
          <w:bCs/>
          <w:spacing w:val="-1"/>
          <w:sz w:val="28"/>
          <w:szCs w:val="28"/>
          <w:highlight w:val="none"/>
        </w:rPr>
        <w:t>2.1</w:t>
      </w:r>
      <w:r>
        <w:rPr>
          <w:rFonts w:hint="default" w:ascii="Times New Roman" w:hAnsi="Times New Roman" w:eastAsia="Times New Roman" w:cs="Times New Roman"/>
          <w:spacing w:val="-1"/>
          <w:sz w:val="28"/>
          <w:szCs w:val="28"/>
          <w:highlight w:val="none"/>
        </w:rPr>
        <w:t xml:space="preserve"> </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编制依据</w:t>
      </w:r>
      <w:bookmarkEnd w:id="51"/>
      <w:bookmarkEnd w:id="52"/>
      <w:bookmarkEnd w:id="53"/>
    </w:p>
    <w:p>
      <w:pPr>
        <w:spacing w:before="75" w:line="228" w:lineRule="auto"/>
        <w:ind w:left="17"/>
        <w:outlineLvl w:val="2"/>
        <w:rPr>
          <w:rFonts w:hint="default" w:ascii="Times New Roman" w:hAnsi="Times New Roman" w:eastAsia="宋体" w:cs="Times New Roman"/>
          <w:sz w:val="23"/>
          <w:szCs w:val="23"/>
          <w:highlight w:val="none"/>
        </w:rPr>
      </w:pPr>
      <w:bookmarkStart w:id="54" w:name="_Toc32753"/>
      <w:bookmarkStart w:id="55" w:name="_Toc3162"/>
      <w:bookmarkStart w:id="56" w:name="_Toc3302"/>
      <w:r>
        <w:rPr>
          <w:rFonts w:hint="default" w:ascii="Times New Roman" w:hAnsi="Times New Roman" w:eastAsia="Times New Roman" w:cs="Times New Roman"/>
          <w:b/>
          <w:bCs/>
          <w:spacing w:val="12"/>
          <w:sz w:val="23"/>
          <w:szCs w:val="23"/>
          <w:highlight w:val="none"/>
        </w:rPr>
        <w:t>2</w:t>
      </w:r>
      <w:r>
        <w:rPr>
          <w:rFonts w:hint="default" w:ascii="Times New Roman" w:hAnsi="Times New Roman" w:eastAsia="Times New Roman" w:cs="Times New Roman"/>
          <w:b/>
          <w:bCs/>
          <w:spacing w:val="6"/>
          <w:sz w:val="23"/>
          <w:szCs w:val="23"/>
          <w:highlight w:val="none"/>
        </w:rPr>
        <w:t>.1.1</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环境保护法律</w:t>
      </w:r>
      <w:bookmarkEnd w:id="54"/>
      <w:bookmarkEnd w:id="55"/>
      <w:bookmarkEnd w:id="56"/>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（1）《中华人民共和国环境保护法》，2015年1月1日施行；</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（2）《中华人民共和国环境影响评价法》，2018年12月29日施行；</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（3）《中华人民共和国大气污染防治法》，2018年10月修订；</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（4）《中华人民共和国水污染防治法》，2018年1月1日施行；</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（5）《中华人民共和国海洋环境保护法》，2016年11月7日修订；</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 xml:space="preserve">（6）《中华人民共和国环境噪声污染防治法》， </w:t>
      </w:r>
      <w:r>
        <w:rPr>
          <w:rFonts w:hint="default" w:ascii="Times New Roman" w:hAnsi="Times New Roman" w:eastAsia="宋体" w:cs="Times New Roman"/>
          <w:spacing w:val="2"/>
          <w:sz w:val="23"/>
          <w:szCs w:val="23"/>
          <w:highlight w:val="none"/>
        </w:rPr>
        <w:t xml:space="preserve"> 20</w:t>
      </w:r>
      <w:r>
        <w:rPr>
          <w:rFonts w:hint="eastAsia" w:ascii="Times New Roman" w:hAnsi="Times New Roman" w:eastAsia="宋体" w:cs="Times New Roman"/>
          <w:spacing w:val="2"/>
          <w:sz w:val="23"/>
          <w:szCs w:val="23"/>
          <w:highlight w:val="none"/>
          <w:lang w:val="en-US" w:eastAsia="zh-CN"/>
        </w:rPr>
        <w:t>22</w:t>
      </w:r>
      <w:r>
        <w:rPr>
          <w:rFonts w:hint="default" w:ascii="Times New Roman" w:hAnsi="Times New Roman" w:eastAsia="宋体" w:cs="Times New Roman"/>
          <w:spacing w:val="2"/>
          <w:sz w:val="23"/>
          <w:szCs w:val="23"/>
          <w:highlight w:val="none"/>
        </w:rPr>
        <w:t>年</w:t>
      </w:r>
      <w:r>
        <w:rPr>
          <w:rFonts w:hint="eastAsia" w:ascii="Times New Roman" w:hAnsi="Times New Roman" w:eastAsia="宋体" w:cs="Times New Roman"/>
          <w:spacing w:val="2"/>
          <w:sz w:val="23"/>
          <w:szCs w:val="23"/>
          <w:highlight w:val="none"/>
          <w:lang w:val="en-US" w:eastAsia="zh-CN"/>
        </w:rPr>
        <w:t>6</w:t>
      </w:r>
      <w:r>
        <w:rPr>
          <w:rFonts w:hint="default" w:ascii="Times New Roman" w:hAnsi="Times New Roman" w:eastAsia="宋体" w:cs="Times New Roman"/>
          <w:spacing w:val="2"/>
          <w:sz w:val="23"/>
          <w:szCs w:val="23"/>
          <w:highlight w:val="none"/>
        </w:rPr>
        <w:t>月</w:t>
      </w:r>
      <w:r>
        <w:rPr>
          <w:rFonts w:hint="eastAsia" w:ascii="Times New Roman" w:hAnsi="Times New Roman" w:eastAsia="宋体" w:cs="Times New Roman"/>
          <w:spacing w:val="2"/>
          <w:sz w:val="23"/>
          <w:szCs w:val="23"/>
          <w:highlight w:val="none"/>
          <w:lang w:val="en-US" w:eastAsia="zh-CN"/>
        </w:rPr>
        <w:t>5</w:t>
      </w:r>
      <w:r>
        <w:rPr>
          <w:rFonts w:hint="default" w:ascii="Times New Roman" w:hAnsi="Times New Roman" w:eastAsia="宋体" w:cs="Times New Roman"/>
          <w:spacing w:val="2"/>
          <w:sz w:val="23"/>
          <w:szCs w:val="23"/>
          <w:highlight w:val="none"/>
        </w:rPr>
        <w:t>日施行</w:t>
      </w:r>
      <w:r>
        <w:rPr>
          <w:rFonts w:hint="eastAsia" w:ascii="Times New Roman" w:hAnsi="Times New Roman" w:eastAsia="宋体" w:cs="Times New Roman"/>
          <w:spacing w:val="2"/>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（7）《中华人民共和国固体废物污染环境防治法》，2020年9月1日施行；</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（8）《中华人民共和国环境土壤污染防治法》，2019年1月1日施行；</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（9）《中华人民共和国环境保护税法》，2018年1月1日施行；</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（10）《中华人民共和国清洁生产促进法》，2018年10月26日修订；</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（11）《中华人民共和国循环经济促进法》，2009年1月1日施行；</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（12）《中华人民共和国节约能源法》，2016年7月2日修订；</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（13）《中华人民共和国土地管理法》，2020年01月01日；</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（14）《中华人民共和国水法》，2016年7月2日修订。</w:t>
      </w:r>
    </w:p>
    <w:p>
      <w:pPr>
        <w:spacing w:before="75" w:line="229" w:lineRule="auto"/>
        <w:ind w:left="17"/>
        <w:outlineLvl w:val="2"/>
        <w:rPr>
          <w:rFonts w:hint="default" w:ascii="Times New Roman" w:hAnsi="Times New Roman" w:eastAsia="宋体" w:cs="Times New Roman"/>
          <w:sz w:val="23"/>
          <w:szCs w:val="23"/>
          <w:highlight w:val="none"/>
        </w:rPr>
      </w:pPr>
      <w:bookmarkStart w:id="57" w:name="_Toc26177"/>
      <w:bookmarkStart w:id="58" w:name="_Toc31251"/>
      <w:bookmarkStart w:id="59" w:name="_Toc11884"/>
      <w:r>
        <w:rPr>
          <w:rFonts w:hint="default" w:ascii="Times New Roman" w:hAnsi="Times New Roman" w:eastAsia="Times New Roman" w:cs="Times New Roman"/>
          <w:b/>
          <w:bCs/>
          <w:spacing w:val="14"/>
          <w:sz w:val="23"/>
          <w:szCs w:val="23"/>
          <w:highlight w:val="none"/>
        </w:rPr>
        <w:t>2</w:t>
      </w:r>
      <w:r>
        <w:rPr>
          <w:rFonts w:hint="default" w:ascii="Times New Roman" w:hAnsi="Times New Roman" w:eastAsia="Times New Roman" w:cs="Times New Roman"/>
          <w:b/>
          <w:bCs/>
          <w:spacing w:val="12"/>
          <w:sz w:val="23"/>
          <w:szCs w:val="23"/>
          <w:highlight w:val="none"/>
        </w:rPr>
        <w:t>.</w:t>
      </w:r>
      <w:r>
        <w:rPr>
          <w:rFonts w:hint="default" w:ascii="Times New Roman" w:hAnsi="Times New Roman" w:eastAsia="Times New Roman" w:cs="Times New Roman"/>
          <w:b/>
          <w:bCs/>
          <w:spacing w:val="7"/>
          <w:sz w:val="23"/>
          <w:szCs w:val="23"/>
          <w:highlight w:val="none"/>
        </w:rPr>
        <w:t>1.2</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国家环境保护法规、规章</w:t>
      </w:r>
      <w:bookmarkEnd w:id="57"/>
      <w:bookmarkEnd w:id="58"/>
      <w:bookmarkEnd w:id="59"/>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（1）《建设项目环境保护管理条例》（国务院令第682号，2017年7月16日修订，2017年10月1日起实施）；</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（2）《国务院关于落实科学发展观加强环境保护的决定》(国发[2005]39号)；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（3）《国务院关于加强环境保护重点工作的意见》(国发[2011]35号)；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（4）</w:t>
      </w:r>
      <w:r>
        <w:rPr>
          <w:rFonts w:hint="default" w:ascii="Times New Roman" w:hAnsi="Times New Roman" w:eastAsia="宋体" w:cs="Times New Roman"/>
          <w:spacing w:val="2"/>
          <w:sz w:val="23"/>
          <w:szCs w:val="23"/>
          <w:highlight w:val="none"/>
        </w:rPr>
        <w:t>《“十</w:t>
      </w:r>
      <w:r>
        <w:rPr>
          <w:rFonts w:hint="eastAsia" w:ascii="Times New Roman" w:hAnsi="Times New Roman" w:eastAsia="宋体" w:cs="Times New Roman"/>
          <w:spacing w:val="2"/>
          <w:sz w:val="23"/>
          <w:szCs w:val="23"/>
          <w:highlight w:val="none"/>
          <w:lang w:val="en-US" w:eastAsia="zh-CN"/>
        </w:rPr>
        <w:t>四</w:t>
      </w:r>
      <w:r>
        <w:rPr>
          <w:rFonts w:hint="default" w:ascii="Times New Roman" w:hAnsi="Times New Roman" w:eastAsia="宋体" w:cs="Times New Roman"/>
          <w:spacing w:val="2"/>
          <w:sz w:val="23"/>
          <w:szCs w:val="23"/>
          <w:highlight w:val="none"/>
        </w:rPr>
        <w:t>五”生态保护</w:t>
      </w:r>
      <w:r>
        <w:rPr>
          <w:rFonts w:hint="eastAsia" w:ascii="Times New Roman" w:hAnsi="Times New Roman" w:eastAsia="宋体" w:cs="Times New Roman"/>
          <w:spacing w:val="2"/>
          <w:sz w:val="23"/>
          <w:szCs w:val="23"/>
          <w:highlight w:val="none"/>
          <w:lang w:val="en-US" w:eastAsia="zh-CN"/>
        </w:rPr>
        <w:t>监管</w:t>
      </w:r>
      <w:r>
        <w:rPr>
          <w:rFonts w:hint="default" w:ascii="Times New Roman" w:hAnsi="Times New Roman" w:eastAsia="宋体" w:cs="Times New Roman"/>
          <w:spacing w:val="2"/>
          <w:sz w:val="23"/>
          <w:szCs w:val="23"/>
          <w:highlight w:val="none"/>
        </w:rPr>
        <w:t>规划》</w:t>
      </w:r>
      <w:r>
        <w:rPr>
          <w:rFonts w:hint="eastAsia" w:ascii="Times New Roman" w:hAnsi="Times New Roman" w:eastAsia="宋体" w:cs="Times New Roman"/>
          <w:spacing w:val="2"/>
          <w:sz w:val="23"/>
          <w:szCs w:val="23"/>
          <w:highlight w:val="none"/>
          <w:lang w:eastAsia="zh-CN"/>
        </w:rPr>
        <w:t>（</w:t>
      </w:r>
      <w:r>
        <w:rPr>
          <w:rFonts w:hint="eastAsia" w:ascii="Times New Roman" w:hAnsi="Times New Roman" w:eastAsia="宋体" w:cs="Times New Roman"/>
          <w:spacing w:val="2"/>
          <w:sz w:val="23"/>
          <w:szCs w:val="23"/>
          <w:highlight w:val="none"/>
          <w:lang w:val="en-US" w:eastAsia="zh-CN"/>
        </w:rPr>
        <w:t>环生态</w:t>
      </w:r>
      <w:r>
        <w:rPr>
          <w:rFonts w:hint="default" w:ascii="Times New Roman" w:hAnsi="Times New Roman" w:eastAsia="宋体" w:cs="Times New Roman"/>
          <w:spacing w:val="2"/>
          <w:sz w:val="23"/>
          <w:szCs w:val="23"/>
          <w:highlight w:val="none"/>
        </w:rPr>
        <w:t>[20</w:t>
      </w:r>
      <w:r>
        <w:rPr>
          <w:rFonts w:hint="eastAsia" w:ascii="Times New Roman" w:hAnsi="Times New Roman" w:eastAsia="宋体" w:cs="Times New Roman"/>
          <w:spacing w:val="2"/>
          <w:sz w:val="23"/>
          <w:szCs w:val="23"/>
          <w:highlight w:val="none"/>
          <w:lang w:val="en-US" w:eastAsia="zh-CN"/>
        </w:rPr>
        <w:t>22</w:t>
      </w:r>
      <w:r>
        <w:rPr>
          <w:rFonts w:hint="default" w:ascii="Times New Roman" w:hAnsi="Times New Roman" w:eastAsia="宋体" w:cs="Times New Roman"/>
          <w:spacing w:val="2"/>
          <w:sz w:val="23"/>
          <w:szCs w:val="23"/>
          <w:highlight w:val="none"/>
        </w:rPr>
        <w:t>]</w:t>
      </w:r>
      <w:r>
        <w:rPr>
          <w:rFonts w:hint="eastAsia" w:ascii="Times New Roman" w:hAnsi="Times New Roman" w:eastAsia="宋体" w:cs="Times New Roman"/>
          <w:spacing w:val="2"/>
          <w:sz w:val="23"/>
          <w:szCs w:val="23"/>
          <w:highlight w:val="none"/>
          <w:lang w:val="en-US" w:eastAsia="zh-CN"/>
        </w:rPr>
        <w:t>1</w:t>
      </w:r>
      <w:r>
        <w:rPr>
          <w:rFonts w:hint="default" w:ascii="Times New Roman" w:hAnsi="Times New Roman" w:eastAsia="宋体" w:cs="Times New Roman"/>
          <w:spacing w:val="2"/>
          <w:sz w:val="23"/>
          <w:szCs w:val="23"/>
          <w:highlight w:val="none"/>
        </w:rPr>
        <w:t>5号</w:t>
      </w:r>
      <w:r>
        <w:rPr>
          <w:rFonts w:hint="eastAsia" w:ascii="Times New Roman" w:hAnsi="Times New Roman" w:eastAsia="宋体" w:cs="Times New Roman"/>
          <w:spacing w:val="2"/>
          <w:sz w:val="23"/>
          <w:szCs w:val="23"/>
          <w:highlight w:val="none"/>
          <w:lang w:eastAsia="zh-CN"/>
        </w:rPr>
        <w:t>）</w:t>
      </w:r>
      <w:r>
        <w:rPr>
          <w:rFonts w:hint="eastAsia" w:ascii="Times New Roman" w:hAnsi="Times New Roman" w:eastAsia="宋体" w:cs="Times New Roman"/>
          <w:spacing w:val="2"/>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（5）《国务院大气污染防治十条措施》（2013年6月14）；</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（6）《产业结构调整指导目录(2019年本)》(国家发展和改革委员会2019年29号)；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（7）《关于进一步加强环境保护信息公开工作的通知》(环境保护部办公厅文件环办[2012]134号)；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（8）《国务院关于印发大气污染防治行动计划的通知》(国发〔2013〕37号)；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（9）环境保护部、发展改革委等 6 部门联合印发《京津冀及周边地区落实大气污染防治行动计划实施细则》(2013 年 9 月 17 日)；</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（10）《关于印发&lt;建设项目环境影响评价政府信息公开指南（试行）&gt;的通知》环办[2013]103 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（11）《关于落实大气污染防治行动计划严格环境影响评价准入的通知》（环办 [2014]30 号）(2014 年3月25日)；</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（12）《建设项目主要污染物排放总量指标审核及管理暂行办法》(环境保护部 2014 年12月30日)；</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（13）《国务院关于印发水污染防治行动计划的通知》(国发〔2015〕17号2015年4月2日)；</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（14）《建设项目环境影响评价分类管理名录》（2021年版 部令第16号）；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（15）《国家危险废物名录》（部令第15号）(2021年01月01号实施)；</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（16）国务院关于印发土壤污染防治行动计划的通知《土壤污染防治行动计划》 (国发〔2016〕31号，2016年5月28日)；</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（17）</w:t>
      </w:r>
      <w:r>
        <w:rPr>
          <w:rFonts w:hint="default" w:ascii="Times New Roman" w:hAnsi="Times New Roman" w:eastAsia="宋体" w:cs="Times New Roman"/>
          <w:spacing w:val="2"/>
          <w:sz w:val="23"/>
          <w:szCs w:val="23"/>
          <w:highlight w:val="none"/>
        </w:rPr>
        <w:t>《</w:t>
      </w:r>
      <w:r>
        <w:rPr>
          <w:rFonts w:hint="eastAsia" w:ascii="Times New Roman" w:hAnsi="Times New Roman" w:eastAsia="宋体" w:cs="Times New Roman"/>
          <w:spacing w:val="2"/>
          <w:sz w:val="23"/>
          <w:szCs w:val="23"/>
          <w:highlight w:val="none"/>
          <w:lang w:val="en-US" w:eastAsia="zh-CN"/>
        </w:rPr>
        <w:t>十四</w:t>
      </w:r>
      <w:r>
        <w:rPr>
          <w:rFonts w:hint="default" w:ascii="Times New Roman" w:hAnsi="Times New Roman" w:eastAsia="宋体" w:cs="Times New Roman"/>
          <w:spacing w:val="2"/>
          <w:sz w:val="23"/>
          <w:szCs w:val="23"/>
          <w:highlight w:val="none"/>
        </w:rPr>
        <w:t>五</w:t>
      </w:r>
      <w:r>
        <w:rPr>
          <w:rFonts w:hint="eastAsia" w:ascii="Times New Roman" w:hAnsi="Times New Roman" w:eastAsia="宋体" w:cs="Times New Roman"/>
          <w:spacing w:val="2"/>
          <w:sz w:val="23"/>
          <w:szCs w:val="23"/>
          <w:highlight w:val="none"/>
          <w:lang w:val="en-US" w:eastAsia="zh-CN"/>
        </w:rPr>
        <w:t>生态环境保护</w:t>
      </w:r>
      <w:r>
        <w:rPr>
          <w:rFonts w:hint="default" w:ascii="Times New Roman" w:hAnsi="Times New Roman" w:eastAsia="宋体" w:cs="Times New Roman"/>
          <w:spacing w:val="2"/>
          <w:sz w:val="23"/>
          <w:szCs w:val="23"/>
          <w:highlight w:val="none"/>
        </w:rPr>
        <w:t>规划纲要》</w:t>
      </w:r>
      <w:r>
        <w:rPr>
          <w:rFonts w:hint="eastAsia" w:ascii="Times New Roman" w:hAnsi="Times New Roman" w:eastAsia="宋体" w:cs="Times New Roman"/>
          <w:spacing w:val="2"/>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（18）关于印发《“十三五”环境影响评价改革实施方案》的通知(环环评〔2016〕95号，2016年7月15日)；</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（19）《关于京津冀大气污染传输通道城市执行大气污染物特别排放限值的公告》（环境保护部公告，2018年第9号；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（20）《环境保护部办公厅关于加强和规范声环境功能区划分管理工作的通知》（环办大气函[2017]1709 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（21）《关于以改善环境质量为核心加强环境影响评价管理的通知》（环环评[2016]150号）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（22）《河北省</w:t>
      </w:r>
      <w:r>
        <w:rPr>
          <w:rFonts w:hint="eastAsia" w:ascii="Times New Roman" w:hAnsi="Times New Roman" w:eastAsia="宋体" w:cs="Times New Roman"/>
          <w:spacing w:val="2"/>
          <w:sz w:val="23"/>
          <w:szCs w:val="23"/>
          <w:highlight w:val="none"/>
          <w:lang w:eastAsia="zh-CN"/>
        </w:rPr>
        <w:t>生态</w:t>
      </w:r>
      <w:r>
        <w:rPr>
          <w:rFonts w:hint="eastAsia" w:ascii="Times New Roman" w:hAnsi="Times New Roman" w:eastAsia="宋体" w:cs="Times New Roman"/>
          <w:spacing w:val="2"/>
          <w:sz w:val="23"/>
          <w:szCs w:val="23"/>
          <w:highlight w:val="none"/>
        </w:rPr>
        <w:t>环境保护条例》（河北省人大常委会，20</w:t>
      </w:r>
      <w:r>
        <w:rPr>
          <w:rFonts w:hint="eastAsia" w:ascii="Times New Roman" w:hAnsi="Times New Roman" w:eastAsia="宋体" w:cs="Times New Roman"/>
          <w:spacing w:val="2"/>
          <w:sz w:val="23"/>
          <w:szCs w:val="23"/>
          <w:highlight w:val="none"/>
          <w:lang w:val="en-US" w:eastAsia="zh-CN"/>
        </w:rPr>
        <w:t>20-07-01实施</w:t>
      </w:r>
      <w:r>
        <w:rPr>
          <w:rFonts w:hint="eastAsia" w:ascii="Times New Roman" w:hAnsi="Times New Roman" w:eastAsia="宋体" w:cs="Times New Roman"/>
          <w:spacing w:val="2"/>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（23）《河北省大气污染防治条例》(20</w:t>
      </w:r>
      <w:r>
        <w:rPr>
          <w:rFonts w:hint="eastAsia" w:ascii="Times New Roman" w:hAnsi="Times New Roman" w:eastAsia="宋体" w:cs="Times New Roman"/>
          <w:spacing w:val="2"/>
          <w:sz w:val="23"/>
          <w:szCs w:val="23"/>
          <w:highlight w:val="none"/>
          <w:lang w:val="en-US" w:eastAsia="zh-CN"/>
        </w:rPr>
        <w:t>21</w:t>
      </w:r>
      <w:r>
        <w:rPr>
          <w:rFonts w:hint="eastAsia" w:ascii="Times New Roman" w:hAnsi="Times New Roman" w:eastAsia="宋体" w:cs="Times New Roman"/>
          <w:spacing w:val="2"/>
          <w:sz w:val="23"/>
          <w:szCs w:val="23"/>
          <w:highlight w:val="none"/>
        </w:rPr>
        <w:t>年</w:t>
      </w:r>
      <w:r>
        <w:rPr>
          <w:rFonts w:hint="eastAsia" w:ascii="Times New Roman" w:hAnsi="Times New Roman" w:eastAsia="宋体" w:cs="Times New Roman"/>
          <w:spacing w:val="2"/>
          <w:sz w:val="23"/>
          <w:szCs w:val="23"/>
          <w:highlight w:val="none"/>
          <w:lang w:val="en-US" w:eastAsia="zh-CN"/>
        </w:rPr>
        <w:t>9</w:t>
      </w:r>
      <w:r>
        <w:rPr>
          <w:rFonts w:hint="eastAsia" w:ascii="Times New Roman" w:hAnsi="Times New Roman" w:eastAsia="宋体" w:cs="Times New Roman"/>
          <w:spacing w:val="2"/>
          <w:sz w:val="23"/>
          <w:szCs w:val="23"/>
          <w:highlight w:val="none"/>
        </w:rPr>
        <w:t>月</w:t>
      </w:r>
      <w:r>
        <w:rPr>
          <w:rFonts w:hint="eastAsia" w:ascii="Times New Roman" w:hAnsi="Times New Roman" w:eastAsia="宋体" w:cs="Times New Roman"/>
          <w:spacing w:val="2"/>
          <w:sz w:val="23"/>
          <w:szCs w:val="23"/>
          <w:highlight w:val="none"/>
          <w:lang w:val="en-US" w:eastAsia="zh-CN"/>
        </w:rPr>
        <w:t>29</w:t>
      </w:r>
      <w:r>
        <w:rPr>
          <w:rFonts w:hint="eastAsia" w:ascii="Times New Roman" w:hAnsi="Times New Roman" w:eastAsia="宋体" w:cs="Times New Roman"/>
          <w:spacing w:val="2"/>
          <w:sz w:val="23"/>
          <w:szCs w:val="23"/>
          <w:highlight w:val="none"/>
        </w:rPr>
        <w:t>日起施行)；</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（24）《河北省水污染防治条例》（2018年5月31日修订，2018年9月1日起施行）；</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（25）《河北省环境敏感区支持、限制及禁止建设项目名录（2005年修订版）》（河北省环境保护局）；</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（26）</w:t>
      </w:r>
      <w:r>
        <w:rPr>
          <w:rFonts w:hint="eastAsia" w:ascii="Times New Roman" w:hAnsi="Times New Roman" w:eastAsia="宋体" w:cs="Times New Roman"/>
          <w:spacing w:val="2"/>
          <w:sz w:val="23"/>
          <w:szCs w:val="23"/>
          <w:highlight w:val="none"/>
          <w:lang w:eastAsia="zh-CN"/>
        </w:rPr>
        <w:t>《</w:t>
      </w:r>
      <w:r>
        <w:rPr>
          <w:rFonts w:hint="eastAsia" w:ascii="Times New Roman" w:hAnsi="Times New Roman" w:eastAsia="宋体" w:cs="Times New Roman"/>
          <w:spacing w:val="2"/>
          <w:sz w:val="23"/>
          <w:szCs w:val="23"/>
          <w:highlight w:val="none"/>
        </w:rPr>
        <w:t>矿产资源开发利用辐射环境监督管理名录</w:t>
      </w:r>
      <w:r>
        <w:rPr>
          <w:rFonts w:hint="eastAsia" w:ascii="Times New Roman" w:hAnsi="Times New Roman" w:eastAsia="宋体" w:cs="Times New Roman"/>
          <w:spacing w:val="2"/>
          <w:sz w:val="23"/>
          <w:szCs w:val="23"/>
          <w:highlight w:val="none"/>
          <w:lang w:eastAsia="zh-CN"/>
        </w:rPr>
        <w:t>》（</w:t>
      </w:r>
      <w:r>
        <w:rPr>
          <w:rFonts w:hint="eastAsia" w:ascii="Times New Roman" w:hAnsi="Times New Roman" w:eastAsia="宋体" w:cs="Times New Roman"/>
          <w:spacing w:val="2"/>
          <w:sz w:val="23"/>
          <w:szCs w:val="23"/>
          <w:highlight w:val="none"/>
          <w:lang w:val="en-US" w:eastAsia="zh-CN"/>
        </w:rPr>
        <w:t>2021年1月1日实施</w:t>
      </w:r>
      <w:r>
        <w:rPr>
          <w:rFonts w:hint="eastAsia" w:ascii="Times New Roman" w:hAnsi="Times New Roman" w:eastAsia="宋体" w:cs="Times New Roman"/>
          <w:spacing w:val="2"/>
          <w:sz w:val="23"/>
          <w:szCs w:val="23"/>
          <w:highlight w:val="none"/>
          <w:lang w:eastAsia="zh-CN"/>
        </w:rPr>
        <w:t>）</w:t>
      </w:r>
      <w:r>
        <w:rPr>
          <w:rFonts w:hint="eastAsia" w:ascii="Times New Roman" w:hAnsi="Times New Roman" w:eastAsia="宋体" w:cs="Times New Roman"/>
          <w:spacing w:val="2"/>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0"/>
          <w:sz w:val="23"/>
          <w:szCs w:val="23"/>
          <w:highlight w:val="none"/>
        </w:rPr>
      </w:pPr>
      <w:r>
        <w:rPr>
          <w:rFonts w:hint="eastAsia" w:ascii="Times New Roman" w:hAnsi="Times New Roman" w:eastAsia="宋体" w:cs="Times New Roman"/>
          <w:spacing w:val="0"/>
          <w:sz w:val="23"/>
          <w:szCs w:val="23"/>
          <w:highlight w:val="none"/>
        </w:rPr>
        <w:t>（27）《关于进一步加强环境影响评价技术审核工作的通知》(冀环办[2011]186号)；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（28）《关于我省建设项目环境现状监测执行《GB3095-2012 环境空气质量标准》的通知》(冀环办发〔2012〕225号)；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（29）中共河北省委河北省人民政府关于印发《河北省大气污染防治行动计划实施方案》的通知（2013年9月6日）；</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（30）</w:t>
      </w:r>
      <w:r>
        <w:rPr>
          <w:rFonts w:hint="default" w:ascii="Times New Roman" w:hAnsi="Times New Roman" w:eastAsia="宋体" w:cs="Times New Roman"/>
          <w:spacing w:val="2"/>
          <w:sz w:val="23"/>
          <w:szCs w:val="23"/>
          <w:highlight w:val="none"/>
        </w:rPr>
        <w:t>《</w:t>
      </w:r>
      <w:r>
        <w:rPr>
          <w:rFonts w:hint="eastAsia" w:ascii="Times New Roman" w:hAnsi="Times New Roman" w:eastAsia="宋体" w:cs="Times New Roman"/>
          <w:spacing w:val="2"/>
          <w:sz w:val="23"/>
          <w:szCs w:val="23"/>
          <w:highlight w:val="none"/>
          <w:lang w:val="en-US" w:eastAsia="zh-CN"/>
        </w:rPr>
        <w:t>河北省2023年建筑施工扬尘污染防治工作方案</w:t>
      </w:r>
      <w:r>
        <w:rPr>
          <w:rFonts w:hint="default" w:ascii="Times New Roman" w:hAnsi="Times New Roman" w:eastAsia="宋体" w:cs="Times New Roman"/>
          <w:spacing w:val="2"/>
          <w:sz w:val="23"/>
          <w:szCs w:val="23"/>
          <w:highlight w:val="none"/>
        </w:rPr>
        <w:t>》(</w:t>
      </w:r>
      <w:r>
        <w:rPr>
          <w:rFonts w:hint="eastAsia" w:ascii="Times New Roman" w:hAnsi="Times New Roman" w:eastAsia="宋体" w:cs="Times New Roman"/>
          <w:spacing w:val="2"/>
          <w:sz w:val="23"/>
          <w:szCs w:val="23"/>
          <w:highlight w:val="none"/>
          <w:lang w:val="en-US" w:eastAsia="zh-CN"/>
        </w:rPr>
        <w:t>冀建质安</w:t>
      </w:r>
      <w:r>
        <w:rPr>
          <w:rFonts w:hint="default" w:ascii="Times New Roman" w:hAnsi="Times New Roman" w:eastAsia="宋体" w:cs="Times New Roman"/>
          <w:spacing w:val="2"/>
          <w:sz w:val="23"/>
          <w:szCs w:val="23"/>
          <w:highlight w:val="none"/>
        </w:rPr>
        <w:t>函[20</w:t>
      </w:r>
      <w:r>
        <w:rPr>
          <w:rFonts w:hint="eastAsia" w:ascii="Times New Roman" w:hAnsi="Times New Roman" w:eastAsia="宋体" w:cs="Times New Roman"/>
          <w:spacing w:val="2"/>
          <w:sz w:val="23"/>
          <w:szCs w:val="23"/>
          <w:highlight w:val="none"/>
          <w:lang w:val="en-US" w:eastAsia="zh-CN"/>
        </w:rPr>
        <w:t>23</w:t>
      </w:r>
      <w:r>
        <w:rPr>
          <w:rFonts w:hint="default" w:ascii="Times New Roman" w:hAnsi="Times New Roman" w:eastAsia="宋体" w:cs="Times New Roman"/>
          <w:spacing w:val="2"/>
          <w:sz w:val="23"/>
          <w:szCs w:val="23"/>
          <w:highlight w:val="none"/>
        </w:rPr>
        <w:t>]</w:t>
      </w:r>
      <w:r>
        <w:rPr>
          <w:rFonts w:hint="eastAsia" w:ascii="Times New Roman" w:hAnsi="Times New Roman" w:eastAsia="宋体" w:cs="Times New Roman"/>
          <w:spacing w:val="2"/>
          <w:sz w:val="23"/>
          <w:szCs w:val="23"/>
          <w:highlight w:val="none"/>
          <w:lang w:val="en-US" w:eastAsia="zh-CN"/>
        </w:rPr>
        <w:t>105</w:t>
      </w:r>
      <w:r>
        <w:rPr>
          <w:rFonts w:hint="default" w:ascii="Times New Roman" w:hAnsi="Times New Roman" w:eastAsia="宋体" w:cs="Times New Roman"/>
          <w:spacing w:val="2"/>
          <w:sz w:val="23"/>
          <w:szCs w:val="23"/>
          <w:highlight w:val="none"/>
        </w:rPr>
        <w:t>号</w:t>
      </w:r>
      <w:r>
        <w:rPr>
          <w:rFonts w:hint="eastAsia" w:ascii="Times New Roman" w:hAnsi="Times New Roman" w:eastAsia="宋体" w:cs="Times New Roman"/>
          <w:spacing w:val="2"/>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（31）《关于河北省环境保护厅建设项目环评审批实施分类管理的通知》(冀环办[2014]63号)；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（32）《关于河北省环境保护厅建设项目环评审批实施分类管理的通知》(冀环办[2014]63号)；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（33）《河北省水污染防治工作方案》；</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（34）《河北省固体废物污染环境防治条例》</w:t>
      </w:r>
      <w:r>
        <w:rPr>
          <w:rFonts w:hint="default" w:ascii="Times New Roman" w:hAnsi="Times New Roman" w:cs="Times New Roman"/>
          <w:sz w:val="24"/>
          <w:szCs w:val="24"/>
          <w:highlight w:val="none"/>
        </w:rPr>
        <w:t>河北省第十</w:t>
      </w:r>
      <w:r>
        <w:rPr>
          <w:rFonts w:hint="eastAsia" w:ascii="Times New Roman" w:hAnsi="Times New Roman" w:cs="Times New Roman"/>
          <w:sz w:val="24"/>
          <w:szCs w:val="24"/>
          <w:highlight w:val="none"/>
          <w:lang w:val="en-US" w:eastAsia="zh-CN"/>
        </w:rPr>
        <w:t>三</w:t>
      </w:r>
      <w:r>
        <w:rPr>
          <w:rFonts w:hint="default" w:ascii="Times New Roman" w:hAnsi="Times New Roman" w:cs="Times New Roman"/>
          <w:sz w:val="24"/>
          <w:szCs w:val="24"/>
          <w:highlight w:val="none"/>
        </w:rPr>
        <w:t>届人民代表大会常务委员会公告(第</w:t>
      </w:r>
      <w:r>
        <w:rPr>
          <w:rFonts w:hint="eastAsia" w:ascii="Times New Roman" w:hAnsi="Times New Roman" w:cs="Times New Roman"/>
          <w:sz w:val="24"/>
          <w:szCs w:val="24"/>
          <w:highlight w:val="none"/>
          <w:lang w:val="en-US" w:eastAsia="zh-CN"/>
        </w:rPr>
        <w:t>129</w:t>
      </w:r>
      <w:r>
        <w:rPr>
          <w:rFonts w:hint="default" w:ascii="Times New Roman" w:hAnsi="Times New Roman" w:cs="Times New Roman"/>
          <w:sz w:val="24"/>
          <w:szCs w:val="24"/>
          <w:highlight w:val="none"/>
        </w:rPr>
        <w:t>号) (20</w:t>
      </w:r>
      <w:r>
        <w:rPr>
          <w:rFonts w:hint="eastAsia" w:ascii="Times New Roman" w:hAnsi="Times New Roman" w:cs="Times New Roman"/>
          <w:sz w:val="24"/>
          <w:szCs w:val="24"/>
          <w:highlight w:val="none"/>
          <w:lang w:val="en-US" w:eastAsia="zh-CN"/>
        </w:rPr>
        <w:t>22</w:t>
      </w:r>
      <w:r>
        <w:rPr>
          <w:rFonts w:hint="default"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9</w:t>
      </w:r>
      <w:r>
        <w:rPr>
          <w:rFonts w:hint="default"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8号</w:t>
      </w:r>
      <w:r>
        <w:rPr>
          <w:rFonts w:hint="eastAsia" w:ascii="Times New Roman" w:hAnsi="Times New Roman" w:eastAsia="宋体" w:cs="Times New Roman"/>
          <w:spacing w:val="2"/>
          <w:sz w:val="23"/>
          <w:szCs w:val="23"/>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（35）《河北省人民政府办公厅关于印发河北省新增限制和淘汰类产业目录（2015年版）的通知》(冀政办法〔2015〕7号)；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 xml:space="preserve">（36）《环境影响评价公众参与办法》（生态环境部部令第4号，2019年1月1日实施）；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（37）河北省人民政府冀政发〔2017〕3号《关于印发河北省“净土行动”土壤污染防治工作方案的通知》；</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（38）《中共河北省委办公厅河北省人民政府办公厅关于严格控制矿产资源开发加强生态环境保护的通知》（冀办传［2018］25号）；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w:t>
      </w:r>
      <w:r>
        <w:rPr>
          <w:rFonts w:hint="eastAsia" w:ascii="Times New Roman" w:hAnsi="Times New Roman" w:eastAsia="宋体" w:cs="Times New Roman"/>
          <w:spacing w:val="2"/>
          <w:sz w:val="23"/>
          <w:szCs w:val="23"/>
          <w:highlight w:val="none"/>
          <w:lang w:val="en-US" w:eastAsia="zh-CN"/>
        </w:rPr>
        <w:t>39</w:t>
      </w:r>
      <w:r>
        <w:rPr>
          <w:rFonts w:hint="eastAsia" w:ascii="Times New Roman" w:hAnsi="Times New Roman" w:eastAsia="宋体" w:cs="Times New Roman"/>
          <w:spacing w:val="2"/>
          <w:sz w:val="23"/>
          <w:szCs w:val="23"/>
          <w:highlight w:val="none"/>
        </w:rPr>
        <w:t xml:space="preserve">）《唐山市人民政府关于开展工业企业料场其他散料堆场混凝土搅拌站扬尘污染专项整治行动的通知》(唐政函[2014]98号)；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（4</w:t>
      </w:r>
      <w:r>
        <w:rPr>
          <w:rFonts w:hint="eastAsia" w:ascii="Times New Roman" w:hAnsi="Times New Roman" w:eastAsia="宋体" w:cs="Times New Roman"/>
          <w:spacing w:val="2"/>
          <w:sz w:val="23"/>
          <w:szCs w:val="23"/>
          <w:highlight w:val="none"/>
          <w:lang w:val="en-US" w:eastAsia="zh-CN"/>
        </w:rPr>
        <w:t>0</w:t>
      </w:r>
      <w:r>
        <w:rPr>
          <w:rFonts w:hint="eastAsia" w:ascii="Times New Roman" w:hAnsi="Times New Roman" w:eastAsia="宋体" w:cs="Times New Roman"/>
          <w:spacing w:val="2"/>
          <w:sz w:val="23"/>
          <w:szCs w:val="23"/>
          <w:highlight w:val="none"/>
        </w:rPr>
        <w:t>）关于进一步加强建设项目“三同时”管理工作的通知（唐环发[2013]39号），2013年5月2日；</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（4</w:t>
      </w:r>
      <w:r>
        <w:rPr>
          <w:rFonts w:hint="eastAsia" w:ascii="Times New Roman" w:hAnsi="Times New Roman" w:eastAsia="宋体" w:cs="Times New Roman"/>
          <w:spacing w:val="2"/>
          <w:sz w:val="23"/>
          <w:szCs w:val="23"/>
          <w:highlight w:val="none"/>
          <w:lang w:val="en-US" w:eastAsia="zh-CN"/>
        </w:rPr>
        <w:t>1</w:t>
      </w:r>
      <w:r>
        <w:rPr>
          <w:rFonts w:hint="eastAsia" w:ascii="Times New Roman" w:hAnsi="Times New Roman" w:eastAsia="宋体" w:cs="Times New Roman"/>
          <w:spacing w:val="2"/>
          <w:sz w:val="23"/>
          <w:szCs w:val="23"/>
          <w:highlight w:val="none"/>
        </w:rPr>
        <w:t>）《唐山市人民政府办公厅关于开展露天铁矿环境保护专项整治工作的通知》（唐政办字〔2016〕198号）；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（4</w:t>
      </w:r>
      <w:r>
        <w:rPr>
          <w:rFonts w:hint="eastAsia" w:ascii="Times New Roman" w:hAnsi="Times New Roman" w:eastAsia="宋体" w:cs="Times New Roman"/>
          <w:spacing w:val="2"/>
          <w:sz w:val="23"/>
          <w:szCs w:val="23"/>
          <w:highlight w:val="none"/>
          <w:lang w:val="en-US" w:eastAsia="zh-CN"/>
        </w:rPr>
        <w:t>2</w:t>
      </w:r>
      <w:r>
        <w:rPr>
          <w:rFonts w:hint="eastAsia" w:ascii="Times New Roman" w:hAnsi="Times New Roman" w:eastAsia="宋体" w:cs="Times New Roman"/>
          <w:spacing w:val="2"/>
          <w:sz w:val="23"/>
          <w:szCs w:val="23"/>
          <w:highlight w:val="none"/>
        </w:rPr>
        <w:t>）《唐山市生态环境局关于印发唐山市2018年重点行业大气污染深度治理专项行动方案的通知》(唐环气[2018]6号；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（4</w:t>
      </w:r>
      <w:r>
        <w:rPr>
          <w:rFonts w:hint="eastAsia" w:ascii="Times New Roman" w:hAnsi="Times New Roman" w:eastAsia="宋体" w:cs="Times New Roman"/>
          <w:spacing w:val="2"/>
          <w:sz w:val="23"/>
          <w:szCs w:val="23"/>
          <w:highlight w:val="none"/>
          <w:lang w:val="en-US" w:eastAsia="zh-CN"/>
        </w:rPr>
        <w:t>3</w:t>
      </w:r>
      <w:r>
        <w:rPr>
          <w:rFonts w:hint="eastAsia" w:ascii="Times New Roman" w:hAnsi="Times New Roman" w:eastAsia="宋体" w:cs="Times New Roman"/>
          <w:spacing w:val="2"/>
          <w:sz w:val="23"/>
          <w:szCs w:val="23"/>
          <w:highlight w:val="none"/>
        </w:rPr>
        <w:t>）《中共唐山市委唐山市人民政府关于强力推进大气污染综合治理的意见》(唐发[2017]7号)；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（4</w:t>
      </w:r>
      <w:r>
        <w:rPr>
          <w:rFonts w:hint="eastAsia" w:ascii="Times New Roman" w:hAnsi="Times New Roman" w:eastAsia="宋体" w:cs="Times New Roman"/>
          <w:spacing w:val="2"/>
          <w:sz w:val="23"/>
          <w:szCs w:val="23"/>
          <w:highlight w:val="none"/>
          <w:lang w:val="en-US" w:eastAsia="zh-CN"/>
        </w:rPr>
        <w:t>4</w:t>
      </w:r>
      <w:r>
        <w:rPr>
          <w:rFonts w:hint="eastAsia" w:ascii="Times New Roman" w:hAnsi="Times New Roman" w:eastAsia="宋体" w:cs="Times New Roman"/>
          <w:spacing w:val="2"/>
          <w:sz w:val="23"/>
          <w:szCs w:val="23"/>
          <w:highlight w:val="none"/>
        </w:rPr>
        <w:t xml:space="preserve">）《唐山市大气污染防治工作领导小组办公室关于印发《唐山市钢铁行业整治提升工作方案》等10项方案的通知》（唐气领办[2021]15号）；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（4</w:t>
      </w:r>
      <w:r>
        <w:rPr>
          <w:rFonts w:hint="eastAsia" w:ascii="Times New Roman" w:hAnsi="Times New Roman" w:eastAsia="宋体" w:cs="Times New Roman"/>
          <w:spacing w:val="2"/>
          <w:sz w:val="23"/>
          <w:szCs w:val="23"/>
          <w:highlight w:val="none"/>
          <w:lang w:val="en-US" w:eastAsia="zh-CN"/>
        </w:rPr>
        <w:t>5</w:t>
      </w:r>
      <w:r>
        <w:rPr>
          <w:rFonts w:hint="eastAsia" w:ascii="Times New Roman" w:hAnsi="Times New Roman" w:eastAsia="宋体" w:cs="Times New Roman"/>
          <w:spacing w:val="2"/>
          <w:sz w:val="23"/>
          <w:szCs w:val="23"/>
          <w:highlight w:val="none"/>
        </w:rPr>
        <w:t xml:space="preserve">）《唐山市人民政府关于实施“三线一单”生态环境分区管控的意见（唐政字[2021]48号）；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（4</w:t>
      </w:r>
      <w:r>
        <w:rPr>
          <w:rFonts w:hint="eastAsia" w:ascii="Times New Roman" w:hAnsi="Times New Roman" w:eastAsia="宋体" w:cs="Times New Roman"/>
          <w:spacing w:val="2"/>
          <w:sz w:val="23"/>
          <w:szCs w:val="23"/>
          <w:highlight w:val="none"/>
          <w:lang w:val="en-US" w:eastAsia="zh-CN"/>
        </w:rPr>
        <w:t>6</w:t>
      </w:r>
      <w:r>
        <w:rPr>
          <w:rFonts w:hint="eastAsia" w:ascii="Times New Roman" w:hAnsi="Times New Roman" w:eastAsia="宋体" w:cs="Times New Roman"/>
          <w:spacing w:val="2"/>
          <w:sz w:val="23"/>
          <w:szCs w:val="23"/>
          <w:highlight w:val="none"/>
        </w:rPr>
        <w:t xml:space="preserve">）《遵化市铁选矿综合治理工作实施方案》（遵办字[2017]23号）；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eastAsia"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rPr>
        <w:t>（4</w:t>
      </w:r>
      <w:r>
        <w:rPr>
          <w:rFonts w:hint="eastAsia" w:ascii="Times New Roman" w:hAnsi="Times New Roman" w:eastAsia="宋体" w:cs="Times New Roman"/>
          <w:spacing w:val="2"/>
          <w:sz w:val="23"/>
          <w:szCs w:val="23"/>
          <w:highlight w:val="none"/>
          <w:lang w:val="en-US" w:eastAsia="zh-CN"/>
        </w:rPr>
        <w:t>7</w:t>
      </w:r>
      <w:r>
        <w:rPr>
          <w:rFonts w:hint="eastAsia" w:ascii="Times New Roman" w:hAnsi="Times New Roman" w:eastAsia="宋体" w:cs="Times New Roman"/>
          <w:spacing w:val="2"/>
          <w:sz w:val="23"/>
          <w:szCs w:val="23"/>
          <w:highlight w:val="none"/>
        </w:rPr>
        <w:t>）关于贯彻落实《环境影响评价公众参与办法》规范环评文件审批的通知（冀环办发[2018]23号）。</w:t>
      </w:r>
    </w:p>
    <w:p>
      <w:pPr>
        <w:spacing w:before="74" w:line="228" w:lineRule="auto"/>
        <w:ind w:left="17"/>
        <w:outlineLvl w:val="2"/>
        <w:rPr>
          <w:rFonts w:hint="default" w:ascii="Times New Roman" w:hAnsi="Times New Roman" w:eastAsia="宋体" w:cs="Times New Roman"/>
          <w:sz w:val="23"/>
          <w:szCs w:val="23"/>
          <w:highlight w:val="none"/>
        </w:rPr>
      </w:pPr>
      <w:bookmarkStart w:id="60" w:name="_Toc14229"/>
      <w:bookmarkStart w:id="61" w:name="_Toc31953"/>
      <w:bookmarkStart w:id="62" w:name="_Toc8702"/>
      <w:r>
        <w:rPr>
          <w:rFonts w:hint="default" w:ascii="Times New Roman" w:hAnsi="Times New Roman" w:eastAsia="Times New Roman" w:cs="Times New Roman"/>
          <w:b/>
          <w:bCs/>
          <w:spacing w:val="8"/>
          <w:sz w:val="23"/>
          <w:szCs w:val="23"/>
          <w:highlight w:val="none"/>
        </w:rPr>
        <w:t>2</w:t>
      </w:r>
      <w:r>
        <w:rPr>
          <w:rFonts w:hint="default" w:ascii="Times New Roman" w:hAnsi="Times New Roman" w:eastAsia="Times New Roman" w:cs="Times New Roman"/>
          <w:b/>
          <w:bCs/>
          <w:spacing w:val="7"/>
          <w:sz w:val="23"/>
          <w:szCs w:val="23"/>
          <w:highlight w:val="none"/>
        </w:rPr>
        <w:t>.1.3</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环境保护技术规范</w:t>
      </w:r>
      <w:bookmarkEnd w:id="60"/>
      <w:bookmarkEnd w:id="61"/>
      <w:bookmarkEnd w:id="62"/>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(1)  《建设项目环境影响评价技术导则·总纲》(HJ2. 1-2016)；</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(2)  《环境影响评价技术导则·大气环境》(HJ2.2-20</w:t>
      </w:r>
      <w:r>
        <w:rPr>
          <w:rFonts w:hint="eastAsia" w:ascii="Times New Roman" w:hAnsi="Times New Roman" w:eastAsia="宋体" w:cs="Times New Roman"/>
          <w:spacing w:val="3"/>
          <w:sz w:val="23"/>
          <w:szCs w:val="23"/>
          <w:highlight w:val="none"/>
          <w:lang w:val="en-US" w:eastAsia="zh-CN"/>
        </w:rPr>
        <w:t>1</w:t>
      </w:r>
      <w:r>
        <w:rPr>
          <w:rFonts w:hint="default" w:ascii="Times New Roman" w:hAnsi="Times New Roman" w:eastAsia="宋体" w:cs="Times New Roman"/>
          <w:spacing w:val="3"/>
          <w:sz w:val="23"/>
          <w:szCs w:val="23"/>
          <w:highlight w:val="none"/>
        </w:rPr>
        <w:t>8)；</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(3)  《环境影响评价技术导则·地面水环境》(HJ2.3-</w:t>
      </w:r>
      <w:r>
        <w:rPr>
          <w:rFonts w:hint="eastAsia" w:ascii="Times New Roman" w:hAnsi="Times New Roman" w:eastAsia="宋体" w:cs="Times New Roman"/>
          <w:spacing w:val="3"/>
          <w:sz w:val="23"/>
          <w:szCs w:val="23"/>
          <w:highlight w:val="none"/>
          <w:lang w:val="en-US" w:eastAsia="zh-CN"/>
        </w:rPr>
        <w:t>2018</w:t>
      </w:r>
      <w:r>
        <w:rPr>
          <w:rFonts w:hint="default" w:ascii="Times New Roman" w:hAnsi="Times New Roman" w:eastAsia="宋体" w:cs="Times New Roman"/>
          <w:spacing w:val="3"/>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(4)  《环境影响评价技术导则·地下水环境》(HJ610-2016)；</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(5)  《环境影响评价技术导则·声环境》(HJ2.4-20</w:t>
      </w:r>
      <w:r>
        <w:rPr>
          <w:rFonts w:hint="eastAsia" w:ascii="Times New Roman" w:hAnsi="Times New Roman" w:eastAsia="宋体" w:cs="Times New Roman"/>
          <w:spacing w:val="3"/>
          <w:sz w:val="23"/>
          <w:szCs w:val="23"/>
          <w:highlight w:val="none"/>
          <w:lang w:val="en-US" w:eastAsia="zh-CN"/>
        </w:rPr>
        <w:t>21</w:t>
      </w:r>
      <w:r>
        <w:rPr>
          <w:rFonts w:hint="default" w:ascii="Times New Roman" w:hAnsi="Times New Roman" w:eastAsia="宋体" w:cs="Times New Roman"/>
          <w:spacing w:val="3"/>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(6)  《环境影响评价技术导则·生态影响》(HJ19-20</w:t>
      </w:r>
      <w:r>
        <w:rPr>
          <w:rFonts w:hint="eastAsia" w:ascii="Times New Roman" w:hAnsi="Times New Roman" w:eastAsia="宋体" w:cs="Times New Roman"/>
          <w:spacing w:val="3"/>
          <w:sz w:val="23"/>
          <w:szCs w:val="23"/>
          <w:highlight w:val="none"/>
          <w:lang w:val="en-US" w:eastAsia="zh-CN"/>
        </w:rPr>
        <w:t>22</w:t>
      </w:r>
      <w:r>
        <w:rPr>
          <w:rFonts w:hint="default" w:ascii="Times New Roman" w:hAnsi="Times New Roman" w:eastAsia="宋体" w:cs="Times New Roman"/>
          <w:spacing w:val="3"/>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(7)  《固体废物鉴别标准 通则》(GB 34330—2017)</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(8)  《煤场、料场、渣场扬尘污染控制技术规范》  (DB13/T2352-2016)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(9)  《开发建设项目水土保持技术规范》  (GB50433-2008)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(10)  《分散式饮用水水源地环境保护指南 (试行) 》  (2010)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(11)  《建设项目竣工环境保护验收技术指南 污染影响类》  (生态环境部</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公告 2018 年 第 9 号)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(12)  《建设项目危险废物环境影响评价指南》  (2017 年 10 月 1 日)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(13)  《排污单位自行监测技术指南 总则》  (HJ819-2017)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eastAsia" w:ascii="Times New Roman" w:hAnsi="Times New Roman" w:eastAsia="宋体" w:cs="Times New Roman"/>
          <w:spacing w:val="3"/>
          <w:sz w:val="23"/>
          <w:szCs w:val="23"/>
          <w:highlight w:val="none"/>
          <w:lang w:eastAsia="zh-CN"/>
        </w:rPr>
        <w:t>（</w:t>
      </w:r>
      <w:r>
        <w:rPr>
          <w:rFonts w:hint="eastAsia" w:ascii="Times New Roman" w:hAnsi="Times New Roman" w:eastAsia="宋体" w:cs="Times New Roman"/>
          <w:spacing w:val="3"/>
          <w:sz w:val="23"/>
          <w:szCs w:val="23"/>
          <w:highlight w:val="none"/>
          <w:lang w:val="en-US" w:eastAsia="zh-CN"/>
        </w:rPr>
        <w:t>14</w:t>
      </w:r>
      <w:r>
        <w:rPr>
          <w:rFonts w:hint="eastAsia" w:ascii="Times New Roman" w:hAnsi="Times New Roman" w:eastAsia="宋体" w:cs="Times New Roman"/>
          <w:spacing w:val="3"/>
          <w:sz w:val="23"/>
          <w:szCs w:val="23"/>
          <w:highlight w:val="none"/>
          <w:lang w:eastAsia="zh-CN"/>
        </w:rPr>
        <w:t>）《</w:t>
      </w:r>
      <w:r>
        <w:rPr>
          <w:rFonts w:hint="default" w:ascii="Times New Roman" w:hAnsi="Times New Roman" w:eastAsia="宋体" w:cs="Times New Roman"/>
          <w:spacing w:val="3"/>
          <w:sz w:val="23"/>
          <w:szCs w:val="23"/>
          <w:highlight w:val="none"/>
          <w:lang w:val="en-US" w:eastAsia="zh-CN"/>
        </w:rPr>
        <w:t>危险废物识别标志设置技术规范</w:t>
      </w:r>
      <w:r>
        <w:rPr>
          <w:rFonts w:hint="eastAsia" w:ascii="Times New Roman" w:hAnsi="Times New Roman" w:eastAsia="宋体" w:cs="Times New Roman"/>
          <w:spacing w:val="3"/>
          <w:sz w:val="23"/>
          <w:szCs w:val="23"/>
          <w:highlight w:val="none"/>
          <w:lang w:eastAsia="zh-CN"/>
        </w:rPr>
        <w:t>》（</w:t>
      </w:r>
      <w:r>
        <w:rPr>
          <w:rFonts w:hint="default" w:ascii="Times New Roman" w:hAnsi="Times New Roman" w:eastAsia="宋体" w:cs="Times New Roman"/>
          <w:spacing w:val="3"/>
          <w:sz w:val="23"/>
          <w:szCs w:val="23"/>
          <w:highlight w:val="none"/>
          <w:lang w:val="en-US" w:eastAsia="zh-CN"/>
        </w:rPr>
        <w:t>HJ 1276—2022</w:t>
      </w:r>
      <w:r>
        <w:rPr>
          <w:rFonts w:hint="eastAsia" w:ascii="Times New Roman" w:hAnsi="Times New Roman" w:eastAsia="宋体" w:cs="Times New Roman"/>
          <w:spacing w:val="3"/>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0" w:firstLineChars="0"/>
        <w:jc w:val="both"/>
        <w:textAlignment w:val="baseline"/>
        <w:rPr>
          <w:rFonts w:hint="default" w:ascii="Times New Roman" w:hAnsi="Times New Roman" w:eastAsia="宋体" w:cs="Times New Roman"/>
          <w:spacing w:val="3"/>
          <w:sz w:val="23"/>
          <w:szCs w:val="23"/>
          <w:highlight w:val="none"/>
        </w:rPr>
      </w:pPr>
      <w:r>
        <w:rPr>
          <w:rFonts w:hint="eastAsia" w:ascii="Times New Roman" w:hAnsi="Times New Roman" w:eastAsia="宋体" w:cs="Times New Roman"/>
          <w:spacing w:val="3"/>
          <w:sz w:val="23"/>
          <w:szCs w:val="23"/>
          <w:highlight w:val="none"/>
          <w:lang w:eastAsia="zh-CN"/>
        </w:rPr>
        <w:t>（</w:t>
      </w:r>
      <w:r>
        <w:rPr>
          <w:rFonts w:hint="eastAsia" w:ascii="Times New Roman" w:hAnsi="Times New Roman" w:eastAsia="宋体" w:cs="Times New Roman"/>
          <w:spacing w:val="3"/>
          <w:sz w:val="23"/>
          <w:szCs w:val="23"/>
          <w:highlight w:val="none"/>
          <w:lang w:val="en-US" w:eastAsia="zh-CN"/>
        </w:rPr>
        <w:t>15</w:t>
      </w:r>
      <w:r>
        <w:rPr>
          <w:rFonts w:hint="eastAsia" w:ascii="Times New Roman" w:hAnsi="Times New Roman" w:eastAsia="宋体" w:cs="Times New Roman"/>
          <w:spacing w:val="3"/>
          <w:sz w:val="23"/>
          <w:szCs w:val="23"/>
          <w:highlight w:val="none"/>
          <w:lang w:eastAsia="zh-CN"/>
        </w:rPr>
        <w:t>）</w:t>
      </w:r>
      <w:r>
        <w:rPr>
          <w:rFonts w:hint="default" w:ascii="Times New Roman" w:hAnsi="Times New Roman" w:eastAsia="宋体" w:cs="Times New Roman"/>
          <w:spacing w:val="3"/>
          <w:sz w:val="23"/>
          <w:szCs w:val="23"/>
          <w:highlight w:val="none"/>
        </w:rPr>
        <w:t>《钢铁行业采选矿工艺污染防治最佳可行技术指南 (试行) 》(HJ-BAT-003) 。</w:t>
      </w:r>
    </w:p>
    <w:p>
      <w:pPr>
        <w:spacing w:before="111" w:line="227" w:lineRule="auto"/>
        <w:ind w:left="17"/>
        <w:outlineLvl w:val="2"/>
        <w:rPr>
          <w:rFonts w:hint="default" w:ascii="Times New Roman" w:hAnsi="Times New Roman" w:eastAsia="宋体" w:cs="Times New Roman"/>
          <w:sz w:val="23"/>
          <w:szCs w:val="23"/>
          <w:highlight w:val="none"/>
        </w:rPr>
      </w:pPr>
      <w:bookmarkStart w:id="63" w:name="_Toc21899"/>
      <w:bookmarkStart w:id="64" w:name="_Toc20026"/>
      <w:bookmarkStart w:id="65" w:name="_Toc20303"/>
      <w:r>
        <w:rPr>
          <w:rFonts w:hint="default" w:ascii="Times New Roman" w:hAnsi="Times New Roman" w:eastAsia="Times New Roman" w:cs="Times New Roman"/>
          <w:b/>
          <w:bCs/>
          <w:spacing w:val="11"/>
          <w:sz w:val="23"/>
          <w:szCs w:val="23"/>
          <w:highlight w:val="none"/>
        </w:rPr>
        <w:t>2</w:t>
      </w:r>
      <w:r>
        <w:rPr>
          <w:rFonts w:hint="default" w:ascii="Times New Roman" w:hAnsi="Times New Roman" w:eastAsia="Times New Roman" w:cs="Times New Roman"/>
          <w:b/>
          <w:bCs/>
          <w:spacing w:val="7"/>
          <w:sz w:val="23"/>
          <w:szCs w:val="23"/>
          <w:highlight w:val="none"/>
        </w:rPr>
        <w:t>.1.4</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相关文件及技术资料</w:t>
      </w:r>
      <w:bookmarkEnd w:id="63"/>
      <w:bookmarkEnd w:id="64"/>
      <w:bookmarkEnd w:id="65"/>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14"/>
          <w:sz w:val="23"/>
          <w:szCs w:val="23"/>
          <w:highlight w:val="none"/>
        </w:rPr>
        <w:t>1</w:t>
      </w:r>
      <w:r>
        <w:rPr>
          <w:rFonts w:hint="default" w:ascii="Times New Roman" w:hAnsi="Times New Roman" w:eastAsia="宋体" w:cs="Times New Roman"/>
          <w:spacing w:val="11"/>
          <w:sz w:val="23"/>
          <w:szCs w:val="23"/>
          <w:highlight w:val="none"/>
        </w:rPr>
        <w:t>)</w:t>
      </w:r>
      <w:r>
        <w:rPr>
          <w:rFonts w:hint="default" w:ascii="Times New Roman" w:hAnsi="Times New Roman" w:eastAsia="宋体" w:cs="Times New Roman"/>
          <w:spacing w:val="7"/>
          <w:sz w:val="23"/>
          <w:szCs w:val="23"/>
          <w:highlight w:val="none"/>
        </w:rPr>
        <w:t xml:space="preserve"> 《遵化市势竹矿业有限公司</w:t>
      </w:r>
      <w:r>
        <w:rPr>
          <w:rFonts w:hint="default" w:ascii="Times New Roman" w:hAnsi="Times New Roman" w:eastAsia="宋体" w:cs="Times New Roman"/>
          <w:spacing w:val="7"/>
          <w:sz w:val="23"/>
          <w:szCs w:val="23"/>
          <w:highlight w:val="none"/>
          <w:lang w:eastAsia="zh-CN"/>
        </w:rPr>
        <w:t>年处理110万吨铁矿石破碎改扩建项目</w:t>
      </w:r>
      <w:r>
        <w:rPr>
          <w:rFonts w:hint="default" w:ascii="Times New Roman" w:hAnsi="Times New Roman" w:eastAsia="宋体" w:cs="Times New Roman"/>
          <w:spacing w:val="7"/>
          <w:sz w:val="23"/>
          <w:szCs w:val="23"/>
          <w:highlight w:val="none"/>
        </w:rPr>
        <w:t>》备</w:t>
      </w:r>
      <w:r>
        <w:rPr>
          <w:rFonts w:hint="default" w:ascii="Times New Roman" w:hAnsi="Times New Roman" w:eastAsia="宋体" w:cs="Times New Roman"/>
          <w:spacing w:val="3"/>
          <w:sz w:val="23"/>
          <w:szCs w:val="23"/>
          <w:highlight w:val="none"/>
        </w:rPr>
        <w:t>案证；</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(2) 遵化市势竹矿业有限公司项目简介；</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(3) 遵化市势竹矿业有限公司平面布置图；</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pict>
          <v:shape id="_x0000_s1052" o:spid="_x0000_s1052" style="position:absolute;left:0pt;margin-left:89.85pt;margin-top:60.75pt;height:0.75pt;width:415.65pt;mso-position-horizontal-relative:page;mso-position-vertical-relative:page;z-index:251668480;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3"/>
          <w:sz w:val="23"/>
          <w:szCs w:val="23"/>
          <w:highlight w:val="none"/>
        </w:rPr>
        <w:t xml:space="preserve">(4) </w:t>
      </w:r>
      <w:r>
        <w:rPr>
          <w:rFonts w:hint="eastAsia" w:ascii="Times New Roman" w:hAnsi="Times New Roman" w:eastAsia="宋体" w:cs="Times New Roman"/>
          <w:spacing w:val="3"/>
          <w:sz w:val="23"/>
          <w:szCs w:val="23"/>
          <w:highlight w:val="none"/>
          <w:lang w:val="en-US" w:eastAsia="zh-CN"/>
        </w:rPr>
        <w:t>现有工程环评批复及验收意见</w:t>
      </w:r>
      <w:r>
        <w:rPr>
          <w:rFonts w:hint="default" w:ascii="Times New Roman" w:hAnsi="Times New Roman" w:eastAsia="宋体" w:cs="Times New Roman"/>
          <w:spacing w:val="3"/>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(5) 遵化市势竹矿业有限公司提供的其他技术资料。</w:t>
      </w:r>
    </w:p>
    <w:p>
      <w:pPr>
        <w:spacing w:before="305" w:line="219" w:lineRule="auto"/>
        <w:ind w:left="18"/>
        <w:outlineLvl w:val="1"/>
        <w:rPr>
          <w:rFonts w:hint="default" w:ascii="Times New Roman" w:hAnsi="Times New Roman" w:eastAsia="宋体" w:cs="Times New Roman"/>
          <w:sz w:val="28"/>
          <w:szCs w:val="28"/>
          <w:highlight w:val="none"/>
        </w:rPr>
      </w:pPr>
      <w:bookmarkStart w:id="66" w:name="_Toc6769"/>
      <w:bookmarkStart w:id="67" w:name="_Toc15859"/>
      <w:bookmarkStart w:id="68" w:name="_Toc25632"/>
      <w:r>
        <w:rPr>
          <w:rFonts w:hint="default" w:ascii="Times New Roman" w:hAnsi="Times New Roman" w:eastAsia="Times New Roman" w:cs="Times New Roman"/>
          <w:b/>
          <w:bCs/>
          <w:spacing w:val="1"/>
          <w:sz w:val="28"/>
          <w:szCs w:val="28"/>
          <w:highlight w:val="none"/>
        </w:rPr>
        <w:t>2.</w:t>
      </w:r>
      <w:r>
        <w:rPr>
          <w:rFonts w:hint="default" w:ascii="Times New Roman" w:hAnsi="Times New Roman" w:eastAsia="Times New Roman" w:cs="Times New Roman"/>
          <w:b/>
          <w:bCs/>
          <w:sz w:val="28"/>
          <w:szCs w:val="28"/>
          <w:highlight w:val="none"/>
        </w:rPr>
        <w:t>2</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评价目的与评价原则</w:t>
      </w:r>
      <w:bookmarkEnd w:id="66"/>
      <w:bookmarkEnd w:id="67"/>
      <w:bookmarkEnd w:id="68"/>
    </w:p>
    <w:p>
      <w:pPr>
        <w:spacing w:line="245" w:lineRule="auto"/>
        <w:rPr>
          <w:rFonts w:hint="default" w:ascii="Times New Roman" w:hAnsi="Times New Roman" w:cs="Times New Roman"/>
          <w:sz w:val="21"/>
          <w:highlight w:val="none"/>
        </w:rPr>
      </w:pPr>
    </w:p>
    <w:p>
      <w:pPr>
        <w:spacing w:before="74" w:line="227" w:lineRule="auto"/>
        <w:ind w:left="17"/>
        <w:outlineLvl w:val="2"/>
        <w:rPr>
          <w:rFonts w:hint="default" w:ascii="Times New Roman" w:hAnsi="Times New Roman" w:eastAsia="宋体" w:cs="Times New Roman"/>
          <w:sz w:val="23"/>
          <w:szCs w:val="23"/>
          <w:highlight w:val="none"/>
        </w:rPr>
      </w:pPr>
      <w:bookmarkStart w:id="69" w:name="_Toc18609"/>
      <w:bookmarkStart w:id="70" w:name="_Toc1117"/>
      <w:bookmarkStart w:id="71" w:name="_Toc1458"/>
      <w:r>
        <w:rPr>
          <w:rFonts w:hint="default" w:ascii="Times New Roman" w:hAnsi="Times New Roman" w:eastAsia="Times New Roman" w:cs="Times New Roman"/>
          <w:b/>
          <w:bCs/>
          <w:spacing w:val="10"/>
          <w:sz w:val="23"/>
          <w:szCs w:val="23"/>
          <w:highlight w:val="none"/>
        </w:rPr>
        <w:t>2</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2.1</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评价目的</w:t>
      </w:r>
      <w:bookmarkEnd w:id="69"/>
      <w:bookmarkEnd w:id="70"/>
      <w:bookmarkEnd w:id="71"/>
    </w:p>
    <w:p>
      <w:pPr>
        <w:spacing w:before="75" w:line="402" w:lineRule="auto"/>
        <w:ind w:left="22" w:right="63" w:firstLine="49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1</w:t>
      </w:r>
      <w:r>
        <w:rPr>
          <w:rFonts w:hint="default" w:ascii="Times New Roman" w:hAnsi="Times New Roman" w:eastAsia="宋体" w:cs="Times New Roman"/>
          <w:spacing w:val="13"/>
          <w:sz w:val="23"/>
          <w:szCs w:val="23"/>
          <w:highlight w:val="none"/>
        </w:rPr>
        <w:t>) 通过调查与监测，查清建设项目周围的自然环境、社会经济环境和环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境</w:t>
      </w:r>
      <w:r>
        <w:rPr>
          <w:rFonts w:hint="default" w:ascii="Times New Roman" w:hAnsi="Times New Roman" w:eastAsia="宋体" w:cs="Times New Roman"/>
          <w:spacing w:val="6"/>
          <w:sz w:val="23"/>
          <w:szCs w:val="23"/>
          <w:highlight w:val="none"/>
        </w:rPr>
        <w:t>质量现状。</w:t>
      </w:r>
    </w:p>
    <w:p>
      <w:pPr>
        <w:spacing w:before="1" w:line="401" w:lineRule="auto"/>
        <w:ind w:left="21" w:right="58" w:firstLine="49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2</w:t>
      </w:r>
      <w:r>
        <w:rPr>
          <w:rFonts w:hint="default" w:ascii="Times New Roman" w:hAnsi="Times New Roman" w:eastAsia="宋体" w:cs="Times New Roman"/>
          <w:spacing w:val="13"/>
          <w:sz w:val="23"/>
          <w:szCs w:val="23"/>
          <w:highlight w:val="none"/>
        </w:rPr>
        <w:t>) 通过工程分析和类比调查，查清建设项目的主要污染源、污染物及排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放量；按</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清洁生产</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的要求，对工程采用的工艺、设备、物耗、能耗等各环节</w:t>
      </w:r>
      <w:r>
        <w:rPr>
          <w:rFonts w:hint="default" w:ascii="Times New Roman" w:hAnsi="Times New Roman" w:eastAsia="宋体" w:cs="Times New Roman"/>
          <w:spacing w:val="2"/>
          <w:sz w:val="23"/>
          <w:szCs w:val="23"/>
          <w:highlight w:val="none"/>
        </w:rPr>
        <w:t>进</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5"/>
          <w:sz w:val="23"/>
          <w:szCs w:val="23"/>
          <w:highlight w:val="none"/>
        </w:rPr>
        <w:t>行分析。</w:t>
      </w:r>
    </w:p>
    <w:p>
      <w:pPr>
        <w:spacing w:before="1" w:line="401" w:lineRule="auto"/>
        <w:ind w:left="22" w:right="63" w:firstLine="49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3</w:t>
      </w:r>
      <w:r>
        <w:rPr>
          <w:rFonts w:hint="default" w:ascii="Times New Roman" w:hAnsi="Times New Roman" w:eastAsia="宋体" w:cs="Times New Roman"/>
          <w:spacing w:val="13"/>
          <w:sz w:val="23"/>
          <w:szCs w:val="23"/>
          <w:highlight w:val="none"/>
        </w:rPr>
        <w:t>) 通过分析和计算，预测主要污染物排放对周围环境的影响程度，判断</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其</w:t>
      </w:r>
      <w:r>
        <w:rPr>
          <w:rFonts w:hint="default" w:ascii="Times New Roman" w:hAnsi="Times New Roman" w:eastAsia="宋体" w:cs="Times New Roman"/>
          <w:spacing w:val="9"/>
          <w:sz w:val="23"/>
          <w:szCs w:val="23"/>
          <w:highlight w:val="none"/>
        </w:rPr>
        <w:t>是否满足排放标准、环境质量标准和总量控制要求。</w:t>
      </w:r>
    </w:p>
    <w:p>
      <w:pPr>
        <w:spacing w:before="2" w:line="400" w:lineRule="auto"/>
        <w:ind w:left="22" w:right="63" w:firstLine="49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4</w:t>
      </w:r>
      <w:r>
        <w:rPr>
          <w:rFonts w:hint="default" w:ascii="Times New Roman" w:hAnsi="Times New Roman" w:eastAsia="宋体" w:cs="Times New Roman"/>
          <w:spacing w:val="13"/>
          <w:sz w:val="23"/>
          <w:szCs w:val="23"/>
          <w:highlight w:val="none"/>
        </w:rPr>
        <w:t>) 从技术、经济角度分析拟采取的环保措施的可行性，必要时提出替代</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方</w:t>
      </w:r>
      <w:r>
        <w:rPr>
          <w:rFonts w:hint="default" w:ascii="Times New Roman" w:hAnsi="Times New Roman" w:eastAsia="宋体" w:cs="Times New Roman"/>
          <w:spacing w:val="9"/>
          <w:sz w:val="23"/>
          <w:szCs w:val="23"/>
          <w:highlight w:val="none"/>
        </w:rPr>
        <w:t>案，为主管部门决策和加强环境管理提供依据。</w:t>
      </w:r>
    </w:p>
    <w:p>
      <w:pPr>
        <w:spacing w:line="406" w:lineRule="auto"/>
        <w:ind w:left="20" w:right="63" w:firstLine="49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5</w:t>
      </w:r>
      <w:r>
        <w:rPr>
          <w:rFonts w:hint="default" w:ascii="Times New Roman" w:hAnsi="Times New Roman" w:eastAsia="宋体" w:cs="Times New Roman"/>
          <w:spacing w:val="13"/>
          <w:sz w:val="23"/>
          <w:szCs w:val="23"/>
          <w:highlight w:val="none"/>
        </w:rPr>
        <w:t>) 从环保法规、产业政策、环境特点、污染防治等方面综合分析，对厂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址</w:t>
      </w:r>
      <w:r>
        <w:rPr>
          <w:rFonts w:hint="default" w:ascii="Times New Roman" w:hAnsi="Times New Roman" w:eastAsia="宋体" w:cs="Times New Roman"/>
          <w:spacing w:val="7"/>
          <w:sz w:val="23"/>
          <w:szCs w:val="23"/>
          <w:highlight w:val="none"/>
        </w:rPr>
        <w:t>选择的合理性和建设项目的可行性给出明确结论，为管理部门决策、设计部门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优</w:t>
      </w:r>
      <w:r>
        <w:rPr>
          <w:rFonts w:hint="default" w:ascii="Times New Roman" w:hAnsi="Times New Roman" w:eastAsia="宋体" w:cs="Times New Roman"/>
          <w:spacing w:val="9"/>
          <w:sz w:val="23"/>
          <w:szCs w:val="23"/>
          <w:highlight w:val="none"/>
        </w:rPr>
        <w:t>化设计和建设单位的环境管理提供科学依据。</w:t>
      </w:r>
    </w:p>
    <w:p>
      <w:pPr>
        <w:keepNext w:val="0"/>
        <w:keepLines w:val="0"/>
        <w:pageBreakBefore w:val="0"/>
        <w:widowControl/>
        <w:kinsoku w:val="0"/>
        <w:wordWrap/>
        <w:overflowPunct/>
        <w:topLinePunct w:val="0"/>
        <w:autoSpaceDE w:val="0"/>
        <w:autoSpaceDN w:val="0"/>
        <w:bidi w:val="0"/>
        <w:adjustRightInd w:val="0"/>
        <w:snapToGrid w:val="0"/>
        <w:spacing w:before="102" w:after="0" w:afterLines="50" w:line="228" w:lineRule="auto"/>
        <w:ind w:left="17"/>
        <w:textAlignment w:val="baseline"/>
        <w:outlineLvl w:val="2"/>
        <w:rPr>
          <w:rFonts w:hint="default" w:ascii="Times New Roman" w:hAnsi="Times New Roman" w:eastAsia="宋体" w:cs="Times New Roman"/>
          <w:sz w:val="23"/>
          <w:szCs w:val="23"/>
          <w:highlight w:val="none"/>
        </w:rPr>
      </w:pPr>
      <w:bookmarkStart w:id="72" w:name="_Toc18573"/>
      <w:bookmarkStart w:id="73" w:name="_Toc28548"/>
      <w:bookmarkStart w:id="74" w:name="_Toc19747"/>
      <w:r>
        <w:rPr>
          <w:rFonts w:hint="default" w:ascii="Times New Roman" w:hAnsi="Times New Roman" w:eastAsia="Times New Roman" w:cs="Times New Roman"/>
          <w:b/>
          <w:bCs/>
          <w:spacing w:val="10"/>
          <w:sz w:val="23"/>
          <w:szCs w:val="23"/>
          <w:highlight w:val="none"/>
        </w:rPr>
        <w:t>2</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2.2</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评价原则</w:t>
      </w:r>
      <w:bookmarkEnd w:id="72"/>
      <w:bookmarkEnd w:id="73"/>
      <w:bookmarkEnd w:id="74"/>
    </w:p>
    <w:p>
      <w:pPr>
        <w:spacing w:before="75" w:line="225" w:lineRule="auto"/>
        <w:ind w:left="50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突</w:t>
      </w:r>
      <w:r>
        <w:rPr>
          <w:rFonts w:hint="default" w:ascii="Times New Roman" w:hAnsi="Times New Roman" w:eastAsia="宋体" w:cs="Times New Roman"/>
          <w:spacing w:val="9"/>
          <w:sz w:val="23"/>
          <w:szCs w:val="23"/>
          <w:highlight w:val="none"/>
        </w:rPr>
        <w:t>出环境影响评价的源头预防作用，坚持保护和改善环境质量。</w:t>
      </w:r>
    </w:p>
    <w:p>
      <w:pPr>
        <w:spacing w:before="183" w:line="315" w:lineRule="exact"/>
        <w:ind w:left="501"/>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4"/>
          <w:position w:val="2"/>
          <w:sz w:val="23"/>
          <w:szCs w:val="23"/>
          <w:highlight w:val="none"/>
        </w:rPr>
        <w:t>(</w:t>
      </w:r>
      <w:r>
        <w:rPr>
          <w:rFonts w:hint="default" w:ascii="Times New Roman" w:hAnsi="Times New Roman" w:eastAsia="Times New Roman" w:cs="Times New Roman"/>
          <w:spacing w:val="-2"/>
          <w:position w:val="2"/>
          <w:sz w:val="23"/>
          <w:szCs w:val="23"/>
          <w:highlight w:val="none"/>
        </w:rPr>
        <w:t xml:space="preserve"> 1)</w:t>
      </w:r>
      <w:r>
        <w:rPr>
          <w:rFonts w:hint="default" w:ascii="Times New Roman" w:hAnsi="Times New Roman" w:eastAsia="宋体" w:cs="Times New Roman"/>
          <w:spacing w:val="-2"/>
          <w:position w:val="2"/>
          <w:sz w:val="23"/>
          <w:szCs w:val="23"/>
          <w:highlight w:val="none"/>
        </w:rPr>
        <w:t>依法评价</w:t>
      </w:r>
    </w:p>
    <w:p>
      <w:pPr>
        <w:spacing w:before="220" w:line="501" w:lineRule="exact"/>
        <w:ind w:left="50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position w:val="20"/>
          <w:sz w:val="23"/>
          <w:szCs w:val="23"/>
          <w:highlight w:val="none"/>
        </w:rPr>
        <w:t>贯彻执行我国环境保护相关法律法规、标准、政策和规划</w:t>
      </w:r>
      <w:r>
        <w:rPr>
          <w:rFonts w:hint="default" w:ascii="Times New Roman" w:hAnsi="Times New Roman" w:eastAsia="宋体" w:cs="Times New Roman"/>
          <w:spacing w:val="1"/>
          <w:position w:val="20"/>
          <w:sz w:val="23"/>
          <w:szCs w:val="23"/>
          <w:highlight w:val="none"/>
        </w:rPr>
        <w:t>等，优化项目建设，</w:t>
      </w:r>
    </w:p>
    <w:p>
      <w:pPr>
        <w:spacing w:before="1" w:line="228" w:lineRule="auto"/>
        <w:ind w:left="2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服</w:t>
      </w:r>
      <w:r>
        <w:rPr>
          <w:rFonts w:hint="default" w:ascii="Times New Roman" w:hAnsi="Times New Roman" w:eastAsia="宋体" w:cs="Times New Roman"/>
          <w:spacing w:val="7"/>
          <w:sz w:val="23"/>
          <w:szCs w:val="23"/>
          <w:highlight w:val="none"/>
        </w:rPr>
        <w:t>务环境管理。</w:t>
      </w:r>
    </w:p>
    <w:p>
      <w:pPr>
        <w:spacing w:before="179" w:line="315" w:lineRule="exact"/>
        <w:ind w:left="501"/>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0"/>
          <w:position w:val="2"/>
          <w:sz w:val="23"/>
          <w:szCs w:val="23"/>
          <w:highlight w:val="none"/>
        </w:rPr>
        <w:t>(</w:t>
      </w:r>
      <w:r>
        <w:rPr>
          <w:rFonts w:hint="default" w:ascii="Times New Roman" w:hAnsi="Times New Roman" w:eastAsia="Times New Roman" w:cs="Times New Roman"/>
          <w:spacing w:val="5"/>
          <w:position w:val="2"/>
          <w:sz w:val="23"/>
          <w:szCs w:val="23"/>
          <w:highlight w:val="none"/>
        </w:rPr>
        <w:t>2)</w:t>
      </w:r>
      <w:r>
        <w:rPr>
          <w:rFonts w:hint="default" w:ascii="Times New Roman" w:hAnsi="Times New Roman" w:eastAsia="宋体" w:cs="Times New Roman"/>
          <w:spacing w:val="5"/>
          <w:position w:val="2"/>
          <w:sz w:val="23"/>
          <w:szCs w:val="23"/>
          <w:highlight w:val="none"/>
        </w:rPr>
        <w:t>科学评价</w:t>
      </w:r>
    </w:p>
    <w:p>
      <w:pPr>
        <w:spacing w:before="220" w:line="400" w:lineRule="auto"/>
        <w:ind w:left="501" w:right="121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规</w:t>
      </w:r>
      <w:r>
        <w:rPr>
          <w:rFonts w:hint="default" w:ascii="Times New Roman" w:hAnsi="Times New Roman" w:eastAsia="宋体" w:cs="Times New Roman"/>
          <w:spacing w:val="8"/>
          <w:sz w:val="23"/>
          <w:szCs w:val="23"/>
          <w:highlight w:val="none"/>
        </w:rPr>
        <w:t>范环境影响评价方法，科学分析项目建设对环境质量的影响。</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0"/>
          <w:sz w:val="23"/>
          <w:szCs w:val="23"/>
          <w:highlight w:val="none"/>
        </w:rPr>
        <w:t>(</w:t>
      </w:r>
      <w:r>
        <w:rPr>
          <w:rFonts w:hint="default" w:ascii="Times New Roman" w:hAnsi="Times New Roman" w:eastAsia="Times New Roman" w:cs="Times New Roman"/>
          <w:spacing w:val="5"/>
          <w:sz w:val="23"/>
          <w:szCs w:val="23"/>
          <w:highlight w:val="none"/>
        </w:rPr>
        <w:t>3)</w:t>
      </w:r>
      <w:r>
        <w:rPr>
          <w:rFonts w:hint="default" w:ascii="Times New Roman" w:hAnsi="Times New Roman" w:eastAsia="宋体" w:cs="Times New Roman"/>
          <w:spacing w:val="5"/>
          <w:sz w:val="23"/>
          <w:szCs w:val="23"/>
          <w:highlight w:val="none"/>
        </w:rPr>
        <w:t>突出重点</w:t>
      </w:r>
    </w:p>
    <w:p>
      <w:pPr>
        <w:spacing w:before="4" w:line="226" w:lineRule="auto"/>
        <w:ind w:left="50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根据建设项目的工程内容及其特点，明确与环境要素间的作用效应关系，根</w:t>
      </w:r>
    </w:p>
    <w:p>
      <w:pPr>
        <w:rPr>
          <w:rFonts w:hint="default" w:ascii="Times New Roman" w:hAnsi="Times New Roman" w:cs="Times New Roman"/>
          <w:highlight w:val="none"/>
        </w:rPr>
      </w:pPr>
    </w:p>
    <w:p>
      <w:pPr>
        <w:spacing w:line="358" w:lineRule="auto"/>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shape id="_x0000_s1054" o:spid="_x0000_s1054" style="position:absolute;left:0pt;margin-left:89.85pt;margin-top:60.75pt;height:0.75pt;width:415.65pt;mso-position-horizontal-relative:page;mso-position-vertical-relative:page;z-index:251669504;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14"/>
          <w:sz w:val="23"/>
          <w:szCs w:val="23"/>
          <w:highlight w:val="none"/>
        </w:rPr>
        <w:t>据</w:t>
      </w:r>
      <w:r>
        <w:rPr>
          <w:rFonts w:hint="default" w:ascii="Times New Roman" w:hAnsi="Times New Roman" w:eastAsia="宋体" w:cs="Times New Roman"/>
          <w:spacing w:val="7"/>
          <w:sz w:val="23"/>
          <w:szCs w:val="23"/>
          <w:highlight w:val="none"/>
        </w:rPr>
        <w:t>规划环境影响评价结论和审查意见，充分利用符合时效的数据资料及成果，对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建设项目主要环境影响予以重点分析和评价</w:t>
      </w:r>
      <w:r>
        <w:rPr>
          <w:rFonts w:hint="default" w:ascii="Times New Roman" w:hAnsi="Times New Roman" w:eastAsia="宋体" w:cs="Times New Roman"/>
          <w:spacing w:val="6"/>
          <w:sz w:val="23"/>
          <w:szCs w:val="23"/>
          <w:highlight w:val="none"/>
        </w:rPr>
        <w:t>。</w:t>
      </w:r>
    </w:p>
    <w:p>
      <w:pPr>
        <w:spacing w:before="69" w:line="219" w:lineRule="auto"/>
        <w:ind w:left="129"/>
        <w:outlineLvl w:val="1"/>
        <w:rPr>
          <w:rFonts w:hint="default" w:ascii="Times New Roman" w:hAnsi="Times New Roman" w:eastAsia="宋体" w:cs="Times New Roman"/>
          <w:sz w:val="28"/>
          <w:szCs w:val="28"/>
          <w:highlight w:val="none"/>
        </w:rPr>
      </w:pPr>
      <w:bookmarkStart w:id="75" w:name="_Toc19888"/>
      <w:bookmarkStart w:id="76" w:name="_Toc25815"/>
      <w:bookmarkStart w:id="77" w:name="_Toc13670"/>
      <w:r>
        <w:rPr>
          <w:rFonts w:hint="default" w:ascii="Times New Roman" w:hAnsi="Times New Roman" w:eastAsia="Times New Roman" w:cs="Times New Roman"/>
          <w:b/>
          <w:bCs/>
          <w:spacing w:val="1"/>
          <w:sz w:val="28"/>
          <w:szCs w:val="28"/>
          <w:highlight w:val="none"/>
        </w:rPr>
        <w:t>2.3</w:t>
      </w:r>
      <w:r>
        <w:rPr>
          <w:rFonts w:hint="default" w:ascii="Times New Roman" w:hAnsi="Times New Roman" w:eastAsia="Times New Roman" w:cs="Times New Roman"/>
          <w:spacing w:val="1"/>
          <w:sz w:val="28"/>
          <w:szCs w:val="28"/>
          <w:highlight w:val="none"/>
        </w:rPr>
        <w:t xml:space="preserve"> </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环境影响要素和评价因子</w:t>
      </w:r>
      <w:bookmarkEnd w:id="75"/>
      <w:bookmarkEnd w:id="76"/>
      <w:bookmarkEnd w:id="77"/>
    </w:p>
    <w:p>
      <w:pPr>
        <w:spacing w:before="74" w:line="228" w:lineRule="auto"/>
        <w:ind w:left="128"/>
        <w:outlineLvl w:val="2"/>
        <w:rPr>
          <w:rFonts w:hint="default" w:ascii="Times New Roman" w:hAnsi="Times New Roman" w:eastAsia="宋体" w:cs="Times New Roman"/>
          <w:sz w:val="23"/>
          <w:szCs w:val="23"/>
          <w:highlight w:val="none"/>
        </w:rPr>
      </w:pPr>
      <w:bookmarkStart w:id="78" w:name="_Toc28315"/>
      <w:bookmarkStart w:id="79" w:name="_Toc18764"/>
      <w:bookmarkStart w:id="80" w:name="_Toc19695"/>
      <w:r>
        <w:rPr>
          <w:rFonts w:hint="default" w:ascii="Times New Roman" w:hAnsi="Times New Roman" w:eastAsia="Times New Roman" w:cs="Times New Roman"/>
          <w:b/>
          <w:bCs/>
          <w:spacing w:val="8"/>
          <w:sz w:val="23"/>
          <w:szCs w:val="23"/>
          <w:highlight w:val="none"/>
        </w:rPr>
        <w:t>2</w:t>
      </w:r>
      <w:r>
        <w:rPr>
          <w:rFonts w:hint="default" w:ascii="Times New Roman" w:hAnsi="Times New Roman" w:eastAsia="Times New Roman" w:cs="Times New Roman"/>
          <w:b/>
          <w:bCs/>
          <w:spacing w:val="7"/>
          <w:sz w:val="23"/>
          <w:szCs w:val="23"/>
          <w:highlight w:val="none"/>
        </w:rPr>
        <w:t>.3.1</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环境影响要素识别</w:t>
      </w:r>
      <w:bookmarkEnd w:id="78"/>
      <w:bookmarkEnd w:id="79"/>
      <w:bookmarkEnd w:id="80"/>
    </w:p>
    <w:p>
      <w:pPr>
        <w:spacing w:line="258" w:lineRule="auto"/>
        <w:rPr>
          <w:rFonts w:hint="default" w:ascii="Times New Roman" w:hAnsi="Times New Roman" w:cs="Times New Roman"/>
          <w:sz w:val="21"/>
          <w:highlight w:val="none"/>
        </w:rPr>
      </w:pPr>
    </w:p>
    <w:p>
      <w:pPr>
        <w:spacing w:before="75" w:line="408" w:lineRule="auto"/>
        <w:ind w:left="133" w:right="112" w:firstLine="479"/>
        <w:rPr>
          <w:rFonts w:hint="default" w:ascii="Times New Roman" w:hAnsi="Times New Roman" w:eastAsia="宋体" w:cs="Times New Roman"/>
          <w:spacing w:val="1"/>
          <w:sz w:val="23"/>
          <w:szCs w:val="23"/>
          <w:highlight w:val="none"/>
        </w:rPr>
      </w:pPr>
      <w:r>
        <w:rPr>
          <w:rFonts w:hint="default" w:ascii="Times New Roman" w:hAnsi="Times New Roman" w:eastAsia="宋体" w:cs="Times New Roman"/>
          <w:spacing w:val="7"/>
          <w:sz w:val="23"/>
          <w:szCs w:val="23"/>
          <w:highlight w:val="none"/>
        </w:rPr>
        <w:t>根据本项目主要污染源污染因子及区域环境特征，对本项目实施后的主要环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境影响要素进行识别，结果见表 </w:t>
      </w:r>
      <w:r>
        <w:rPr>
          <w:rFonts w:hint="default" w:ascii="Times New Roman" w:hAnsi="Times New Roman" w:eastAsia="Times New Roman" w:cs="Times New Roman"/>
          <w:spacing w:val="1"/>
          <w:sz w:val="23"/>
          <w:szCs w:val="23"/>
          <w:highlight w:val="none"/>
        </w:rPr>
        <w:t>2.3- 1</w:t>
      </w:r>
      <w:r>
        <w:rPr>
          <w:rFonts w:hint="default" w:ascii="Times New Roman" w:hAnsi="Times New Roman" w:eastAsia="宋体" w:cs="Times New Roman"/>
          <w:spacing w:val="1"/>
          <w:sz w:val="23"/>
          <w:szCs w:val="23"/>
          <w:highlight w:val="none"/>
        </w:rPr>
        <w:t>。</w:t>
      </w:r>
    </w:p>
    <w:p>
      <w:pPr>
        <w:pStyle w:val="14"/>
        <w:rPr>
          <w:rFonts w:hint="default" w:ascii="Times New Roman" w:hAnsi="Times New Roman" w:eastAsia="宋体" w:cs="Times New Roman"/>
          <w:spacing w:val="1"/>
          <w:sz w:val="23"/>
          <w:szCs w:val="23"/>
          <w:highlight w:val="none"/>
        </w:rPr>
      </w:pPr>
    </w:p>
    <w:p>
      <w:pPr>
        <w:rPr>
          <w:rFonts w:hint="default"/>
          <w:highlight w:val="none"/>
        </w:rPr>
      </w:pPr>
    </w:p>
    <w:p>
      <w:pPr>
        <w:spacing w:before="66" w:line="221" w:lineRule="auto"/>
        <w:ind w:left="268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Times New Roman" w:cs="Times New Roman"/>
          <w:b/>
          <w:bCs/>
          <w:spacing w:val="3"/>
          <w:sz w:val="23"/>
          <w:szCs w:val="23"/>
          <w:highlight w:val="none"/>
        </w:rPr>
        <w:t>2.3-1</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环境影响因素识别</w:t>
      </w:r>
    </w:p>
    <w:tbl>
      <w:tblPr>
        <w:tblStyle w:val="19"/>
        <w:tblW w:w="853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966"/>
        <w:gridCol w:w="1119"/>
        <w:gridCol w:w="1119"/>
        <w:gridCol w:w="1399"/>
        <w:gridCol w:w="1121"/>
        <w:gridCol w:w="11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2644" w:type="dxa"/>
            <w:gridSpan w:val="2"/>
            <w:vMerge w:val="restart"/>
            <w:tcBorders>
              <w:left w:val="single" w:color="000000" w:sz="10" w:space="0"/>
              <w:bottom w:val="nil"/>
              <w:tl2br w:val="single" w:color="000000" w:sz="4" w:space="0"/>
            </w:tcBorders>
            <w:vAlign w:val="top"/>
          </w:tcPr>
          <w:p>
            <w:pPr>
              <w:spacing w:before="228" w:line="228" w:lineRule="auto"/>
              <w:ind w:left="115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环</w:t>
            </w:r>
            <w:r>
              <w:rPr>
                <w:rFonts w:hint="default" w:ascii="Times New Roman" w:hAnsi="Times New Roman" w:eastAsia="宋体" w:cs="Times New Roman"/>
                <w:spacing w:val="7"/>
                <w:sz w:val="20"/>
                <w:szCs w:val="20"/>
                <w:highlight w:val="none"/>
              </w:rPr>
              <w:t>境因素</w:t>
            </w:r>
          </w:p>
          <w:p>
            <w:pPr>
              <w:spacing w:before="26" w:line="228" w:lineRule="auto"/>
              <w:ind w:left="10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工</w:t>
            </w:r>
            <w:r>
              <w:rPr>
                <w:rFonts w:hint="default" w:ascii="Times New Roman" w:hAnsi="Times New Roman" w:eastAsia="宋体" w:cs="Times New Roman"/>
                <w:spacing w:val="6"/>
                <w:sz w:val="20"/>
                <w:szCs w:val="20"/>
                <w:highlight w:val="none"/>
              </w:rPr>
              <w:t>程因素</w:t>
            </w:r>
          </w:p>
        </w:tc>
        <w:tc>
          <w:tcPr>
            <w:tcW w:w="5888" w:type="dxa"/>
            <w:gridSpan w:val="5"/>
            <w:vAlign w:val="top"/>
          </w:tcPr>
          <w:p>
            <w:pPr>
              <w:spacing w:before="89" w:line="229" w:lineRule="auto"/>
              <w:ind w:left="21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对自然环境的影</w:t>
            </w:r>
            <w:r>
              <w:rPr>
                <w:rFonts w:hint="default" w:ascii="Times New Roman" w:hAnsi="Times New Roman" w:eastAsia="宋体" w:cs="Times New Roman"/>
                <w:spacing w:val="7"/>
                <w:sz w:val="20"/>
                <w:szCs w:val="20"/>
                <w:highlight w:val="none"/>
              </w:rPr>
              <w:t>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644" w:type="dxa"/>
            <w:gridSpan w:val="2"/>
            <w:vMerge w:val="continue"/>
            <w:tcBorders>
              <w:top w:val="nil"/>
              <w:left w:val="single" w:color="000000" w:sz="10" w:space="0"/>
              <w:tl2br w:val="single" w:color="000000" w:sz="4" w:space="0"/>
            </w:tcBorders>
            <w:vAlign w:val="top"/>
          </w:tcPr>
          <w:p>
            <w:pPr>
              <w:rPr>
                <w:rFonts w:hint="default" w:ascii="Times New Roman" w:hAnsi="Times New Roman" w:cs="Times New Roman"/>
                <w:sz w:val="21"/>
                <w:highlight w:val="none"/>
              </w:rPr>
            </w:pPr>
          </w:p>
        </w:tc>
        <w:tc>
          <w:tcPr>
            <w:tcW w:w="1119" w:type="dxa"/>
            <w:vAlign w:val="top"/>
          </w:tcPr>
          <w:p>
            <w:pPr>
              <w:spacing w:before="31" w:line="272" w:lineRule="exact"/>
              <w:ind w:left="3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position w:val="4"/>
                <w:sz w:val="20"/>
                <w:szCs w:val="20"/>
                <w:highlight w:val="none"/>
              </w:rPr>
              <w:t>大</w:t>
            </w:r>
            <w:r>
              <w:rPr>
                <w:rFonts w:hint="default" w:ascii="Times New Roman" w:hAnsi="Times New Roman" w:eastAsia="宋体" w:cs="Times New Roman"/>
                <w:spacing w:val="3"/>
                <w:position w:val="4"/>
                <w:sz w:val="20"/>
                <w:szCs w:val="20"/>
                <w:highlight w:val="none"/>
              </w:rPr>
              <w:t>气</w:t>
            </w:r>
          </w:p>
          <w:p>
            <w:pPr>
              <w:spacing w:line="226" w:lineRule="auto"/>
              <w:ind w:left="34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质量</w:t>
            </w:r>
          </w:p>
        </w:tc>
        <w:tc>
          <w:tcPr>
            <w:tcW w:w="1119" w:type="dxa"/>
            <w:vAlign w:val="top"/>
          </w:tcPr>
          <w:p>
            <w:pPr>
              <w:spacing w:before="31" w:line="272" w:lineRule="exact"/>
              <w:ind w:left="2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position w:val="4"/>
                <w:sz w:val="20"/>
                <w:szCs w:val="20"/>
                <w:highlight w:val="none"/>
              </w:rPr>
              <w:t>地下</w:t>
            </w:r>
            <w:r>
              <w:rPr>
                <w:rFonts w:hint="default" w:ascii="Times New Roman" w:hAnsi="Times New Roman" w:eastAsia="宋体" w:cs="Times New Roman"/>
                <w:spacing w:val="6"/>
                <w:position w:val="4"/>
                <w:sz w:val="20"/>
                <w:szCs w:val="20"/>
                <w:highlight w:val="none"/>
              </w:rPr>
              <w:t>水</w:t>
            </w:r>
          </w:p>
          <w:p>
            <w:pPr>
              <w:spacing w:line="226" w:lineRule="auto"/>
              <w:ind w:left="3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环</w:t>
            </w:r>
            <w:r>
              <w:rPr>
                <w:rFonts w:hint="default" w:ascii="Times New Roman" w:hAnsi="Times New Roman" w:eastAsia="宋体" w:cs="Times New Roman"/>
                <w:spacing w:val="4"/>
                <w:sz w:val="20"/>
                <w:szCs w:val="20"/>
                <w:highlight w:val="none"/>
              </w:rPr>
              <w:t>境</w:t>
            </w:r>
          </w:p>
        </w:tc>
        <w:tc>
          <w:tcPr>
            <w:tcW w:w="1399" w:type="dxa"/>
            <w:vAlign w:val="top"/>
          </w:tcPr>
          <w:p>
            <w:pPr>
              <w:spacing w:before="31" w:line="272" w:lineRule="exact"/>
              <w:ind w:left="38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position w:val="4"/>
                <w:sz w:val="20"/>
                <w:szCs w:val="20"/>
                <w:highlight w:val="none"/>
              </w:rPr>
              <w:t>地表</w:t>
            </w:r>
            <w:r>
              <w:rPr>
                <w:rFonts w:hint="default" w:ascii="Times New Roman" w:hAnsi="Times New Roman" w:eastAsia="宋体" w:cs="Times New Roman"/>
                <w:spacing w:val="6"/>
                <w:position w:val="4"/>
                <w:sz w:val="20"/>
                <w:szCs w:val="20"/>
                <w:highlight w:val="none"/>
              </w:rPr>
              <w:t>水</w:t>
            </w:r>
          </w:p>
          <w:p>
            <w:pPr>
              <w:spacing w:line="226" w:lineRule="auto"/>
              <w:ind w:left="49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环</w:t>
            </w:r>
            <w:r>
              <w:rPr>
                <w:rFonts w:hint="default" w:ascii="Times New Roman" w:hAnsi="Times New Roman" w:eastAsia="宋体" w:cs="Times New Roman"/>
                <w:spacing w:val="4"/>
                <w:sz w:val="20"/>
                <w:szCs w:val="20"/>
                <w:highlight w:val="none"/>
              </w:rPr>
              <w:t>境</w:t>
            </w:r>
          </w:p>
        </w:tc>
        <w:tc>
          <w:tcPr>
            <w:tcW w:w="1121" w:type="dxa"/>
            <w:vAlign w:val="top"/>
          </w:tcPr>
          <w:p>
            <w:pPr>
              <w:spacing w:before="166" w:line="229" w:lineRule="auto"/>
              <w:ind w:left="25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声</w:t>
            </w:r>
            <w:r>
              <w:rPr>
                <w:rFonts w:hint="default" w:ascii="Times New Roman" w:hAnsi="Times New Roman" w:eastAsia="宋体" w:cs="Times New Roman"/>
                <w:spacing w:val="5"/>
                <w:sz w:val="20"/>
                <w:szCs w:val="20"/>
                <w:highlight w:val="none"/>
              </w:rPr>
              <w:t>环境</w:t>
            </w:r>
          </w:p>
        </w:tc>
        <w:tc>
          <w:tcPr>
            <w:tcW w:w="1130" w:type="dxa"/>
            <w:vAlign w:val="top"/>
          </w:tcPr>
          <w:p>
            <w:pPr>
              <w:spacing w:before="166" w:line="233" w:lineRule="auto"/>
              <w:ind w:left="35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生</w:t>
            </w:r>
            <w:r>
              <w:rPr>
                <w:rFonts w:hint="default" w:ascii="Times New Roman" w:hAnsi="Times New Roman" w:eastAsia="宋体" w:cs="Times New Roman"/>
                <w:spacing w:val="3"/>
                <w:sz w:val="20"/>
                <w:szCs w:val="20"/>
                <w:highlight w:val="none"/>
              </w:rPr>
              <w:t>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8" w:type="dxa"/>
            <w:vMerge w:val="restart"/>
            <w:tcBorders>
              <w:left w:val="single" w:color="000000" w:sz="10" w:space="0"/>
              <w:bottom w:val="nil"/>
            </w:tcBorders>
            <w:vAlign w:val="top"/>
          </w:tcPr>
          <w:p>
            <w:pPr>
              <w:spacing w:line="388" w:lineRule="auto"/>
              <w:rPr>
                <w:rFonts w:hint="default" w:ascii="Times New Roman" w:hAnsi="Times New Roman" w:cs="Times New Roman"/>
                <w:sz w:val="21"/>
                <w:highlight w:val="none"/>
              </w:rPr>
            </w:pPr>
          </w:p>
          <w:p>
            <w:pPr>
              <w:spacing w:before="65" w:line="271" w:lineRule="exact"/>
              <w:ind w:left="1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position w:val="4"/>
                <w:sz w:val="20"/>
                <w:szCs w:val="20"/>
                <w:highlight w:val="none"/>
              </w:rPr>
              <w:t>施工</w:t>
            </w:r>
          </w:p>
          <w:p>
            <w:pPr>
              <w:spacing w:line="229" w:lineRule="auto"/>
              <w:ind w:left="226"/>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期</w:t>
            </w:r>
          </w:p>
        </w:tc>
        <w:tc>
          <w:tcPr>
            <w:tcW w:w="1966" w:type="dxa"/>
            <w:vAlign w:val="top"/>
          </w:tcPr>
          <w:p>
            <w:pPr>
              <w:spacing w:before="66" w:line="231" w:lineRule="auto"/>
              <w:ind w:left="7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扬尘</w:t>
            </w:r>
          </w:p>
        </w:tc>
        <w:tc>
          <w:tcPr>
            <w:tcW w:w="1119" w:type="dxa"/>
            <w:vAlign w:val="top"/>
          </w:tcPr>
          <w:p>
            <w:pPr>
              <w:spacing w:before="102" w:line="195" w:lineRule="auto"/>
              <w:ind w:left="39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-2</w:t>
            </w:r>
            <w:r>
              <w:rPr>
                <w:rFonts w:hint="default" w:ascii="Times New Roman" w:hAnsi="Times New Roman" w:eastAsia="Times New Roman" w:cs="Times New Roman"/>
                <w:sz w:val="20"/>
                <w:szCs w:val="20"/>
                <w:highlight w:val="none"/>
              </w:rPr>
              <w:t>D</w:t>
            </w:r>
          </w:p>
        </w:tc>
        <w:tc>
          <w:tcPr>
            <w:tcW w:w="1119" w:type="dxa"/>
            <w:vAlign w:val="top"/>
          </w:tcPr>
          <w:p>
            <w:pPr>
              <w:rPr>
                <w:rFonts w:hint="default" w:ascii="Times New Roman" w:hAnsi="Times New Roman" w:cs="Times New Roman"/>
                <w:sz w:val="21"/>
                <w:highlight w:val="none"/>
              </w:rPr>
            </w:pPr>
          </w:p>
        </w:tc>
        <w:tc>
          <w:tcPr>
            <w:tcW w:w="1399" w:type="dxa"/>
            <w:vAlign w:val="top"/>
          </w:tcPr>
          <w:p>
            <w:pPr>
              <w:rPr>
                <w:rFonts w:hint="default" w:ascii="Times New Roman" w:hAnsi="Times New Roman" w:cs="Times New Roman"/>
                <w:sz w:val="21"/>
                <w:highlight w:val="none"/>
              </w:rPr>
            </w:pPr>
          </w:p>
        </w:tc>
        <w:tc>
          <w:tcPr>
            <w:tcW w:w="1121" w:type="dxa"/>
            <w:vAlign w:val="top"/>
          </w:tcPr>
          <w:p>
            <w:pPr>
              <w:rPr>
                <w:rFonts w:hint="default" w:ascii="Times New Roman" w:hAnsi="Times New Roman" w:cs="Times New Roman"/>
                <w:sz w:val="21"/>
                <w:highlight w:val="none"/>
              </w:rPr>
            </w:pPr>
          </w:p>
        </w:tc>
        <w:tc>
          <w:tcPr>
            <w:tcW w:w="1130" w:type="dxa"/>
            <w:vAlign w:val="top"/>
          </w:tcPr>
          <w:p>
            <w:pPr>
              <w:spacing w:before="102" w:line="195" w:lineRule="auto"/>
              <w:ind w:left="40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1"/>
                <w:sz w:val="20"/>
                <w:szCs w:val="20"/>
                <w:highlight w:val="none"/>
              </w:rPr>
              <w:t>- 1D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8"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966" w:type="dxa"/>
            <w:vAlign w:val="top"/>
          </w:tcPr>
          <w:p>
            <w:pPr>
              <w:spacing w:before="67" w:line="229" w:lineRule="auto"/>
              <w:ind w:left="57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固体废</w:t>
            </w:r>
            <w:r>
              <w:rPr>
                <w:rFonts w:hint="default" w:ascii="Times New Roman" w:hAnsi="Times New Roman" w:eastAsia="宋体" w:cs="Times New Roman"/>
                <w:spacing w:val="2"/>
                <w:sz w:val="20"/>
                <w:szCs w:val="20"/>
                <w:highlight w:val="none"/>
              </w:rPr>
              <w:t>物</w:t>
            </w:r>
          </w:p>
        </w:tc>
        <w:tc>
          <w:tcPr>
            <w:tcW w:w="1119" w:type="dxa"/>
            <w:vAlign w:val="top"/>
          </w:tcPr>
          <w:p>
            <w:pPr>
              <w:spacing w:before="103" w:line="195" w:lineRule="auto"/>
              <w:ind w:left="39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1"/>
                <w:sz w:val="20"/>
                <w:szCs w:val="20"/>
                <w:highlight w:val="none"/>
              </w:rPr>
              <w:t>- 1D</w:t>
            </w:r>
          </w:p>
        </w:tc>
        <w:tc>
          <w:tcPr>
            <w:tcW w:w="1119" w:type="dxa"/>
            <w:vAlign w:val="top"/>
          </w:tcPr>
          <w:p>
            <w:pPr>
              <w:rPr>
                <w:rFonts w:hint="default" w:ascii="Times New Roman" w:hAnsi="Times New Roman" w:cs="Times New Roman"/>
                <w:sz w:val="21"/>
                <w:highlight w:val="none"/>
              </w:rPr>
            </w:pPr>
          </w:p>
        </w:tc>
        <w:tc>
          <w:tcPr>
            <w:tcW w:w="1399" w:type="dxa"/>
            <w:vAlign w:val="top"/>
          </w:tcPr>
          <w:p>
            <w:pPr>
              <w:rPr>
                <w:rFonts w:hint="default" w:ascii="Times New Roman" w:hAnsi="Times New Roman" w:cs="Times New Roman"/>
                <w:sz w:val="21"/>
                <w:highlight w:val="none"/>
              </w:rPr>
            </w:pPr>
          </w:p>
        </w:tc>
        <w:tc>
          <w:tcPr>
            <w:tcW w:w="1121" w:type="dxa"/>
            <w:vAlign w:val="top"/>
          </w:tcPr>
          <w:p>
            <w:pPr>
              <w:rPr>
                <w:rFonts w:hint="default" w:ascii="Times New Roman" w:hAnsi="Times New Roman" w:cs="Times New Roman"/>
                <w:sz w:val="21"/>
                <w:highlight w:val="none"/>
              </w:rPr>
            </w:pPr>
          </w:p>
        </w:tc>
        <w:tc>
          <w:tcPr>
            <w:tcW w:w="1130" w:type="dxa"/>
            <w:vAlign w:val="top"/>
          </w:tcPr>
          <w:p>
            <w:pPr>
              <w:spacing w:before="103" w:line="195" w:lineRule="auto"/>
              <w:ind w:left="40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1"/>
                <w:sz w:val="20"/>
                <w:szCs w:val="20"/>
                <w:highlight w:val="none"/>
              </w:rPr>
              <w:t>- 1D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8"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966" w:type="dxa"/>
            <w:vAlign w:val="top"/>
          </w:tcPr>
          <w:p>
            <w:pPr>
              <w:spacing w:before="66" w:line="228" w:lineRule="auto"/>
              <w:ind w:left="7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废水</w:t>
            </w:r>
          </w:p>
        </w:tc>
        <w:tc>
          <w:tcPr>
            <w:tcW w:w="1119" w:type="dxa"/>
            <w:vAlign w:val="top"/>
          </w:tcPr>
          <w:p>
            <w:pPr>
              <w:rPr>
                <w:rFonts w:hint="default" w:ascii="Times New Roman" w:hAnsi="Times New Roman" w:cs="Times New Roman"/>
                <w:sz w:val="21"/>
                <w:highlight w:val="none"/>
              </w:rPr>
            </w:pPr>
          </w:p>
        </w:tc>
        <w:tc>
          <w:tcPr>
            <w:tcW w:w="1119" w:type="dxa"/>
            <w:vAlign w:val="top"/>
          </w:tcPr>
          <w:p>
            <w:pPr>
              <w:spacing w:before="104" w:line="195" w:lineRule="auto"/>
              <w:ind w:left="50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c>
          <w:tcPr>
            <w:tcW w:w="1399" w:type="dxa"/>
            <w:vAlign w:val="top"/>
          </w:tcPr>
          <w:p>
            <w:pPr>
              <w:spacing w:before="104" w:line="195" w:lineRule="auto"/>
              <w:ind w:left="64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c>
          <w:tcPr>
            <w:tcW w:w="1121" w:type="dxa"/>
            <w:vAlign w:val="top"/>
          </w:tcPr>
          <w:p>
            <w:pPr>
              <w:rPr>
                <w:rFonts w:hint="default" w:ascii="Times New Roman" w:hAnsi="Times New Roman" w:cs="Times New Roman"/>
                <w:sz w:val="21"/>
                <w:highlight w:val="none"/>
              </w:rPr>
            </w:pPr>
          </w:p>
        </w:tc>
        <w:tc>
          <w:tcPr>
            <w:tcW w:w="1130" w:type="dxa"/>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8" w:type="dxa"/>
            <w:vMerge w:val="continue"/>
            <w:tcBorders>
              <w:top w:val="nil"/>
              <w:left w:val="single" w:color="000000" w:sz="10" w:space="0"/>
            </w:tcBorders>
            <w:vAlign w:val="top"/>
          </w:tcPr>
          <w:p>
            <w:pPr>
              <w:rPr>
                <w:rFonts w:hint="default" w:ascii="Times New Roman" w:hAnsi="Times New Roman" w:cs="Times New Roman"/>
                <w:sz w:val="21"/>
                <w:highlight w:val="none"/>
              </w:rPr>
            </w:pPr>
          </w:p>
        </w:tc>
        <w:tc>
          <w:tcPr>
            <w:tcW w:w="1966" w:type="dxa"/>
            <w:vAlign w:val="top"/>
          </w:tcPr>
          <w:p>
            <w:pPr>
              <w:spacing w:before="67" w:line="229" w:lineRule="auto"/>
              <w:ind w:left="77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rPr>
              <w:t>噪</w:t>
            </w:r>
            <w:r>
              <w:rPr>
                <w:rFonts w:hint="default" w:ascii="Times New Roman" w:hAnsi="Times New Roman" w:eastAsia="宋体" w:cs="Times New Roman"/>
                <w:sz w:val="20"/>
                <w:szCs w:val="20"/>
                <w:highlight w:val="none"/>
              </w:rPr>
              <w:t>声</w:t>
            </w:r>
          </w:p>
        </w:tc>
        <w:tc>
          <w:tcPr>
            <w:tcW w:w="1119" w:type="dxa"/>
            <w:vAlign w:val="top"/>
          </w:tcPr>
          <w:p>
            <w:pPr>
              <w:rPr>
                <w:rFonts w:hint="default" w:ascii="Times New Roman" w:hAnsi="Times New Roman" w:cs="Times New Roman"/>
                <w:sz w:val="21"/>
                <w:highlight w:val="none"/>
              </w:rPr>
            </w:pPr>
          </w:p>
        </w:tc>
        <w:tc>
          <w:tcPr>
            <w:tcW w:w="1119" w:type="dxa"/>
            <w:vAlign w:val="top"/>
          </w:tcPr>
          <w:p>
            <w:pPr>
              <w:rPr>
                <w:rFonts w:hint="default" w:ascii="Times New Roman" w:hAnsi="Times New Roman" w:cs="Times New Roman"/>
                <w:sz w:val="21"/>
                <w:highlight w:val="none"/>
              </w:rPr>
            </w:pPr>
          </w:p>
        </w:tc>
        <w:tc>
          <w:tcPr>
            <w:tcW w:w="1399" w:type="dxa"/>
            <w:vAlign w:val="top"/>
          </w:tcPr>
          <w:p>
            <w:pPr>
              <w:rPr>
                <w:rFonts w:hint="default" w:ascii="Times New Roman" w:hAnsi="Times New Roman" w:cs="Times New Roman"/>
                <w:sz w:val="21"/>
                <w:highlight w:val="none"/>
              </w:rPr>
            </w:pPr>
          </w:p>
        </w:tc>
        <w:tc>
          <w:tcPr>
            <w:tcW w:w="1121" w:type="dxa"/>
            <w:vAlign w:val="top"/>
          </w:tcPr>
          <w:p>
            <w:pPr>
              <w:spacing w:before="106" w:line="195" w:lineRule="auto"/>
              <w:ind w:left="40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-2</w:t>
            </w:r>
            <w:r>
              <w:rPr>
                <w:rFonts w:hint="default" w:ascii="Times New Roman" w:hAnsi="Times New Roman" w:eastAsia="Times New Roman" w:cs="Times New Roman"/>
                <w:sz w:val="20"/>
                <w:szCs w:val="20"/>
                <w:highlight w:val="none"/>
              </w:rPr>
              <w:t>D</w:t>
            </w:r>
          </w:p>
        </w:tc>
        <w:tc>
          <w:tcPr>
            <w:tcW w:w="1130" w:type="dxa"/>
            <w:vAlign w:val="top"/>
          </w:tcPr>
          <w:p>
            <w:pPr>
              <w:spacing w:before="106" w:line="195" w:lineRule="auto"/>
              <w:ind w:left="40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1"/>
                <w:sz w:val="20"/>
                <w:szCs w:val="20"/>
                <w:highlight w:val="none"/>
              </w:rPr>
              <w:t>- 1D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8" w:type="dxa"/>
            <w:vMerge w:val="restart"/>
            <w:tcBorders>
              <w:left w:val="single" w:color="000000" w:sz="10" w:space="0"/>
              <w:bottom w:val="nil"/>
            </w:tcBorders>
            <w:vAlign w:val="top"/>
          </w:tcPr>
          <w:p>
            <w:pPr>
              <w:spacing w:line="390" w:lineRule="auto"/>
              <w:rPr>
                <w:rFonts w:hint="default" w:ascii="Times New Roman" w:hAnsi="Times New Roman" w:cs="Times New Roman"/>
                <w:sz w:val="21"/>
                <w:highlight w:val="none"/>
              </w:rPr>
            </w:pPr>
          </w:p>
          <w:p>
            <w:pPr>
              <w:spacing w:before="65" w:line="274" w:lineRule="exact"/>
              <w:ind w:left="1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position w:val="4"/>
                <w:sz w:val="20"/>
                <w:szCs w:val="20"/>
                <w:highlight w:val="none"/>
              </w:rPr>
              <w:t>运</w:t>
            </w:r>
            <w:r>
              <w:rPr>
                <w:rFonts w:hint="default" w:ascii="Times New Roman" w:hAnsi="Times New Roman" w:eastAsia="宋体" w:cs="Times New Roman"/>
                <w:spacing w:val="4"/>
                <w:position w:val="4"/>
                <w:sz w:val="20"/>
                <w:szCs w:val="20"/>
                <w:highlight w:val="none"/>
              </w:rPr>
              <w:t>营</w:t>
            </w:r>
          </w:p>
          <w:p>
            <w:pPr>
              <w:spacing w:line="229" w:lineRule="auto"/>
              <w:ind w:left="226"/>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期</w:t>
            </w:r>
          </w:p>
        </w:tc>
        <w:tc>
          <w:tcPr>
            <w:tcW w:w="1966" w:type="dxa"/>
            <w:vAlign w:val="top"/>
          </w:tcPr>
          <w:p>
            <w:pPr>
              <w:spacing w:before="69" w:line="228" w:lineRule="auto"/>
              <w:ind w:left="7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废水</w:t>
            </w:r>
          </w:p>
        </w:tc>
        <w:tc>
          <w:tcPr>
            <w:tcW w:w="1119" w:type="dxa"/>
            <w:vAlign w:val="top"/>
          </w:tcPr>
          <w:p>
            <w:pPr>
              <w:rPr>
                <w:rFonts w:hint="default" w:ascii="Times New Roman" w:hAnsi="Times New Roman" w:cs="Times New Roman"/>
                <w:sz w:val="21"/>
                <w:highlight w:val="none"/>
              </w:rPr>
            </w:pPr>
          </w:p>
        </w:tc>
        <w:tc>
          <w:tcPr>
            <w:tcW w:w="1119" w:type="dxa"/>
            <w:vAlign w:val="top"/>
          </w:tcPr>
          <w:p>
            <w:pPr>
              <w:spacing w:before="107" w:line="195" w:lineRule="auto"/>
              <w:ind w:left="40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2"/>
                <w:sz w:val="20"/>
                <w:szCs w:val="20"/>
                <w:highlight w:val="none"/>
              </w:rPr>
              <w:t>-</w:t>
            </w:r>
            <w:r>
              <w:rPr>
                <w:rFonts w:hint="default" w:ascii="Times New Roman" w:hAnsi="Times New Roman" w:eastAsia="Times New Roman" w:cs="Times New Roman"/>
                <w:spacing w:val="-11"/>
                <w:sz w:val="20"/>
                <w:szCs w:val="20"/>
                <w:highlight w:val="none"/>
              </w:rPr>
              <w:t xml:space="preserve"> 1C</w:t>
            </w:r>
          </w:p>
        </w:tc>
        <w:tc>
          <w:tcPr>
            <w:tcW w:w="1399" w:type="dxa"/>
            <w:vAlign w:val="top"/>
          </w:tcPr>
          <w:p>
            <w:pPr>
              <w:spacing w:before="107" w:line="195" w:lineRule="auto"/>
              <w:ind w:left="64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c>
          <w:tcPr>
            <w:tcW w:w="1121" w:type="dxa"/>
            <w:vAlign w:val="top"/>
          </w:tcPr>
          <w:p>
            <w:pPr>
              <w:rPr>
                <w:rFonts w:hint="default" w:ascii="Times New Roman" w:hAnsi="Times New Roman" w:cs="Times New Roman"/>
                <w:sz w:val="21"/>
                <w:highlight w:val="none"/>
              </w:rPr>
            </w:pPr>
          </w:p>
        </w:tc>
        <w:tc>
          <w:tcPr>
            <w:tcW w:w="1130" w:type="dxa"/>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8"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966" w:type="dxa"/>
            <w:vAlign w:val="top"/>
          </w:tcPr>
          <w:p>
            <w:pPr>
              <w:spacing w:before="69" w:line="228" w:lineRule="auto"/>
              <w:ind w:left="7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废气</w:t>
            </w:r>
          </w:p>
        </w:tc>
        <w:tc>
          <w:tcPr>
            <w:tcW w:w="1119" w:type="dxa"/>
            <w:vAlign w:val="top"/>
          </w:tcPr>
          <w:p>
            <w:pPr>
              <w:spacing w:before="105" w:line="195" w:lineRule="auto"/>
              <w:ind w:left="4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2"/>
                <w:sz w:val="20"/>
                <w:szCs w:val="20"/>
                <w:highlight w:val="none"/>
              </w:rPr>
              <w:t>-</w:t>
            </w:r>
            <w:r>
              <w:rPr>
                <w:rFonts w:hint="default" w:ascii="Times New Roman" w:hAnsi="Times New Roman" w:eastAsia="Times New Roman" w:cs="Times New Roman"/>
                <w:spacing w:val="-11"/>
                <w:sz w:val="20"/>
                <w:szCs w:val="20"/>
                <w:highlight w:val="none"/>
              </w:rPr>
              <w:t xml:space="preserve"> 1C</w:t>
            </w:r>
          </w:p>
        </w:tc>
        <w:tc>
          <w:tcPr>
            <w:tcW w:w="1119" w:type="dxa"/>
            <w:vAlign w:val="top"/>
          </w:tcPr>
          <w:p>
            <w:pPr>
              <w:rPr>
                <w:rFonts w:hint="default" w:ascii="Times New Roman" w:hAnsi="Times New Roman" w:cs="Times New Roman"/>
                <w:sz w:val="21"/>
                <w:highlight w:val="none"/>
              </w:rPr>
            </w:pPr>
          </w:p>
        </w:tc>
        <w:tc>
          <w:tcPr>
            <w:tcW w:w="1399" w:type="dxa"/>
            <w:vAlign w:val="top"/>
          </w:tcPr>
          <w:p>
            <w:pPr>
              <w:rPr>
                <w:rFonts w:hint="default" w:ascii="Times New Roman" w:hAnsi="Times New Roman" w:cs="Times New Roman"/>
                <w:sz w:val="21"/>
                <w:highlight w:val="none"/>
              </w:rPr>
            </w:pPr>
          </w:p>
        </w:tc>
        <w:tc>
          <w:tcPr>
            <w:tcW w:w="1121" w:type="dxa"/>
            <w:vAlign w:val="top"/>
          </w:tcPr>
          <w:p>
            <w:pPr>
              <w:rPr>
                <w:rFonts w:hint="default" w:ascii="Times New Roman" w:hAnsi="Times New Roman" w:cs="Times New Roman"/>
                <w:sz w:val="21"/>
                <w:highlight w:val="none"/>
              </w:rPr>
            </w:pPr>
          </w:p>
        </w:tc>
        <w:tc>
          <w:tcPr>
            <w:tcW w:w="1130" w:type="dxa"/>
            <w:vAlign w:val="top"/>
          </w:tcPr>
          <w:p>
            <w:pPr>
              <w:spacing w:before="105" w:line="195" w:lineRule="auto"/>
              <w:ind w:left="41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4"/>
                <w:sz w:val="20"/>
                <w:szCs w:val="20"/>
                <w:highlight w:val="none"/>
              </w:rPr>
              <w:t>-</w:t>
            </w:r>
            <w:r>
              <w:rPr>
                <w:rFonts w:hint="default" w:ascii="Times New Roman" w:hAnsi="Times New Roman" w:eastAsia="Times New Roman" w:cs="Times New Roman"/>
                <w:spacing w:val="-11"/>
                <w:sz w:val="20"/>
                <w:szCs w:val="20"/>
                <w:highlight w:val="none"/>
              </w:rPr>
              <w:t xml:space="preserve"> 1C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8"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966" w:type="dxa"/>
            <w:vAlign w:val="top"/>
          </w:tcPr>
          <w:p>
            <w:pPr>
              <w:spacing w:before="69" w:line="229" w:lineRule="auto"/>
              <w:ind w:left="77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rPr>
              <w:t>噪</w:t>
            </w:r>
            <w:r>
              <w:rPr>
                <w:rFonts w:hint="default" w:ascii="Times New Roman" w:hAnsi="Times New Roman" w:eastAsia="宋体" w:cs="Times New Roman"/>
                <w:sz w:val="20"/>
                <w:szCs w:val="20"/>
                <w:highlight w:val="none"/>
              </w:rPr>
              <w:t>声</w:t>
            </w:r>
          </w:p>
        </w:tc>
        <w:tc>
          <w:tcPr>
            <w:tcW w:w="1119" w:type="dxa"/>
            <w:vAlign w:val="top"/>
          </w:tcPr>
          <w:p>
            <w:pPr>
              <w:rPr>
                <w:rFonts w:hint="default" w:ascii="Times New Roman" w:hAnsi="Times New Roman" w:cs="Times New Roman"/>
                <w:sz w:val="21"/>
                <w:highlight w:val="none"/>
              </w:rPr>
            </w:pPr>
          </w:p>
        </w:tc>
        <w:tc>
          <w:tcPr>
            <w:tcW w:w="1119" w:type="dxa"/>
            <w:vAlign w:val="top"/>
          </w:tcPr>
          <w:p>
            <w:pPr>
              <w:rPr>
                <w:rFonts w:hint="default" w:ascii="Times New Roman" w:hAnsi="Times New Roman" w:cs="Times New Roman"/>
                <w:sz w:val="21"/>
                <w:highlight w:val="none"/>
              </w:rPr>
            </w:pPr>
          </w:p>
        </w:tc>
        <w:tc>
          <w:tcPr>
            <w:tcW w:w="1399" w:type="dxa"/>
            <w:vAlign w:val="top"/>
          </w:tcPr>
          <w:p>
            <w:pPr>
              <w:rPr>
                <w:rFonts w:hint="default" w:ascii="Times New Roman" w:hAnsi="Times New Roman" w:cs="Times New Roman"/>
                <w:sz w:val="21"/>
                <w:highlight w:val="none"/>
              </w:rPr>
            </w:pPr>
          </w:p>
        </w:tc>
        <w:tc>
          <w:tcPr>
            <w:tcW w:w="1121" w:type="dxa"/>
            <w:vAlign w:val="top"/>
          </w:tcPr>
          <w:p>
            <w:pPr>
              <w:spacing w:before="105" w:line="195" w:lineRule="auto"/>
              <w:ind w:left="40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4"/>
                <w:sz w:val="20"/>
                <w:szCs w:val="20"/>
                <w:highlight w:val="none"/>
              </w:rPr>
              <w:t>-</w:t>
            </w:r>
            <w:r>
              <w:rPr>
                <w:rFonts w:hint="default" w:ascii="Times New Roman" w:hAnsi="Times New Roman" w:eastAsia="Times New Roman" w:cs="Times New Roman"/>
                <w:spacing w:val="-11"/>
                <w:sz w:val="20"/>
                <w:szCs w:val="20"/>
                <w:highlight w:val="none"/>
              </w:rPr>
              <w:t xml:space="preserve"> 1C</w:t>
            </w:r>
          </w:p>
        </w:tc>
        <w:tc>
          <w:tcPr>
            <w:tcW w:w="1130" w:type="dxa"/>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8" w:type="dxa"/>
            <w:vMerge w:val="continue"/>
            <w:tcBorders>
              <w:top w:val="nil"/>
              <w:left w:val="single" w:color="000000" w:sz="10" w:space="0"/>
            </w:tcBorders>
            <w:vAlign w:val="top"/>
          </w:tcPr>
          <w:p>
            <w:pPr>
              <w:rPr>
                <w:rFonts w:hint="default" w:ascii="Times New Roman" w:hAnsi="Times New Roman" w:cs="Times New Roman"/>
                <w:sz w:val="21"/>
                <w:highlight w:val="none"/>
              </w:rPr>
            </w:pPr>
          </w:p>
        </w:tc>
        <w:tc>
          <w:tcPr>
            <w:tcW w:w="1966" w:type="dxa"/>
            <w:vAlign w:val="top"/>
          </w:tcPr>
          <w:p>
            <w:pPr>
              <w:spacing w:before="70" w:line="229" w:lineRule="auto"/>
              <w:ind w:left="78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固</w:t>
            </w:r>
            <w:r>
              <w:rPr>
                <w:rFonts w:hint="default" w:ascii="Times New Roman" w:hAnsi="Times New Roman" w:eastAsia="宋体" w:cs="Times New Roman"/>
                <w:spacing w:val="-4"/>
                <w:sz w:val="20"/>
                <w:szCs w:val="20"/>
                <w:highlight w:val="none"/>
              </w:rPr>
              <w:t>废</w:t>
            </w:r>
          </w:p>
        </w:tc>
        <w:tc>
          <w:tcPr>
            <w:tcW w:w="1119" w:type="dxa"/>
            <w:vAlign w:val="top"/>
          </w:tcPr>
          <w:p>
            <w:pPr>
              <w:spacing w:before="106" w:line="195" w:lineRule="auto"/>
              <w:ind w:left="4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2"/>
                <w:sz w:val="20"/>
                <w:szCs w:val="20"/>
                <w:highlight w:val="none"/>
              </w:rPr>
              <w:t>-</w:t>
            </w:r>
            <w:r>
              <w:rPr>
                <w:rFonts w:hint="default" w:ascii="Times New Roman" w:hAnsi="Times New Roman" w:eastAsia="Times New Roman" w:cs="Times New Roman"/>
                <w:spacing w:val="-11"/>
                <w:sz w:val="20"/>
                <w:szCs w:val="20"/>
                <w:highlight w:val="none"/>
              </w:rPr>
              <w:t xml:space="preserve"> 1C</w:t>
            </w:r>
          </w:p>
        </w:tc>
        <w:tc>
          <w:tcPr>
            <w:tcW w:w="1119" w:type="dxa"/>
            <w:vAlign w:val="top"/>
          </w:tcPr>
          <w:p>
            <w:pPr>
              <w:rPr>
                <w:rFonts w:hint="default" w:ascii="Times New Roman" w:hAnsi="Times New Roman" w:cs="Times New Roman"/>
                <w:sz w:val="21"/>
                <w:highlight w:val="none"/>
              </w:rPr>
            </w:pPr>
          </w:p>
        </w:tc>
        <w:tc>
          <w:tcPr>
            <w:tcW w:w="1399" w:type="dxa"/>
            <w:vAlign w:val="top"/>
          </w:tcPr>
          <w:p>
            <w:pPr>
              <w:rPr>
                <w:rFonts w:hint="default" w:ascii="Times New Roman" w:hAnsi="Times New Roman" w:cs="Times New Roman"/>
                <w:sz w:val="21"/>
                <w:highlight w:val="none"/>
              </w:rPr>
            </w:pPr>
          </w:p>
        </w:tc>
        <w:tc>
          <w:tcPr>
            <w:tcW w:w="1121" w:type="dxa"/>
            <w:vAlign w:val="top"/>
          </w:tcPr>
          <w:p>
            <w:pPr>
              <w:spacing w:before="106" w:line="195" w:lineRule="auto"/>
              <w:ind w:left="51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c>
          <w:tcPr>
            <w:tcW w:w="1130" w:type="dxa"/>
            <w:vAlign w:val="top"/>
          </w:tcPr>
          <w:p>
            <w:pPr>
              <w:spacing w:before="106" w:line="195" w:lineRule="auto"/>
              <w:ind w:left="41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4"/>
                <w:sz w:val="20"/>
                <w:szCs w:val="20"/>
                <w:highlight w:val="none"/>
              </w:rPr>
              <w:t>-</w:t>
            </w:r>
            <w:r>
              <w:rPr>
                <w:rFonts w:hint="default" w:ascii="Times New Roman" w:hAnsi="Times New Roman" w:eastAsia="Times New Roman" w:cs="Times New Roman"/>
                <w:spacing w:val="-11"/>
                <w:sz w:val="20"/>
                <w:szCs w:val="20"/>
                <w:highlight w:val="none"/>
              </w:rPr>
              <w:t xml:space="preserve"> 1C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532" w:type="dxa"/>
            <w:gridSpan w:val="7"/>
            <w:tcBorders>
              <w:left w:val="single" w:color="000000" w:sz="10" w:space="0"/>
            </w:tcBorders>
            <w:vAlign w:val="top"/>
          </w:tcPr>
          <w:p>
            <w:pPr>
              <w:spacing w:before="5" w:line="262" w:lineRule="auto"/>
              <w:ind w:left="125" w:right="34" w:hanging="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rPr>
              <w:t>注：①</w:t>
            </w:r>
            <w:r>
              <w:rPr>
                <w:rFonts w:hint="default" w:ascii="Times New Roman" w:hAnsi="Times New Roman" w:eastAsia="Times New Roman" w:cs="Times New Roman"/>
                <w:spacing w:val="1"/>
                <w:sz w:val="20"/>
                <w:szCs w:val="20"/>
                <w:highlight w:val="none"/>
              </w:rPr>
              <w:t xml:space="preserve">+ </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w:t>
            </w:r>
            <w:r>
              <w:rPr>
                <w:rFonts w:hint="default" w:ascii="Times New Roman" w:hAnsi="Times New Roman" w:eastAsia="宋体" w:cs="Times New Roman"/>
                <w:spacing w:val="1"/>
                <w:sz w:val="20"/>
                <w:szCs w:val="20"/>
                <w:highlight w:val="none"/>
              </w:rPr>
              <w:t>分别代表有利影响和不利影响；②数字</w:t>
            </w:r>
            <w:r>
              <w:rPr>
                <w:rFonts w:hint="default" w:ascii="Times New Roman" w:hAnsi="Times New Roman" w:eastAsia="Times New Roman" w:cs="Times New Roman"/>
                <w:spacing w:val="1"/>
                <w:sz w:val="20"/>
                <w:szCs w:val="20"/>
                <w:highlight w:val="none"/>
              </w:rPr>
              <w:t xml:space="preserve">0 </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1</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 xml:space="preserve">2 </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3</w:t>
            </w:r>
            <w:r>
              <w:rPr>
                <w:rFonts w:hint="default" w:ascii="Times New Roman" w:hAnsi="Times New Roman" w:eastAsia="宋体" w:cs="Times New Roman"/>
                <w:spacing w:val="1"/>
                <w:sz w:val="20"/>
                <w:szCs w:val="20"/>
                <w:highlight w:val="none"/>
              </w:rPr>
              <w:t>分别代表影响程度较小、轻微、</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8"/>
                <w:sz w:val="20"/>
                <w:szCs w:val="20"/>
                <w:highlight w:val="none"/>
              </w:rPr>
              <w:t>中等、较大。</w:t>
            </w:r>
            <w:r>
              <w:rPr>
                <w:rFonts w:hint="default" w:ascii="Times New Roman" w:hAnsi="Times New Roman" w:eastAsia="Times New Roman" w:cs="Times New Roman"/>
                <w:spacing w:val="8"/>
                <w:sz w:val="20"/>
                <w:szCs w:val="20"/>
                <w:highlight w:val="none"/>
              </w:rPr>
              <w:t>“</w:t>
            </w:r>
            <w:r>
              <w:rPr>
                <w:rFonts w:hint="default" w:ascii="Times New Roman" w:hAnsi="Times New Roman" w:eastAsia="Times New Roman" w:cs="Times New Roman"/>
                <w:sz w:val="20"/>
                <w:szCs w:val="20"/>
                <w:highlight w:val="none"/>
              </w:rPr>
              <w:t>D</w:t>
            </w:r>
            <w:r>
              <w:rPr>
                <w:rFonts w:hint="default" w:ascii="Times New Roman" w:hAnsi="Times New Roman" w:eastAsia="Times New Roman" w:cs="Times New Roman"/>
                <w:spacing w:val="8"/>
                <w:sz w:val="20"/>
                <w:szCs w:val="20"/>
                <w:highlight w:val="none"/>
              </w:rPr>
              <w:t>”</w:t>
            </w:r>
            <w:r>
              <w:rPr>
                <w:rFonts w:hint="default" w:ascii="Times New Roman" w:hAnsi="Times New Roman" w:eastAsia="宋体" w:cs="Times New Roman"/>
                <w:spacing w:val="8"/>
                <w:sz w:val="20"/>
                <w:szCs w:val="20"/>
                <w:highlight w:val="none"/>
              </w:rPr>
              <w:t>代表短期影响，</w:t>
            </w:r>
            <w:r>
              <w:rPr>
                <w:rFonts w:hint="default" w:ascii="Times New Roman" w:hAnsi="Times New Roman" w:eastAsia="Times New Roman" w:cs="Times New Roman"/>
                <w:spacing w:val="8"/>
                <w:sz w:val="20"/>
                <w:szCs w:val="20"/>
                <w:highlight w:val="none"/>
              </w:rPr>
              <w:t>“</w:t>
            </w:r>
            <w:r>
              <w:rPr>
                <w:rFonts w:hint="default" w:ascii="Times New Roman" w:hAnsi="Times New Roman" w:eastAsia="Times New Roman" w:cs="Times New Roman"/>
                <w:sz w:val="20"/>
                <w:szCs w:val="20"/>
                <w:highlight w:val="none"/>
              </w:rPr>
              <w:t>C</w:t>
            </w:r>
            <w:r>
              <w:rPr>
                <w:rFonts w:hint="default" w:ascii="Times New Roman" w:hAnsi="Times New Roman" w:eastAsia="Times New Roman" w:cs="Times New Roman"/>
                <w:spacing w:val="8"/>
                <w:sz w:val="20"/>
                <w:szCs w:val="20"/>
                <w:highlight w:val="none"/>
              </w:rPr>
              <w:t>”</w:t>
            </w:r>
            <w:r>
              <w:rPr>
                <w:rFonts w:hint="default" w:ascii="Times New Roman" w:hAnsi="Times New Roman" w:eastAsia="宋体" w:cs="Times New Roman"/>
                <w:spacing w:val="8"/>
                <w:sz w:val="20"/>
                <w:szCs w:val="20"/>
                <w:highlight w:val="none"/>
              </w:rPr>
              <w:t>代表长期影响</w:t>
            </w:r>
            <w:r>
              <w:rPr>
                <w:rFonts w:hint="default" w:ascii="Times New Roman" w:hAnsi="Times New Roman" w:eastAsia="宋体" w:cs="Times New Roman"/>
                <w:spacing w:val="6"/>
                <w:sz w:val="20"/>
                <w:szCs w:val="20"/>
                <w:highlight w:val="none"/>
              </w:rPr>
              <w:t>。</w:t>
            </w:r>
          </w:p>
        </w:tc>
      </w:tr>
    </w:tbl>
    <w:p>
      <w:pPr>
        <w:spacing w:before="196" w:line="401" w:lineRule="auto"/>
        <w:ind w:left="131" w:right="112" w:firstLine="51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5"/>
          <w:sz w:val="23"/>
          <w:szCs w:val="23"/>
          <w:highlight w:val="none"/>
        </w:rPr>
        <w:t xml:space="preserve">由表 </w:t>
      </w:r>
      <w:r>
        <w:rPr>
          <w:rFonts w:hint="default" w:ascii="Times New Roman" w:hAnsi="Times New Roman" w:eastAsia="Times New Roman" w:cs="Times New Roman"/>
          <w:spacing w:val="5"/>
          <w:sz w:val="23"/>
          <w:szCs w:val="23"/>
          <w:highlight w:val="none"/>
        </w:rPr>
        <w:t xml:space="preserve">2.3- 1 </w:t>
      </w:r>
      <w:r>
        <w:rPr>
          <w:rFonts w:hint="default" w:ascii="Times New Roman" w:hAnsi="Times New Roman" w:eastAsia="宋体" w:cs="Times New Roman"/>
          <w:spacing w:val="5"/>
          <w:sz w:val="23"/>
          <w:szCs w:val="23"/>
          <w:highlight w:val="none"/>
        </w:rPr>
        <w:t>可以看出，该项目对环境的影响是多方面的，主要表现在营</w:t>
      </w:r>
      <w:r>
        <w:rPr>
          <w:rFonts w:hint="default" w:ascii="Times New Roman" w:hAnsi="Times New Roman" w:eastAsia="宋体" w:cs="Times New Roman"/>
          <w:spacing w:val="3"/>
          <w:sz w:val="23"/>
          <w:szCs w:val="23"/>
          <w:highlight w:val="none"/>
        </w:rPr>
        <w:t>运</w:t>
      </w:r>
      <w:r>
        <w:rPr>
          <w:rFonts w:hint="default" w:ascii="Times New Roman" w:hAnsi="Times New Roman" w:eastAsia="宋体" w:cs="Times New Roman"/>
          <w:sz w:val="23"/>
          <w:szCs w:val="23"/>
          <w:highlight w:val="none"/>
        </w:rPr>
        <w:t xml:space="preserve">期 </w:t>
      </w:r>
      <w:r>
        <w:rPr>
          <w:rFonts w:hint="default" w:ascii="Times New Roman" w:hAnsi="Times New Roman" w:eastAsia="宋体" w:cs="Times New Roman"/>
          <w:spacing w:val="14"/>
          <w:sz w:val="23"/>
          <w:szCs w:val="23"/>
          <w:highlight w:val="none"/>
        </w:rPr>
        <w:t>对</w:t>
      </w:r>
      <w:r>
        <w:rPr>
          <w:rFonts w:hint="default" w:ascii="Times New Roman" w:hAnsi="Times New Roman" w:eastAsia="宋体" w:cs="Times New Roman"/>
          <w:spacing w:val="7"/>
          <w:sz w:val="23"/>
          <w:szCs w:val="23"/>
          <w:highlight w:val="none"/>
        </w:rPr>
        <w:t>环境空气、声环境、地下水环境的影响，施工期的影响是局部的、短期的，并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随</w:t>
      </w:r>
      <w:r>
        <w:rPr>
          <w:rFonts w:hint="default" w:ascii="Times New Roman" w:hAnsi="Times New Roman" w:eastAsia="宋体" w:cs="Times New Roman"/>
          <w:spacing w:val="8"/>
          <w:sz w:val="23"/>
          <w:szCs w:val="23"/>
          <w:highlight w:val="none"/>
        </w:rPr>
        <w:t>着施工期的结束而消失。</w:t>
      </w:r>
    </w:p>
    <w:p>
      <w:pPr>
        <w:spacing w:before="1" w:line="405" w:lineRule="auto"/>
        <w:ind w:left="131" w:right="112" w:firstLine="48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项目投入运营后对环境的影响是长期的，主要影响因素是生产过程中产生</w:t>
      </w:r>
      <w:r>
        <w:rPr>
          <w:rFonts w:hint="default" w:ascii="Times New Roman" w:hAnsi="Times New Roman" w:eastAsia="宋体" w:cs="Times New Roman"/>
          <w:spacing w:val="3"/>
          <w:sz w:val="23"/>
          <w:szCs w:val="23"/>
          <w:highlight w:val="none"/>
        </w:rPr>
        <w:t>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废</w:t>
      </w:r>
      <w:r>
        <w:rPr>
          <w:rFonts w:hint="default" w:ascii="Times New Roman" w:hAnsi="Times New Roman" w:eastAsia="宋体" w:cs="Times New Roman"/>
          <w:spacing w:val="7"/>
          <w:sz w:val="23"/>
          <w:szCs w:val="23"/>
          <w:highlight w:val="none"/>
        </w:rPr>
        <w:t>气、废水、噪声、固体废物等污染物的排放，对周围环境空气、地下水环境和</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声</w:t>
      </w:r>
      <w:r>
        <w:rPr>
          <w:rFonts w:hint="default" w:ascii="Times New Roman" w:hAnsi="Times New Roman" w:eastAsia="宋体" w:cs="Times New Roman"/>
          <w:spacing w:val="7"/>
          <w:sz w:val="23"/>
          <w:szCs w:val="23"/>
          <w:highlight w:val="none"/>
        </w:rPr>
        <w:t>环境存在一定不利影响；在经济和就业等诸多方面的影响是积极的，有利于当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地</w:t>
      </w:r>
      <w:r>
        <w:rPr>
          <w:rFonts w:hint="default" w:ascii="Times New Roman" w:hAnsi="Times New Roman" w:eastAsia="宋体" w:cs="Times New Roman"/>
          <w:spacing w:val="7"/>
          <w:sz w:val="23"/>
          <w:szCs w:val="23"/>
          <w:highlight w:val="none"/>
        </w:rPr>
        <w:t>经济的发展。</w:t>
      </w:r>
    </w:p>
    <w:p>
      <w:pPr>
        <w:spacing w:before="102" w:line="227" w:lineRule="auto"/>
        <w:ind w:left="128"/>
        <w:outlineLvl w:val="2"/>
        <w:rPr>
          <w:rFonts w:hint="default" w:ascii="Times New Roman" w:hAnsi="Times New Roman" w:eastAsia="宋体" w:cs="Times New Roman"/>
          <w:sz w:val="23"/>
          <w:szCs w:val="23"/>
          <w:highlight w:val="none"/>
        </w:rPr>
      </w:pPr>
      <w:bookmarkStart w:id="81" w:name="_Toc3384"/>
      <w:bookmarkStart w:id="82" w:name="_Toc2334"/>
      <w:bookmarkStart w:id="83" w:name="_Toc28314"/>
      <w:r>
        <w:rPr>
          <w:rFonts w:hint="default" w:ascii="Times New Roman" w:hAnsi="Times New Roman" w:eastAsia="Times New Roman" w:cs="Times New Roman"/>
          <w:b/>
          <w:bCs/>
          <w:spacing w:val="10"/>
          <w:sz w:val="23"/>
          <w:szCs w:val="23"/>
          <w:highlight w:val="none"/>
        </w:rPr>
        <w:t>2</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3.2</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评价因子</w:t>
      </w:r>
      <w:bookmarkEnd w:id="81"/>
      <w:bookmarkEnd w:id="82"/>
      <w:bookmarkEnd w:id="83"/>
    </w:p>
    <w:p>
      <w:pPr>
        <w:spacing w:line="259" w:lineRule="auto"/>
        <w:rPr>
          <w:rFonts w:hint="default" w:ascii="Times New Roman" w:hAnsi="Times New Roman" w:cs="Times New Roman"/>
          <w:sz w:val="21"/>
          <w:highlight w:val="none"/>
        </w:rPr>
      </w:pPr>
    </w:p>
    <w:p>
      <w:pPr>
        <w:spacing w:before="76" w:line="408" w:lineRule="auto"/>
        <w:ind w:left="132" w:right="112"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根据环境影响因素识别结果，结合区域环境质量现状，以及工程特点和污染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物</w:t>
      </w:r>
      <w:r>
        <w:rPr>
          <w:rFonts w:hint="default" w:ascii="Times New Roman" w:hAnsi="Times New Roman" w:eastAsia="宋体" w:cs="Times New Roman"/>
          <w:spacing w:val="5"/>
          <w:sz w:val="23"/>
          <w:szCs w:val="23"/>
          <w:highlight w:val="none"/>
        </w:rPr>
        <w:t xml:space="preserve">排放特征，确定本项目评价因子见表 </w:t>
      </w:r>
      <w:r>
        <w:rPr>
          <w:rFonts w:hint="default" w:ascii="Times New Roman" w:hAnsi="Times New Roman" w:eastAsia="Times New Roman" w:cs="Times New Roman"/>
          <w:spacing w:val="5"/>
          <w:sz w:val="23"/>
          <w:szCs w:val="23"/>
          <w:highlight w:val="none"/>
        </w:rPr>
        <w:t>2.3-2</w:t>
      </w:r>
      <w:r>
        <w:rPr>
          <w:rFonts w:hint="default" w:ascii="Times New Roman" w:hAnsi="Times New Roman" w:eastAsia="宋体" w:cs="Times New Roman"/>
          <w:spacing w:val="5"/>
          <w:sz w:val="23"/>
          <w:szCs w:val="23"/>
          <w:highlight w:val="none"/>
        </w:rPr>
        <w:t>。</w:t>
      </w:r>
    </w:p>
    <w:p>
      <w:pPr>
        <w:rPr>
          <w:rFonts w:hint="default" w:ascii="Times New Roman" w:hAnsi="Times New Roman" w:cs="Times New Roman"/>
          <w:highlight w:val="none"/>
        </w:rPr>
        <w:sectPr>
          <w:headerReference r:id="rId15" w:type="default"/>
          <w:footerReference r:id="rId16" w:type="default"/>
          <w:pgSz w:w="11906" w:h="16839"/>
          <w:pgMar w:top="1200" w:right="1684" w:bottom="1339" w:left="1674" w:header="882" w:footer="1027" w:gutter="0"/>
          <w:pgBorders>
            <w:top w:val="none" w:sz="0" w:space="0"/>
            <w:left w:val="none" w:sz="0" w:space="0"/>
            <w:bottom w:val="none" w:sz="0" w:space="0"/>
            <w:right w:val="none" w:sz="0" w:space="0"/>
          </w:pgBorders>
          <w:pgNumType w:fmt="decimal"/>
          <w:cols w:space="720" w:num="1"/>
        </w:sectPr>
      </w:pPr>
    </w:p>
    <w:p>
      <w:pPr>
        <w:spacing w:line="357"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055" o:spid="_x0000_s1055" style="position:absolute;left:0pt;margin-left:89.85pt;margin-top:60.75pt;height:0.75pt;width:415.65pt;mso-position-horizontal-relative:page;mso-position-vertical-relative:page;z-index:251670528;mso-width-relative:page;mso-height-relative:page;" fillcolor="#000000" filled="t" stroked="f" coordsize="8312,15" o:allowincell="f" path="m0,0l8312,0,8312,14,0,14,0,0xe">
            <v:path/>
            <v:fill on="t" focussize="0,0"/>
            <v:stroke on="f"/>
            <v:imagedata o:title=""/>
            <o:lock v:ext="edit"/>
          </v:shape>
        </w:pict>
      </w:r>
    </w:p>
    <w:p>
      <w:pPr>
        <w:spacing w:before="75" w:line="227" w:lineRule="auto"/>
        <w:ind w:left="254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b/>
          <w:bCs/>
          <w:spacing w:val="6"/>
          <w:sz w:val="23"/>
          <w:szCs w:val="23"/>
          <w:highlight w:val="none"/>
        </w:rPr>
        <w:t>2.</w:t>
      </w:r>
      <w:r>
        <w:rPr>
          <w:rFonts w:hint="default" w:ascii="Times New Roman" w:hAnsi="Times New Roman" w:eastAsia="Times New Roman" w:cs="Times New Roman"/>
          <w:b/>
          <w:bCs/>
          <w:spacing w:val="3"/>
          <w:sz w:val="23"/>
          <w:szCs w:val="23"/>
          <w:highlight w:val="none"/>
        </w:rPr>
        <w:t>3-2</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主要评价因子的筛选</w:t>
      </w:r>
    </w:p>
    <w:p>
      <w:pPr>
        <w:spacing w:line="21" w:lineRule="exact"/>
        <w:rPr>
          <w:rFonts w:hint="default" w:ascii="Times New Roman" w:hAnsi="Times New Roman" w:cs="Times New Roman"/>
          <w:highlight w:val="none"/>
        </w:rPr>
      </w:pPr>
    </w:p>
    <w:tbl>
      <w:tblPr>
        <w:tblStyle w:val="15"/>
        <w:tblW w:w="8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14"/>
        <w:gridCol w:w="1114"/>
        <w:gridCol w:w="1349"/>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111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时段</w:t>
            </w:r>
          </w:p>
        </w:tc>
        <w:tc>
          <w:tcPr>
            <w:tcW w:w="111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类别</w:t>
            </w: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项目</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1114"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施工期</w:t>
            </w:r>
          </w:p>
        </w:tc>
        <w:tc>
          <w:tcPr>
            <w:tcW w:w="1114" w:type="dxa"/>
            <w:vMerge w:val="restart"/>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大气环境</w:t>
            </w:r>
          </w:p>
        </w:tc>
        <w:tc>
          <w:tcPr>
            <w:tcW w:w="1349"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污染源</w:t>
            </w:r>
          </w:p>
        </w:tc>
        <w:tc>
          <w:tcPr>
            <w:tcW w:w="4853"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continue"/>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349"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影响分析</w:t>
            </w:r>
          </w:p>
        </w:tc>
        <w:tc>
          <w:tcPr>
            <w:tcW w:w="4853"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z w:val="20"/>
                <w:szCs w:val="20"/>
                <w:highlight w:val="none"/>
              </w:rPr>
              <w:t>PM</w:t>
            </w:r>
            <w:r>
              <w:rPr>
                <w:rFonts w:hint="default" w:ascii="Times New Roman" w:hAnsi="Times New Roman" w:eastAsia="宋体" w:cs="Times New Roman"/>
                <w:sz w:val="20"/>
                <w:szCs w:val="20"/>
                <w:highlight w:val="none"/>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restart"/>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水环境</w:t>
            </w:r>
          </w:p>
        </w:tc>
        <w:tc>
          <w:tcPr>
            <w:tcW w:w="1349"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污染源</w:t>
            </w:r>
          </w:p>
        </w:tc>
        <w:tc>
          <w:tcPr>
            <w:tcW w:w="4853"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SS、COD、氨氮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continue"/>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349"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影响分析</w:t>
            </w:r>
          </w:p>
        </w:tc>
        <w:tc>
          <w:tcPr>
            <w:tcW w:w="4853"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SS、COD、氨氮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restart"/>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声环境</w:t>
            </w:r>
          </w:p>
        </w:tc>
        <w:tc>
          <w:tcPr>
            <w:tcW w:w="1349"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污染源</w:t>
            </w:r>
          </w:p>
        </w:tc>
        <w:tc>
          <w:tcPr>
            <w:tcW w:w="4853"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continue"/>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349"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影响分析</w:t>
            </w:r>
          </w:p>
        </w:tc>
        <w:tc>
          <w:tcPr>
            <w:tcW w:w="4853"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Leq（A）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固体废物</w:t>
            </w:r>
          </w:p>
        </w:tc>
        <w:tc>
          <w:tcPr>
            <w:tcW w:w="1349"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影响分析</w:t>
            </w:r>
          </w:p>
        </w:tc>
        <w:tc>
          <w:tcPr>
            <w:tcW w:w="4853"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建筑垃圾、生活垃圾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blHeader/>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生态环境</w:t>
            </w:r>
          </w:p>
        </w:tc>
        <w:tc>
          <w:tcPr>
            <w:tcW w:w="1349"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影响分析</w:t>
            </w:r>
          </w:p>
        </w:tc>
        <w:tc>
          <w:tcPr>
            <w:tcW w:w="4853" w:type="dxa"/>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eastAsia" w:ascii="Times New Roman" w:hAnsi="Times New Roman" w:eastAsia="宋体" w:cs="Times New Roman"/>
                <w:snapToGrid w:val="0"/>
                <w:sz w:val="20"/>
                <w:szCs w:val="20"/>
                <w:highlight w:val="none"/>
                <w:lang w:val="en-US" w:eastAsia="zh-CN"/>
              </w:rPr>
              <w:t>植被覆盖度、物种丰富度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运营期</w:t>
            </w:r>
          </w:p>
        </w:tc>
        <w:tc>
          <w:tcPr>
            <w:tcW w:w="1114"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大气环境</w:t>
            </w: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现状评价</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z w:val="20"/>
                <w:szCs w:val="20"/>
                <w:highlight w:val="none"/>
              </w:rPr>
              <w:t>TSP、PM</w:t>
            </w:r>
            <w:r>
              <w:rPr>
                <w:rFonts w:hint="default" w:ascii="Times New Roman" w:hAnsi="Times New Roman" w:eastAsia="宋体" w:cs="Times New Roman"/>
                <w:sz w:val="20"/>
                <w:szCs w:val="20"/>
                <w:highlight w:val="none"/>
                <w:vertAlign w:val="subscript"/>
              </w:rPr>
              <w:t>2.5</w:t>
            </w:r>
            <w:r>
              <w:rPr>
                <w:rFonts w:hint="default" w:ascii="Times New Roman" w:hAnsi="Times New Roman" w:eastAsia="宋体" w:cs="Times New Roman"/>
                <w:sz w:val="20"/>
                <w:szCs w:val="20"/>
                <w:highlight w:val="none"/>
              </w:rPr>
              <w:t>、PM</w:t>
            </w:r>
            <w:r>
              <w:rPr>
                <w:rFonts w:hint="default" w:ascii="Times New Roman" w:hAnsi="Times New Roman" w:eastAsia="宋体" w:cs="Times New Roman"/>
                <w:sz w:val="20"/>
                <w:szCs w:val="20"/>
                <w:highlight w:val="none"/>
                <w:vertAlign w:val="subscript"/>
              </w:rPr>
              <w:t>10</w:t>
            </w:r>
            <w:r>
              <w:rPr>
                <w:rFonts w:hint="default" w:ascii="Times New Roman" w:hAnsi="Times New Roman" w:eastAsia="宋体" w:cs="Times New Roman"/>
                <w:sz w:val="20"/>
                <w:szCs w:val="20"/>
                <w:highlight w:val="none"/>
              </w:rPr>
              <w:t>、SO</w:t>
            </w:r>
            <w:r>
              <w:rPr>
                <w:rFonts w:hint="default" w:ascii="Times New Roman" w:hAnsi="Times New Roman" w:eastAsia="宋体" w:cs="Times New Roman"/>
                <w:sz w:val="20"/>
                <w:szCs w:val="20"/>
                <w:highlight w:val="none"/>
                <w:vertAlign w:val="subscript"/>
              </w:rPr>
              <w:t>2</w:t>
            </w:r>
            <w:r>
              <w:rPr>
                <w:rFonts w:hint="default" w:ascii="Times New Roman" w:hAnsi="Times New Roman" w:eastAsia="宋体" w:cs="Times New Roman"/>
                <w:sz w:val="20"/>
                <w:szCs w:val="20"/>
                <w:highlight w:val="none"/>
              </w:rPr>
              <w:t>、NO</w:t>
            </w:r>
            <w:r>
              <w:rPr>
                <w:rFonts w:hint="default" w:ascii="Times New Roman" w:hAnsi="Times New Roman" w:eastAsia="宋体" w:cs="Times New Roman"/>
                <w:sz w:val="20"/>
                <w:szCs w:val="20"/>
                <w:highlight w:val="none"/>
                <w:vertAlign w:val="subscript"/>
              </w:rPr>
              <w:t>2</w:t>
            </w:r>
            <w:r>
              <w:rPr>
                <w:rFonts w:hint="default" w:ascii="Times New Roman" w:hAnsi="Times New Roman" w:eastAsia="宋体" w:cs="Times New Roman"/>
                <w:sz w:val="20"/>
                <w:szCs w:val="20"/>
                <w:highlight w:val="none"/>
              </w:rPr>
              <w:t>、CO、O</w:t>
            </w:r>
            <w:r>
              <w:rPr>
                <w:rFonts w:hint="default" w:ascii="Times New Roman" w:hAnsi="Times New Roman" w:eastAsia="宋体" w:cs="Times New Roman"/>
                <w:sz w:val="20"/>
                <w:szCs w:val="20"/>
                <w:highlight w:val="none"/>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污染源评价</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影响评价</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z w:val="20"/>
                <w:szCs w:val="20"/>
                <w:highlight w:val="none"/>
              </w:rPr>
              <w:t>PM</w:t>
            </w:r>
            <w:r>
              <w:rPr>
                <w:rFonts w:hint="default" w:ascii="Times New Roman" w:hAnsi="Times New Roman" w:eastAsia="宋体" w:cs="Times New Roman"/>
                <w:sz w:val="20"/>
                <w:szCs w:val="20"/>
                <w:highlight w:val="none"/>
                <w:vertAlign w:val="subscript"/>
              </w:rPr>
              <w:t>2.5</w:t>
            </w:r>
            <w:r>
              <w:rPr>
                <w:rFonts w:hint="default" w:ascii="Times New Roman" w:hAnsi="Times New Roman" w:eastAsia="宋体" w:cs="Times New Roman"/>
                <w:sz w:val="20"/>
                <w:szCs w:val="20"/>
                <w:highlight w:val="none"/>
              </w:rPr>
              <w:t>、PM</w:t>
            </w:r>
            <w:r>
              <w:rPr>
                <w:rFonts w:hint="default" w:ascii="Times New Roman" w:hAnsi="Times New Roman" w:eastAsia="宋体" w:cs="Times New Roman"/>
                <w:sz w:val="20"/>
                <w:szCs w:val="20"/>
                <w:highlight w:val="none"/>
                <w:vertAlign w:val="subscript"/>
              </w:rPr>
              <w:t>10</w:t>
            </w:r>
            <w:r>
              <w:rPr>
                <w:rFonts w:hint="default" w:ascii="Times New Roman" w:hAnsi="Times New Roman" w:eastAsia="宋体" w:cs="Times New Roman"/>
                <w:sz w:val="20"/>
                <w:szCs w:val="20"/>
                <w:highlight w:val="none"/>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地表水环境</w:t>
            </w: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lang w:val="en-US" w:eastAsia="zh-CN"/>
              </w:rPr>
            </w:pPr>
            <w:r>
              <w:rPr>
                <w:rFonts w:hint="eastAsia" w:ascii="Times New Roman" w:hAnsi="Times New Roman" w:eastAsia="宋体" w:cs="Times New Roman"/>
                <w:snapToGrid w:val="0"/>
                <w:sz w:val="20"/>
                <w:szCs w:val="20"/>
                <w:highlight w:val="none"/>
                <w:lang w:val="en-US" w:eastAsia="zh-CN"/>
              </w:rPr>
              <w:t>影响分析</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0"/>
                <w:szCs w:val="20"/>
                <w:highlight w:val="none"/>
              </w:rPr>
            </w:pPr>
            <w:r>
              <w:rPr>
                <w:rFonts w:hint="default" w:ascii="Times New Roman" w:hAnsi="Times New Roman" w:cs="Times New Roman"/>
                <w:sz w:val="21"/>
                <w:szCs w:val="21"/>
                <w:highlight w:val="none"/>
              </w:rPr>
              <w:t>COD、SS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地下水环境</w:t>
            </w: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现状评价</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z w:val="20"/>
                <w:szCs w:val="20"/>
                <w:highlight w:val="none"/>
              </w:rPr>
              <w:t>K</w:t>
            </w:r>
            <w:r>
              <w:rPr>
                <w:rFonts w:hint="default" w:ascii="Times New Roman" w:hAnsi="Times New Roman" w:eastAsia="宋体" w:cs="Times New Roman"/>
                <w:sz w:val="20"/>
                <w:szCs w:val="20"/>
                <w:highlight w:val="none"/>
                <w:vertAlign w:val="superscript"/>
              </w:rPr>
              <w:t>+</w:t>
            </w:r>
            <w:r>
              <w:rPr>
                <w:rFonts w:hint="default" w:ascii="Times New Roman" w:hAnsi="Times New Roman" w:eastAsia="宋体" w:cs="Times New Roman"/>
                <w:sz w:val="20"/>
                <w:szCs w:val="20"/>
                <w:highlight w:val="none"/>
              </w:rPr>
              <w:t>、Na</w:t>
            </w:r>
            <w:r>
              <w:rPr>
                <w:rFonts w:hint="default" w:ascii="Times New Roman" w:hAnsi="Times New Roman" w:eastAsia="宋体" w:cs="Times New Roman"/>
                <w:sz w:val="20"/>
                <w:szCs w:val="20"/>
                <w:highlight w:val="none"/>
                <w:vertAlign w:val="superscript"/>
              </w:rPr>
              <w:t>+</w:t>
            </w:r>
            <w:r>
              <w:rPr>
                <w:rFonts w:hint="default" w:ascii="Times New Roman" w:hAnsi="Times New Roman" w:eastAsia="宋体" w:cs="Times New Roman"/>
                <w:sz w:val="20"/>
                <w:szCs w:val="20"/>
                <w:highlight w:val="none"/>
              </w:rPr>
              <w:t>、Ca</w:t>
            </w:r>
            <w:r>
              <w:rPr>
                <w:rFonts w:hint="default" w:ascii="Times New Roman" w:hAnsi="Times New Roman" w:eastAsia="宋体" w:cs="Times New Roman"/>
                <w:sz w:val="20"/>
                <w:szCs w:val="20"/>
                <w:highlight w:val="none"/>
                <w:vertAlign w:val="superscript"/>
              </w:rPr>
              <w:t>2+</w:t>
            </w:r>
            <w:r>
              <w:rPr>
                <w:rFonts w:hint="default" w:ascii="Times New Roman" w:hAnsi="Times New Roman" w:eastAsia="宋体" w:cs="Times New Roman"/>
                <w:sz w:val="20"/>
                <w:szCs w:val="20"/>
                <w:highlight w:val="none"/>
              </w:rPr>
              <w:t>、Mg</w:t>
            </w:r>
            <w:r>
              <w:rPr>
                <w:rFonts w:hint="default" w:ascii="Times New Roman" w:hAnsi="Times New Roman" w:eastAsia="宋体" w:cs="Times New Roman"/>
                <w:sz w:val="20"/>
                <w:szCs w:val="20"/>
                <w:highlight w:val="none"/>
                <w:vertAlign w:val="superscript"/>
              </w:rPr>
              <w:t>2+</w:t>
            </w:r>
            <w:r>
              <w:rPr>
                <w:rFonts w:hint="default" w:ascii="Times New Roman" w:hAnsi="Times New Roman" w:eastAsia="宋体" w:cs="Times New Roman"/>
                <w:sz w:val="20"/>
                <w:szCs w:val="20"/>
                <w:highlight w:val="none"/>
              </w:rPr>
              <w:t>、CO</w:t>
            </w:r>
            <w:r>
              <w:rPr>
                <w:rFonts w:hint="default" w:ascii="Times New Roman" w:hAnsi="Times New Roman" w:eastAsia="宋体" w:cs="Times New Roman"/>
                <w:sz w:val="20"/>
                <w:szCs w:val="20"/>
                <w:highlight w:val="none"/>
                <w:vertAlign w:val="subscript"/>
              </w:rPr>
              <w:t>3</w:t>
            </w:r>
            <w:r>
              <w:rPr>
                <w:rFonts w:hint="default" w:ascii="Times New Roman" w:hAnsi="Times New Roman" w:eastAsia="宋体" w:cs="Times New Roman"/>
                <w:sz w:val="20"/>
                <w:szCs w:val="20"/>
                <w:highlight w:val="none"/>
                <w:vertAlign w:val="superscript"/>
              </w:rPr>
              <w:t>2-</w:t>
            </w:r>
            <w:r>
              <w:rPr>
                <w:rFonts w:hint="default" w:ascii="Times New Roman" w:hAnsi="Times New Roman" w:eastAsia="宋体" w:cs="Times New Roman"/>
                <w:sz w:val="20"/>
                <w:szCs w:val="20"/>
                <w:highlight w:val="none"/>
              </w:rPr>
              <w:t>、HCO</w:t>
            </w:r>
            <w:r>
              <w:rPr>
                <w:rFonts w:hint="default" w:ascii="Times New Roman" w:hAnsi="Times New Roman" w:eastAsia="宋体" w:cs="Times New Roman"/>
                <w:sz w:val="20"/>
                <w:szCs w:val="20"/>
                <w:highlight w:val="none"/>
                <w:vertAlign w:val="subscript"/>
              </w:rPr>
              <w:t>3</w:t>
            </w:r>
            <w:r>
              <w:rPr>
                <w:rFonts w:hint="default" w:ascii="Times New Roman" w:hAnsi="Times New Roman" w:eastAsia="宋体" w:cs="Times New Roman"/>
                <w:sz w:val="20"/>
                <w:szCs w:val="20"/>
                <w:highlight w:val="none"/>
                <w:vertAlign w:val="superscript"/>
              </w:rPr>
              <w:t>2-</w:t>
            </w:r>
            <w:r>
              <w:rPr>
                <w:rFonts w:hint="default" w:ascii="Times New Roman" w:hAnsi="Times New Roman" w:eastAsia="宋体" w:cs="Times New Roman"/>
                <w:sz w:val="20"/>
                <w:szCs w:val="20"/>
                <w:highlight w:val="none"/>
              </w:rPr>
              <w:t>、Cl</w:t>
            </w:r>
            <w:r>
              <w:rPr>
                <w:rFonts w:hint="default" w:ascii="Times New Roman" w:hAnsi="Times New Roman" w:eastAsia="宋体" w:cs="Times New Roman"/>
                <w:sz w:val="20"/>
                <w:szCs w:val="20"/>
                <w:highlight w:val="none"/>
                <w:vertAlign w:val="superscript"/>
              </w:rPr>
              <w:t>-</w:t>
            </w:r>
            <w:r>
              <w:rPr>
                <w:rFonts w:hint="default" w:ascii="Times New Roman" w:hAnsi="Times New Roman" w:eastAsia="宋体" w:cs="Times New Roman"/>
                <w:sz w:val="20"/>
                <w:szCs w:val="20"/>
                <w:highlight w:val="none"/>
              </w:rPr>
              <w:t>、SO</w:t>
            </w:r>
            <w:r>
              <w:rPr>
                <w:rFonts w:hint="default" w:ascii="Times New Roman" w:hAnsi="Times New Roman" w:eastAsia="宋体" w:cs="Times New Roman"/>
                <w:sz w:val="20"/>
                <w:szCs w:val="20"/>
                <w:highlight w:val="none"/>
                <w:vertAlign w:val="subscript"/>
              </w:rPr>
              <w:t>4</w:t>
            </w:r>
            <w:r>
              <w:rPr>
                <w:rFonts w:hint="default" w:ascii="Times New Roman" w:hAnsi="Times New Roman" w:eastAsia="宋体" w:cs="Times New Roman"/>
                <w:sz w:val="20"/>
                <w:szCs w:val="20"/>
                <w:highlight w:val="none"/>
                <w:vertAlign w:val="superscript"/>
              </w:rPr>
              <w:t>2-</w:t>
            </w:r>
            <w:r>
              <w:rPr>
                <w:rFonts w:hint="default" w:ascii="Times New Roman" w:hAnsi="Times New Roman" w:eastAsia="宋体" w:cs="Times New Roman"/>
                <w:sz w:val="20"/>
                <w:szCs w:val="20"/>
                <w:highlight w:val="none"/>
              </w:rPr>
              <w:t>、 pH、氨氮、硝酸盐、亚硝酸盐、挥发酚、氰化物、砷、汞、铬（六价）、总硬度、铅、氟化物、镉、铁、锰、铜、锌、石油类、硫化物、溶解性总固体、耗氧量、总大肠菌群、细菌总数。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污染源</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Fe</w:t>
            </w:r>
            <w:r>
              <w:rPr>
                <w:rFonts w:hint="default" w:ascii="Times New Roman" w:hAnsi="Times New Roman" w:eastAsia="宋体" w:cs="Times New Roman"/>
                <w:snapToGrid w:val="0"/>
                <w:sz w:val="20"/>
                <w:szCs w:val="20"/>
                <w:highlight w:val="none"/>
                <w:lang w:eastAsia="zh-CN"/>
              </w:rPr>
              <w:t>、</w:t>
            </w:r>
            <w:r>
              <w:rPr>
                <w:rFonts w:hint="default" w:ascii="Times New Roman" w:hAnsi="Times New Roman" w:eastAsia="宋体" w:cs="Times New Roman"/>
                <w:snapToGrid w:val="0"/>
                <w:sz w:val="20"/>
                <w:szCs w:val="20"/>
                <w:highlight w:val="none"/>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影响评价</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Fe</w:t>
            </w:r>
            <w:r>
              <w:rPr>
                <w:rFonts w:hint="default" w:ascii="Times New Roman" w:hAnsi="Times New Roman" w:eastAsia="宋体" w:cs="Times New Roman"/>
                <w:snapToGrid w:val="0"/>
                <w:sz w:val="20"/>
                <w:szCs w:val="20"/>
                <w:highlight w:val="none"/>
                <w:lang w:eastAsia="zh-CN"/>
              </w:rPr>
              <w:t>、</w:t>
            </w:r>
            <w:r>
              <w:rPr>
                <w:rFonts w:hint="default" w:ascii="Times New Roman" w:hAnsi="Times New Roman" w:eastAsia="宋体" w:cs="Times New Roman"/>
                <w:snapToGrid w:val="0"/>
                <w:sz w:val="20"/>
                <w:szCs w:val="20"/>
                <w:highlight w:val="none"/>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声环境</w:t>
            </w: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现状评价</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污染源</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34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napToGrid w:val="0"/>
                <w:sz w:val="20"/>
                <w:szCs w:val="20"/>
                <w:highlight w:val="none"/>
                <w:lang w:eastAsia="zh-CN"/>
              </w:rPr>
            </w:pPr>
            <w:r>
              <w:rPr>
                <w:rFonts w:hint="default" w:ascii="Times New Roman" w:hAnsi="Times New Roman" w:eastAsia="宋体" w:cs="Times New Roman"/>
                <w:snapToGrid w:val="0"/>
                <w:sz w:val="20"/>
                <w:szCs w:val="20"/>
                <w:highlight w:val="none"/>
              </w:rPr>
              <w:t>影响</w:t>
            </w:r>
            <w:r>
              <w:rPr>
                <w:rFonts w:hint="eastAsia" w:ascii="Times New Roman" w:hAnsi="Times New Roman" w:eastAsia="宋体" w:cs="Times New Roman"/>
                <w:snapToGrid w:val="0"/>
                <w:sz w:val="20"/>
                <w:szCs w:val="20"/>
                <w:highlight w:val="none"/>
                <w:lang w:val="en-US" w:eastAsia="zh-CN"/>
              </w:rPr>
              <w:t>评价</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restart"/>
            <w:tcBorders>
              <w:tl2br w:val="nil"/>
              <w:tr2bl w:val="nil"/>
            </w:tcBorders>
            <w:vAlign w:val="center"/>
          </w:tcPr>
          <w:p>
            <w:pPr>
              <w:spacing w:line="240" w:lineRule="auto"/>
              <w:ind w:left="0" w:leftChars="0" w:firstLine="0" w:firstLineChars="0"/>
              <w:jc w:val="both"/>
              <w:rPr>
                <w:rFonts w:hint="default" w:ascii="Times New Roman" w:hAnsi="Times New Roman" w:eastAsia="宋体" w:cs="Times New Roman"/>
                <w:snapToGrid w:val="0"/>
                <w:sz w:val="20"/>
                <w:szCs w:val="20"/>
                <w:highlight w:val="none"/>
              </w:rPr>
            </w:pPr>
            <w:r>
              <w:rPr>
                <w:rFonts w:hint="default" w:ascii="Times New Roman" w:hAnsi="Times New Roman" w:cs="Times New Roman"/>
                <w:snapToGrid w:val="0"/>
                <w:sz w:val="21"/>
                <w:szCs w:val="21"/>
                <w:highlight w:val="none"/>
              </w:rPr>
              <w:t>土壤环境</w:t>
            </w:r>
          </w:p>
        </w:tc>
        <w:tc>
          <w:tcPr>
            <w:tcW w:w="1349" w:type="dxa"/>
            <w:tcBorders>
              <w:tl2br w:val="nil"/>
              <w:tr2bl w:val="nil"/>
            </w:tcBorders>
            <w:vAlign w:val="center"/>
          </w:tcPr>
          <w:p>
            <w:pPr>
              <w:spacing w:line="240" w:lineRule="auto"/>
              <w:ind w:firstLine="210" w:firstLineChars="100"/>
              <w:jc w:val="both"/>
              <w:rPr>
                <w:rFonts w:hint="default" w:ascii="Times New Roman" w:hAnsi="Times New Roman" w:eastAsia="宋体" w:cs="Times New Roman"/>
                <w:snapToGrid w:val="0"/>
                <w:sz w:val="20"/>
                <w:szCs w:val="20"/>
                <w:highlight w:val="none"/>
              </w:rPr>
            </w:pPr>
            <w:r>
              <w:rPr>
                <w:rFonts w:hint="default" w:ascii="Times New Roman" w:hAnsi="Times New Roman" w:cs="Times New Roman"/>
                <w:snapToGrid w:val="0"/>
                <w:sz w:val="21"/>
                <w:szCs w:val="21"/>
                <w:highlight w:val="none"/>
              </w:rPr>
              <w:t>现状评价</w:t>
            </w:r>
          </w:p>
        </w:tc>
        <w:tc>
          <w:tcPr>
            <w:tcW w:w="4853" w:type="dxa"/>
            <w:tcBorders>
              <w:tl2br w:val="nil"/>
              <w:tr2bl w:val="nil"/>
            </w:tcBorders>
            <w:vAlign w:val="center"/>
          </w:tcPr>
          <w:p>
            <w:pPr>
              <w:spacing w:line="240" w:lineRule="auto"/>
              <w:ind w:firstLine="75" w:firstLineChars="36"/>
              <w:jc w:val="center"/>
              <w:rPr>
                <w:rFonts w:hint="default" w:ascii="Times New Roman" w:hAnsi="Times New Roman" w:eastAsia="宋体" w:cs="Times New Roman"/>
                <w:snapToGrid w:val="0"/>
                <w:sz w:val="20"/>
                <w:szCs w:val="20"/>
                <w:highlight w:val="none"/>
              </w:rPr>
            </w:pPr>
            <w:r>
              <w:rPr>
                <w:rFonts w:hint="default" w:ascii="Times New Roman" w:hAnsi="Times New Roman" w:cs="Times New Roman"/>
                <w:sz w:val="21"/>
                <w:szCs w:val="21"/>
                <w:highlight w:val="none"/>
              </w:rPr>
              <w:t>砷、镉、铬（六价）、铜、铅、汞、镍、四氯化碳、氯仿、氯甲烷、1,1-二氯乙烷、1,2-二氯乙烷、1,1-二氯乙烯、顺式-1,2-二氯乙烯、反式-1,2-二氯乙烯、二氯甲烷、1,2-二氯丙烷、1,1,1,2-四氯乙烷、1,1,2,2-四氯乙烷、四氯乙烯、1,1,1-三氯乙烷、1,1,2-三氯乙烷、三氯乙烯、1,2,3-三氯丙烷、氯乙烯、苯、氯苯、1,2-二氯苯、1,4-二氯苯、乙苯、苯乙烯、甲苯、间,对-二甲苯、邻-二甲苯、硝基苯、苯胺、2-氯酚、苯并[a]蒽、苯并[a]芘、苯并[b]荧蒽、苯并[k]荧蒽、䓛、二苯并[a，h]蒽、茚并[1,2,3-cd]芘、萘、pH、石油</w:t>
            </w:r>
            <w:r>
              <w:rPr>
                <w:rFonts w:hint="eastAsia" w:ascii="Times New Roman" w:hAnsi="Times New Roman" w:cs="Times New Roman"/>
                <w:sz w:val="21"/>
                <w:szCs w:val="21"/>
                <w:highlight w:val="none"/>
                <w:lang w:val="en-US" w:eastAsia="zh-CN"/>
              </w:rPr>
              <w:t>烃</w:t>
            </w:r>
            <w:r>
              <w:rPr>
                <w:rFonts w:hint="default" w:ascii="Times New Roman" w:hAnsi="Times New Roman" w:cs="Times New Roman"/>
                <w:sz w:val="21"/>
                <w:szCs w:val="21"/>
                <w:highlight w:val="none"/>
              </w:rPr>
              <w:t>、铁，共48项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continue"/>
            <w:tcBorders>
              <w:tl2br w:val="nil"/>
              <w:tr2bl w:val="nil"/>
            </w:tcBorders>
            <w:vAlign w:val="center"/>
          </w:tcPr>
          <w:p>
            <w:pPr>
              <w:spacing w:line="240" w:lineRule="auto"/>
              <w:ind w:firstLine="400" w:firstLineChars="200"/>
              <w:jc w:val="center"/>
              <w:rPr>
                <w:rFonts w:hint="default" w:ascii="Times New Roman" w:hAnsi="Times New Roman" w:eastAsia="宋体" w:cs="Times New Roman"/>
                <w:snapToGrid w:val="0"/>
                <w:sz w:val="20"/>
                <w:szCs w:val="20"/>
                <w:highlight w:val="none"/>
              </w:rPr>
            </w:pPr>
          </w:p>
        </w:tc>
        <w:tc>
          <w:tcPr>
            <w:tcW w:w="1349" w:type="dxa"/>
            <w:tcBorders>
              <w:tl2br w:val="nil"/>
              <w:tr2bl w:val="nil"/>
            </w:tcBorders>
            <w:vAlign w:val="center"/>
          </w:tcPr>
          <w:p>
            <w:pPr>
              <w:spacing w:line="240" w:lineRule="auto"/>
              <w:ind w:firstLine="210" w:firstLineChars="100"/>
              <w:jc w:val="both"/>
              <w:rPr>
                <w:rFonts w:hint="default" w:ascii="Times New Roman" w:hAnsi="Times New Roman" w:eastAsia="宋体" w:cs="Times New Roman"/>
                <w:snapToGrid w:val="0"/>
                <w:sz w:val="20"/>
                <w:szCs w:val="20"/>
                <w:highlight w:val="none"/>
              </w:rPr>
            </w:pPr>
            <w:r>
              <w:rPr>
                <w:rFonts w:hint="default" w:ascii="Times New Roman" w:hAnsi="Times New Roman" w:cs="Times New Roman"/>
                <w:snapToGrid w:val="0"/>
                <w:sz w:val="21"/>
                <w:szCs w:val="21"/>
                <w:highlight w:val="none"/>
              </w:rPr>
              <w:t>影响评价</w:t>
            </w:r>
          </w:p>
        </w:tc>
        <w:tc>
          <w:tcPr>
            <w:tcW w:w="4853" w:type="dxa"/>
            <w:tcBorders>
              <w:tl2br w:val="nil"/>
              <w:tr2bl w:val="nil"/>
            </w:tcBorders>
            <w:vAlign w:val="center"/>
          </w:tcPr>
          <w:p>
            <w:pPr>
              <w:spacing w:line="240" w:lineRule="auto"/>
              <w:ind w:firstLine="72" w:firstLineChars="36"/>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pH、石油</w:t>
            </w:r>
            <w:r>
              <w:rPr>
                <w:rFonts w:hint="eastAsia" w:ascii="Times New Roman" w:hAnsi="Times New Roman" w:eastAsia="宋体" w:cs="Times New Roman"/>
                <w:snapToGrid w:val="0"/>
                <w:sz w:val="20"/>
                <w:szCs w:val="20"/>
                <w:highlight w:val="none"/>
                <w:lang w:val="en-US" w:eastAsia="zh-CN"/>
              </w:rPr>
              <w:t>烃</w:t>
            </w:r>
            <w:r>
              <w:rPr>
                <w:rFonts w:hint="default" w:ascii="Times New Roman" w:hAnsi="Times New Roman" w:eastAsia="宋体" w:cs="Times New Roman"/>
                <w:snapToGrid w:val="0"/>
                <w:sz w:val="20"/>
                <w:szCs w:val="20"/>
                <w:highlight w:val="none"/>
              </w:rPr>
              <w:t>、Fe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固体废物</w:t>
            </w: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污染源</w:t>
            </w:r>
          </w:p>
        </w:tc>
        <w:tc>
          <w:tcPr>
            <w:tcW w:w="4853"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lang w:val="en-US" w:eastAsia="zh-CN"/>
              </w:rPr>
            </w:pPr>
            <w:r>
              <w:rPr>
                <w:rFonts w:hint="default" w:ascii="Times New Roman" w:hAnsi="Times New Roman" w:eastAsia="宋体" w:cs="Times New Roman"/>
                <w:snapToGrid w:val="0"/>
                <w:sz w:val="20"/>
                <w:szCs w:val="20"/>
                <w:highlight w:val="none"/>
              </w:rPr>
              <w:t>废矿物油、废油桶、</w:t>
            </w:r>
            <w:r>
              <w:rPr>
                <w:rFonts w:hint="eastAsia" w:ascii="Times New Roman" w:hAnsi="Times New Roman" w:eastAsia="宋体" w:cs="Times New Roman"/>
                <w:snapToGrid w:val="0"/>
                <w:sz w:val="20"/>
                <w:szCs w:val="20"/>
                <w:highlight w:val="none"/>
                <w:lang w:val="en-US" w:eastAsia="zh-CN"/>
              </w:rPr>
              <w:t>尾矿砂</w:t>
            </w:r>
            <w:r>
              <w:rPr>
                <w:rFonts w:hint="default" w:ascii="Times New Roman" w:hAnsi="Times New Roman" w:eastAsia="宋体" w:cs="Times New Roman"/>
                <w:snapToGrid w:val="0"/>
                <w:sz w:val="20"/>
                <w:szCs w:val="20"/>
                <w:highlight w:val="none"/>
              </w:rPr>
              <w:t>、除尘</w:t>
            </w:r>
            <w:r>
              <w:rPr>
                <w:rFonts w:hint="default" w:ascii="Times New Roman" w:hAnsi="Times New Roman" w:eastAsia="宋体" w:cs="Times New Roman"/>
                <w:snapToGrid w:val="0"/>
                <w:sz w:val="20"/>
                <w:szCs w:val="20"/>
                <w:highlight w:val="none"/>
                <w:lang w:val="en-US" w:eastAsia="zh-CN"/>
              </w:rPr>
              <w:t>灰</w:t>
            </w:r>
            <w:r>
              <w:rPr>
                <w:rFonts w:hint="eastAsia" w:ascii="Times New Roman" w:hAnsi="Times New Roman" w:eastAsia="宋体" w:cs="Times New Roman"/>
                <w:snapToGrid w:val="0"/>
                <w:sz w:val="20"/>
                <w:szCs w:val="20"/>
                <w:highlight w:val="none"/>
                <w:lang w:val="en-US" w:eastAsia="zh-CN"/>
              </w:rPr>
              <w:t>、废钢球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影响分析</w:t>
            </w:r>
          </w:p>
        </w:tc>
        <w:tc>
          <w:tcPr>
            <w:tcW w:w="4853"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lang w:val="en-US" w:eastAsia="zh-CN"/>
              </w:rPr>
            </w:pPr>
            <w:r>
              <w:rPr>
                <w:rFonts w:hint="eastAsia" w:ascii="Times New Roman" w:hAnsi="Times New Roman" w:eastAsia="宋体" w:cs="Times New Roman"/>
                <w:snapToGrid w:val="0"/>
                <w:sz w:val="20"/>
                <w:szCs w:val="20"/>
                <w:highlight w:val="none"/>
                <w:lang w:val="en-US" w:eastAsia="zh-CN"/>
              </w:rPr>
              <w:t>环境风险</w:t>
            </w: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lang w:val="en-US" w:eastAsia="zh-CN"/>
              </w:rPr>
            </w:pPr>
            <w:r>
              <w:rPr>
                <w:rFonts w:hint="eastAsia" w:ascii="Times New Roman" w:hAnsi="Times New Roman" w:eastAsia="宋体" w:cs="Times New Roman"/>
                <w:snapToGrid w:val="0"/>
                <w:sz w:val="20"/>
                <w:szCs w:val="20"/>
                <w:highlight w:val="none"/>
                <w:lang w:val="en-US" w:eastAsia="zh-CN"/>
              </w:rPr>
              <w:t>简单分析</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废矿物油、废油桶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11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p>
        </w:tc>
        <w:tc>
          <w:tcPr>
            <w:tcW w:w="111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生态环境</w:t>
            </w:r>
          </w:p>
        </w:tc>
        <w:tc>
          <w:tcPr>
            <w:tcW w:w="134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napToGrid w:val="0"/>
                <w:sz w:val="20"/>
                <w:szCs w:val="20"/>
                <w:highlight w:val="none"/>
              </w:rPr>
            </w:pPr>
            <w:r>
              <w:rPr>
                <w:rFonts w:hint="default" w:ascii="Times New Roman" w:hAnsi="Times New Roman" w:eastAsia="宋体" w:cs="Times New Roman"/>
                <w:snapToGrid w:val="0"/>
                <w:sz w:val="20"/>
                <w:szCs w:val="20"/>
                <w:highlight w:val="none"/>
              </w:rPr>
              <w:t>影响分析</w:t>
            </w:r>
          </w:p>
        </w:tc>
        <w:tc>
          <w:tcPr>
            <w:tcW w:w="48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napToGrid w:val="0"/>
                <w:sz w:val="20"/>
                <w:szCs w:val="20"/>
                <w:highlight w:val="none"/>
                <w:lang w:val="en-US" w:eastAsia="zh-CN"/>
              </w:rPr>
              <w:t>植被覆盖度、物种丰富度</w:t>
            </w:r>
          </w:p>
        </w:tc>
      </w:tr>
    </w:tbl>
    <w:p>
      <w:pPr>
        <w:spacing w:before="280" w:line="219" w:lineRule="auto"/>
        <w:ind w:left="49"/>
        <w:outlineLvl w:val="1"/>
        <w:rPr>
          <w:rFonts w:hint="default" w:ascii="Times New Roman" w:hAnsi="Times New Roman" w:eastAsia="宋体" w:cs="Times New Roman"/>
          <w:sz w:val="28"/>
          <w:szCs w:val="28"/>
          <w:highlight w:val="none"/>
        </w:rPr>
      </w:pPr>
      <w:bookmarkStart w:id="84" w:name="_Toc12378"/>
      <w:bookmarkStart w:id="85" w:name="_Toc30338"/>
      <w:bookmarkStart w:id="86" w:name="_Toc9994"/>
      <w:r>
        <w:rPr>
          <w:rFonts w:hint="default" w:ascii="Times New Roman" w:hAnsi="Times New Roman" w:eastAsia="Times New Roman" w:cs="Times New Roman"/>
          <w:b/>
          <w:bCs/>
          <w:spacing w:val="1"/>
          <w:sz w:val="28"/>
          <w:szCs w:val="28"/>
          <w:highlight w:val="none"/>
        </w:rPr>
        <w:t>2.</w:t>
      </w:r>
      <w:r>
        <w:rPr>
          <w:rFonts w:hint="default" w:ascii="Times New Roman" w:hAnsi="Times New Roman" w:eastAsia="Times New Roman" w:cs="Times New Roman"/>
          <w:b/>
          <w:bCs/>
          <w:sz w:val="28"/>
          <w:szCs w:val="28"/>
          <w:highlight w:val="none"/>
        </w:rPr>
        <w:t>4</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评价等级及评价范围</w:t>
      </w:r>
      <w:bookmarkEnd w:id="84"/>
      <w:bookmarkEnd w:id="85"/>
      <w:bookmarkEnd w:id="86"/>
    </w:p>
    <w:p>
      <w:pPr>
        <w:spacing w:before="75" w:line="227" w:lineRule="auto"/>
        <w:ind w:left="48"/>
        <w:outlineLvl w:val="2"/>
        <w:rPr>
          <w:rFonts w:hint="default" w:ascii="Times New Roman" w:hAnsi="Times New Roman" w:eastAsia="宋体" w:cs="Times New Roman"/>
          <w:sz w:val="23"/>
          <w:szCs w:val="23"/>
          <w:highlight w:val="none"/>
        </w:rPr>
      </w:pPr>
      <w:bookmarkStart w:id="87" w:name="_Toc2684"/>
      <w:bookmarkStart w:id="88" w:name="_Toc28911"/>
      <w:bookmarkStart w:id="89" w:name="_Toc29277"/>
      <w:r>
        <w:rPr>
          <w:rFonts w:hint="default" w:ascii="Times New Roman" w:hAnsi="Times New Roman" w:eastAsia="Times New Roman" w:cs="Times New Roman"/>
          <w:b/>
          <w:bCs/>
          <w:spacing w:val="10"/>
          <w:sz w:val="23"/>
          <w:szCs w:val="23"/>
          <w:highlight w:val="none"/>
        </w:rPr>
        <w:t>2</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4.1</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评价等级</w:t>
      </w:r>
      <w:bookmarkEnd w:id="87"/>
      <w:bookmarkEnd w:id="88"/>
      <w:bookmarkEnd w:id="89"/>
    </w:p>
    <w:p>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228" w:lineRule="auto"/>
        <w:ind w:left="0"/>
        <w:textAlignment w:val="baseline"/>
        <w:outlineLvl w:val="3"/>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7"/>
          <w:sz w:val="23"/>
          <w:szCs w:val="23"/>
          <w:highlight w:val="none"/>
        </w:rPr>
        <w:t xml:space="preserve">2.4.1.1 </w:t>
      </w:r>
      <w:r>
        <w:rPr>
          <w:rFonts w:hint="default" w:ascii="Times New Roman" w:hAnsi="Times New Roman" w:eastAsia="宋体" w:cs="Times New Roman"/>
          <w:spacing w:val="7"/>
          <w:sz w:val="23"/>
          <w:szCs w:val="23"/>
          <w:highlight w:val="none"/>
        </w:rPr>
        <w:t>大气环境影响评价等</w:t>
      </w:r>
      <w:r>
        <w:rPr>
          <w:rFonts w:hint="default" w:ascii="Times New Roman" w:hAnsi="Times New Roman" w:eastAsia="宋体" w:cs="Times New Roman"/>
          <w:spacing w:val="5"/>
          <w:sz w:val="23"/>
          <w:szCs w:val="23"/>
          <w:highlight w:val="none"/>
        </w:rPr>
        <w:t>级</w:t>
      </w:r>
    </w:p>
    <w:p>
      <w:pPr>
        <w:spacing w:before="75" w:line="404" w:lineRule="auto"/>
        <w:ind w:left="52" w:right="37" w:firstLine="481"/>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10"/>
          <w:sz w:val="23"/>
          <w:szCs w:val="23"/>
          <w:highlight w:val="none"/>
        </w:rPr>
        <w:t>①</w:t>
      </w:r>
      <w:r>
        <w:rPr>
          <w:rFonts w:hint="default" w:ascii="Times New Roman" w:hAnsi="Times New Roman" w:eastAsia="宋体" w:cs="Times New Roman"/>
          <w:spacing w:val="5"/>
          <w:sz w:val="23"/>
          <w:szCs w:val="23"/>
          <w:highlight w:val="none"/>
        </w:rPr>
        <w:t>按《环境影响评价技术导则</w:t>
      </w:r>
      <w:r>
        <w:rPr>
          <w:rFonts w:hint="default" w:ascii="Times New Roman" w:hAnsi="Times New Roman" w:eastAsia="Times New Roman" w:cs="Times New Roman"/>
          <w:spacing w:val="5"/>
          <w:sz w:val="23"/>
          <w:szCs w:val="23"/>
          <w:highlight w:val="none"/>
        </w:rPr>
        <w:t>—</w:t>
      </w:r>
      <w:r>
        <w:rPr>
          <w:rFonts w:hint="default" w:ascii="Times New Roman" w:hAnsi="Times New Roman" w:eastAsia="宋体" w:cs="Times New Roman"/>
          <w:spacing w:val="5"/>
          <w:sz w:val="23"/>
          <w:szCs w:val="23"/>
          <w:highlight w:val="none"/>
        </w:rPr>
        <w:t>大气环境》  (</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5"/>
          <w:sz w:val="23"/>
          <w:szCs w:val="23"/>
          <w:highlight w:val="none"/>
        </w:rPr>
        <w:t>2.2-20</w:t>
      </w:r>
      <w:r>
        <w:rPr>
          <w:rFonts w:hint="eastAsia" w:ascii="Times New Roman" w:hAnsi="Times New Roman" w:eastAsia="宋体" w:cs="Times New Roman"/>
          <w:spacing w:val="5"/>
          <w:sz w:val="23"/>
          <w:szCs w:val="23"/>
          <w:highlight w:val="none"/>
          <w:lang w:val="en-US" w:eastAsia="zh-CN"/>
        </w:rPr>
        <w:t>18</w:t>
      </w:r>
      <w:r>
        <w:rPr>
          <w:rFonts w:hint="default" w:ascii="Times New Roman" w:hAnsi="Times New Roman" w:eastAsia="宋体" w:cs="Times New Roman"/>
          <w:spacing w:val="5"/>
          <w:sz w:val="23"/>
          <w:szCs w:val="23"/>
          <w:highlight w:val="none"/>
        </w:rPr>
        <w:t>) 中的估算模式</w:t>
      </w:r>
      <w:r>
        <w:rPr>
          <w:rFonts w:hint="default" w:ascii="Times New Roman" w:hAnsi="Times New Roman" w:eastAsia="宋体" w:cs="Times New Roman"/>
          <w:spacing w:val="2"/>
          <w:sz w:val="23"/>
          <w:szCs w:val="23"/>
          <w:highlight w:val="none"/>
        </w:rPr>
        <w:t>对</w:t>
      </w:r>
      <w:r>
        <w:rPr>
          <w:rFonts w:hint="default" w:ascii="Times New Roman" w:hAnsi="Times New Roman" w:eastAsia="宋体" w:cs="Times New Roman"/>
          <w:sz w:val="23"/>
          <w:szCs w:val="23"/>
          <w:highlight w:val="none"/>
        </w:rPr>
        <w:t xml:space="preserve">项 </w:t>
      </w:r>
      <w:r>
        <w:rPr>
          <w:rFonts w:hint="default" w:ascii="Times New Roman" w:hAnsi="Times New Roman" w:eastAsia="宋体" w:cs="Times New Roman"/>
          <w:spacing w:val="13"/>
          <w:sz w:val="23"/>
          <w:szCs w:val="23"/>
          <w:highlight w:val="none"/>
        </w:rPr>
        <w:t>目</w:t>
      </w:r>
      <w:r>
        <w:rPr>
          <w:rFonts w:hint="default" w:ascii="Times New Roman" w:hAnsi="Times New Roman" w:eastAsia="宋体" w:cs="Times New Roman"/>
          <w:spacing w:val="7"/>
          <w:sz w:val="23"/>
          <w:szCs w:val="23"/>
          <w:highlight w:val="none"/>
        </w:rPr>
        <w:t>的大气环境评价工作进行分级。结合项目的初步工程分析结果，本工程大气污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染</w:t>
      </w:r>
      <w:r>
        <w:rPr>
          <w:rFonts w:hint="default" w:ascii="Times New Roman" w:hAnsi="Times New Roman" w:eastAsia="宋体" w:cs="Times New Roman"/>
          <w:spacing w:val="7"/>
          <w:sz w:val="23"/>
          <w:szCs w:val="23"/>
          <w:highlight w:val="none"/>
        </w:rPr>
        <w:t>物主要来自矿石破碎、筛分等过程中产生的颗粒物，经离线清灰脉冲布袋除尘</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器</w:t>
      </w:r>
      <w:r>
        <w:rPr>
          <w:rFonts w:hint="default" w:ascii="Times New Roman" w:hAnsi="Times New Roman" w:eastAsia="宋体" w:cs="Times New Roman"/>
          <w:spacing w:val="11"/>
          <w:sz w:val="23"/>
          <w:szCs w:val="23"/>
          <w:highlight w:val="none"/>
        </w:rPr>
        <w:t>处</w:t>
      </w:r>
      <w:r>
        <w:rPr>
          <w:rFonts w:hint="default" w:ascii="Times New Roman" w:hAnsi="Times New Roman" w:eastAsia="宋体" w:cs="Times New Roman"/>
          <w:spacing w:val="6"/>
          <w:sz w:val="23"/>
          <w:szCs w:val="23"/>
          <w:highlight w:val="none"/>
        </w:rPr>
        <w:t>理后，经</w:t>
      </w:r>
      <w:r>
        <w:rPr>
          <w:rFonts w:hint="default" w:ascii="Times New Roman" w:hAnsi="Times New Roman" w:eastAsia="Times New Roman" w:cs="Times New Roman"/>
          <w:spacing w:val="6"/>
          <w:sz w:val="23"/>
          <w:szCs w:val="23"/>
          <w:highlight w:val="none"/>
        </w:rPr>
        <w:t>19</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排气筒排放，属于点源污染源</w:t>
      </w:r>
      <w:r>
        <w:rPr>
          <w:rFonts w:hint="default" w:ascii="Times New Roman" w:hAnsi="Times New Roman" w:eastAsia="宋体" w:cs="Times New Roman"/>
          <w:sz w:val="23"/>
          <w:szCs w:val="23"/>
          <w:highlight w:val="none"/>
        </w:rPr>
        <w:t>；本</w:t>
      </w:r>
      <w:r>
        <w:rPr>
          <w:rFonts w:hint="default" w:ascii="Times New Roman" w:hAnsi="Times New Roman" w:eastAsia="宋体" w:cs="Times New Roman"/>
          <w:spacing w:val="13"/>
          <w:sz w:val="23"/>
          <w:szCs w:val="23"/>
          <w:highlight w:val="none"/>
        </w:rPr>
        <w:t>项</w:t>
      </w:r>
      <w:r>
        <w:rPr>
          <w:rFonts w:hint="default" w:ascii="Times New Roman" w:hAnsi="Times New Roman" w:eastAsia="宋体" w:cs="Times New Roman"/>
          <w:spacing w:val="7"/>
          <w:sz w:val="23"/>
          <w:szCs w:val="23"/>
          <w:highlight w:val="none"/>
        </w:rPr>
        <w:t>目</w:t>
      </w:r>
      <w:r>
        <w:rPr>
          <w:rFonts w:hint="eastAsia" w:ascii="Times New Roman" w:hAnsi="Times New Roman" w:eastAsia="宋体" w:cs="Times New Roman"/>
          <w:spacing w:val="7"/>
          <w:sz w:val="23"/>
          <w:szCs w:val="23"/>
          <w:highlight w:val="none"/>
          <w:lang w:val="en-US" w:eastAsia="zh-CN"/>
        </w:rPr>
        <w:t>新增破碎生产车间无组织废气</w:t>
      </w:r>
      <w:r>
        <w:rPr>
          <w:rFonts w:hint="default" w:ascii="Times New Roman" w:hAnsi="Times New Roman" w:eastAsia="宋体" w:cs="Times New Roman"/>
          <w:spacing w:val="8"/>
          <w:sz w:val="23"/>
          <w:szCs w:val="23"/>
          <w:highlight w:val="none"/>
        </w:rPr>
        <w:t>作为 面源污染源进行调查</w:t>
      </w:r>
      <w:r>
        <w:rPr>
          <w:rFonts w:hint="default" w:ascii="Times New Roman" w:hAnsi="Times New Roman" w:eastAsia="宋体" w:cs="Times New Roman"/>
          <w:spacing w:val="2"/>
          <w:sz w:val="23"/>
          <w:szCs w:val="23"/>
          <w:highlight w:val="none"/>
        </w:rPr>
        <w:t>和</w:t>
      </w:r>
      <w:r>
        <w:rPr>
          <w:rFonts w:hint="default" w:ascii="Times New Roman" w:hAnsi="Times New Roman" w:cs="Times New Roman"/>
          <w:highlight w:val="none"/>
        </w:rPr>
        <w:pict>
          <v:rect id="_x0000_s1056" o:spid="_x0000_s1056" o:spt="1" style="position:absolute;left:0pt;margin-left:89.85pt;margin-top:774.95pt;height:0.75pt;width:415.65pt;mso-position-horizontal-relative:page;mso-position-vertical-relative:page;z-index:251671552;mso-width-relative:page;mso-height-relative:page;" fillcolor="#FFFFFF" filled="t" stroked="f" coordsize="21600,21600" o:allowincell="f">
            <v:path/>
            <v:fill on="t" color2="#FFFFFF" focussize="0,0"/>
            <v:stroke on="f"/>
            <v:imagedata o:title=""/>
            <o:lock v:ext="edit" aspectratio="f"/>
            <v:textbox>
              <w:txbxContent>
                <w:p/>
              </w:txbxContent>
            </v:textbox>
          </v:rect>
        </w:pict>
      </w:r>
      <w:r>
        <w:rPr>
          <w:rFonts w:hint="default" w:ascii="Times New Roman" w:hAnsi="Times New Roman" w:cs="Times New Roman"/>
          <w:highlight w:val="none"/>
        </w:rPr>
        <w:pict>
          <v:shape id="_x0000_s1057" o:spid="_x0000_s1057" style="position:absolute;left:0pt;margin-left:89.85pt;margin-top:60.75pt;height:0.75pt;width:415.65pt;mso-position-horizontal-relative:page;mso-position-vertical-relative:page;z-index:251672576;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13"/>
          <w:sz w:val="23"/>
          <w:szCs w:val="23"/>
          <w:highlight w:val="none"/>
        </w:rPr>
        <w:t>估</w:t>
      </w:r>
      <w:r>
        <w:rPr>
          <w:rFonts w:hint="default" w:ascii="Times New Roman" w:hAnsi="Times New Roman" w:eastAsia="宋体" w:cs="Times New Roman"/>
          <w:spacing w:val="7"/>
          <w:sz w:val="23"/>
          <w:szCs w:val="23"/>
          <w:highlight w:val="none"/>
        </w:rPr>
        <w:t>算。选择正常排放的主要污染物及排放参数，采用估算模式计算各污染物的最</w:t>
      </w:r>
      <w:r>
        <w:rPr>
          <w:rFonts w:hint="default" w:ascii="Times New Roman" w:hAnsi="Times New Roman" w:eastAsia="宋体" w:cs="Times New Roman"/>
          <w:spacing w:val="8"/>
          <w:sz w:val="23"/>
          <w:szCs w:val="23"/>
          <w:highlight w:val="none"/>
        </w:rPr>
        <w:t>大影响程度和最远影响范围，然后进行</w:t>
      </w:r>
      <w:r>
        <w:rPr>
          <w:rFonts w:hint="eastAsia" w:ascii="Times New Roman" w:hAnsi="Times New Roman" w:eastAsia="宋体" w:cs="Times New Roman"/>
          <w:spacing w:val="8"/>
          <w:sz w:val="23"/>
          <w:szCs w:val="23"/>
          <w:highlight w:val="none"/>
          <w:lang w:val="en-US" w:eastAsia="zh-CN"/>
        </w:rPr>
        <w:t>等级判定</w:t>
      </w:r>
      <w:r>
        <w:rPr>
          <w:rFonts w:hint="default" w:ascii="Times New Roman" w:hAnsi="Times New Roman" w:eastAsia="宋体" w:cs="Times New Roman"/>
          <w:spacing w:val="8"/>
          <w:sz w:val="23"/>
          <w:szCs w:val="23"/>
          <w:highlight w:val="none"/>
        </w:rPr>
        <w:t>。过程如下</w:t>
      </w:r>
      <w:r>
        <w:rPr>
          <w:rFonts w:hint="default" w:ascii="Times New Roman" w:hAnsi="Times New Roman" w:eastAsia="宋体" w:cs="Times New Roman"/>
          <w:spacing w:val="3"/>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按估算</w:t>
      </w:r>
      <w:r>
        <w:rPr>
          <w:rFonts w:hint="default" w:ascii="Times New Roman" w:hAnsi="Times New Roman" w:eastAsia="宋体" w:cs="Times New Roman"/>
          <w:spacing w:val="4"/>
          <w:sz w:val="23"/>
          <w:szCs w:val="23"/>
          <w:highlight w:val="none"/>
        </w:rPr>
        <w:t>模</w:t>
      </w:r>
      <w:r>
        <w:rPr>
          <w:rFonts w:hint="default" w:ascii="Times New Roman" w:hAnsi="Times New Roman" w:eastAsia="宋体" w:cs="Times New Roman"/>
          <w:spacing w:val="3"/>
          <w:sz w:val="23"/>
          <w:szCs w:val="23"/>
          <w:highlight w:val="none"/>
        </w:rPr>
        <w:t xml:space="preserve">式进行预测，主要相关参数见表 </w:t>
      </w:r>
      <w:r>
        <w:rPr>
          <w:rFonts w:hint="default" w:ascii="Times New Roman" w:hAnsi="Times New Roman" w:eastAsia="Times New Roman" w:cs="Times New Roman"/>
          <w:spacing w:val="3"/>
          <w:sz w:val="23"/>
          <w:szCs w:val="23"/>
          <w:highlight w:val="none"/>
        </w:rPr>
        <w:t>2.</w:t>
      </w:r>
      <w:r>
        <w:rPr>
          <w:rFonts w:hint="eastAsia" w:ascii="Times New Roman" w:hAnsi="Times New Roman" w:eastAsia="宋体" w:cs="Times New Roman"/>
          <w:spacing w:val="3"/>
          <w:sz w:val="23"/>
          <w:szCs w:val="23"/>
          <w:highlight w:val="none"/>
          <w:lang w:val="en-US" w:eastAsia="zh-CN"/>
        </w:rPr>
        <w:t>4</w:t>
      </w:r>
      <w:r>
        <w:rPr>
          <w:rFonts w:hint="default" w:ascii="Times New Roman" w:hAnsi="Times New Roman" w:eastAsia="Times New Roman" w:cs="Times New Roman"/>
          <w:spacing w:val="3"/>
          <w:sz w:val="23"/>
          <w:szCs w:val="23"/>
          <w:highlight w:val="none"/>
        </w:rPr>
        <w:t>-</w:t>
      </w:r>
      <w:r>
        <w:rPr>
          <w:rFonts w:hint="eastAsia" w:ascii="Times New Roman" w:hAnsi="Times New Roman" w:eastAsia="宋体" w:cs="Times New Roman"/>
          <w:spacing w:val="3"/>
          <w:sz w:val="23"/>
          <w:szCs w:val="23"/>
          <w:highlight w:val="none"/>
          <w:lang w:val="en-US" w:eastAsia="zh-CN"/>
        </w:rPr>
        <w:t>1</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w:t>
      </w:r>
      <w:r>
        <w:rPr>
          <w:rFonts w:hint="default" w:ascii="Times New Roman" w:hAnsi="Times New Roman" w:eastAsia="Times New Roman" w:cs="Times New Roman"/>
          <w:spacing w:val="3"/>
          <w:sz w:val="23"/>
          <w:szCs w:val="23"/>
          <w:highlight w:val="none"/>
        </w:rPr>
        <w:t>2.</w:t>
      </w:r>
      <w:r>
        <w:rPr>
          <w:rFonts w:hint="eastAsia" w:ascii="Times New Roman" w:hAnsi="Times New Roman" w:eastAsia="宋体" w:cs="Times New Roman"/>
          <w:spacing w:val="3"/>
          <w:sz w:val="23"/>
          <w:szCs w:val="23"/>
          <w:highlight w:val="none"/>
          <w:lang w:val="en-US" w:eastAsia="zh-CN"/>
        </w:rPr>
        <w:t>4</w:t>
      </w:r>
      <w:r>
        <w:rPr>
          <w:rFonts w:hint="default" w:ascii="Times New Roman" w:hAnsi="Times New Roman" w:eastAsia="Times New Roman" w:cs="Times New Roman"/>
          <w:spacing w:val="3"/>
          <w:sz w:val="23"/>
          <w:szCs w:val="23"/>
          <w:highlight w:val="none"/>
        </w:rPr>
        <w:t>-</w:t>
      </w:r>
      <w:r>
        <w:rPr>
          <w:rFonts w:hint="eastAsia" w:ascii="Times New Roman" w:hAnsi="Times New Roman" w:eastAsia="宋体" w:cs="Times New Roman"/>
          <w:spacing w:val="3"/>
          <w:sz w:val="23"/>
          <w:szCs w:val="23"/>
          <w:highlight w:val="none"/>
          <w:lang w:val="en-US" w:eastAsia="zh-CN"/>
        </w:rPr>
        <w:t>2</w:t>
      </w:r>
      <w:r>
        <w:rPr>
          <w:rFonts w:hint="default" w:ascii="Times New Roman" w:hAnsi="Times New Roman" w:eastAsia="宋体" w:cs="Times New Roman"/>
          <w:spacing w:val="3"/>
          <w:sz w:val="23"/>
          <w:szCs w:val="23"/>
          <w:highlight w:val="none"/>
        </w:rPr>
        <w:t>。</w:t>
      </w:r>
    </w:p>
    <w:p>
      <w:pPr>
        <w:pStyle w:val="2"/>
        <w:rPr>
          <w:rFonts w:hint="default"/>
          <w:highlight w:val="none"/>
        </w:rPr>
      </w:pPr>
    </w:p>
    <w:p>
      <w:pPr>
        <w:spacing w:line="226" w:lineRule="auto"/>
        <w:ind w:left="52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b/>
          <w:bCs/>
          <w:spacing w:val="6"/>
          <w:sz w:val="23"/>
          <w:szCs w:val="23"/>
          <w:highlight w:val="none"/>
        </w:rPr>
        <w:t>2.</w:t>
      </w:r>
      <w:r>
        <w:rPr>
          <w:rFonts w:hint="eastAsia" w:ascii="Times New Roman" w:hAnsi="Times New Roman" w:eastAsia="宋体" w:cs="Times New Roman"/>
          <w:b/>
          <w:bCs/>
          <w:spacing w:val="6"/>
          <w:sz w:val="23"/>
          <w:szCs w:val="23"/>
          <w:highlight w:val="none"/>
          <w:lang w:val="en-US" w:eastAsia="zh-CN"/>
        </w:rPr>
        <w:t>4</w:t>
      </w:r>
      <w:r>
        <w:rPr>
          <w:rFonts w:hint="default" w:ascii="Times New Roman" w:hAnsi="Times New Roman" w:eastAsia="Times New Roman" w:cs="Times New Roman"/>
          <w:b/>
          <w:bCs/>
          <w:spacing w:val="6"/>
          <w:sz w:val="23"/>
          <w:szCs w:val="23"/>
          <w:highlight w:val="none"/>
        </w:rPr>
        <w:t>-</w:t>
      </w:r>
      <w:r>
        <w:rPr>
          <w:rFonts w:hint="eastAsia" w:ascii="Times New Roman" w:hAnsi="Times New Roman" w:eastAsia="宋体" w:cs="Times New Roman"/>
          <w:b/>
          <w:bCs/>
          <w:spacing w:val="6"/>
          <w:sz w:val="23"/>
          <w:szCs w:val="23"/>
          <w:highlight w:val="none"/>
          <w:lang w:val="en-US" w:eastAsia="zh-CN"/>
        </w:rPr>
        <w:t>1</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点源污染物</w:t>
      </w:r>
      <w:r>
        <w:rPr>
          <w:rFonts w:hint="default" w:ascii="Times New Roman" w:hAnsi="Times New Roman" w:eastAsia="宋体"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(颗粒物)</w:t>
      </w:r>
      <w:r>
        <w:rPr>
          <w:rFonts w:hint="default" w:ascii="Times New Roman" w:hAnsi="Times New Roman" w:eastAsia="宋体"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大气估算模式的相关参数表</w:t>
      </w:r>
    </w:p>
    <w:p>
      <w:pPr>
        <w:spacing w:line="22" w:lineRule="exact"/>
        <w:rPr>
          <w:rFonts w:hint="default" w:ascii="Times New Roman" w:hAnsi="Times New Roman" w:cs="Times New Roman"/>
          <w:highlight w:val="none"/>
        </w:rPr>
      </w:pPr>
    </w:p>
    <w:tbl>
      <w:tblPr>
        <w:tblStyle w:val="15"/>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42"/>
        <w:gridCol w:w="1062"/>
        <w:gridCol w:w="944"/>
        <w:gridCol w:w="697"/>
        <w:gridCol w:w="535"/>
        <w:gridCol w:w="552"/>
        <w:gridCol w:w="502"/>
        <w:gridCol w:w="542"/>
        <w:gridCol w:w="350"/>
        <w:gridCol w:w="462"/>
        <w:gridCol w:w="619"/>
        <w:gridCol w:w="7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9" w:type="pct"/>
            <w:vMerge w:val="restart"/>
            <w:tcBorders>
              <w:lef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污染源名称</w:t>
            </w:r>
          </w:p>
        </w:tc>
        <w:tc>
          <w:tcPr>
            <w:tcW w:w="1195" w:type="pct"/>
            <w:gridSpan w:val="2"/>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排气筒底部中心坐标(o)</w:t>
            </w:r>
          </w:p>
        </w:tc>
        <w:tc>
          <w:tcPr>
            <w:tcW w:w="415"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排气筒底部海拔高度(m)</w:t>
            </w:r>
          </w:p>
        </w:tc>
        <w:tc>
          <w:tcPr>
            <w:tcW w:w="1269" w:type="pct"/>
            <w:gridSpan w:val="4"/>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排气筒参数</w:t>
            </w:r>
          </w:p>
        </w:tc>
        <w:tc>
          <w:tcPr>
            <w:tcW w:w="208" w:type="pct"/>
            <w:vMerge w:val="restart"/>
            <w:vAlign w:val="center"/>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排放</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工况</w:t>
            </w:r>
          </w:p>
        </w:tc>
        <w:tc>
          <w:tcPr>
            <w:tcW w:w="275"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年排放h</w:t>
            </w:r>
          </w:p>
        </w:tc>
        <w:tc>
          <w:tcPr>
            <w:tcW w:w="368"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污染物</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名称</w:t>
            </w:r>
          </w:p>
        </w:tc>
        <w:tc>
          <w:tcPr>
            <w:tcW w:w="467" w:type="pct"/>
            <w:vMerge w:val="restart"/>
            <w:tcBorders>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排放</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9" w:type="pct"/>
            <w:vMerge w:val="continue"/>
            <w:tcBorders>
              <w:lef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632"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经度</w:t>
            </w:r>
          </w:p>
        </w:tc>
        <w:tc>
          <w:tcPr>
            <w:tcW w:w="562"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纬度</w:t>
            </w:r>
          </w:p>
        </w:tc>
        <w:tc>
          <w:tcPr>
            <w:tcW w:w="415"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318"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高度</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(m)</w:t>
            </w:r>
          </w:p>
        </w:tc>
        <w:tc>
          <w:tcPr>
            <w:tcW w:w="328"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内径</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(m)</w:t>
            </w:r>
          </w:p>
        </w:tc>
        <w:tc>
          <w:tcPr>
            <w:tcW w:w="299"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温度</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w:t>
            </w:r>
          </w:p>
        </w:tc>
        <w:tc>
          <w:tcPr>
            <w:tcW w:w="322"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流速</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(m/s)</w:t>
            </w:r>
          </w:p>
        </w:tc>
        <w:tc>
          <w:tcPr>
            <w:tcW w:w="208"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275"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368"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467" w:type="pct"/>
            <w:vMerge w:val="continue"/>
            <w:tcBorders>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trPr>
        <w:tc>
          <w:tcPr>
            <w:tcW w:w="799" w:type="pct"/>
            <w:vMerge w:val="restart"/>
            <w:tcBorders>
              <w:left w:val="single" w:color="auto" w:sz="4" w:space="0"/>
            </w:tcBorders>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eastAsia" w:ascii="Times New Roman" w:hAnsi="Times New Roman" w:eastAsia="宋体" w:cs="Times New Roman"/>
                <w:snapToGrid w:val="0"/>
                <w:sz w:val="21"/>
                <w:szCs w:val="21"/>
                <w:highlight w:val="none"/>
                <w:lang w:val="en-US" w:eastAsia="zh-CN"/>
              </w:rPr>
              <w:t>7#</w:t>
            </w:r>
            <w:r>
              <w:rPr>
                <w:rFonts w:hint="default" w:ascii="Times New Roman" w:hAnsi="Times New Roman" w:cs="Times New Roman"/>
                <w:snapToGrid w:val="0"/>
                <w:sz w:val="21"/>
                <w:szCs w:val="21"/>
                <w:highlight w:val="none"/>
              </w:rPr>
              <w:t>生产线排气筒</w:t>
            </w:r>
          </w:p>
        </w:tc>
        <w:tc>
          <w:tcPr>
            <w:tcW w:w="632" w:type="pct"/>
            <w:vMerge w:val="restart"/>
            <w:vAlign w:val="center"/>
          </w:tcPr>
          <w:p>
            <w:pPr>
              <w:autoSpaceDE w:val="0"/>
              <w:autoSpaceDN w:val="0"/>
              <w:spacing w:line="240" w:lineRule="auto"/>
              <w:ind w:firstLine="0" w:firstLineChars="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cs="Times New Roman"/>
                <w:snapToGrid w:val="0"/>
                <w:sz w:val="21"/>
                <w:szCs w:val="21"/>
                <w:highlight w:val="none"/>
              </w:rPr>
              <w:t>11</w:t>
            </w:r>
            <w:r>
              <w:rPr>
                <w:rFonts w:hint="eastAsia" w:ascii="Times New Roman" w:hAnsi="Times New Roman" w:eastAsia="宋体" w:cs="Times New Roman"/>
                <w:snapToGrid w:val="0"/>
                <w:sz w:val="21"/>
                <w:szCs w:val="21"/>
                <w:highlight w:val="none"/>
                <w:lang w:val="en-US" w:eastAsia="zh-CN"/>
              </w:rPr>
              <w:t>7.97203</w:t>
            </w:r>
          </w:p>
        </w:tc>
        <w:tc>
          <w:tcPr>
            <w:tcW w:w="562" w:type="pct"/>
            <w:vMerge w:val="restart"/>
            <w:vAlign w:val="center"/>
          </w:tcPr>
          <w:p>
            <w:pPr>
              <w:autoSpaceDE w:val="0"/>
              <w:autoSpaceDN w:val="0"/>
              <w:spacing w:line="240" w:lineRule="auto"/>
              <w:ind w:firstLine="0" w:firstLineChars="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cs="Times New Roman"/>
                <w:snapToGrid w:val="0"/>
                <w:sz w:val="21"/>
                <w:szCs w:val="21"/>
                <w:highlight w:val="none"/>
              </w:rPr>
              <w:t>40.</w:t>
            </w:r>
            <w:r>
              <w:rPr>
                <w:rFonts w:hint="eastAsia" w:ascii="Times New Roman" w:hAnsi="Times New Roman" w:eastAsia="宋体" w:cs="Times New Roman"/>
                <w:snapToGrid w:val="0"/>
                <w:sz w:val="21"/>
                <w:szCs w:val="21"/>
                <w:highlight w:val="none"/>
                <w:lang w:val="en-US" w:eastAsia="zh-CN"/>
              </w:rPr>
              <w:t>23694</w:t>
            </w:r>
          </w:p>
        </w:tc>
        <w:tc>
          <w:tcPr>
            <w:tcW w:w="415" w:type="pct"/>
            <w:vMerge w:val="restart"/>
            <w:vAlign w:val="center"/>
          </w:tcPr>
          <w:p>
            <w:pPr>
              <w:autoSpaceDE w:val="0"/>
              <w:autoSpaceDN w:val="0"/>
              <w:spacing w:line="240" w:lineRule="auto"/>
              <w:ind w:firstLine="0" w:firstLineChars="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44.95</w:t>
            </w:r>
          </w:p>
        </w:tc>
        <w:tc>
          <w:tcPr>
            <w:tcW w:w="318"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19</w:t>
            </w:r>
          </w:p>
        </w:tc>
        <w:tc>
          <w:tcPr>
            <w:tcW w:w="328"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1</w:t>
            </w:r>
          </w:p>
        </w:tc>
        <w:tc>
          <w:tcPr>
            <w:tcW w:w="299"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20</w:t>
            </w:r>
          </w:p>
        </w:tc>
        <w:tc>
          <w:tcPr>
            <w:tcW w:w="322" w:type="pct"/>
            <w:vMerge w:val="restart"/>
            <w:vAlign w:val="center"/>
          </w:tcPr>
          <w:p>
            <w:pPr>
              <w:autoSpaceDE w:val="0"/>
              <w:autoSpaceDN w:val="0"/>
              <w:spacing w:line="240" w:lineRule="auto"/>
              <w:ind w:firstLine="0" w:firstLineChars="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15</w:t>
            </w:r>
          </w:p>
        </w:tc>
        <w:tc>
          <w:tcPr>
            <w:tcW w:w="208" w:type="pct"/>
            <w:vMerge w:val="restart"/>
            <w:vAlign w:val="center"/>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正常</w:t>
            </w:r>
          </w:p>
        </w:tc>
        <w:tc>
          <w:tcPr>
            <w:tcW w:w="275"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2000</w:t>
            </w:r>
          </w:p>
        </w:tc>
        <w:tc>
          <w:tcPr>
            <w:tcW w:w="368"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PM</w:t>
            </w:r>
            <w:r>
              <w:rPr>
                <w:rFonts w:hint="default" w:ascii="Times New Roman" w:hAnsi="Times New Roman" w:cs="Times New Roman"/>
                <w:snapToGrid w:val="0"/>
                <w:sz w:val="21"/>
                <w:szCs w:val="21"/>
                <w:highlight w:val="none"/>
                <w:vertAlign w:val="subscript"/>
              </w:rPr>
              <w:t>10</w:t>
            </w:r>
          </w:p>
        </w:tc>
        <w:tc>
          <w:tcPr>
            <w:tcW w:w="467" w:type="pct"/>
            <w:tcBorders>
              <w:right w:val="single" w:color="auto" w:sz="4" w:space="0"/>
            </w:tcBorders>
            <w:vAlign w:val="center"/>
          </w:tcPr>
          <w:p>
            <w:pPr>
              <w:autoSpaceDE w:val="0"/>
              <w:autoSpaceDN w:val="0"/>
              <w:spacing w:line="240" w:lineRule="auto"/>
              <w:ind w:firstLine="0" w:firstLineChars="0"/>
              <w:jc w:val="center"/>
              <w:rPr>
                <w:rFonts w:hint="default" w:ascii="Times New Roman" w:hAnsi="Times New Roman" w:eastAsia="宋体" w:cs="Times New Roman"/>
                <w:snapToGrid w:val="0"/>
                <w:sz w:val="21"/>
                <w:szCs w:val="21"/>
                <w:highlight w:val="none"/>
                <w:lang w:val="en-US" w:eastAsia="zh-CN"/>
              </w:rPr>
            </w:pPr>
            <w:r>
              <w:rPr>
                <w:rFonts w:hint="default" w:ascii="Times New Roman" w:hAnsi="Times New Roman" w:cs="Times New Roman"/>
                <w:snapToGrid w:val="0"/>
                <w:sz w:val="21"/>
                <w:szCs w:val="21"/>
                <w:highlight w:val="none"/>
              </w:rPr>
              <w:t>0.</w:t>
            </w:r>
            <w:r>
              <w:rPr>
                <w:rFonts w:hint="eastAsia" w:ascii="Times New Roman" w:hAnsi="Times New Roman" w:eastAsia="宋体" w:cs="Times New Roman"/>
                <w:snapToGrid w:val="0"/>
                <w:sz w:val="21"/>
                <w:szCs w:val="21"/>
                <w:highlight w:val="no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799" w:type="pct"/>
            <w:vMerge w:val="continue"/>
            <w:tcBorders>
              <w:left w:val="single" w:color="auto" w:sz="4" w:space="0"/>
            </w:tcBorders>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lang w:val="en-US" w:eastAsia="zh-CN"/>
              </w:rPr>
            </w:pPr>
          </w:p>
        </w:tc>
        <w:tc>
          <w:tcPr>
            <w:tcW w:w="632" w:type="pct"/>
            <w:vMerge w:val="continue"/>
            <w:vAlign w:val="center"/>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rPr>
            </w:pPr>
          </w:p>
        </w:tc>
        <w:tc>
          <w:tcPr>
            <w:tcW w:w="562" w:type="pct"/>
            <w:vMerge w:val="continue"/>
            <w:vAlign w:val="center"/>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rPr>
            </w:pPr>
          </w:p>
        </w:tc>
        <w:tc>
          <w:tcPr>
            <w:tcW w:w="415"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318" w:type="pct"/>
            <w:vMerge w:val="continue"/>
            <w:vAlign w:val="center"/>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lang w:val="en-US" w:eastAsia="zh-CN"/>
              </w:rPr>
            </w:pPr>
          </w:p>
        </w:tc>
        <w:tc>
          <w:tcPr>
            <w:tcW w:w="328"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299"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322"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208"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275"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368"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lang w:val="en-US" w:eastAsia="zh-CN"/>
              </w:rPr>
            </w:pPr>
            <w:r>
              <w:rPr>
                <w:rFonts w:hint="default" w:ascii="Times New Roman" w:hAnsi="Times New Roman" w:cs="Times New Roman"/>
                <w:snapToGrid w:val="0"/>
                <w:sz w:val="21"/>
                <w:szCs w:val="21"/>
                <w:highlight w:val="none"/>
              </w:rPr>
              <w:t>PM</w:t>
            </w:r>
            <w:r>
              <w:rPr>
                <w:rFonts w:hint="eastAsia" w:ascii="Times New Roman" w:hAnsi="Times New Roman" w:cs="Times New Roman"/>
                <w:snapToGrid w:val="0"/>
                <w:sz w:val="21"/>
                <w:szCs w:val="21"/>
                <w:highlight w:val="none"/>
                <w:vertAlign w:val="subscript"/>
                <w:lang w:val="en-US" w:eastAsia="zh-CN"/>
              </w:rPr>
              <w:t>2.5</w:t>
            </w:r>
          </w:p>
        </w:tc>
        <w:tc>
          <w:tcPr>
            <w:tcW w:w="467" w:type="pct"/>
            <w:tcBorders>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lang w:val="en-US" w:eastAsia="zh-CN"/>
              </w:rPr>
            </w:pPr>
            <w:r>
              <w:rPr>
                <w:rFonts w:hint="default" w:ascii="Times New Roman" w:hAnsi="Times New Roman" w:cs="Times New Roman"/>
                <w:snapToGrid w:val="0"/>
                <w:sz w:val="21"/>
                <w:szCs w:val="21"/>
                <w:highlight w:val="none"/>
              </w:rPr>
              <w:t>0.</w:t>
            </w:r>
            <w:r>
              <w:rPr>
                <w:rFonts w:hint="eastAsia" w:ascii="Times New Roman" w:hAnsi="Times New Roman" w:cs="Times New Roman"/>
                <w:snapToGrid w:val="0"/>
                <w:sz w:val="21"/>
                <w:szCs w:val="21"/>
                <w:highlight w:val="none"/>
                <w:lang w:val="en-US" w:eastAsia="zh-CN"/>
              </w:rPr>
              <w:t>1</w:t>
            </w:r>
          </w:p>
        </w:tc>
      </w:tr>
    </w:tbl>
    <w:p>
      <w:pPr>
        <w:spacing w:before="195" w:line="227" w:lineRule="auto"/>
        <w:ind w:left="94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10"/>
          <w:sz w:val="23"/>
          <w:szCs w:val="23"/>
          <w:highlight w:val="none"/>
        </w:rPr>
        <w:t xml:space="preserve"> </w:t>
      </w:r>
      <w:r>
        <w:rPr>
          <w:rFonts w:hint="default" w:ascii="Times New Roman" w:hAnsi="Times New Roman" w:eastAsia="Times New Roman" w:cs="Times New Roman"/>
          <w:b/>
          <w:bCs/>
          <w:spacing w:val="10"/>
          <w:sz w:val="23"/>
          <w:szCs w:val="23"/>
          <w:highlight w:val="none"/>
        </w:rPr>
        <w:t>2.</w:t>
      </w:r>
      <w:r>
        <w:rPr>
          <w:rFonts w:hint="eastAsia" w:ascii="Times New Roman" w:hAnsi="Times New Roman" w:eastAsia="宋体" w:cs="Times New Roman"/>
          <w:b/>
          <w:bCs/>
          <w:spacing w:val="10"/>
          <w:sz w:val="23"/>
          <w:szCs w:val="23"/>
          <w:highlight w:val="none"/>
          <w:lang w:val="en-US" w:eastAsia="zh-CN"/>
        </w:rPr>
        <w:t>4</w:t>
      </w:r>
      <w:r>
        <w:rPr>
          <w:rFonts w:hint="default" w:ascii="Times New Roman" w:hAnsi="Times New Roman" w:eastAsia="Times New Roman" w:cs="Times New Roman"/>
          <w:b/>
          <w:bCs/>
          <w:spacing w:val="5"/>
          <w:sz w:val="23"/>
          <w:szCs w:val="23"/>
          <w:highlight w:val="none"/>
        </w:rPr>
        <w:t>-</w:t>
      </w:r>
      <w:r>
        <w:rPr>
          <w:rFonts w:hint="eastAsia" w:ascii="Times New Roman" w:hAnsi="Times New Roman" w:eastAsia="宋体" w:cs="Times New Roman"/>
          <w:b/>
          <w:bCs/>
          <w:spacing w:val="5"/>
          <w:sz w:val="23"/>
          <w:szCs w:val="23"/>
          <w:highlight w:val="none"/>
          <w:lang w:val="en-US" w:eastAsia="zh-CN"/>
        </w:rPr>
        <w:t>2</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面源污染物</w:t>
      </w:r>
      <w:r>
        <w:rPr>
          <w:rFonts w:hint="default" w:ascii="Times New Roman" w:hAnsi="Times New Roman" w:eastAsia="宋体"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(颗粒物)</w:t>
      </w:r>
      <w:r>
        <w:rPr>
          <w:rFonts w:hint="default" w:ascii="Times New Roman" w:hAnsi="Times New Roman" w:eastAsia="宋体"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大气估算模式的相关参数表</w:t>
      </w:r>
    </w:p>
    <w:p>
      <w:pPr>
        <w:spacing w:line="23" w:lineRule="exact"/>
        <w:rPr>
          <w:rFonts w:hint="default" w:ascii="Times New Roman" w:hAnsi="Times New Roman" w:cs="Times New Roman"/>
          <w:highlight w:val="none"/>
        </w:rPr>
      </w:pPr>
    </w:p>
    <w:tbl>
      <w:tblPr>
        <w:tblStyle w:val="15"/>
        <w:tblW w:w="85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689"/>
        <w:gridCol w:w="691"/>
        <w:gridCol w:w="700"/>
        <w:gridCol w:w="613"/>
        <w:gridCol w:w="859"/>
        <w:gridCol w:w="778"/>
        <w:gridCol w:w="545"/>
        <w:gridCol w:w="791"/>
        <w:gridCol w:w="723"/>
        <w:gridCol w:w="7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1"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污染源名称</w:t>
            </w:r>
          </w:p>
        </w:tc>
        <w:tc>
          <w:tcPr>
            <w:tcW w:w="689"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面源形状</w:t>
            </w:r>
          </w:p>
        </w:tc>
        <w:tc>
          <w:tcPr>
            <w:tcW w:w="691"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面源海拔高度/m</w:t>
            </w:r>
          </w:p>
        </w:tc>
        <w:tc>
          <w:tcPr>
            <w:tcW w:w="700"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长度</w:t>
            </w:r>
          </w:p>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w:t>
            </w:r>
          </w:p>
        </w:tc>
        <w:tc>
          <w:tcPr>
            <w:tcW w:w="613"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宽度</w:t>
            </w:r>
            <w:r>
              <w:rPr>
                <w:rFonts w:hint="default" w:ascii="Times New Roman" w:hAnsi="Times New Roman" w:cs="Times New Roman"/>
                <w:sz w:val="21"/>
                <w:szCs w:val="21"/>
                <w:highlight w:val="none"/>
              </w:rPr>
              <w:t>(m)</w:t>
            </w:r>
          </w:p>
        </w:tc>
        <w:tc>
          <w:tcPr>
            <w:tcW w:w="859"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面源初始排放高度</w:t>
            </w:r>
          </w:p>
        </w:tc>
        <w:tc>
          <w:tcPr>
            <w:tcW w:w="778"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与正北方向夹角/°</w:t>
            </w:r>
          </w:p>
        </w:tc>
        <w:tc>
          <w:tcPr>
            <w:tcW w:w="545"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排放工况</w:t>
            </w:r>
          </w:p>
        </w:tc>
        <w:tc>
          <w:tcPr>
            <w:tcW w:w="791"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年排放小时数</w:t>
            </w:r>
          </w:p>
        </w:tc>
        <w:tc>
          <w:tcPr>
            <w:tcW w:w="723"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污染因子</w:t>
            </w:r>
          </w:p>
        </w:tc>
        <w:tc>
          <w:tcPr>
            <w:tcW w:w="718"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源强（</w:t>
            </w:r>
            <w:r>
              <w:rPr>
                <w:rFonts w:hint="default" w:ascii="Times New Roman" w:hAnsi="Times New Roman" w:cs="Times New Roman"/>
                <w:snapToGrid w:val="0"/>
                <w:sz w:val="21"/>
                <w:szCs w:val="21"/>
                <w:highlight w:val="none"/>
              </w:rPr>
              <w:t>kg/h</w:t>
            </w:r>
            <w:r>
              <w:rPr>
                <w:rFonts w:hint="default" w:ascii="Times New Roman" w:hAnsi="Times New Roman" w:cs="Times New Roman"/>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421"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eastAsia="宋体" w:cs="Times New Roman"/>
                <w:sz w:val="21"/>
                <w:szCs w:val="21"/>
                <w:highlight w:val="none"/>
                <w:lang w:val="en-US" w:eastAsia="zh-CN"/>
              </w:rPr>
              <w:t>5#生产</w:t>
            </w:r>
            <w:r>
              <w:rPr>
                <w:rFonts w:hint="default" w:ascii="Times New Roman" w:hAnsi="Times New Roman" w:cs="Times New Roman"/>
                <w:sz w:val="21"/>
                <w:szCs w:val="21"/>
                <w:highlight w:val="none"/>
              </w:rPr>
              <w:t>车间</w:t>
            </w:r>
          </w:p>
        </w:tc>
        <w:tc>
          <w:tcPr>
            <w:tcW w:w="689"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矩形</w:t>
            </w:r>
          </w:p>
        </w:tc>
        <w:tc>
          <w:tcPr>
            <w:tcW w:w="691"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44.95</w:t>
            </w:r>
          </w:p>
        </w:tc>
        <w:tc>
          <w:tcPr>
            <w:tcW w:w="700" w:type="dxa"/>
            <w:tcBorders>
              <w:tl2br w:val="nil"/>
              <w:tr2bl w:val="nil"/>
            </w:tcBorders>
            <w:vAlign w:val="center"/>
          </w:tcPr>
          <w:p>
            <w:pPr>
              <w:tabs>
                <w:tab w:val="left" w:pos="0"/>
              </w:tabs>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60</w:t>
            </w:r>
          </w:p>
        </w:tc>
        <w:tc>
          <w:tcPr>
            <w:tcW w:w="613" w:type="dxa"/>
            <w:tcBorders>
              <w:tl2br w:val="nil"/>
              <w:tr2bl w:val="nil"/>
            </w:tcBorders>
            <w:vAlign w:val="center"/>
          </w:tcPr>
          <w:p>
            <w:pPr>
              <w:tabs>
                <w:tab w:val="left" w:pos="0"/>
              </w:tabs>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30</w:t>
            </w:r>
          </w:p>
        </w:tc>
        <w:tc>
          <w:tcPr>
            <w:tcW w:w="859" w:type="dxa"/>
            <w:tcBorders>
              <w:tl2br w:val="nil"/>
              <w:tr2bl w:val="nil"/>
            </w:tcBorders>
            <w:vAlign w:val="center"/>
          </w:tcPr>
          <w:p>
            <w:pPr>
              <w:tabs>
                <w:tab w:val="left" w:pos="0"/>
              </w:tabs>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w:t>
            </w:r>
          </w:p>
        </w:tc>
        <w:tc>
          <w:tcPr>
            <w:tcW w:w="778"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545"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正常工况</w:t>
            </w:r>
          </w:p>
        </w:tc>
        <w:tc>
          <w:tcPr>
            <w:tcW w:w="791"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eastAsia="宋体" w:cs="Times New Roman"/>
                <w:sz w:val="21"/>
                <w:szCs w:val="21"/>
                <w:highlight w:val="none"/>
                <w:lang w:val="en-US" w:eastAsia="zh-CN"/>
              </w:rPr>
              <w:t>20</w:t>
            </w:r>
            <w:r>
              <w:rPr>
                <w:rFonts w:hint="default" w:ascii="Times New Roman" w:hAnsi="Times New Roman" w:cs="Times New Roman"/>
                <w:sz w:val="21"/>
                <w:szCs w:val="21"/>
                <w:highlight w:val="none"/>
              </w:rPr>
              <w:t>00h</w:t>
            </w:r>
          </w:p>
        </w:tc>
        <w:tc>
          <w:tcPr>
            <w:tcW w:w="723"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TSP</w:t>
            </w:r>
          </w:p>
        </w:tc>
        <w:tc>
          <w:tcPr>
            <w:tcW w:w="718" w:type="dxa"/>
            <w:tcBorders>
              <w:tl2br w:val="nil"/>
              <w:tr2bl w:val="nil"/>
            </w:tcBorders>
            <w:vAlign w:val="center"/>
          </w:tcPr>
          <w:p>
            <w:pPr>
              <w:tabs>
                <w:tab w:val="left" w:pos="0"/>
              </w:tabs>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w:t>
            </w:r>
            <w:r>
              <w:rPr>
                <w:rFonts w:hint="eastAsia" w:ascii="Times New Roman" w:hAnsi="Times New Roman" w:eastAsia="宋体" w:cs="Times New Roman"/>
                <w:sz w:val="21"/>
                <w:szCs w:val="21"/>
                <w:highlight w:val="none"/>
                <w:lang w:val="en-US" w:eastAsia="zh-CN"/>
              </w:rPr>
              <w:t>1</w:t>
            </w:r>
          </w:p>
        </w:tc>
      </w:tr>
    </w:tbl>
    <w:p>
      <w:pPr>
        <w:spacing w:before="196" w:line="387" w:lineRule="auto"/>
        <w:ind w:left="132" w:right="122" w:firstLine="480"/>
        <w:rPr>
          <w:rFonts w:hint="eastAsia"/>
          <w:sz w:val="24"/>
          <w:szCs w:val="24"/>
          <w:highlight w:val="none"/>
        </w:rPr>
      </w:pPr>
      <w:r>
        <w:rPr>
          <w:rFonts w:hint="default" w:ascii="Times New Roman" w:hAnsi="Times New Roman" w:eastAsia="宋体" w:cs="Times New Roman"/>
          <w:spacing w:val="10"/>
          <w:sz w:val="23"/>
          <w:szCs w:val="23"/>
          <w:highlight w:val="none"/>
        </w:rPr>
        <w:t>②</w:t>
      </w:r>
      <w:r>
        <w:rPr>
          <w:rFonts w:hint="eastAsia"/>
          <w:sz w:val="24"/>
          <w:szCs w:val="24"/>
          <w:highlight w:val="none"/>
        </w:rPr>
        <w:t>估算模型参数</w:t>
      </w:r>
    </w:p>
    <w:p>
      <w:pPr>
        <w:keepNext w:val="0"/>
        <w:keepLines w:val="0"/>
        <w:pageBreakBefore w:val="0"/>
        <w:widowControl/>
        <w:kinsoku w:val="0"/>
        <w:wordWrap/>
        <w:overflowPunct/>
        <w:topLinePunct w:val="0"/>
        <w:autoSpaceDE w:val="0"/>
        <w:autoSpaceDN w:val="0"/>
        <w:bidi w:val="0"/>
        <w:adjustRightInd w:val="0"/>
        <w:snapToGrid w:val="0"/>
        <w:spacing w:line="312" w:lineRule="auto"/>
        <w:ind w:left="130" w:right="119" w:firstLine="482"/>
        <w:textAlignment w:val="baseline"/>
        <w:rPr>
          <w:rFonts w:hint="default" w:ascii="Times New Roman" w:hAnsi="Times New Roman" w:eastAsia="宋体" w:cs="Times New Roman"/>
          <w:spacing w:val="5"/>
          <w:sz w:val="23"/>
          <w:szCs w:val="23"/>
          <w:highlight w:val="none"/>
        </w:rPr>
      </w:pPr>
      <w:r>
        <w:rPr>
          <w:rFonts w:hint="default" w:ascii="Times New Roman" w:hAnsi="Times New Roman" w:eastAsia="宋体" w:cs="Times New Roman"/>
          <w:spacing w:val="5"/>
          <w:sz w:val="23"/>
          <w:szCs w:val="23"/>
          <w:highlight w:val="none"/>
        </w:rPr>
        <w:t>估算模式参数取值见表</w:t>
      </w:r>
      <w:r>
        <w:rPr>
          <w:rFonts w:hint="eastAsia" w:ascii="Times New Roman" w:hAnsi="Times New Roman" w:eastAsia="宋体" w:cs="Times New Roman"/>
          <w:spacing w:val="5"/>
          <w:sz w:val="23"/>
          <w:szCs w:val="23"/>
          <w:highlight w:val="none"/>
        </w:rPr>
        <w:t>2.</w:t>
      </w:r>
      <w:r>
        <w:rPr>
          <w:rFonts w:hint="eastAsia" w:ascii="Times New Roman" w:hAnsi="Times New Roman" w:eastAsia="宋体" w:cs="Times New Roman"/>
          <w:spacing w:val="5"/>
          <w:sz w:val="23"/>
          <w:szCs w:val="23"/>
          <w:highlight w:val="none"/>
          <w:lang w:val="en-US" w:eastAsia="zh-CN"/>
        </w:rPr>
        <w:t>4</w:t>
      </w:r>
      <w:r>
        <w:rPr>
          <w:rFonts w:hint="eastAsia" w:ascii="Times New Roman" w:hAnsi="Times New Roman" w:eastAsia="宋体" w:cs="Times New Roman"/>
          <w:spacing w:val="5"/>
          <w:sz w:val="23"/>
          <w:szCs w:val="23"/>
          <w:highlight w:val="none"/>
        </w:rPr>
        <w:t>-</w:t>
      </w:r>
      <w:r>
        <w:rPr>
          <w:rFonts w:hint="eastAsia" w:ascii="Times New Roman" w:hAnsi="Times New Roman" w:eastAsia="宋体" w:cs="Times New Roman"/>
          <w:spacing w:val="5"/>
          <w:sz w:val="23"/>
          <w:szCs w:val="23"/>
          <w:highlight w:val="none"/>
          <w:lang w:val="en-US" w:eastAsia="zh-CN"/>
        </w:rPr>
        <w:t>3</w:t>
      </w:r>
      <w:r>
        <w:rPr>
          <w:rFonts w:hint="default" w:ascii="Times New Roman" w:hAnsi="Times New Roman" w:eastAsia="宋体" w:cs="Times New Roman"/>
          <w:spacing w:val="5"/>
          <w:sz w:val="23"/>
          <w:szCs w:val="23"/>
          <w:highlight w:val="none"/>
        </w:rPr>
        <w:t>。</w:t>
      </w:r>
    </w:p>
    <w:p>
      <w:pPr>
        <w:spacing w:before="195" w:line="227" w:lineRule="auto"/>
        <w:ind w:left="947"/>
        <w:jc w:val="cente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表</w:t>
      </w:r>
      <w:r>
        <w:rPr>
          <w:rFonts w:hint="eastAsia"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2.</w:t>
      </w:r>
      <w:r>
        <w:rPr>
          <w:rFonts w:hint="eastAsia" w:ascii="Times New Roman" w:hAnsi="Times New Roman" w:eastAsia="宋体" w:cs="Times New Roman"/>
          <w:spacing w:val="5"/>
          <w:sz w:val="23"/>
          <w:szCs w:val="23"/>
          <w:highlight w:val="none"/>
          <w:lang w:val="en-US" w:eastAsia="zh-CN"/>
          <w14:textOutline w14:w="4358" w14:cap="sq" w14:cmpd="sng">
            <w14:solidFill>
              <w14:srgbClr w14:val="000000"/>
            </w14:solidFill>
            <w14:prstDash w14:val="solid"/>
            <w14:bevel/>
          </w14:textOutline>
        </w:rPr>
        <w:t>4</w:t>
      </w:r>
      <w:r>
        <w:rPr>
          <w:rFonts w:hint="eastAsia"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w:t>
      </w:r>
      <w:r>
        <w:rPr>
          <w:rFonts w:hint="eastAsia" w:ascii="Times New Roman" w:hAnsi="Times New Roman" w:eastAsia="宋体" w:cs="Times New Roman"/>
          <w:spacing w:val="5"/>
          <w:sz w:val="23"/>
          <w:szCs w:val="23"/>
          <w:highlight w:val="none"/>
          <w:lang w:val="en-US" w:eastAsia="zh-CN"/>
          <w14:textOutline w14:w="4358" w14:cap="sq" w14:cmpd="sng">
            <w14:solidFill>
              <w14:srgbClr w14:val="000000"/>
            </w14:solidFill>
            <w14:prstDash w14:val="solid"/>
            <w14:bevel/>
          </w14:textOutline>
        </w:rPr>
        <w:t xml:space="preserve">3    </w:t>
      </w:r>
      <w:r>
        <w:rPr>
          <w:rFonts w:hint="eastAsia"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估算模型参数表</w:t>
      </w:r>
    </w:p>
    <w:tbl>
      <w:tblPr>
        <w:tblStyle w:val="16"/>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0"/>
        <w:gridCol w:w="2646"/>
        <w:gridCol w:w="3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06" w:type="dxa"/>
            <w:gridSpan w:val="2"/>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参数</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0" w:type="dxa"/>
            <w:vMerge w:val="restar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城市农村/选项</w:t>
            </w:r>
          </w:p>
        </w:tc>
        <w:tc>
          <w:tcPr>
            <w:tcW w:w="2646"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城市/农村</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0" w:type="dxa"/>
            <w:vMerge w:val="continue"/>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p>
        </w:tc>
        <w:tc>
          <w:tcPr>
            <w:tcW w:w="2646"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人口数(城市人口数)</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06" w:type="dxa"/>
            <w:gridSpan w:val="2"/>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最高环境温度</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40.5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06" w:type="dxa"/>
            <w:gridSpan w:val="2"/>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最低环境温度</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-21.5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06" w:type="dxa"/>
            <w:gridSpan w:val="2"/>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土地利用类型</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06" w:type="dxa"/>
            <w:gridSpan w:val="2"/>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区域湿度条件</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0" w:type="dxa"/>
            <w:vMerge w:val="restar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是否考虑地形</w:t>
            </w:r>
          </w:p>
        </w:tc>
        <w:tc>
          <w:tcPr>
            <w:tcW w:w="2646"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考虑地形</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0" w:type="dxa"/>
            <w:vMerge w:val="continue"/>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p>
        </w:tc>
        <w:tc>
          <w:tcPr>
            <w:tcW w:w="2646"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地形数据分辨率(m)</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0" w:type="dxa"/>
            <w:vMerge w:val="restar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是否考虑海岸线熏烟</w:t>
            </w:r>
          </w:p>
        </w:tc>
        <w:tc>
          <w:tcPr>
            <w:tcW w:w="2646"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考虑海岸线熏烟</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0" w:type="dxa"/>
            <w:vMerge w:val="continue"/>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p>
        </w:tc>
        <w:tc>
          <w:tcPr>
            <w:tcW w:w="2646"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海岸线距离/km</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60" w:type="dxa"/>
            <w:vMerge w:val="continue"/>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p>
        </w:tc>
        <w:tc>
          <w:tcPr>
            <w:tcW w:w="2646"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海岸线方向/o</w:t>
            </w:r>
          </w:p>
        </w:tc>
        <w:tc>
          <w:tcPr>
            <w:tcW w:w="3407" w:type="dxa"/>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bl>
    <w:p>
      <w:pPr>
        <w:spacing w:before="196" w:line="387" w:lineRule="auto"/>
        <w:ind w:left="132" w:right="122"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③</w:t>
      </w:r>
      <w:r>
        <w:rPr>
          <w:rFonts w:hint="default" w:ascii="Times New Roman" w:hAnsi="Times New Roman" w:eastAsia="宋体" w:cs="Times New Roman"/>
          <w:spacing w:val="10"/>
          <w:sz w:val="23"/>
          <w:szCs w:val="23"/>
          <w:highlight w:val="none"/>
        </w:rPr>
        <w:t>根</w:t>
      </w:r>
      <w:r>
        <w:rPr>
          <w:rFonts w:hint="default" w:ascii="Times New Roman" w:hAnsi="Times New Roman" w:eastAsia="宋体" w:cs="Times New Roman"/>
          <w:spacing w:val="6"/>
          <w:sz w:val="23"/>
          <w:szCs w:val="23"/>
          <w:highlight w:val="none"/>
        </w:rPr>
        <w:t>据</w:t>
      </w:r>
      <w:r>
        <w:rPr>
          <w:rFonts w:hint="default" w:ascii="Times New Roman" w:hAnsi="Times New Roman" w:eastAsia="宋体" w:cs="Times New Roman"/>
          <w:spacing w:val="5"/>
          <w:sz w:val="23"/>
          <w:szCs w:val="23"/>
          <w:highlight w:val="none"/>
        </w:rPr>
        <w:t xml:space="preserve">估算模式计算结果，计算污染物的最大地面浓度占标率 </w:t>
      </w:r>
      <w:r>
        <w:rPr>
          <w:rFonts w:hint="default" w:ascii="Times New Roman" w:hAnsi="Times New Roman" w:eastAsia="Times New Roman" w:cs="Times New Roman"/>
          <w:sz w:val="23"/>
          <w:szCs w:val="23"/>
          <w:highlight w:val="none"/>
        </w:rPr>
        <w:t>P</w:t>
      </w:r>
      <w:r>
        <w:rPr>
          <w:rFonts w:hint="default" w:ascii="Times New Roman" w:hAnsi="Times New Roman" w:eastAsia="Times New Roman" w:cs="Times New Roman"/>
          <w:position w:val="-1"/>
          <w:sz w:val="15"/>
          <w:szCs w:val="15"/>
          <w:highlight w:val="none"/>
        </w:rPr>
        <w:t>i</w:t>
      </w:r>
      <w:r>
        <w:rPr>
          <w:rFonts w:hint="default" w:ascii="Times New Roman" w:hAnsi="Times New Roman" w:eastAsia="宋体" w:cs="Times New Roman"/>
          <w:spacing w:val="5"/>
          <w:sz w:val="23"/>
          <w:szCs w:val="23"/>
          <w:highlight w:val="none"/>
        </w:rPr>
        <w:t>，及该污染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物的地面浓度达标准</w:t>
      </w:r>
      <w:r>
        <w:rPr>
          <w:rFonts w:hint="default" w:ascii="Times New Roman" w:hAnsi="Times New Roman" w:eastAsia="宋体" w:cs="Times New Roman"/>
          <w:spacing w:val="3"/>
          <w:sz w:val="23"/>
          <w:szCs w:val="23"/>
          <w:highlight w:val="none"/>
        </w:rPr>
        <w:t xml:space="preserve">限值 </w:t>
      </w:r>
      <w:r>
        <w:rPr>
          <w:rFonts w:hint="default" w:ascii="Times New Roman" w:hAnsi="Times New Roman" w:eastAsia="Times New Roman" w:cs="Times New Roman"/>
          <w:spacing w:val="3"/>
          <w:sz w:val="23"/>
          <w:szCs w:val="23"/>
          <w:highlight w:val="none"/>
        </w:rPr>
        <w:t>10%</w:t>
      </w:r>
      <w:r>
        <w:rPr>
          <w:rFonts w:hint="default" w:ascii="Times New Roman" w:hAnsi="Times New Roman" w:eastAsia="宋体" w:cs="Times New Roman"/>
          <w:spacing w:val="3"/>
          <w:sz w:val="23"/>
          <w:szCs w:val="23"/>
          <w:highlight w:val="none"/>
        </w:rPr>
        <w:t xml:space="preserve">时所对应的最远距离 </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3"/>
          <w:position w:val="-1"/>
          <w:sz w:val="15"/>
          <w:szCs w:val="15"/>
          <w:highlight w:val="none"/>
        </w:rPr>
        <w:t xml:space="preserve">10% </w:t>
      </w:r>
      <w:r>
        <w:rPr>
          <w:rFonts w:hint="default" w:ascii="Times New Roman" w:hAnsi="Times New Roman" w:eastAsia="宋体" w:cs="Times New Roman"/>
          <w:spacing w:val="3"/>
          <w:sz w:val="23"/>
          <w:szCs w:val="23"/>
          <w:highlight w:val="none"/>
        </w:rPr>
        <w:t>。计算公式为：</w:t>
      </w:r>
    </w:p>
    <w:p>
      <w:pPr>
        <w:spacing w:line="315" w:lineRule="exact"/>
        <w:ind w:left="1687"/>
        <w:rPr>
          <w:rFonts w:hint="default" w:ascii="Times New Roman" w:hAnsi="Times New Roman" w:cs="Times New Roman"/>
          <w:sz w:val="21"/>
          <w:highlight w:val="none"/>
        </w:rPr>
      </w:pPr>
      <w:r>
        <w:rPr>
          <w:rFonts w:hint="default" w:ascii="Times New Roman" w:hAnsi="Times New Roman" w:eastAsia="Times New Roman" w:cs="Times New Roman"/>
          <w:position w:val="1"/>
          <w:sz w:val="23"/>
          <w:szCs w:val="23"/>
          <w:highlight w:val="none"/>
        </w:rPr>
        <w:t>P</w:t>
      </w:r>
      <w:r>
        <w:rPr>
          <w:rFonts w:hint="default" w:ascii="Times New Roman" w:hAnsi="Times New Roman" w:eastAsia="Times New Roman" w:cs="Times New Roman"/>
          <w:sz w:val="15"/>
          <w:szCs w:val="15"/>
          <w:highlight w:val="none"/>
        </w:rPr>
        <w:t>i</w:t>
      </w:r>
      <w:r>
        <w:rPr>
          <w:rFonts w:hint="default" w:ascii="Times New Roman" w:hAnsi="Times New Roman" w:eastAsia="Times New Roman" w:cs="Times New Roman"/>
          <w:spacing w:val="3"/>
          <w:position w:val="1"/>
          <w:sz w:val="23"/>
          <w:szCs w:val="23"/>
          <w:highlight w:val="none"/>
        </w:rPr>
        <w:t xml:space="preserve">=  </w:t>
      </w:r>
      <w:r>
        <w:rPr>
          <w:rFonts w:hint="default" w:ascii="Times New Roman" w:hAnsi="Times New Roman" w:eastAsia="宋体" w:cs="Times New Roman"/>
          <w:spacing w:val="3"/>
          <w:position w:val="1"/>
          <w:sz w:val="23"/>
          <w:szCs w:val="23"/>
          <w:highlight w:val="none"/>
        </w:rPr>
        <w:t>(</w:t>
      </w:r>
      <w:r>
        <w:rPr>
          <w:rFonts w:hint="default" w:ascii="Times New Roman" w:hAnsi="Times New Roman" w:eastAsia="Times New Roman" w:cs="Times New Roman"/>
          <w:position w:val="1"/>
          <w:sz w:val="23"/>
          <w:szCs w:val="23"/>
          <w:highlight w:val="none"/>
        </w:rPr>
        <w:t>C</w:t>
      </w:r>
      <w:r>
        <w:rPr>
          <w:rFonts w:hint="default" w:ascii="Times New Roman" w:hAnsi="Times New Roman" w:eastAsia="Times New Roman" w:cs="Times New Roman"/>
          <w:sz w:val="15"/>
          <w:szCs w:val="15"/>
          <w:highlight w:val="none"/>
        </w:rPr>
        <w:t>i</w:t>
      </w:r>
      <w:r>
        <w:rPr>
          <w:rFonts w:hint="default" w:ascii="Times New Roman" w:hAnsi="Times New Roman" w:eastAsia="Times New Roman" w:cs="Times New Roman"/>
          <w:spacing w:val="3"/>
          <w:position w:val="1"/>
          <w:sz w:val="23"/>
          <w:szCs w:val="23"/>
          <w:highlight w:val="none"/>
        </w:rPr>
        <w:t>/</w:t>
      </w:r>
      <w:r>
        <w:rPr>
          <w:rFonts w:hint="default" w:ascii="Times New Roman" w:hAnsi="Times New Roman" w:eastAsia="Times New Roman" w:cs="Times New Roman"/>
          <w:position w:val="1"/>
          <w:sz w:val="23"/>
          <w:szCs w:val="23"/>
          <w:highlight w:val="none"/>
        </w:rPr>
        <w:t>C</w:t>
      </w:r>
      <w:r>
        <w:rPr>
          <w:rFonts w:hint="default" w:ascii="Times New Roman" w:hAnsi="Times New Roman" w:eastAsia="Times New Roman" w:cs="Times New Roman"/>
          <w:spacing w:val="3"/>
          <w:sz w:val="15"/>
          <w:szCs w:val="15"/>
          <w:highlight w:val="none"/>
        </w:rPr>
        <w:t>0</w:t>
      </w:r>
      <w:r>
        <w:rPr>
          <w:rFonts w:hint="default" w:ascii="Times New Roman" w:hAnsi="Times New Roman" w:eastAsia="Times New Roman" w:cs="Times New Roman"/>
          <w:sz w:val="15"/>
          <w:szCs w:val="15"/>
          <w:highlight w:val="none"/>
        </w:rPr>
        <w:t>i</w:t>
      </w:r>
      <w:r>
        <w:rPr>
          <w:rFonts w:hint="default" w:ascii="Times New Roman" w:hAnsi="Times New Roman" w:eastAsia="Times New Roman" w:cs="Times New Roman"/>
          <w:spacing w:val="3"/>
          <w:sz w:val="15"/>
          <w:szCs w:val="15"/>
          <w:highlight w:val="none"/>
        </w:rPr>
        <w:t xml:space="preserve"> </w:t>
      </w:r>
      <w:r>
        <w:rPr>
          <w:rFonts w:hint="default" w:ascii="Times New Roman" w:hAnsi="Times New Roman" w:eastAsia="宋体" w:cs="Times New Roman"/>
          <w:spacing w:val="3"/>
          <w:position w:val="1"/>
          <w:sz w:val="23"/>
          <w:szCs w:val="23"/>
          <w:highlight w:val="none"/>
        </w:rPr>
        <w:t xml:space="preserve">) </w:t>
      </w:r>
      <w:r>
        <w:rPr>
          <w:rFonts w:hint="default" w:ascii="Times New Roman" w:hAnsi="Times New Roman" w:eastAsia="Times New Roman" w:cs="Times New Roman"/>
          <w:spacing w:val="3"/>
          <w:position w:val="1"/>
          <w:sz w:val="23"/>
          <w:szCs w:val="23"/>
          <w:highlight w:val="none"/>
        </w:rPr>
        <w:t>×100</w:t>
      </w:r>
      <w:r>
        <w:rPr>
          <w:rFonts w:hint="default" w:ascii="Times New Roman" w:hAnsi="Times New Roman" w:eastAsia="Times New Roman" w:cs="Times New Roman"/>
          <w:position w:val="1"/>
          <w:sz w:val="23"/>
          <w:szCs w:val="23"/>
          <w:highlight w:val="none"/>
        </w:rPr>
        <w:t>%</w:t>
      </w:r>
      <w:r>
        <w:rPr>
          <w:rFonts w:hint="default" w:ascii="Times New Roman" w:hAnsi="Times New Roman" w:cs="Times New Roman"/>
          <w:highlight w:val="none"/>
        </w:rPr>
        <w:pict>
          <v:shape id="_x0000_s1060" o:spid="_x0000_s1060" style="position:absolute;left:0pt;margin-left:89.85pt;margin-top:60.75pt;height:0.75pt;width:415.65pt;mso-position-horizontal-relative:page;mso-position-vertical-relative:page;z-index:251673600;mso-width-relative:page;mso-height-relative:page;" fillcolor="#000000" filled="t" stroked="f" coordsize="8312,15" o:allowincell="f" path="m0,0l8312,0,8312,14,0,14,0,0xe">
            <v:path/>
            <v:fill on="t" focussize="0,0"/>
            <v:stroke on="f"/>
            <v:imagedata o:title=""/>
            <o:lock v:ext="edit"/>
          </v:shape>
        </w:pict>
      </w:r>
    </w:p>
    <w:p>
      <w:pPr>
        <w:spacing w:before="75" w:line="315" w:lineRule="exact"/>
        <w:ind w:left="53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position w:val="1"/>
          <w:sz w:val="23"/>
          <w:szCs w:val="23"/>
          <w:highlight w:val="none"/>
        </w:rPr>
        <w:t xml:space="preserve">式中：  </w:t>
      </w:r>
      <w:r>
        <w:rPr>
          <w:rFonts w:hint="default" w:ascii="Times New Roman" w:hAnsi="Times New Roman" w:eastAsia="Times New Roman" w:cs="Times New Roman"/>
          <w:position w:val="1"/>
          <w:sz w:val="23"/>
          <w:szCs w:val="23"/>
          <w:highlight w:val="none"/>
        </w:rPr>
        <w:t>P</w:t>
      </w:r>
      <w:r>
        <w:rPr>
          <w:rFonts w:hint="default" w:ascii="Times New Roman" w:hAnsi="Times New Roman" w:eastAsia="Times New Roman" w:cs="Times New Roman"/>
          <w:sz w:val="15"/>
          <w:szCs w:val="15"/>
          <w:highlight w:val="none"/>
        </w:rPr>
        <w:t>i</w:t>
      </w:r>
      <w:r>
        <w:rPr>
          <w:rFonts w:hint="default" w:ascii="Times New Roman" w:hAnsi="Times New Roman" w:eastAsia="Times New Roman" w:cs="Times New Roman"/>
          <w:spacing w:val="2"/>
          <w:position w:val="1"/>
          <w:sz w:val="23"/>
          <w:szCs w:val="23"/>
          <w:highlight w:val="none"/>
        </w:rPr>
        <w:t>——</w:t>
      </w:r>
      <w:r>
        <w:rPr>
          <w:rFonts w:hint="default" w:ascii="Times New Roman" w:hAnsi="Times New Roman" w:eastAsia="宋体" w:cs="Times New Roman"/>
          <w:spacing w:val="2"/>
          <w:position w:val="1"/>
          <w:sz w:val="23"/>
          <w:szCs w:val="23"/>
          <w:highlight w:val="none"/>
        </w:rPr>
        <w:t xml:space="preserve">第 </w:t>
      </w:r>
      <w:r>
        <w:rPr>
          <w:rFonts w:hint="default" w:ascii="Times New Roman" w:hAnsi="Times New Roman" w:eastAsia="Times New Roman" w:cs="Times New Roman"/>
          <w:position w:val="1"/>
          <w:sz w:val="23"/>
          <w:szCs w:val="23"/>
          <w:highlight w:val="none"/>
        </w:rPr>
        <w:t>i</w:t>
      </w:r>
      <w:r>
        <w:rPr>
          <w:rFonts w:hint="default" w:ascii="Times New Roman" w:hAnsi="Times New Roman" w:eastAsia="Times New Roman" w:cs="Times New Roman"/>
          <w:spacing w:val="2"/>
          <w:position w:val="1"/>
          <w:sz w:val="23"/>
          <w:szCs w:val="23"/>
          <w:highlight w:val="none"/>
        </w:rPr>
        <w:t xml:space="preserve"> </w:t>
      </w:r>
      <w:r>
        <w:rPr>
          <w:rFonts w:hint="default" w:ascii="Times New Roman" w:hAnsi="Times New Roman" w:eastAsia="宋体" w:cs="Times New Roman"/>
          <w:spacing w:val="2"/>
          <w:position w:val="1"/>
          <w:sz w:val="23"/>
          <w:szCs w:val="23"/>
          <w:highlight w:val="none"/>
        </w:rPr>
        <w:t>类污染物的最大地面浓度占标率，</w:t>
      </w:r>
      <w:r>
        <w:rPr>
          <w:rFonts w:hint="default" w:ascii="Times New Roman" w:hAnsi="Times New Roman" w:eastAsia="Times New Roman" w:cs="Times New Roman"/>
          <w:position w:val="1"/>
          <w:sz w:val="23"/>
          <w:szCs w:val="23"/>
          <w:highlight w:val="none"/>
        </w:rPr>
        <w:t>%</w:t>
      </w:r>
      <w:r>
        <w:rPr>
          <w:rFonts w:hint="default" w:ascii="Times New Roman" w:hAnsi="Times New Roman" w:eastAsia="宋体" w:cs="Times New Roman"/>
          <w:position w:val="1"/>
          <w:sz w:val="23"/>
          <w:szCs w:val="23"/>
          <w:highlight w:val="none"/>
        </w:rPr>
        <w:t>；</w:t>
      </w:r>
    </w:p>
    <w:p>
      <w:pPr>
        <w:spacing w:before="187" w:line="400" w:lineRule="auto"/>
        <w:ind w:left="1371" w:right="21"/>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C</w:t>
      </w:r>
      <w:r>
        <w:rPr>
          <w:rFonts w:hint="default" w:ascii="Times New Roman" w:hAnsi="Times New Roman" w:eastAsia="Times New Roman" w:cs="Times New Roman"/>
          <w:position w:val="-1"/>
          <w:sz w:val="15"/>
          <w:szCs w:val="15"/>
          <w:highlight w:val="none"/>
        </w:rPr>
        <w:t>i</w:t>
      </w:r>
      <w:r>
        <w:rPr>
          <w:rFonts w:hint="default" w:ascii="Times New Roman" w:hAnsi="Times New Roman" w:eastAsia="Times New Roman" w:cs="Times New Roman"/>
          <w:spacing w:val="1"/>
          <w:sz w:val="23"/>
          <w:szCs w:val="23"/>
          <w:highlight w:val="none"/>
        </w:rPr>
        <w:t>——</w:t>
      </w:r>
      <w:r>
        <w:rPr>
          <w:rFonts w:hint="default" w:ascii="Times New Roman" w:hAnsi="Times New Roman" w:eastAsia="宋体" w:cs="Times New Roman"/>
          <w:spacing w:val="1"/>
          <w:sz w:val="23"/>
          <w:szCs w:val="23"/>
          <w:highlight w:val="none"/>
        </w:rPr>
        <w:t xml:space="preserve">采用估算模式计算出的第 </w:t>
      </w:r>
      <w:r>
        <w:rPr>
          <w:rFonts w:hint="default" w:ascii="Times New Roman" w:hAnsi="Times New Roman" w:eastAsia="Times New Roman" w:cs="Times New Roman"/>
          <w:sz w:val="23"/>
          <w:szCs w:val="23"/>
          <w:highlight w:val="none"/>
        </w:rPr>
        <w:t>i</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类污染物</w:t>
      </w:r>
      <w:r>
        <w:rPr>
          <w:rFonts w:hint="default" w:ascii="Times New Roman" w:hAnsi="Times New Roman" w:eastAsia="宋体" w:cs="Times New Roman"/>
          <w:sz w:val="23"/>
          <w:szCs w:val="23"/>
          <w:highlight w:val="none"/>
        </w:rPr>
        <w:t>的最大地面浓度，</w:t>
      </w:r>
      <w:r>
        <w:rPr>
          <w:rFonts w:hint="default" w:ascii="Times New Roman" w:hAnsi="Times New Roman" w:eastAsia="Times New Roman" w:cs="Times New Roman"/>
          <w:sz w:val="23"/>
          <w:szCs w:val="23"/>
          <w:highlight w:val="none"/>
        </w:rPr>
        <w:t>mg/m</w:t>
      </w:r>
      <w:r>
        <w:rPr>
          <w:rFonts w:hint="default" w:ascii="Times New Roman" w:hAnsi="Times New Roman" w:eastAsia="Times New Roman" w:cs="Times New Roman"/>
          <w:position w:val="8"/>
          <w:sz w:val="15"/>
          <w:szCs w:val="15"/>
          <w:highlight w:val="none"/>
        </w:rPr>
        <w:t>3</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z w:val="23"/>
          <w:szCs w:val="23"/>
          <w:highlight w:val="none"/>
        </w:rPr>
        <w:t>C</w:t>
      </w:r>
      <w:r>
        <w:rPr>
          <w:rFonts w:hint="default" w:ascii="Times New Roman" w:hAnsi="Times New Roman" w:eastAsia="Times New Roman" w:cs="Times New Roman"/>
          <w:spacing w:val="6"/>
          <w:position w:val="-1"/>
          <w:sz w:val="15"/>
          <w:szCs w:val="15"/>
          <w:highlight w:val="none"/>
        </w:rPr>
        <w:t>0</w:t>
      </w:r>
      <w:r>
        <w:rPr>
          <w:rFonts w:hint="default" w:ascii="Times New Roman" w:hAnsi="Times New Roman" w:eastAsia="Times New Roman" w:cs="Times New Roman"/>
          <w:position w:val="-1"/>
          <w:sz w:val="15"/>
          <w:szCs w:val="15"/>
          <w:highlight w:val="none"/>
        </w:rPr>
        <w:t>i</w:t>
      </w:r>
      <w:r>
        <w:rPr>
          <w:rFonts w:hint="default" w:ascii="Times New Roman" w:hAnsi="Times New Roman" w:eastAsia="Times New Roman" w:cs="Times New Roman"/>
          <w:spacing w:val="6"/>
          <w:sz w:val="23"/>
          <w:szCs w:val="23"/>
          <w:highlight w:val="none"/>
        </w:rPr>
        <w:t>——</w:t>
      </w:r>
      <w:r>
        <w:rPr>
          <w:rFonts w:hint="default" w:ascii="Times New Roman" w:hAnsi="Times New Roman" w:eastAsia="宋体" w:cs="Times New Roman"/>
          <w:spacing w:val="6"/>
          <w:sz w:val="23"/>
          <w:szCs w:val="23"/>
          <w:highlight w:val="none"/>
        </w:rPr>
        <w:t xml:space="preserve">第 </w:t>
      </w:r>
      <w:r>
        <w:rPr>
          <w:rFonts w:hint="default" w:ascii="Times New Roman" w:hAnsi="Times New Roman" w:eastAsia="Times New Roman" w:cs="Times New Roman"/>
          <w:sz w:val="23"/>
          <w:szCs w:val="23"/>
          <w:highlight w:val="none"/>
        </w:rPr>
        <w:t>i</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类污染物空气质量标准，</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7"/>
          <w:sz w:val="15"/>
          <w:szCs w:val="15"/>
          <w:highlight w:val="none"/>
        </w:rPr>
        <w:t>3</w:t>
      </w:r>
      <w:r>
        <w:rPr>
          <w:rFonts w:hint="default" w:ascii="Times New Roman" w:hAnsi="Times New Roman" w:eastAsia="宋体" w:cs="Times New Roman"/>
          <w:spacing w:val="4"/>
          <w:sz w:val="23"/>
          <w:szCs w:val="23"/>
          <w:highlight w:val="none"/>
        </w:rPr>
        <w:t>。</w:t>
      </w:r>
    </w:p>
    <w:p>
      <w:pPr>
        <w:spacing w:before="38" w:line="401" w:lineRule="auto"/>
        <w:ind w:left="51"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按照《环境影响评价技术导则</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大气环境》  (</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7"/>
          <w:sz w:val="23"/>
          <w:szCs w:val="23"/>
          <w:highlight w:val="none"/>
        </w:rPr>
        <w:t>2.2—20</w:t>
      </w:r>
      <w:r>
        <w:rPr>
          <w:rFonts w:hint="eastAsia" w:ascii="Times New Roman" w:hAnsi="Times New Roman" w:eastAsia="宋体" w:cs="Times New Roman"/>
          <w:spacing w:val="7"/>
          <w:sz w:val="23"/>
          <w:szCs w:val="23"/>
          <w:highlight w:val="none"/>
          <w:lang w:val="en-US" w:eastAsia="zh-CN"/>
        </w:rPr>
        <w:t>18</w:t>
      </w:r>
      <w:r>
        <w:rPr>
          <w:rFonts w:hint="default" w:ascii="Times New Roman" w:hAnsi="Times New Roman" w:eastAsia="宋体" w:cs="Times New Roman"/>
          <w:spacing w:val="7"/>
          <w:sz w:val="23"/>
          <w:szCs w:val="23"/>
          <w:highlight w:val="none"/>
        </w:rPr>
        <w:t>) 中估算模</w:t>
      </w:r>
      <w:r>
        <w:rPr>
          <w:rFonts w:hint="default" w:ascii="Times New Roman" w:hAnsi="Times New Roman" w:eastAsia="宋体" w:cs="Times New Roman"/>
          <w:spacing w:val="2"/>
          <w:sz w:val="23"/>
          <w:szCs w:val="23"/>
          <w:highlight w:val="none"/>
        </w:rPr>
        <w:t>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及参数</w:t>
      </w:r>
      <w:r>
        <w:rPr>
          <w:rFonts w:hint="default" w:ascii="Times New Roman" w:hAnsi="Times New Roman" w:eastAsia="宋体" w:cs="Times New Roman"/>
          <w:spacing w:val="2"/>
          <w:sz w:val="23"/>
          <w:szCs w:val="23"/>
          <w:highlight w:val="none"/>
        </w:rPr>
        <w:t>，计算生产过程产生的颗粒物的落地浓度，计算结果见表</w:t>
      </w:r>
      <w:r>
        <w:rPr>
          <w:rFonts w:hint="default" w:ascii="Times New Roman" w:hAnsi="Times New Roman" w:eastAsia="Times New Roman" w:cs="Times New Roman"/>
          <w:spacing w:val="2"/>
          <w:sz w:val="23"/>
          <w:szCs w:val="23"/>
          <w:highlight w:val="none"/>
        </w:rPr>
        <w:t>2.</w:t>
      </w:r>
      <w:r>
        <w:rPr>
          <w:rFonts w:hint="eastAsia" w:ascii="Times New Roman" w:hAnsi="Times New Roman" w:eastAsia="宋体" w:cs="Times New Roman"/>
          <w:spacing w:val="2"/>
          <w:sz w:val="23"/>
          <w:szCs w:val="23"/>
          <w:highlight w:val="none"/>
          <w:lang w:val="en-US" w:eastAsia="zh-CN"/>
        </w:rPr>
        <w:t>4</w:t>
      </w:r>
      <w:r>
        <w:rPr>
          <w:rFonts w:hint="default" w:ascii="Times New Roman" w:hAnsi="Times New Roman" w:eastAsia="Times New Roman" w:cs="Times New Roman"/>
          <w:spacing w:val="2"/>
          <w:sz w:val="23"/>
          <w:szCs w:val="23"/>
          <w:highlight w:val="none"/>
        </w:rPr>
        <w:t>-</w:t>
      </w:r>
      <w:r>
        <w:rPr>
          <w:rFonts w:hint="eastAsia" w:ascii="Times New Roman" w:hAnsi="Times New Roman" w:eastAsia="宋体" w:cs="Times New Roman"/>
          <w:spacing w:val="2"/>
          <w:sz w:val="23"/>
          <w:szCs w:val="23"/>
          <w:highlight w:val="none"/>
          <w:lang w:val="en-US" w:eastAsia="zh-CN"/>
        </w:rPr>
        <w:t>4</w:t>
      </w:r>
      <w:r>
        <w:rPr>
          <w:rFonts w:hint="default" w:ascii="Times New Roman" w:hAnsi="Times New Roman" w:eastAsia="宋体" w:cs="Times New Roman"/>
          <w:spacing w:val="2"/>
          <w:sz w:val="23"/>
          <w:szCs w:val="23"/>
          <w:highlight w:val="none"/>
        </w:rPr>
        <w:t>。</w:t>
      </w:r>
    </w:p>
    <w:p>
      <w:pPr>
        <w:spacing w:line="226" w:lineRule="auto"/>
        <w:ind w:left="1647"/>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Times New Roman" w:cs="Times New Roman"/>
          <w:b/>
          <w:bCs/>
          <w:spacing w:val="4"/>
          <w:sz w:val="23"/>
          <w:szCs w:val="23"/>
          <w:highlight w:val="none"/>
        </w:rPr>
        <w:t>2.</w:t>
      </w:r>
      <w:r>
        <w:rPr>
          <w:rFonts w:hint="eastAsia" w:ascii="Times New Roman" w:hAnsi="Times New Roman" w:eastAsia="宋体" w:cs="Times New Roman"/>
          <w:b/>
          <w:bCs/>
          <w:spacing w:val="4"/>
          <w:sz w:val="23"/>
          <w:szCs w:val="23"/>
          <w:highlight w:val="none"/>
          <w:lang w:val="en-US" w:eastAsia="zh-CN"/>
        </w:rPr>
        <w:t>4</w:t>
      </w:r>
      <w:r>
        <w:rPr>
          <w:rFonts w:hint="default" w:ascii="Times New Roman" w:hAnsi="Times New Roman" w:eastAsia="Times New Roman" w:cs="Times New Roman"/>
          <w:b/>
          <w:bCs/>
          <w:spacing w:val="4"/>
          <w:sz w:val="23"/>
          <w:szCs w:val="23"/>
          <w:highlight w:val="none"/>
        </w:rPr>
        <w:t>-</w:t>
      </w:r>
      <w:r>
        <w:rPr>
          <w:rFonts w:hint="eastAsia" w:ascii="Times New Roman" w:hAnsi="Times New Roman" w:eastAsia="宋体" w:cs="Times New Roman"/>
          <w:b/>
          <w:bCs/>
          <w:spacing w:val="4"/>
          <w:sz w:val="23"/>
          <w:szCs w:val="23"/>
          <w:highlight w:val="none"/>
          <w:lang w:val="en-US" w:eastAsia="zh-CN"/>
        </w:rPr>
        <w:t>4</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估算模式计算结果一览表</w:t>
      </w:r>
    </w:p>
    <w:tbl>
      <w:tblPr>
        <w:tblStyle w:val="15"/>
        <w:tblW w:w="8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7"/>
        <w:gridCol w:w="603"/>
        <w:gridCol w:w="679"/>
        <w:gridCol w:w="2045"/>
        <w:gridCol w:w="1601"/>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89" w:type="dxa"/>
            <w:gridSpan w:val="3"/>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污染源名称</w:t>
            </w:r>
          </w:p>
        </w:tc>
        <w:tc>
          <w:tcPr>
            <w:tcW w:w="2045" w:type="dxa"/>
            <w:tcBorders>
              <w:tl2br w:val="nil"/>
              <w:tr2bl w:val="nil"/>
            </w:tcBorders>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Cmax</w:t>
            </w:r>
          </w:p>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w:t>
            </w:r>
            <w:r>
              <w:rPr>
                <w:rFonts w:hint="default" w:ascii="Times New Roman" w:hAnsi="Times New Roman" w:eastAsia="宋体" w:cs="Times New Roman"/>
                <w:sz w:val="21"/>
                <w:szCs w:val="21"/>
                <w:highlight w:val="none"/>
              </w:rPr>
              <w:t>μg/m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kern w:val="2"/>
                <w:sz w:val="21"/>
                <w:szCs w:val="21"/>
                <w:highlight w:val="none"/>
              </w:rPr>
              <w:t>）</w:t>
            </w:r>
          </w:p>
        </w:tc>
        <w:tc>
          <w:tcPr>
            <w:tcW w:w="1601" w:type="dxa"/>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Pmax</w:t>
            </w:r>
          </w:p>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w:t>
            </w:r>
          </w:p>
        </w:tc>
        <w:tc>
          <w:tcPr>
            <w:tcW w:w="1396" w:type="dxa"/>
            <w:tcBorders>
              <w:tl2br w:val="nil"/>
              <w:tr2bl w:val="nil"/>
            </w:tcBorders>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D10%</w:t>
            </w:r>
          </w:p>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07" w:type="dxa"/>
            <w:vMerge w:val="restart"/>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7#</w:t>
            </w:r>
            <w:r>
              <w:rPr>
                <w:rFonts w:hint="default" w:ascii="Times New Roman" w:hAnsi="Times New Roman" w:eastAsia="宋体" w:cs="Times New Roman"/>
                <w:kern w:val="2"/>
                <w:sz w:val="21"/>
                <w:szCs w:val="21"/>
                <w:highlight w:val="none"/>
              </w:rPr>
              <w:t>生产线</w:t>
            </w:r>
          </w:p>
        </w:tc>
        <w:tc>
          <w:tcPr>
            <w:tcW w:w="603" w:type="dxa"/>
            <w:vMerge w:val="restart"/>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点源</w:t>
            </w:r>
          </w:p>
        </w:tc>
        <w:tc>
          <w:tcPr>
            <w:tcW w:w="679" w:type="dxa"/>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PM</w:t>
            </w:r>
            <w:r>
              <w:rPr>
                <w:rFonts w:hint="default" w:ascii="Times New Roman" w:hAnsi="Times New Roman" w:eastAsia="宋体" w:cs="Times New Roman"/>
                <w:kern w:val="2"/>
                <w:sz w:val="21"/>
                <w:szCs w:val="21"/>
                <w:highlight w:val="none"/>
                <w:vertAlign w:val="subscript"/>
              </w:rPr>
              <w:t>10</w:t>
            </w:r>
          </w:p>
        </w:tc>
        <w:tc>
          <w:tcPr>
            <w:tcW w:w="2045" w:type="dxa"/>
            <w:tcBorders>
              <w:tl2br w:val="nil"/>
              <w:tr2bl w:val="nil"/>
            </w:tcBorders>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7.88</w:t>
            </w:r>
          </w:p>
        </w:tc>
        <w:tc>
          <w:tcPr>
            <w:tcW w:w="1601" w:type="dxa"/>
            <w:tcBorders>
              <w:tl2br w:val="nil"/>
              <w:tr2bl w:val="nil"/>
            </w:tcBorders>
            <w:tcMar>
              <w:left w:w="28" w:type="dxa"/>
              <w:right w:w="28" w:type="dxa"/>
            </w:tcMar>
            <w:vAlign w:val="center"/>
          </w:tcPr>
          <w:p>
            <w:pPr>
              <w:widowControl/>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1.76</w:t>
            </w:r>
          </w:p>
        </w:tc>
        <w:tc>
          <w:tcPr>
            <w:tcW w:w="1396"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07" w:type="dxa"/>
            <w:vMerge w:val="continue"/>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603" w:type="dxa"/>
            <w:vMerge w:val="continue"/>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679" w:type="dxa"/>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PM</w:t>
            </w:r>
            <w:r>
              <w:rPr>
                <w:rFonts w:hint="default" w:ascii="Times New Roman" w:hAnsi="Times New Roman" w:eastAsia="宋体" w:cs="Times New Roman"/>
                <w:kern w:val="2"/>
                <w:sz w:val="21"/>
                <w:szCs w:val="21"/>
                <w:highlight w:val="none"/>
                <w:vertAlign w:val="subscript"/>
              </w:rPr>
              <w:t>2.5</w:t>
            </w:r>
          </w:p>
        </w:tc>
        <w:tc>
          <w:tcPr>
            <w:tcW w:w="2045" w:type="dxa"/>
            <w:tcBorders>
              <w:tl2br w:val="nil"/>
              <w:tr2bl w:val="nil"/>
            </w:tcBorders>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3.96</w:t>
            </w:r>
          </w:p>
        </w:tc>
        <w:tc>
          <w:tcPr>
            <w:tcW w:w="1601" w:type="dxa"/>
            <w:tcBorders>
              <w:tl2br w:val="nil"/>
              <w:tr2bl w:val="nil"/>
            </w:tcBorders>
            <w:tcMar>
              <w:left w:w="28" w:type="dxa"/>
              <w:right w:w="28" w:type="dxa"/>
            </w:tcMar>
            <w:vAlign w:val="center"/>
          </w:tcPr>
          <w:p>
            <w:pPr>
              <w:widowControl/>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1.76</w:t>
            </w:r>
          </w:p>
        </w:tc>
        <w:tc>
          <w:tcPr>
            <w:tcW w:w="1396"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07" w:type="dxa"/>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5#生产</w:t>
            </w:r>
            <w:r>
              <w:rPr>
                <w:rFonts w:hint="default" w:ascii="Times New Roman" w:hAnsi="Times New Roman" w:eastAsia="宋体" w:cs="Times New Roman"/>
                <w:kern w:val="2"/>
                <w:sz w:val="21"/>
                <w:szCs w:val="21"/>
                <w:highlight w:val="none"/>
              </w:rPr>
              <w:t>车间</w:t>
            </w:r>
          </w:p>
        </w:tc>
        <w:tc>
          <w:tcPr>
            <w:tcW w:w="1282" w:type="dxa"/>
            <w:gridSpan w:val="2"/>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面源</w:t>
            </w:r>
          </w:p>
        </w:tc>
        <w:tc>
          <w:tcPr>
            <w:tcW w:w="2045" w:type="dxa"/>
            <w:tcBorders>
              <w:tl2br w:val="nil"/>
              <w:tr2bl w:val="nil"/>
            </w:tcBorders>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47.02</w:t>
            </w:r>
          </w:p>
        </w:tc>
        <w:tc>
          <w:tcPr>
            <w:tcW w:w="1601" w:type="dxa"/>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5.22</w:t>
            </w:r>
          </w:p>
        </w:tc>
        <w:tc>
          <w:tcPr>
            <w:tcW w:w="1396" w:type="dxa"/>
            <w:tcBorders>
              <w:tl2br w:val="nil"/>
              <w:tr2bl w:val="nil"/>
            </w:tcBorders>
          </w:tcPr>
          <w:p>
            <w:pPr>
              <w:widowControl/>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w:t>
            </w:r>
          </w:p>
        </w:tc>
      </w:tr>
    </w:tbl>
    <w:p>
      <w:pPr>
        <w:spacing w:line="23" w:lineRule="exact"/>
        <w:rPr>
          <w:rFonts w:hint="default" w:ascii="Times New Roman" w:hAnsi="Times New Roman" w:cs="Times New Roman"/>
          <w:highlight w:val="none"/>
        </w:rPr>
      </w:pPr>
    </w:p>
    <w:p>
      <w:pPr>
        <w:spacing w:before="194" w:line="226" w:lineRule="auto"/>
        <w:ind w:left="610"/>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6"/>
          <w:sz w:val="23"/>
          <w:szCs w:val="23"/>
          <w:highlight w:val="none"/>
        </w:rPr>
        <w:t>④</w:t>
      </w:r>
      <w:r>
        <w:rPr>
          <w:rFonts w:hint="default" w:ascii="Times New Roman" w:hAnsi="Times New Roman" w:eastAsia="宋体" w:cs="Times New Roman"/>
          <w:spacing w:val="6"/>
          <w:sz w:val="23"/>
          <w:szCs w:val="23"/>
          <w:highlight w:val="none"/>
        </w:rPr>
        <w:t xml:space="preserve">项目大气环境评价工作级别划分依据列于表 </w:t>
      </w:r>
      <w:r>
        <w:rPr>
          <w:rFonts w:hint="default" w:ascii="Times New Roman" w:hAnsi="Times New Roman" w:eastAsia="Times New Roman" w:cs="Times New Roman"/>
          <w:spacing w:val="6"/>
          <w:sz w:val="23"/>
          <w:szCs w:val="23"/>
          <w:highlight w:val="none"/>
        </w:rPr>
        <w:t>2.</w:t>
      </w:r>
      <w:r>
        <w:rPr>
          <w:rFonts w:hint="eastAsia" w:ascii="Times New Roman" w:hAnsi="Times New Roman" w:eastAsia="宋体" w:cs="Times New Roman"/>
          <w:spacing w:val="6"/>
          <w:sz w:val="23"/>
          <w:szCs w:val="23"/>
          <w:highlight w:val="none"/>
          <w:lang w:val="en-US" w:eastAsia="zh-CN"/>
        </w:rPr>
        <w:t>4</w:t>
      </w:r>
      <w:r>
        <w:rPr>
          <w:rFonts w:hint="default" w:ascii="Times New Roman" w:hAnsi="Times New Roman" w:eastAsia="Times New Roman" w:cs="Times New Roman"/>
          <w:spacing w:val="6"/>
          <w:sz w:val="23"/>
          <w:szCs w:val="23"/>
          <w:highlight w:val="none"/>
        </w:rPr>
        <w:t>-</w:t>
      </w:r>
      <w:r>
        <w:rPr>
          <w:rFonts w:hint="eastAsia" w:ascii="Times New Roman" w:hAnsi="Times New Roman" w:eastAsia="宋体" w:cs="Times New Roman"/>
          <w:spacing w:val="6"/>
          <w:sz w:val="23"/>
          <w:szCs w:val="23"/>
          <w:highlight w:val="none"/>
          <w:lang w:val="en-US" w:eastAsia="zh-CN"/>
        </w:rPr>
        <w:t>5</w:t>
      </w:r>
      <w:r>
        <w:rPr>
          <w:rFonts w:hint="default" w:ascii="Times New Roman" w:hAnsi="Times New Roman" w:eastAsia="宋体" w:cs="Times New Roman"/>
          <w:spacing w:val="1"/>
          <w:sz w:val="23"/>
          <w:szCs w:val="23"/>
          <w:highlight w:val="none"/>
        </w:rPr>
        <w:t>。</w:t>
      </w:r>
    </w:p>
    <w:p>
      <w:pPr>
        <w:spacing w:before="219" w:line="227" w:lineRule="auto"/>
        <w:ind w:left="238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1"/>
          <w:sz w:val="23"/>
          <w:szCs w:val="23"/>
          <w:highlight w:val="none"/>
        </w:rPr>
        <w:t xml:space="preserve"> </w:t>
      </w:r>
      <w:r>
        <w:rPr>
          <w:rFonts w:hint="default" w:ascii="Times New Roman" w:hAnsi="Times New Roman" w:eastAsia="Times New Roman" w:cs="Times New Roman"/>
          <w:b/>
          <w:bCs/>
          <w:spacing w:val="1"/>
          <w:sz w:val="23"/>
          <w:szCs w:val="23"/>
          <w:highlight w:val="none"/>
        </w:rPr>
        <w:t>2.</w:t>
      </w:r>
      <w:r>
        <w:rPr>
          <w:rFonts w:hint="eastAsia" w:ascii="Times New Roman" w:hAnsi="Times New Roman" w:eastAsia="宋体" w:cs="Times New Roman"/>
          <w:b/>
          <w:bCs/>
          <w:spacing w:val="1"/>
          <w:sz w:val="23"/>
          <w:szCs w:val="23"/>
          <w:highlight w:val="none"/>
          <w:lang w:val="en-US" w:eastAsia="zh-CN"/>
        </w:rPr>
        <w:t>4</w:t>
      </w:r>
      <w:r>
        <w:rPr>
          <w:rFonts w:hint="default" w:ascii="Times New Roman" w:hAnsi="Times New Roman" w:eastAsia="Times New Roman" w:cs="Times New Roman"/>
          <w:b/>
          <w:bCs/>
          <w:spacing w:val="1"/>
          <w:sz w:val="23"/>
          <w:szCs w:val="23"/>
          <w:highlight w:val="none"/>
        </w:rPr>
        <w:t>-</w:t>
      </w:r>
      <w:r>
        <w:rPr>
          <w:rFonts w:hint="eastAsia" w:ascii="Times New Roman" w:hAnsi="Times New Roman" w:eastAsia="宋体" w:cs="Times New Roman"/>
          <w:b/>
          <w:bCs/>
          <w:spacing w:val="1"/>
          <w:sz w:val="23"/>
          <w:szCs w:val="23"/>
          <w:highlight w:val="none"/>
          <w:lang w:val="en-US" w:eastAsia="zh-CN"/>
        </w:rPr>
        <w:t>5</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14:textOutline w14:w="4358" w14:cap="sq" w14:cmpd="sng">
            <w14:solidFill>
              <w14:srgbClr w14:val="000000"/>
            </w14:solidFill>
            <w14:prstDash w14:val="solid"/>
            <w14:bevel/>
          </w14:textOutline>
        </w:rPr>
        <w:t>评价工作级别表</w:t>
      </w:r>
    </w:p>
    <w:p>
      <w:pPr>
        <w:spacing w:line="22" w:lineRule="exact"/>
        <w:rPr>
          <w:rFonts w:hint="default" w:ascii="Times New Roman" w:hAnsi="Times New Roman" w:cs="Times New Roman"/>
          <w:highlight w:val="none"/>
        </w:rPr>
      </w:pPr>
    </w:p>
    <w:tbl>
      <w:tblPr>
        <w:tblStyle w:val="19"/>
        <w:tblW w:w="84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72"/>
        <w:gridCol w:w="53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3072" w:type="dxa"/>
            <w:tcBorders>
              <w:left w:val="single" w:color="000000" w:sz="10" w:space="0"/>
              <w:right w:val="single" w:color="000000" w:sz="4" w:space="0"/>
            </w:tcBorders>
            <w:vAlign w:val="top"/>
          </w:tcPr>
          <w:p>
            <w:pPr>
              <w:spacing w:before="150" w:line="227" w:lineRule="auto"/>
              <w:ind w:left="92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评</w:t>
            </w:r>
            <w:r>
              <w:rPr>
                <w:rFonts w:hint="default" w:ascii="Times New Roman" w:hAnsi="Times New Roman" w:eastAsia="宋体" w:cs="Times New Roman"/>
                <w:spacing w:val="8"/>
                <w:sz w:val="20"/>
                <w:szCs w:val="20"/>
                <w:highlight w:val="none"/>
              </w:rPr>
              <w:t>价工作等级</w:t>
            </w:r>
          </w:p>
        </w:tc>
        <w:tc>
          <w:tcPr>
            <w:tcW w:w="5349" w:type="dxa"/>
            <w:tcBorders>
              <w:left w:val="single" w:color="000000" w:sz="4" w:space="0"/>
              <w:right w:val="single" w:color="000000" w:sz="10" w:space="0"/>
            </w:tcBorders>
            <w:vAlign w:val="top"/>
          </w:tcPr>
          <w:p>
            <w:pPr>
              <w:spacing w:before="150" w:line="227" w:lineRule="auto"/>
              <w:ind w:left="186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评价工作分级判</w:t>
            </w:r>
            <w:r>
              <w:rPr>
                <w:rFonts w:hint="default" w:ascii="Times New Roman" w:hAnsi="Times New Roman" w:eastAsia="宋体" w:cs="Times New Roman"/>
                <w:spacing w:val="7"/>
                <w:sz w:val="20"/>
                <w:szCs w:val="20"/>
                <w:highlight w:val="none"/>
              </w:rPr>
              <w:t>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3072" w:type="dxa"/>
            <w:tcBorders>
              <w:left w:val="single" w:color="000000" w:sz="10" w:space="0"/>
              <w:right w:val="single" w:color="000000" w:sz="4" w:space="0"/>
            </w:tcBorders>
            <w:vAlign w:val="top"/>
          </w:tcPr>
          <w:p>
            <w:pPr>
              <w:spacing w:before="44" w:line="237" w:lineRule="auto"/>
              <w:ind w:left="134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一级</w:t>
            </w:r>
          </w:p>
        </w:tc>
        <w:tc>
          <w:tcPr>
            <w:tcW w:w="5349" w:type="dxa"/>
            <w:tcBorders>
              <w:left w:val="single" w:color="000000" w:sz="4" w:space="0"/>
              <w:right w:val="single" w:color="000000" w:sz="10" w:space="0"/>
            </w:tcBorders>
            <w:vAlign w:val="top"/>
          </w:tcPr>
          <w:p>
            <w:pPr>
              <w:spacing w:before="13" w:line="274" w:lineRule="exact"/>
              <w:ind w:left="1601" w:firstLine="392" w:firstLineChars="2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2"/>
                <w:sz w:val="20"/>
                <w:szCs w:val="20"/>
                <w:highlight w:val="none"/>
              </w:rPr>
              <w:t>P</w:t>
            </w:r>
            <w:r>
              <w:rPr>
                <w:rFonts w:hint="default" w:ascii="Times New Roman" w:hAnsi="Times New Roman" w:eastAsia="Times New Roman" w:cs="Times New Roman"/>
                <w:spacing w:val="-2"/>
                <w:position w:val="1"/>
                <w:sz w:val="13"/>
                <w:szCs w:val="13"/>
                <w:highlight w:val="none"/>
              </w:rPr>
              <w:t>max</w:t>
            </w:r>
            <w:r>
              <w:rPr>
                <w:rFonts w:hint="default" w:ascii="Times New Roman" w:hAnsi="Times New Roman" w:eastAsia="Times New Roman" w:cs="Times New Roman"/>
                <w:spacing w:val="-4"/>
                <w:position w:val="2"/>
                <w:sz w:val="20"/>
                <w:szCs w:val="20"/>
                <w:highlight w:val="none"/>
              </w:rPr>
              <w:t xml:space="preserve">≥ </w:t>
            </w:r>
            <w:r>
              <w:rPr>
                <w:rFonts w:hint="eastAsia" w:ascii="Times New Roman" w:hAnsi="Times New Roman" w:eastAsia="宋体" w:cs="Times New Roman"/>
                <w:spacing w:val="-4"/>
                <w:position w:val="2"/>
                <w:sz w:val="20"/>
                <w:szCs w:val="20"/>
                <w:highlight w:val="none"/>
                <w:lang w:val="en-US" w:eastAsia="zh-CN"/>
              </w:rPr>
              <w:t>1</w:t>
            </w:r>
            <w:r>
              <w:rPr>
                <w:rFonts w:hint="default" w:ascii="Times New Roman" w:hAnsi="Times New Roman" w:eastAsia="Times New Roman" w:cs="Times New Roman"/>
                <w:spacing w:val="-4"/>
                <w:position w:val="2"/>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3072" w:type="dxa"/>
            <w:tcBorders>
              <w:left w:val="single" w:color="000000" w:sz="10" w:space="0"/>
              <w:right w:val="single" w:color="000000" w:sz="4" w:space="0"/>
            </w:tcBorders>
            <w:vAlign w:val="top"/>
          </w:tcPr>
          <w:p>
            <w:pPr>
              <w:spacing w:before="47" w:line="231" w:lineRule="auto"/>
              <w:ind w:left="134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二级</w:t>
            </w:r>
          </w:p>
        </w:tc>
        <w:tc>
          <w:tcPr>
            <w:tcW w:w="5349" w:type="dxa"/>
            <w:tcBorders>
              <w:left w:val="single" w:color="000000" w:sz="4" w:space="0"/>
              <w:right w:val="single" w:color="000000" w:sz="10" w:space="0"/>
            </w:tcBorders>
            <w:vAlign w:val="top"/>
          </w:tcPr>
          <w:p>
            <w:pPr>
              <w:spacing w:before="48" w:line="226" w:lineRule="auto"/>
              <w:ind w:firstLine="1728" w:firstLineChars="800"/>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8"/>
                <w:position w:val="1"/>
                <w:sz w:val="20"/>
                <w:szCs w:val="20"/>
                <w:highlight w:val="none"/>
                <w:lang w:val="en-US" w:eastAsia="zh-CN"/>
              </w:rPr>
              <w:t>1</w:t>
            </w:r>
            <w:r>
              <w:rPr>
                <w:rFonts w:hint="default" w:ascii="Times New Roman" w:hAnsi="Times New Roman" w:eastAsia="Times New Roman" w:cs="Times New Roman"/>
                <w:spacing w:val="6"/>
                <w:position w:val="1"/>
                <w:sz w:val="20"/>
                <w:szCs w:val="20"/>
                <w:highlight w:val="none"/>
              </w:rPr>
              <w:t>%</w:t>
            </w:r>
            <w:r>
              <w:rPr>
                <w:rFonts w:hint="eastAsia" w:ascii="Times New Roman" w:hAnsi="Times New Roman" w:eastAsia="宋体" w:cs="Times New Roman"/>
                <w:spacing w:val="12"/>
                <w:position w:val="1"/>
                <w:sz w:val="20"/>
                <w:szCs w:val="20"/>
                <w:highlight w:val="none"/>
                <w:lang w:val="en-US" w:eastAsia="zh-CN"/>
              </w:rPr>
              <w:t>≤</w:t>
            </w:r>
            <w:r>
              <w:rPr>
                <w:rFonts w:hint="default" w:ascii="Times New Roman" w:hAnsi="Times New Roman" w:eastAsia="Times New Roman" w:cs="Times New Roman"/>
                <w:position w:val="1"/>
                <w:sz w:val="20"/>
                <w:szCs w:val="20"/>
                <w:highlight w:val="none"/>
              </w:rPr>
              <w:t>P</w:t>
            </w:r>
            <w:r>
              <w:rPr>
                <w:rFonts w:hint="default" w:ascii="Times New Roman" w:hAnsi="Times New Roman" w:eastAsia="Times New Roman" w:cs="Times New Roman"/>
                <w:sz w:val="13"/>
                <w:szCs w:val="13"/>
                <w:highlight w:val="none"/>
              </w:rPr>
              <w:t>max</w:t>
            </w:r>
            <w:r>
              <w:rPr>
                <w:rFonts w:hint="default" w:ascii="Times New Roman" w:hAnsi="Times New Roman" w:eastAsia="宋体" w:cs="Times New Roman"/>
                <w:spacing w:val="12"/>
                <w:position w:val="1"/>
                <w:sz w:val="20"/>
                <w:szCs w:val="20"/>
                <w:highlight w:val="none"/>
              </w:rPr>
              <w:t>＜</w:t>
            </w:r>
            <w:r>
              <w:rPr>
                <w:rFonts w:hint="default" w:ascii="Times New Roman" w:hAnsi="Times New Roman" w:eastAsia="Times New Roman" w:cs="Times New Roman"/>
                <w:spacing w:val="8"/>
                <w:position w:val="1"/>
                <w:sz w:val="20"/>
                <w:szCs w:val="20"/>
                <w:highlight w:val="none"/>
              </w:rPr>
              <w:t>1</w:t>
            </w:r>
            <w:r>
              <w:rPr>
                <w:rFonts w:hint="default" w:ascii="Times New Roman" w:hAnsi="Times New Roman" w:eastAsia="Times New Roman" w:cs="Times New Roman"/>
                <w:spacing w:val="6"/>
                <w:position w:val="1"/>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072" w:type="dxa"/>
            <w:tcBorders>
              <w:left w:val="single" w:color="000000" w:sz="10" w:space="0"/>
              <w:right w:val="single" w:color="000000" w:sz="4" w:space="0"/>
            </w:tcBorders>
            <w:vAlign w:val="top"/>
          </w:tcPr>
          <w:p>
            <w:pPr>
              <w:spacing w:before="51" w:line="231" w:lineRule="auto"/>
              <w:ind w:left="134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三</w:t>
            </w:r>
            <w:r>
              <w:rPr>
                <w:rFonts w:hint="default" w:ascii="Times New Roman" w:hAnsi="Times New Roman" w:eastAsia="宋体" w:cs="Times New Roman"/>
                <w:spacing w:val="4"/>
                <w:sz w:val="20"/>
                <w:szCs w:val="20"/>
                <w:highlight w:val="none"/>
              </w:rPr>
              <w:t>级</w:t>
            </w:r>
          </w:p>
        </w:tc>
        <w:tc>
          <w:tcPr>
            <w:tcW w:w="5349" w:type="dxa"/>
            <w:tcBorders>
              <w:left w:val="single" w:color="000000" w:sz="4" w:space="0"/>
              <w:right w:val="single" w:color="000000" w:sz="10" w:space="0"/>
            </w:tcBorders>
            <w:vAlign w:val="top"/>
          </w:tcPr>
          <w:p>
            <w:pPr>
              <w:spacing w:before="20" w:line="274" w:lineRule="exact"/>
              <w:ind w:left="747" w:firstLine="1200" w:firstLineChars="600"/>
              <w:rPr>
                <w:rFonts w:hint="default" w:ascii="Times New Roman" w:hAnsi="Times New Roman" w:eastAsia="宋体" w:cs="Times New Roman"/>
                <w:sz w:val="20"/>
                <w:szCs w:val="20"/>
                <w:highlight w:val="none"/>
              </w:rPr>
            </w:pPr>
            <w:r>
              <w:rPr>
                <w:rFonts w:hint="default" w:ascii="Times New Roman" w:hAnsi="Times New Roman" w:eastAsia="Times New Roman" w:cs="Times New Roman"/>
                <w:position w:val="1"/>
                <w:sz w:val="20"/>
                <w:szCs w:val="20"/>
                <w:highlight w:val="none"/>
              </w:rPr>
              <w:t>P</w:t>
            </w:r>
            <w:r>
              <w:rPr>
                <w:rFonts w:hint="default" w:ascii="Times New Roman" w:hAnsi="Times New Roman" w:eastAsia="Times New Roman" w:cs="Times New Roman"/>
                <w:sz w:val="13"/>
                <w:szCs w:val="13"/>
                <w:highlight w:val="none"/>
              </w:rPr>
              <w:t>max</w:t>
            </w:r>
            <w:r>
              <w:rPr>
                <w:rFonts w:hint="default" w:ascii="Times New Roman" w:hAnsi="Times New Roman" w:eastAsia="宋体" w:cs="Times New Roman"/>
                <w:spacing w:val="12"/>
                <w:position w:val="1"/>
                <w:sz w:val="20"/>
                <w:szCs w:val="20"/>
                <w:highlight w:val="none"/>
              </w:rPr>
              <w:t>＜</w:t>
            </w:r>
            <w:r>
              <w:rPr>
                <w:rFonts w:hint="default" w:ascii="Times New Roman" w:hAnsi="Times New Roman" w:eastAsia="Times New Roman" w:cs="Times New Roman"/>
                <w:spacing w:val="8"/>
                <w:position w:val="1"/>
                <w:sz w:val="20"/>
                <w:szCs w:val="20"/>
                <w:highlight w:val="none"/>
              </w:rPr>
              <w:t>1</w:t>
            </w:r>
            <w:r>
              <w:rPr>
                <w:rFonts w:hint="default" w:ascii="Times New Roman" w:hAnsi="Times New Roman" w:eastAsia="Times New Roman" w:cs="Times New Roman"/>
                <w:spacing w:val="6"/>
                <w:position w:val="1"/>
                <w:sz w:val="20"/>
                <w:szCs w:val="20"/>
                <w:highlight w:val="none"/>
              </w:rPr>
              <w:t>%</w:t>
            </w:r>
          </w:p>
        </w:tc>
      </w:tr>
    </w:tbl>
    <w:p>
      <w:pPr>
        <w:spacing w:before="159" w:line="409" w:lineRule="auto"/>
        <w:ind w:left="161" w:right="49" w:firstLine="45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根据上述计算结果：</w:t>
      </w:r>
      <w:r>
        <w:rPr>
          <w:rFonts w:hint="default" w:ascii="Times New Roman" w:hAnsi="Times New Roman" w:eastAsia="宋体" w:cs="Times New Roman"/>
          <w:spacing w:val="7"/>
          <w:sz w:val="23"/>
          <w:szCs w:val="23"/>
          <w:highlight w:val="none"/>
        </w:rPr>
        <w:t>确定本项目大气环境评价等级为</w:t>
      </w:r>
      <w:r>
        <w:rPr>
          <w:rFonts w:hint="eastAsia" w:ascii="Times New Roman" w:hAnsi="Times New Roman" w:eastAsia="宋体" w:cs="Times New Roman"/>
          <w:spacing w:val="7"/>
          <w:sz w:val="23"/>
          <w:szCs w:val="23"/>
          <w:highlight w:val="none"/>
          <w:lang w:val="en-US" w:eastAsia="zh-CN"/>
        </w:rPr>
        <w:t>二</w:t>
      </w:r>
      <w:r>
        <w:rPr>
          <w:rFonts w:hint="default" w:ascii="Times New Roman" w:hAnsi="Times New Roman" w:eastAsia="宋体" w:cs="Times New Roman"/>
          <w:spacing w:val="7"/>
          <w:sz w:val="23"/>
          <w:szCs w:val="23"/>
          <w:highlight w:val="none"/>
        </w:rPr>
        <w:t>级。</w:t>
      </w:r>
    </w:p>
    <w:p>
      <w:pPr>
        <w:spacing w:before="136" w:line="227" w:lineRule="auto"/>
        <w:ind w:left="128"/>
        <w:outlineLvl w:val="3"/>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2"/>
          <w:sz w:val="23"/>
          <w:szCs w:val="23"/>
          <w:highlight w:val="none"/>
        </w:rPr>
        <w:t>2.</w:t>
      </w:r>
      <w:r>
        <w:rPr>
          <w:rFonts w:hint="default" w:ascii="Times New Roman" w:hAnsi="Times New Roman" w:eastAsia="Times New Roman" w:cs="Times New Roman"/>
          <w:spacing w:val="6"/>
          <w:sz w:val="23"/>
          <w:szCs w:val="23"/>
          <w:highlight w:val="none"/>
        </w:rPr>
        <w:t xml:space="preserve">4.1.2 </w:t>
      </w:r>
      <w:r>
        <w:rPr>
          <w:rFonts w:hint="default" w:ascii="Times New Roman" w:hAnsi="Times New Roman" w:eastAsia="宋体" w:cs="Times New Roman"/>
          <w:spacing w:val="6"/>
          <w:sz w:val="23"/>
          <w:szCs w:val="23"/>
          <w:highlight w:val="none"/>
        </w:rPr>
        <w:t>声环境影响评价等级</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92" w:firstLineChars="200"/>
        <w:jc w:val="both"/>
        <w:textAlignment w:val="baseline"/>
        <w:rPr>
          <w:rFonts w:hint="default" w:ascii="Times New Roman" w:hAnsi="Times New Roman" w:eastAsia="宋体" w:cs="Times New Roman"/>
          <w:spacing w:val="8"/>
          <w:sz w:val="23"/>
          <w:szCs w:val="23"/>
          <w:highlight w:val="none"/>
        </w:rPr>
      </w:pPr>
      <w:bookmarkStart w:id="90" w:name="_Hlk532027910"/>
      <w:r>
        <w:rPr>
          <w:rFonts w:hint="default" w:ascii="Times New Roman" w:hAnsi="Times New Roman" w:eastAsia="宋体" w:cs="Times New Roman"/>
          <w:spacing w:val="8"/>
          <w:sz w:val="23"/>
          <w:szCs w:val="23"/>
          <w:highlight w:val="none"/>
        </w:rPr>
        <w:t>根据《环境影响评价技术导则声环境》（HJ2.4-20</w:t>
      </w:r>
      <w:r>
        <w:rPr>
          <w:rFonts w:hint="default" w:ascii="Times New Roman" w:hAnsi="Times New Roman" w:eastAsia="宋体" w:cs="Times New Roman"/>
          <w:spacing w:val="8"/>
          <w:sz w:val="23"/>
          <w:szCs w:val="23"/>
          <w:highlight w:val="none"/>
          <w:lang w:val="en-US" w:eastAsia="zh-CN"/>
        </w:rPr>
        <w:t>21</w:t>
      </w:r>
      <w:r>
        <w:rPr>
          <w:rFonts w:hint="default" w:ascii="Times New Roman" w:hAnsi="Times New Roman" w:eastAsia="宋体" w:cs="Times New Roman"/>
          <w:spacing w:val="8"/>
          <w:sz w:val="23"/>
          <w:szCs w:val="23"/>
          <w:highlight w:val="none"/>
        </w:rPr>
        <w:t>）中的规定：“建设项目所处的声环境功能区为GB3096规定的1类、2类地区，或建设项目建设前后评价范围内敏感目标噪声级增高量达3dB(A)～5dB(A)（含5dB(A)），或受噪声影响人口数量增加较多时，按二级评价。”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92" w:firstLineChars="200"/>
        <w:jc w:val="both"/>
        <w:textAlignment w:val="baseline"/>
        <w:rPr>
          <w:rFonts w:hint="default" w:ascii="Times New Roman" w:hAnsi="Times New Roman" w:eastAsia="宋体" w:cs="Times New Roman"/>
          <w:spacing w:val="8"/>
          <w:sz w:val="23"/>
          <w:szCs w:val="23"/>
          <w:highlight w:val="none"/>
        </w:rPr>
      </w:pPr>
      <w:r>
        <w:rPr>
          <w:rFonts w:hint="default" w:ascii="Times New Roman" w:hAnsi="Times New Roman" w:eastAsia="宋体" w:cs="Times New Roman"/>
          <w:spacing w:val="8"/>
          <w:sz w:val="23"/>
          <w:szCs w:val="23"/>
          <w:highlight w:val="none"/>
        </w:rPr>
        <w:t>本项目所在区域属于GB3096-2008规定的2类声环境功能区，项目建设前后评价范围内敏感目标噪声级增加量小于3dB（A）且受噪声影响的人口数量基本不增加，确定本项目声环境影响评价等级为二级。</w:t>
      </w:r>
      <w:bookmarkEnd w:id="90"/>
    </w:p>
    <w:p>
      <w:pPr>
        <w:spacing w:before="138" w:line="227" w:lineRule="auto"/>
        <w:ind w:left="128"/>
        <w:outlineLvl w:val="3"/>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2"/>
          <w:sz w:val="23"/>
          <w:szCs w:val="23"/>
          <w:highlight w:val="none"/>
        </w:rPr>
        <w:t>2.</w:t>
      </w:r>
      <w:r>
        <w:rPr>
          <w:rFonts w:hint="default" w:ascii="Times New Roman" w:hAnsi="Times New Roman" w:eastAsia="Times New Roman" w:cs="Times New Roman"/>
          <w:spacing w:val="6"/>
          <w:sz w:val="23"/>
          <w:szCs w:val="23"/>
          <w:highlight w:val="none"/>
        </w:rPr>
        <w:t xml:space="preserve">4.1.3 </w:t>
      </w:r>
      <w:r>
        <w:rPr>
          <w:rFonts w:hint="default" w:ascii="Times New Roman" w:hAnsi="Times New Roman" w:eastAsia="宋体" w:cs="Times New Roman"/>
          <w:spacing w:val="6"/>
          <w:sz w:val="23"/>
          <w:szCs w:val="23"/>
          <w:highlight w:val="none"/>
        </w:rPr>
        <w:t>水环境影响评价等级</w:t>
      </w:r>
    </w:p>
    <w:p>
      <w:pPr>
        <w:spacing w:before="75" w:line="228" w:lineRule="auto"/>
        <w:ind w:left="62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5"/>
          <w:sz w:val="23"/>
          <w:szCs w:val="23"/>
          <w:highlight w:val="none"/>
        </w:rPr>
        <w:t>(</w:t>
      </w:r>
      <w:r>
        <w:rPr>
          <w:rFonts w:hint="default" w:ascii="Times New Roman" w:hAnsi="Times New Roman" w:eastAsia="Times New Roman" w:cs="Times New Roman"/>
          <w:spacing w:val="18"/>
          <w:sz w:val="23"/>
          <w:szCs w:val="23"/>
          <w:highlight w:val="none"/>
        </w:rPr>
        <w:t>1</w:t>
      </w:r>
      <w:r>
        <w:rPr>
          <w:rFonts w:hint="default" w:ascii="Times New Roman" w:hAnsi="Times New Roman" w:eastAsia="宋体" w:cs="Times New Roman"/>
          <w:spacing w:val="18"/>
          <w:sz w:val="23"/>
          <w:szCs w:val="23"/>
          <w:highlight w:val="none"/>
        </w:rPr>
        <w:t>) 地表水环境</w:t>
      </w:r>
    </w:p>
    <w:p>
      <w:pPr>
        <w:spacing w:before="217" w:line="401" w:lineRule="auto"/>
        <w:ind w:left="133" w:right="94"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拟建项目生产用水循环使用，</w:t>
      </w:r>
      <w:r>
        <w:rPr>
          <w:rFonts w:hint="default" w:ascii="Times New Roman" w:hAnsi="Times New Roman" w:eastAsia="宋体" w:cs="Times New Roman"/>
          <w:spacing w:val="7"/>
          <w:sz w:val="23"/>
          <w:szCs w:val="23"/>
          <w:highlight w:val="none"/>
        </w:rPr>
        <w:t>无废水排放</w:t>
      </w:r>
      <w:r>
        <w:rPr>
          <w:rFonts w:hint="default" w:ascii="Times New Roman" w:hAnsi="Times New Roman" w:cs="Times New Roman"/>
          <w:sz w:val="24"/>
          <w:szCs w:val="24"/>
          <w:highlight w:val="none"/>
        </w:rPr>
        <w:t>，不会对区域地表水环境产生影响。根据《环境影响评价技术导则地表水环境》（HJ2.3-2018），建设项目生产工艺中有废水产生，但作为回水利用，不排放到外环境的，按三级B评价，只进行依托水处理设施环境可行性分析。</w:t>
      </w:r>
    </w:p>
    <w:p>
      <w:pPr>
        <w:spacing w:line="228" w:lineRule="auto"/>
        <w:ind w:left="62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5"/>
          <w:sz w:val="23"/>
          <w:szCs w:val="23"/>
          <w:highlight w:val="none"/>
        </w:rPr>
        <w:t>(</w:t>
      </w:r>
      <w:r>
        <w:rPr>
          <w:rFonts w:hint="default" w:ascii="Times New Roman" w:hAnsi="Times New Roman" w:eastAsia="Times New Roman" w:cs="Times New Roman"/>
          <w:spacing w:val="18"/>
          <w:sz w:val="23"/>
          <w:szCs w:val="23"/>
          <w:highlight w:val="none"/>
        </w:rPr>
        <w:t>2</w:t>
      </w:r>
      <w:r>
        <w:rPr>
          <w:rFonts w:hint="default" w:ascii="Times New Roman" w:hAnsi="Times New Roman" w:eastAsia="宋体" w:cs="Times New Roman"/>
          <w:spacing w:val="18"/>
          <w:sz w:val="23"/>
          <w:szCs w:val="23"/>
          <w:highlight w:val="none"/>
        </w:rPr>
        <w:t>) 地下水环境</w:t>
      </w:r>
    </w:p>
    <w:p>
      <w:pPr>
        <w:spacing w:before="217" w:line="407" w:lineRule="auto"/>
        <w:ind w:left="132" w:right="120"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根据《环境</w:t>
      </w:r>
      <w:r>
        <w:rPr>
          <w:rFonts w:hint="default" w:ascii="Times New Roman" w:hAnsi="Times New Roman" w:eastAsia="宋体" w:cs="Times New Roman"/>
          <w:spacing w:val="9"/>
          <w:sz w:val="23"/>
          <w:szCs w:val="23"/>
          <w:highlight w:val="none"/>
        </w:rPr>
        <w:t>影</w:t>
      </w:r>
      <w:r>
        <w:rPr>
          <w:rFonts w:hint="default" w:ascii="Times New Roman" w:hAnsi="Times New Roman" w:eastAsia="宋体" w:cs="Times New Roman"/>
          <w:spacing w:val="5"/>
          <w:sz w:val="23"/>
          <w:szCs w:val="23"/>
          <w:highlight w:val="none"/>
        </w:rPr>
        <w:t>响评价技术导则</w:t>
      </w:r>
      <w:r>
        <w:rPr>
          <w:rFonts w:hint="default" w:ascii="Times New Roman" w:hAnsi="Times New Roman" w:eastAsia="Times New Roman" w:cs="Times New Roman"/>
          <w:spacing w:val="5"/>
          <w:sz w:val="23"/>
          <w:szCs w:val="23"/>
          <w:highlight w:val="none"/>
        </w:rPr>
        <w:t>-</w:t>
      </w:r>
      <w:r>
        <w:rPr>
          <w:rFonts w:hint="default" w:ascii="Times New Roman" w:hAnsi="Times New Roman" w:eastAsia="宋体" w:cs="Times New Roman"/>
          <w:spacing w:val="5"/>
          <w:sz w:val="23"/>
          <w:szCs w:val="23"/>
          <w:highlight w:val="none"/>
        </w:rPr>
        <w:t>地下水环境》  (</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5"/>
          <w:sz w:val="23"/>
          <w:szCs w:val="23"/>
          <w:highlight w:val="none"/>
        </w:rPr>
        <w:t>610-2016</w:t>
      </w:r>
      <w:r>
        <w:rPr>
          <w:rFonts w:hint="default" w:ascii="Times New Roman" w:hAnsi="Times New Roman" w:eastAsia="宋体" w:cs="Times New Roman"/>
          <w:spacing w:val="5"/>
          <w:sz w:val="23"/>
          <w:szCs w:val="23"/>
          <w:highlight w:val="none"/>
        </w:rPr>
        <w:t xml:space="preserve">) 附录 </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(规范</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性</w:t>
      </w:r>
      <w:r>
        <w:rPr>
          <w:rFonts w:hint="default" w:ascii="Times New Roman" w:hAnsi="Times New Roman" w:eastAsia="宋体" w:cs="Times New Roman"/>
          <w:spacing w:val="11"/>
          <w:sz w:val="23"/>
          <w:szCs w:val="23"/>
          <w:highlight w:val="none"/>
        </w:rPr>
        <w:t>附</w:t>
      </w:r>
      <w:r>
        <w:rPr>
          <w:rFonts w:hint="default" w:ascii="Times New Roman" w:hAnsi="Times New Roman" w:eastAsia="宋体" w:cs="Times New Roman"/>
          <w:spacing w:val="6"/>
          <w:sz w:val="23"/>
          <w:szCs w:val="23"/>
          <w:highlight w:val="none"/>
        </w:rPr>
        <w:t xml:space="preserve">录) 地下水环境影响评价行业分类表，表相关内容见表 </w:t>
      </w:r>
      <w:r>
        <w:rPr>
          <w:rFonts w:hint="default" w:ascii="Times New Roman" w:hAnsi="Times New Roman" w:eastAsia="Times New Roman" w:cs="Times New Roman"/>
          <w:spacing w:val="6"/>
          <w:sz w:val="23"/>
          <w:szCs w:val="23"/>
          <w:highlight w:val="none"/>
        </w:rPr>
        <w:t>2.4-</w:t>
      </w:r>
      <w:r>
        <w:rPr>
          <w:rFonts w:hint="eastAsia" w:ascii="Times New Roman" w:hAnsi="Times New Roman" w:eastAsia="宋体" w:cs="Times New Roman"/>
          <w:spacing w:val="6"/>
          <w:sz w:val="23"/>
          <w:szCs w:val="23"/>
          <w:highlight w:val="none"/>
          <w:lang w:val="en-US" w:eastAsia="zh-CN"/>
        </w:rPr>
        <w:t>6</w:t>
      </w:r>
      <w:r>
        <w:rPr>
          <w:rFonts w:hint="default" w:ascii="Times New Roman" w:hAnsi="Times New Roman" w:eastAsia="宋体" w:cs="Times New Roman"/>
          <w:spacing w:val="6"/>
          <w:sz w:val="23"/>
          <w:szCs w:val="23"/>
          <w:highlight w:val="none"/>
        </w:rPr>
        <w:t>。</w:t>
      </w:r>
    </w:p>
    <w:p>
      <w:pPr>
        <w:tabs>
          <w:tab w:val="left" w:pos="1413"/>
          <w:tab w:val="left" w:pos="2113"/>
        </w:tabs>
        <w:bidi w:val="0"/>
        <w:jc w:val="left"/>
        <w:rPr>
          <w:rFonts w:hint="default" w:ascii="Times New Roman" w:hAnsi="Times New Roman" w:eastAsia="宋体" w:cs="Times New Roman"/>
          <w:sz w:val="23"/>
          <w:szCs w:val="23"/>
          <w:highlight w:val="none"/>
        </w:rPr>
      </w:pPr>
      <w:r>
        <w:rPr>
          <w:rFonts w:hint="eastAsia" w:eastAsia="宋体" w:cs="Arial"/>
          <w:snapToGrid w:val="0"/>
          <w:color w:val="000000"/>
          <w:kern w:val="0"/>
          <w:sz w:val="21"/>
          <w:szCs w:val="21"/>
          <w:highlight w:val="none"/>
          <w:lang w:eastAsia="zh-CN"/>
        </w:rPr>
        <w:tab/>
      </w:r>
      <w:r>
        <w:rPr>
          <w:rFonts w:hint="default" w:ascii="Times New Roman" w:hAnsi="Times New Roman" w:cs="Times New Roman"/>
          <w:highlight w:val="none"/>
        </w:rPr>
        <w:pict>
          <v:shape id="_x0000_s1064" o:spid="_x0000_s1064" style="position:absolute;left:0pt;margin-left:89.85pt;margin-top:60.75pt;height:0.75pt;width:415.65pt;mso-position-horizontal-relative:page;mso-position-vertical-relative:page;z-index:251674624;mso-width-relative:page;mso-height-relative:page;" fillcolor="#000000" filled="t" stroked="f" coordsize="8312,15" o:allowincell="f" path="m0,0l8312,0,8312,14,0,14,0,0xe">
            <v:path/>
            <v:fill on="t" focussize="0,0"/>
            <v:stroke on="f"/>
            <v:imagedata o:title=""/>
            <o:lock v:ext="edit"/>
          </v:shape>
        </w:pict>
      </w:r>
      <w:r>
        <w:rPr>
          <w:rFonts w:hint="eastAsia" w:eastAsia="宋体" w:cs="Arial"/>
          <w:snapToGrid w:val="0"/>
          <w:color w:val="000000"/>
          <w:kern w:val="0"/>
          <w:sz w:val="21"/>
          <w:szCs w:val="21"/>
          <w:highlight w:val="none"/>
          <w:lang w:eastAsia="zh-CN"/>
        </w:rPr>
        <w:tab/>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8"/>
          <w:sz w:val="23"/>
          <w:szCs w:val="23"/>
          <w:highlight w:val="none"/>
        </w:rPr>
        <w:t>2.</w:t>
      </w:r>
      <w:r>
        <w:rPr>
          <w:rFonts w:hint="default" w:ascii="Times New Roman" w:hAnsi="Times New Roman" w:eastAsia="Times New Roman" w:cs="Times New Roman"/>
          <w:b/>
          <w:bCs/>
          <w:spacing w:val="4"/>
          <w:sz w:val="23"/>
          <w:szCs w:val="23"/>
          <w:highlight w:val="none"/>
        </w:rPr>
        <w:t>4-</w:t>
      </w:r>
      <w:r>
        <w:rPr>
          <w:rFonts w:hint="eastAsia" w:ascii="Times New Roman" w:hAnsi="Times New Roman" w:eastAsia="宋体" w:cs="Times New Roman"/>
          <w:b/>
          <w:bCs/>
          <w:spacing w:val="4"/>
          <w:sz w:val="23"/>
          <w:szCs w:val="23"/>
          <w:highlight w:val="none"/>
          <w:lang w:val="en-US" w:eastAsia="zh-CN"/>
        </w:rPr>
        <w:t>6</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地下水环境影响评价行业分类表</w:t>
      </w:r>
    </w:p>
    <w:p>
      <w:pPr>
        <w:spacing w:line="21" w:lineRule="exact"/>
        <w:rPr>
          <w:rFonts w:hint="default" w:ascii="Times New Roman" w:hAnsi="Times New Roman" w:cs="Times New Roman"/>
          <w:highlight w:val="none"/>
        </w:rPr>
      </w:pPr>
    </w:p>
    <w:tbl>
      <w:tblPr>
        <w:tblStyle w:val="19"/>
        <w:tblW w:w="859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5"/>
        <w:gridCol w:w="1395"/>
        <w:gridCol w:w="989"/>
        <w:gridCol w:w="1812"/>
        <w:gridCol w:w="1298"/>
        <w:gridCol w:w="14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695" w:type="dxa"/>
            <w:vMerge w:val="restart"/>
            <w:tcBorders>
              <w:left w:val="single" w:color="000000" w:sz="10" w:space="0"/>
              <w:bottom w:val="nil"/>
              <w:right w:val="single" w:color="000000" w:sz="6" w:space="0"/>
              <w:tl2br w:val="single" w:color="000000" w:sz="8" w:space="0"/>
            </w:tcBorders>
            <w:vAlign w:val="top"/>
          </w:tcPr>
          <w:p>
            <w:pPr>
              <w:spacing w:before="145" w:line="279" w:lineRule="auto"/>
              <w:ind w:left="109" w:right="117" w:firstLine="61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环</w:t>
            </w:r>
            <w:r>
              <w:rPr>
                <w:rFonts w:hint="default" w:ascii="Times New Roman" w:hAnsi="Times New Roman" w:eastAsia="宋体" w:cs="Times New Roman"/>
                <w:spacing w:val="7"/>
                <w:sz w:val="20"/>
                <w:szCs w:val="20"/>
                <w:highlight w:val="none"/>
              </w:rPr>
              <w:t>评类别</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8"/>
                <w:sz w:val="20"/>
                <w:szCs w:val="20"/>
                <w:highlight w:val="none"/>
              </w:rPr>
              <w:t>行</w:t>
            </w:r>
            <w:r>
              <w:rPr>
                <w:rFonts w:hint="default" w:ascii="Times New Roman" w:hAnsi="Times New Roman" w:eastAsia="宋体" w:cs="Times New Roman"/>
                <w:spacing w:val="6"/>
                <w:sz w:val="20"/>
                <w:szCs w:val="20"/>
                <w:highlight w:val="none"/>
              </w:rPr>
              <w:t>业类别</w:t>
            </w:r>
          </w:p>
        </w:tc>
        <w:tc>
          <w:tcPr>
            <w:tcW w:w="1395" w:type="dxa"/>
            <w:vMerge w:val="restart"/>
            <w:tcBorders>
              <w:left w:val="single" w:color="000000" w:sz="6" w:space="0"/>
              <w:bottom w:val="nil"/>
              <w:right w:val="single" w:color="000000" w:sz="6" w:space="0"/>
            </w:tcBorders>
            <w:vAlign w:val="top"/>
          </w:tcPr>
          <w:p>
            <w:pPr>
              <w:spacing w:before="293" w:line="227" w:lineRule="auto"/>
              <w:ind w:left="37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报</w:t>
            </w:r>
            <w:r>
              <w:rPr>
                <w:rFonts w:hint="default" w:ascii="Times New Roman" w:hAnsi="Times New Roman" w:eastAsia="宋体" w:cs="Times New Roman"/>
                <w:spacing w:val="7"/>
                <w:sz w:val="20"/>
                <w:szCs w:val="20"/>
                <w:highlight w:val="none"/>
              </w:rPr>
              <w:t>告书</w:t>
            </w:r>
          </w:p>
        </w:tc>
        <w:tc>
          <w:tcPr>
            <w:tcW w:w="989" w:type="dxa"/>
            <w:vMerge w:val="restart"/>
            <w:tcBorders>
              <w:left w:val="single" w:color="000000" w:sz="6" w:space="0"/>
              <w:bottom w:val="nil"/>
              <w:right w:val="single" w:color="000000" w:sz="6" w:space="0"/>
            </w:tcBorders>
            <w:vAlign w:val="top"/>
          </w:tcPr>
          <w:p>
            <w:pPr>
              <w:spacing w:before="293" w:line="227" w:lineRule="auto"/>
              <w:ind w:left="17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报</w:t>
            </w:r>
            <w:r>
              <w:rPr>
                <w:rFonts w:hint="default" w:ascii="Times New Roman" w:hAnsi="Times New Roman" w:eastAsia="宋体" w:cs="Times New Roman"/>
                <w:spacing w:val="7"/>
                <w:sz w:val="20"/>
                <w:szCs w:val="20"/>
                <w:highlight w:val="none"/>
              </w:rPr>
              <w:t>告表</w:t>
            </w:r>
          </w:p>
        </w:tc>
        <w:tc>
          <w:tcPr>
            <w:tcW w:w="3110" w:type="dxa"/>
            <w:gridSpan w:val="2"/>
            <w:tcBorders>
              <w:left w:val="single" w:color="000000" w:sz="6" w:space="0"/>
              <w:right w:val="single" w:color="000000" w:sz="6" w:space="0"/>
            </w:tcBorders>
            <w:vAlign w:val="top"/>
          </w:tcPr>
          <w:p>
            <w:pPr>
              <w:spacing w:before="84" w:line="227" w:lineRule="auto"/>
              <w:ind w:left="19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地</w:t>
            </w:r>
            <w:r>
              <w:rPr>
                <w:rFonts w:hint="default" w:ascii="Times New Roman" w:hAnsi="Times New Roman" w:eastAsia="宋体" w:cs="Times New Roman"/>
                <w:spacing w:val="9"/>
                <w:sz w:val="20"/>
                <w:szCs w:val="20"/>
                <w:highlight w:val="none"/>
              </w:rPr>
              <w:t>下水环境影响评价项目类别</w:t>
            </w:r>
          </w:p>
        </w:tc>
        <w:tc>
          <w:tcPr>
            <w:tcW w:w="1401" w:type="dxa"/>
            <w:tcBorders>
              <w:left w:val="single" w:color="000000" w:sz="6" w:space="0"/>
              <w:right w:val="single" w:color="000000" w:sz="10" w:space="0"/>
            </w:tcBorders>
            <w:vAlign w:val="top"/>
          </w:tcPr>
          <w:p>
            <w:pPr>
              <w:spacing w:before="84" w:line="228" w:lineRule="auto"/>
              <w:ind w:left="38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本</w:t>
            </w:r>
            <w:r>
              <w:rPr>
                <w:rFonts w:hint="default" w:ascii="Times New Roman" w:hAnsi="Times New Roman" w:eastAsia="宋体" w:cs="Times New Roman"/>
                <w:spacing w:val="6"/>
                <w:sz w:val="20"/>
                <w:szCs w:val="20"/>
                <w:highlight w:val="none"/>
              </w:rPr>
              <w:t>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695" w:type="dxa"/>
            <w:vMerge w:val="continue"/>
            <w:tcBorders>
              <w:top w:val="nil"/>
              <w:left w:val="single" w:color="000000" w:sz="10" w:space="0"/>
              <w:right w:val="single" w:color="000000" w:sz="6" w:space="0"/>
              <w:tl2br w:val="single" w:color="000000" w:sz="8" w:space="0"/>
            </w:tcBorders>
            <w:vAlign w:val="top"/>
          </w:tcPr>
          <w:p>
            <w:pPr>
              <w:rPr>
                <w:rFonts w:hint="default" w:ascii="Times New Roman" w:hAnsi="Times New Roman" w:cs="Times New Roman"/>
                <w:sz w:val="21"/>
                <w:highlight w:val="none"/>
              </w:rPr>
            </w:pPr>
          </w:p>
        </w:tc>
        <w:tc>
          <w:tcPr>
            <w:tcW w:w="1395" w:type="dxa"/>
            <w:vMerge w:val="continue"/>
            <w:tcBorders>
              <w:top w:val="nil"/>
              <w:left w:val="single" w:color="000000" w:sz="6" w:space="0"/>
              <w:right w:val="single" w:color="000000" w:sz="6" w:space="0"/>
            </w:tcBorders>
            <w:vAlign w:val="top"/>
          </w:tcPr>
          <w:p>
            <w:pPr>
              <w:rPr>
                <w:rFonts w:hint="default" w:ascii="Times New Roman" w:hAnsi="Times New Roman" w:cs="Times New Roman"/>
                <w:sz w:val="21"/>
                <w:highlight w:val="none"/>
              </w:rPr>
            </w:pPr>
          </w:p>
        </w:tc>
        <w:tc>
          <w:tcPr>
            <w:tcW w:w="989" w:type="dxa"/>
            <w:vMerge w:val="continue"/>
            <w:tcBorders>
              <w:top w:val="nil"/>
              <w:left w:val="single" w:color="000000" w:sz="6" w:space="0"/>
              <w:right w:val="single" w:color="000000" w:sz="6" w:space="0"/>
            </w:tcBorders>
            <w:vAlign w:val="top"/>
          </w:tcPr>
          <w:p>
            <w:pPr>
              <w:rPr>
                <w:rFonts w:hint="default" w:ascii="Times New Roman" w:hAnsi="Times New Roman" w:cs="Times New Roman"/>
                <w:sz w:val="21"/>
                <w:highlight w:val="none"/>
              </w:rPr>
            </w:pPr>
          </w:p>
        </w:tc>
        <w:tc>
          <w:tcPr>
            <w:tcW w:w="1812" w:type="dxa"/>
            <w:tcBorders>
              <w:left w:val="single" w:color="000000" w:sz="6" w:space="0"/>
              <w:right w:val="single" w:color="000000" w:sz="6" w:space="0"/>
            </w:tcBorders>
            <w:vAlign w:val="top"/>
          </w:tcPr>
          <w:p>
            <w:pPr>
              <w:spacing w:before="115" w:line="227" w:lineRule="auto"/>
              <w:ind w:left="59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报</w:t>
            </w:r>
            <w:r>
              <w:rPr>
                <w:rFonts w:hint="default" w:ascii="Times New Roman" w:hAnsi="Times New Roman" w:eastAsia="宋体" w:cs="Times New Roman"/>
                <w:spacing w:val="7"/>
                <w:sz w:val="20"/>
                <w:szCs w:val="20"/>
                <w:highlight w:val="none"/>
              </w:rPr>
              <w:t>告书</w:t>
            </w:r>
          </w:p>
        </w:tc>
        <w:tc>
          <w:tcPr>
            <w:tcW w:w="1298" w:type="dxa"/>
            <w:tcBorders>
              <w:left w:val="single" w:color="000000" w:sz="6" w:space="0"/>
              <w:right w:val="single" w:color="000000" w:sz="6" w:space="0"/>
            </w:tcBorders>
            <w:vAlign w:val="top"/>
          </w:tcPr>
          <w:p>
            <w:pPr>
              <w:spacing w:before="115" w:line="227" w:lineRule="auto"/>
              <w:ind w:left="34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报</w:t>
            </w:r>
            <w:r>
              <w:rPr>
                <w:rFonts w:hint="default" w:ascii="Times New Roman" w:hAnsi="Times New Roman" w:eastAsia="宋体" w:cs="Times New Roman"/>
                <w:spacing w:val="7"/>
                <w:sz w:val="20"/>
                <w:szCs w:val="20"/>
                <w:highlight w:val="none"/>
              </w:rPr>
              <w:t>告表</w:t>
            </w:r>
          </w:p>
        </w:tc>
        <w:tc>
          <w:tcPr>
            <w:tcW w:w="1401" w:type="dxa"/>
            <w:tcBorders>
              <w:left w:val="single" w:color="000000" w:sz="6" w:space="0"/>
              <w:right w:val="single" w:color="000000" w:sz="10" w:space="0"/>
            </w:tcBorders>
            <w:vAlign w:val="top"/>
          </w:tcPr>
          <w:p>
            <w:pPr>
              <w:spacing w:before="115" w:line="227" w:lineRule="auto"/>
              <w:ind w:left="38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报</w:t>
            </w:r>
            <w:r>
              <w:rPr>
                <w:rFonts w:hint="default" w:ascii="Times New Roman" w:hAnsi="Times New Roman" w:eastAsia="宋体" w:cs="Times New Roman"/>
                <w:spacing w:val="7"/>
                <w:sz w:val="20"/>
                <w:szCs w:val="20"/>
                <w:highlight w:val="none"/>
              </w:rPr>
              <w:t>告书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590" w:type="dxa"/>
            <w:gridSpan w:val="6"/>
            <w:tcBorders>
              <w:left w:val="single" w:color="000000" w:sz="10" w:space="0"/>
              <w:right w:val="single" w:color="000000" w:sz="10" w:space="0"/>
            </w:tcBorders>
            <w:vAlign w:val="top"/>
          </w:tcPr>
          <w:p>
            <w:pPr>
              <w:spacing w:before="65" w:line="228" w:lineRule="auto"/>
              <w:ind w:left="12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四</w:t>
            </w:r>
            <w:r>
              <w:rPr>
                <w:rFonts w:hint="default" w:ascii="Times New Roman" w:hAnsi="Times New Roman" w:eastAsia="宋体" w:cs="Times New Roman"/>
                <w:spacing w:val="7"/>
                <w:sz w:val="20"/>
                <w:szCs w:val="20"/>
                <w:highlight w:val="none"/>
              </w:rPr>
              <w:t>十三黑色金属矿采选业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1695" w:type="dxa"/>
            <w:tcBorders>
              <w:left w:val="single" w:color="000000" w:sz="10" w:space="0"/>
              <w:right w:val="single" w:color="000000" w:sz="6" w:space="0"/>
            </w:tcBorders>
            <w:vAlign w:val="top"/>
          </w:tcPr>
          <w:p>
            <w:pPr>
              <w:spacing w:before="68" w:line="241" w:lineRule="auto"/>
              <w:ind w:left="122"/>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6"/>
                <w:sz w:val="20"/>
                <w:szCs w:val="20"/>
                <w:highlight w:val="none"/>
              </w:rPr>
              <w:t>35</w:t>
            </w:r>
            <w:r>
              <w:rPr>
                <w:rFonts w:hint="default" w:ascii="Times New Roman" w:hAnsi="Times New Roman" w:eastAsia="宋体" w:cs="Times New Roman"/>
                <w:spacing w:val="-6"/>
                <w:sz w:val="20"/>
                <w:szCs w:val="20"/>
                <w:highlight w:val="none"/>
              </w:rPr>
              <w:t>、黑色金属矿</w:t>
            </w:r>
          </w:p>
          <w:p>
            <w:pPr>
              <w:spacing w:before="38" w:line="253" w:lineRule="auto"/>
              <w:ind w:left="525" w:right="108" w:hanging="4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采</w:t>
            </w:r>
            <w:r>
              <w:rPr>
                <w:rFonts w:hint="default" w:ascii="Times New Roman" w:hAnsi="Times New Roman" w:eastAsia="宋体" w:cs="Times New Roman"/>
                <w:spacing w:val="7"/>
                <w:sz w:val="20"/>
                <w:szCs w:val="20"/>
                <w:highlight w:val="none"/>
              </w:rPr>
              <w:t>选 (含单独尾</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4"/>
                <w:sz w:val="20"/>
                <w:szCs w:val="20"/>
                <w:highlight w:val="none"/>
              </w:rPr>
              <w:t>矿</w:t>
            </w:r>
            <w:r>
              <w:rPr>
                <w:rFonts w:hint="default" w:ascii="Times New Roman" w:hAnsi="Times New Roman" w:eastAsia="宋体" w:cs="Times New Roman"/>
                <w:spacing w:val="3"/>
                <w:sz w:val="20"/>
                <w:szCs w:val="20"/>
                <w:highlight w:val="none"/>
              </w:rPr>
              <w:t>库)</w:t>
            </w:r>
          </w:p>
        </w:tc>
        <w:tc>
          <w:tcPr>
            <w:tcW w:w="1395" w:type="dxa"/>
            <w:tcBorders>
              <w:left w:val="single" w:color="000000" w:sz="6" w:space="0"/>
              <w:right w:val="single" w:color="000000" w:sz="6" w:space="0"/>
            </w:tcBorders>
            <w:vAlign w:val="top"/>
          </w:tcPr>
          <w:p>
            <w:pPr>
              <w:spacing w:line="302" w:lineRule="auto"/>
              <w:rPr>
                <w:rFonts w:hint="default" w:ascii="Times New Roman" w:hAnsi="Times New Roman" w:cs="Times New Roman"/>
                <w:sz w:val="21"/>
                <w:highlight w:val="none"/>
              </w:rPr>
            </w:pPr>
          </w:p>
          <w:p>
            <w:pPr>
              <w:spacing w:before="65" w:line="228" w:lineRule="auto"/>
              <w:ind w:left="53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全</w:t>
            </w:r>
            <w:r>
              <w:rPr>
                <w:rFonts w:hint="default" w:ascii="Times New Roman" w:hAnsi="Times New Roman" w:eastAsia="宋体" w:cs="Times New Roman"/>
                <w:spacing w:val="4"/>
                <w:sz w:val="20"/>
                <w:szCs w:val="20"/>
                <w:highlight w:val="none"/>
              </w:rPr>
              <w:t>部</w:t>
            </w:r>
          </w:p>
        </w:tc>
        <w:tc>
          <w:tcPr>
            <w:tcW w:w="989" w:type="dxa"/>
            <w:tcBorders>
              <w:left w:val="single" w:color="000000" w:sz="6" w:space="0"/>
              <w:right w:val="single" w:color="000000" w:sz="6" w:space="0"/>
            </w:tcBorders>
            <w:vAlign w:val="top"/>
          </w:tcPr>
          <w:p>
            <w:pPr>
              <w:spacing w:line="293" w:lineRule="auto"/>
              <w:rPr>
                <w:rFonts w:hint="default" w:ascii="Times New Roman" w:hAnsi="Times New Roman" w:cs="Times New Roman"/>
                <w:sz w:val="21"/>
                <w:highlight w:val="none"/>
              </w:rPr>
            </w:pPr>
          </w:p>
          <w:p>
            <w:pPr>
              <w:spacing w:before="57" w:line="274" w:lineRule="exact"/>
              <w:ind w:left="45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1812" w:type="dxa"/>
            <w:tcBorders>
              <w:left w:val="single" w:color="000000" w:sz="6" w:space="0"/>
              <w:right w:val="single" w:color="000000" w:sz="6" w:space="0"/>
            </w:tcBorders>
            <w:vAlign w:val="top"/>
          </w:tcPr>
          <w:p>
            <w:pPr>
              <w:spacing w:before="68" w:line="277" w:lineRule="auto"/>
              <w:ind w:left="107" w:right="6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排土场、尾矿库 Ⅰ</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3"/>
                <w:sz w:val="20"/>
                <w:szCs w:val="20"/>
                <w:highlight w:val="none"/>
              </w:rPr>
              <w:t>类，选矿厂Ⅱ类</w:t>
            </w:r>
            <w:r>
              <w:rPr>
                <w:rFonts w:hint="default" w:ascii="Times New Roman" w:hAnsi="Times New Roman" w:eastAsia="宋体" w:cs="Times New Roman"/>
                <w:spacing w:val="1"/>
                <w:sz w:val="20"/>
                <w:szCs w:val="20"/>
                <w:highlight w:val="none"/>
              </w:rPr>
              <w:t>，</w:t>
            </w:r>
          </w:p>
          <w:p>
            <w:pPr>
              <w:spacing w:line="226" w:lineRule="auto"/>
              <w:ind w:left="48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其余Ⅳ类</w:t>
            </w:r>
          </w:p>
        </w:tc>
        <w:tc>
          <w:tcPr>
            <w:tcW w:w="1298" w:type="dxa"/>
            <w:tcBorders>
              <w:left w:val="single" w:color="000000" w:sz="6" w:space="0"/>
              <w:right w:val="single" w:color="000000" w:sz="6" w:space="0"/>
            </w:tcBorders>
            <w:vAlign w:val="top"/>
          </w:tcPr>
          <w:p>
            <w:pPr>
              <w:spacing w:line="293" w:lineRule="auto"/>
              <w:rPr>
                <w:rFonts w:hint="default" w:ascii="Times New Roman" w:hAnsi="Times New Roman" w:cs="Times New Roman"/>
                <w:sz w:val="21"/>
                <w:highlight w:val="none"/>
              </w:rPr>
            </w:pPr>
          </w:p>
          <w:p>
            <w:pPr>
              <w:spacing w:before="57" w:line="274" w:lineRule="exact"/>
              <w:ind w:left="62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1401" w:type="dxa"/>
            <w:tcBorders>
              <w:left w:val="single" w:color="000000" w:sz="6" w:space="0"/>
              <w:right w:val="single" w:color="000000" w:sz="10" w:space="0"/>
            </w:tcBorders>
            <w:vAlign w:val="top"/>
          </w:tcPr>
          <w:p>
            <w:pPr>
              <w:spacing w:before="68" w:line="228" w:lineRule="auto"/>
              <w:ind w:left="18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本项目铁</w:t>
            </w:r>
            <w:r>
              <w:rPr>
                <w:rFonts w:hint="default" w:ascii="Times New Roman" w:hAnsi="Times New Roman" w:eastAsia="宋体" w:cs="Times New Roman"/>
                <w:spacing w:val="7"/>
                <w:sz w:val="20"/>
                <w:szCs w:val="20"/>
                <w:highlight w:val="none"/>
              </w:rPr>
              <w:t>选</w:t>
            </w:r>
          </w:p>
          <w:p>
            <w:pPr>
              <w:spacing w:before="53" w:line="228" w:lineRule="auto"/>
              <w:ind w:left="1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项</w:t>
            </w:r>
            <w:r>
              <w:rPr>
                <w:rFonts w:hint="default" w:ascii="Times New Roman" w:hAnsi="Times New Roman" w:eastAsia="宋体" w:cs="Times New Roman"/>
                <w:spacing w:val="-6"/>
                <w:sz w:val="20"/>
                <w:szCs w:val="20"/>
                <w:highlight w:val="none"/>
              </w:rPr>
              <w:t>目，不设尾</w:t>
            </w:r>
          </w:p>
          <w:p>
            <w:pPr>
              <w:spacing w:before="53" w:line="228" w:lineRule="auto"/>
              <w:ind w:left="17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4"/>
                <w:sz w:val="20"/>
                <w:szCs w:val="20"/>
                <w:highlight w:val="none"/>
              </w:rPr>
              <w:t>矿</w:t>
            </w:r>
            <w:r>
              <w:rPr>
                <w:rFonts w:hint="default" w:ascii="Times New Roman" w:hAnsi="Times New Roman" w:eastAsia="宋体" w:cs="Times New Roman"/>
                <w:spacing w:val="-9"/>
                <w:sz w:val="20"/>
                <w:szCs w:val="20"/>
                <w:highlight w:val="none"/>
              </w:rPr>
              <w:t>库， Ⅱ类</w:t>
            </w:r>
          </w:p>
        </w:tc>
      </w:tr>
    </w:tbl>
    <w:p>
      <w:pPr>
        <w:spacing w:before="195" w:line="230" w:lineRule="auto"/>
        <w:ind w:left="64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由</w:t>
      </w:r>
      <w:r>
        <w:rPr>
          <w:rFonts w:hint="default" w:ascii="Times New Roman" w:hAnsi="Times New Roman" w:eastAsia="宋体" w:cs="Times New Roman"/>
          <w:spacing w:val="7"/>
          <w:sz w:val="23"/>
          <w:szCs w:val="23"/>
          <w:highlight w:val="none"/>
        </w:rPr>
        <w:t>上表可知，本项目属于Ⅱ类建设项目。</w:t>
      </w:r>
    </w:p>
    <w:p>
      <w:pPr>
        <w:spacing w:before="213" w:line="226" w:lineRule="auto"/>
        <w:ind w:left="61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sz w:val="23"/>
          <w:szCs w:val="23"/>
          <w:highlight w:val="none"/>
        </w:rPr>
        <w:t>②</w:t>
      </w:r>
      <w:r>
        <w:rPr>
          <w:rFonts w:hint="default" w:ascii="Times New Roman" w:hAnsi="Times New Roman" w:eastAsia="宋体" w:cs="Times New Roman"/>
          <w:spacing w:val="9"/>
          <w:sz w:val="23"/>
          <w:szCs w:val="23"/>
          <w:highlight w:val="none"/>
        </w:rPr>
        <w:t>项目所在地敏感程度</w:t>
      </w:r>
    </w:p>
    <w:p>
      <w:pPr>
        <w:spacing w:before="217" w:line="402" w:lineRule="auto"/>
        <w:ind w:left="131" w:right="207" w:firstLine="48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sz w:val="23"/>
          <w:szCs w:val="23"/>
          <w:highlight w:val="none"/>
        </w:rPr>
        <w:t>《</w:t>
      </w:r>
      <w:r>
        <w:rPr>
          <w:rFonts w:hint="default" w:ascii="Times New Roman" w:hAnsi="Times New Roman" w:eastAsia="宋体" w:cs="Times New Roman"/>
          <w:spacing w:val="7"/>
          <w:sz w:val="23"/>
          <w:szCs w:val="23"/>
          <w:highlight w:val="none"/>
        </w:rPr>
        <w:t>环境影响评价技术导则</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地下水环境》  (</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7"/>
          <w:sz w:val="23"/>
          <w:szCs w:val="23"/>
          <w:highlight w:val="none"/>
        </w:rPr>
        <w:t>610-2016</w:t>
      </w:r>
      <w:r>
        <w:rPr>
          <w:rFonts w:hint="default" w:ascii="Times New Roman" w:hAnsi="Times New Roman" w:eastAsia="宋体" w:cs="Times New Roman"/>
          <w:spacing w:val="7"/>
          <w:sz w:val="23"/>
          <w:szCs w:val="23"/>
          <w:highlight w:val="none"/>
        </w:rPr>
        <w:t>) 地下水环境敏感程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度分级</w:t>
      </w:r>
      <w:r>
        <w:rPr>
          <w:rFonts w:hint="default" w:ascii="Times New Roman" w:hAnsi="Times New Roman" w:eastAsia="宋体" w:cs="Times New Roman"/>
          <w:spacing w:val="1"/>
          <w:sz w:val="23"/>
          <w:szCs w:val="23"/>
          <w:highlight w:val="none"/>
        </w:rPr>
        <w:t xml:space="preserve">表见表 </w:t>
      </w:r>
      <w:r>
        <w:rPr>
          <w:rFonts w:hint="default" w:ascii="Times New Roman" w:hAnsi="Times New Roman" w:eastAsia="Times New Roman" w:cs="Times New Roman"/>
          <w:spacing w:val="1"/>
          <w:sz w:val="23"/>
          <w:szCs w:val="23"/>
          <w:highlight w:val="none"/>
        </w:rPr>
        <w:t>2.4-</w:t>
      </w:r>
      <w:r>
        <w:rPr>
          <w:rFonts w:hint="eastAsia" w:ascii="Times New Roman" w:hAnsi="Times New Roman" w:eastAsia="宋体" w:cs="Times New Roman"/>
          <w:spacing w:val="1"/>
          <w:sz w:val="23"/>
          <w:szCs w:val="23"/>
          <w:highlight w:val="none"/>
          <w:lang w:val="en-US" w:eastAsia="zh-CN"/>
        </w:rPr>
        <w:t>7</w:t>
      </w:r>
      <w:r>
        <w:rPr>
          <w:rFonts w:hint="default" w:ascii="Times New Roman" w:hAnsi="Times New Roman" w:eastAsia="宋体" w:cs="Times New Roman"/>
          <w:spacing w:val="1"/>
          <w:sz w:val="23"/>
          <w:szCs w:val="23"/>
          <w:highlight w:val="none"/>
        </w:rPr>
        <w:t>。</w:t>
      </w:r>
    </w:p>
    <w:p>
      <w:pPr>
        <w:spacing w:line="228" w:lineRule="auto"/>
        <w:ind w:left="220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4"/>
          <w:sz w:val="23"/>
          <w:szCs w:val="23"/>
          <w:highlight w:val="none"/>
        </w:rPr>
        <w:t>2.4-</w:t>
      </w:r>
      <w:r>
        <w:rPr>
          <w:rFonts w:hint="eastAsia" w:ascii="Times New Roman" w:hAnsi="Times New Roman" w:eastAsia="宋体" w:cs="Times New Roman"/>
          <w:b/>
          <w:bCs/>
          <w:spacing w:val="4"/>
          <w:sz w:val="23"/>
          <w:szCs w:val="23"/>
          <w:highlight w:val="none"/>
          <w:lang w:val="en-US" w:eastAsia="zh-CN"/>
        </w:rPr>
        <w:t>7</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地下水环境敏感程度分级表</w:t>
      </w:r>
    </w:p>
    <w:p>
      <w:pPr>
        <w:spacing w:line="21" w:lineRule="exact"/>
        <w:rPr>
          <w:rFonts w:hint="default" w:ascii="Times New Roman" w:hAnsi="Times New Roman" w:cs="Times New Roman"/>
          <w:highlight w:val="none"/>
        </w:rPr>
      </w:pPr>
    </w:p>
    <w:tbl>
      <w:tblPr>
        <w:tblStyle w:val="19"/>
        <w:tblW w:w="861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6"/>
        <w:gridCol w:w="7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26" w:type="dxa"/>
            <w:tcBorders>
              <w:left w:val="single" w:color="000000" w:sz="10" w:space="0"/>
              <w:right w:val="single" w:color="000000" w:sz="4" w:space="0"/>
            </w:tcBorders>
            <w:vAlign w:val="top"/>
          </w:tcPr>
          <w:p>
            <w:pPr>
              <w:spacing w:before="138" w:line="228" w:lineRule="auto"/>
              <w:ind w:left="18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敏感程度</w:t>
            </w:r>
          </w:p>
        </w:tc>
        <w:tc>
          <w:tcPr>
            <w:tcW w:w="7390" w:type="dxa"/>
            <w:tcBorders>
              <w:left w:val="single" w:color="000000" w:sz="4" w:space="0"/>
              <w:right w:val="single" w:color="000000" w:sz="10" w:space="0"/>
            </w:tcBorders>
            <w:vAlign w:val="top"/>
          </w:tcPr>
          <w:p>
            <w:pPr>
              <w:spacing w:before="138" w:line="228" w:lineRule="auto"/>
              <w:ind w:left="274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地下水环境敏感特</w:t>
            </w:r>
            <w:r>
              <w:rPr>
                <w:rFonts w:hint="default" w:ascii="Times New Roman" w:hAnsi="Times New Roman" w:eastAsia="宋体" w:cs="Times New Roman"/>
                <w:spacing w:val="8"/>
                <w:sz w:val="20"/>
                <w:szCs w:val="20"/>
                <w:highlight w:val="none"/>
              </w:rPr>
              <w:t>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1226" w:type="dxa"/>
            <w:tcBorders>
              <w:left w:val="single" w:color="000000" w:sz="10" w:space="0"/>
              <w:right w:val="single" w:color="000000" w:sz="4" w:space="0"/>
            </w:tcBorders>
            <w:vAlign w:val="top"/>
          </w:tcPr>
          <w:p>
            <w:pPr>
              <w:spacing w:line="404" w:lineRule="auto"/>
              <w:rPr>
                <w:rFonts w:hint="default" w:ascii="Times New Roman" w:hAnsi="Times New Roman" w:cs="Times New Roman"/>
                <w:sz w:val="21"/>
                <w:highlight w:val="none"/>
              </w:rPr>
            </w:pPr>
          </w:p>
          <w:p>
            <w:pPr>
              <w:spacing w:before="65" w:line="228" w:lineRule="auto"/>
              <w:ind w:left="39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敏感</w:t>
            </w:r>
          </w:p>
        </w:tc>
        <w:tc>
          <w:tcPr>
            <w:tcW w:w="7390" w:type="dxa"/>
            <w:tcBorders>
              <w:left w:val="single" w:color="000000" w:sz="4" w:space="0"/>
              <w:right w:val="single" w:color="000000" w:sz="10" w:space="0"/>
            </w:tcBorders>
            <w:vAlign w:val="top"/>
          </w:tcPr>
          <w:p>
            <w:pPr>
              <w:spacing w:before="111" w:line="297" w:lineRule="auto"/>
              <w:ind w:left="104" w:right="97" w:hanging="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0"/>
                <w:sz w:val="20"/>
                <w:szCs w:val="20"/>
                <w:highlight w:val="none"/>
              </w:rPr>
              <w:t>集中</w:t>
            </w:r>
            <w:r>
              <w:rPr>
                <w:rFonts w:hint="default" w:ascii="Times New Roman" w:hAnsi="Times New Roman" w:eastAsia="宋体" w:cs="Times New Roman"/>
                <w:spacing w:val="12"/>
                <w:sz w:val="20"/>
                <w:szCs w:val="20"/>
                <w:highlight w:val="none"/>
              </w:rPr>
              <w:t>式</w:t>
            </w:r>
            <w:r>
              <w:rPr>
                <w:rFonts w:hint="default" w:ascii="Times New Roman" w:hAnsi="Times New Roman" w:eastAsia="宋体" w:cs="Times New Roman"/>
                <w:spacing w:val="10"/>
                <w:sz w:val="20"/>
                <w:szCs w:val="20"/>
                <w:highlight w:val="none"/>
              </w:rPr>
              <w:t>饮用水水源 (包括已建成的在用、备用、应急水源，在建和规划的饮用</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0"/>
                <w:sz w:val="20"/>
                <w:szCs w:val="20"/>
                <w:highlight w:val="none"/>
              </w:rPr>
              <w:t>水</w:t>
            </w:r>
            <w:r>
              <w:rPr>
                <w:rFonts w:hint="default" w:ascii="Times New Roman" w:hAnsi="Times New Roman" w:eastAsia="宋体" w:cs="Times New Roman"/>
                <w:spacing w:val="19"/>
                <w:sz w:val="20"/>
                <w:szCs w:val="20"/>
                <w:highlight w:val="none"/>
              </w:rPr>
              <w:t>水</w:t>
            </w:r>
            <w:r>
              <w:rPr>
                <w:rFonts w:hint="default" w:ascii="Times New Roman" w:hAnsi="Times New Roman" w:eastAsia="宋体" w:cs="Times New Roman"/>
                <w:spacing w:val="10"/>
                <w:sz w:val="20"/>
                <w:szCs w:val="20"/>
                <w:highlight w:val="none"/>
              </w:rPr>
              <w:t>源) 准保护区；除集中式饮用水水源以外的国家或地方政府设定的与地下</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8"/>
                <w:sz w:val="20"/>
                <w:szCs w:val="20"/>
                <w:highlight w:val="none"/>
              </w:rPr>
              <w:t>水</w:t>
            </w:r>
            <w:r>
              <w:rPr>
                <w:rFonts w:hint="default" w:ascii="Times New Roman" w:hAnsi="Times New Roman" w:eastAsia="宋体" w:cs="Times New Roman"/>
                <w:spacing w:val="12"/>
                <w:sz w:val="20"/>
                <w:szCs w:val="20"/>
                <w:highlight w:val="none"/>
              </w:rPr>
              <w:t>环</w:t>
            </w:r>
            <w:r>
              <w:rPr>
                <w:rFonts w:hint="default" w:ascii="Times New Roman" w:hAnsi="Times New Roman" w:eastAsia="宋体" w:cs="Times New Roman"/>
                <w:spacing w:val="9"/>
                <w:sz w:val="20"/>
                <w:szCs w:val="20"/>
                <w:highlight w:val="none"/>
              </w:rPr>
              <w:t>境相关的其它保护区，如热水、矿泉水、温泉等特殊地下水资源保护区。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8" w:hRule="atLeast"/>
        </w:trPr>
        <w:tc>
          <w:tcPr>
            <w:tcW w:w="1226" w:type="dxa"/>
            <w:tcBorders>
              <w:left w:val="single" w:color="000000" w:sz="10" w:space="0"/>
              <w:right w:val="single" w:color="000000" w:sz="4" w:space="0"/>
            </w:tcBorders>
            <w:vAlign w:val="top"/>
          </w:tcPr>
          <w:p>
            <w:pPr>
              <w:spacing w:line="292" w:lineRule="auto"/>
              <w:rPr>
                <w:rFonts w:hint="default" w:ascii="Times New Roman" w:hAnsi="Times New Roman" w:cs="Times New Roman"/>
                <w:sz w:val="21"/>
                <w:highlight w:val="none"/>
              </w:rPr>
            </w:pPr>
          </w:p>
          <w:p>
            <w:pPr>
              <w:spacing w:line="292" w:lineRule="auto"/>
              <w:rPr>
                <w:rFonts w:hint="default" w:ascii="Times New Roman" w:hAnsi="Times New Roman" w:cs="Times New Roman"/>
                <w:sz w:val="21"/>
                <w:highlight w:val="none"/>
              </w:rPr>
            </w:pPr>
          </w:p>
          <w:p>
            <w:pPr>
              <w:spacing w:before="65" w:line="228" w:lineRule="auto"/>
              <w:ind w:left="29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较敏</w:t>
            </w:r>
            <w:r>
              <w:rPr>
                <w:rFonts w:hint="default" w:ascii="Times New Roman" w:hAnsi="Times New Roman" w:eastAsia="宋体" w:cs="Times New Roman"/>
                <w:spacing w:val="6"/>
                <w:sz w:val="20"/>
                <w:szCs w:val="20"/>
                <w:highlight w:val="none"/>
              </w:rPr>
              <w:t>感</w:t>
            </w:r>
          </w:p>
        </w:tc>
        <w:tc>
          <w:tcPr>
            <w:tcW w:w="7390" w:type="dxa"/>
            <w:tcBorders>
              <w:left w:val="single" w:color="000000" w:sz="4" w:space="0"/>
              <w:right w:val="single" w:color="000000" w:sz="10" w:space="0"/>
            </w:tcBorders>
            <w:vAlign w:val="top"/>
          </w:tcPr>
          <w:p>
            <w:pPr>
              <w:spacing w:before="112" w:line="306" w:lineRule="auto"/>
              <w:ind w:left="102" w:right="4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0"/>
                <w:sz w:val="20"/>
                <w:szCs w:val="20"/>
                <w:highlight w:val="none"/>
              </w:rPr>
              <w:t>集中</w:t>
            </w:r>
            <w:r>
              <w:rPr>
                <w:rFonts w:hint="default" w:ascii="Times New Roman" w:hAnsi="Times New Roman" w:eastAsia="宋体" w:cs="Times New Roman"/>
                <w:spacing w:val="12"/>
                <w:sz w:val="20"/>
                <w:szCs w:val="20"/>
                <w:highlight w:val="none"/>
              </w:rPr>
              <w:t>式</w:t>
            </w:r>
            <w:r>
              <w:rPr>
                <w:rFonts w:hint="default" w:ascii="Times New Roman" w:hAnsi="Times New Roman" w:eastAsia="宋体" w:cs="Times New Roman"/>
                <w:spacing w:val="10"/>
                <w:sz w:val="20"/>
                <w:szCs w:val="20"/>
                <w:highlight w:val="none"/>
              </w:rPr>
              <w:t>饮用水水源 (包括已建成的在用、备用、应急水源，在建和规划的饮用</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2"/>
                <w:sz w:val="20"/>
                <w:szCs w:val="20"/>
                <w:highlight w:val="none"/>
              </w:rPr>
              <w:t>水水</w:t>
            </w:r>
            <w:r>
              <w:rPr>
                <w:rFonts w:hint="default" w:ascii="Times New Roman" w:hAnsi="Times New Roman" w:eastAsia="宋体" w:cs="Times New Roman"/>
                <w:spacing w:val="6"/>
                <w:sz w:val="20"/>
                <w:szCs w:val="20"/>
                <w:highlight w:val="none"/>
              </w:rPr>
              <w:t>源) 准保护区以外的补给径流区；未划定准保护区的集中水式饮用水水源，</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0"/>
                <w:sz w:val="20"/>
                <w:szCs w:val="20"/>
                <w:highlight w:val="none"/>
              </w:rPr>
              <w:t>其保</w:t>
            </w:r>
            <w:r>
              <w:rPr>
                <w:rFonts w:hint="default" w:ascii="Times New Roman" w:hAnsi="Times New Roman" w:eastAsia="宋体" w:cs="Times New Roman"/>
                <w:spacing w:val="11"/>
                <w:sz w:val="20"/>
                <w:szCs w:val="20"/>
                <w:highlight w:val="none"/>
              </w:rPr>
              <w:t>护</w:t>
            </w:r>
            <w:r>
              <w:rPr>
                <w:rFonts w:hint="default" w:ascii="Times New Roman" w:hAnsi="Times New Roman" w:eastAsia="宋体" w:cs="Times New Roman"/>
                <w:spacing w:val="10"/>
                <w:sz w:val="20"/>
                <w:szCs w:val="20"/>
                <w:highlight w:val="none"/>
              </w:rPr>
              <w:t>区以外的补给径流区；分散式饮用水水源地；特殊地下水资源 (如矿泉</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7"/>
                <w:sz w:val="20"/>
                <w:szCs w:val="20"/>
                <w:highlight w:val="none"/>
              </w:rPr>
              <w:t xml:space="preserve">水、温泉等) 保护区以外的分布区等其他未列入上述敏感分级的环境敏感区 </w:t>
            </w:r>
            <w:r>
              <w:rPr>
                <w:rFonts w:hint="default" w:ascii="Times New Roman" w:hAnsi="Times New Roman" w:eastAsia="Times New Roman" w:cs="Times New Roman"/>
                <w:position w:val="6"/>
                <w:sz w:val="13"/>
                <w:szCs w:val="13"/>
                <w:highlight w:val="none"/>
              </w:rPr>
              <w:t>a</w:t>
            </w:r>
            <w:r>
              <w:rPr>
                <w:rFonts w:hint="default" w:ascii="Times New Roman" w:hAnsi="Times New Roman" w:eastAsia="宋体" w:cs="Times New Roman"/>
                <w:spacing w:val="7"/>
                <w:sz w:val="20"/>
                <w:szCs w:val="20"/>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226" w:type="dxa"/>
            <w:tcBorders>
              <w:left w:val="single" w:color="000000" w:sz="10" w:space="0"/>
              <w:right w:val="single" w:color="000000" w:sz="4" w:space="0"/>
            </w:tcBorders>
            <w:vAlign w:val="top"/>
          </w:tcPr>
          <w:p>
            <w:pPr>
              <w:spacing w:before="119" w:line="228" w:lineRule="auto"/>
              <w:ind w:left="29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不敏</w:t>
            </w:r>
            <w:r>
              <w:rPr>
                <w:rFonts w:hint="default" w:ascii="Times New Roman" w:hAnsi="Times New Roman" w:eastAsia="宋体" w:cs="Times New Roman"/>
                <w:spacing w:val="5"/>
                <w:sz w:val="20"/>
                <w:szCs w:val="20"/>
                <w:highlight w:val="none"/>
              </w:rPr>
              <w:t>感</w:t>
            </w:r>
          </w:p>
        </w:tc>
        <w:tc>
          <w:tcPr>
            <w:tcW w:w="7390" w:type="dxa"/>
            <w:tcBorders>
              <w:left w:val="single" w:color="000000" w:sz="4" w:space="0"/>
              <w:right w:val="single" w:color="000000" w:sz="10" w:space="0"/>
            </w:tcBorders>
            <w:vAlign w:val="top"/>
          </w:tcPr>
          <w:p>
            <w:pPr>
              <w:spacing w:before="119" w:line="226" w:lineRule="auto"/>
              <w:ind w:left="10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上述地区之外的其他地区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8616" w:type="dxa"/>
            <w:gridSpan w:val="2"/>
            <w:tcBorders>
              <w:left w:val="single" w:color="000000" w:sz="10" w:space="0"/>
              <w:right w:val="single" w:color="000000" w:sz="10" w:space="0"/>
            </w:tcBorders>
            <w:vAlign w:val="top"/>
          </w:tcPr>
          <w:p>
            <w:pPr>
              <w:spacing w:before="116" w:line="280" w:lineRule="auto"/>
              <w:ind w:left="106" w:right="9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注：</w:t>
            </w:r>
            <w:r>
              <w:rPr>
                <w:rFonts w:hint="default" w:ascii="Times New Roman" w:hAnsi="Times New Roman" w:eastAsia="Times New Roman" w:cs="Times New Roman"/>
                <w:sz w:val="20"/>
                <w:szCs w:val="20"/>
                <w:highlight w:val="none"/>
              </w:rPr>
              <w:t>a</w:t>
            </w:r>
            <w:r>
              <w:rPr>
                <w:rFonts w:hint="default" w:ascii="Times New Roman" w:hAnsi="Times New Roman" w:eastAsia="Times New Roman" w:cs="Times New Roman"/>
                <w:spacing w:val="8"/>
                <w:sz w:val="20"/>
                <w:szCs w:val="20"/>
                <w:highlight w:val="none"/>
              </w:rPr>
              <w:t>“</w:t>
            </w:r>
            <w:r>
              <w:rPr>
                <w:rFonts w:hint="default" w:ascii="Times New Roman" w:hAnsi="Times New Roman" w:eastAsia="宋体" w:cs="Times New Roman"/>
                <w:spacing w:val="8"/>
                <w:sz w:val="20"/>
                <w:szCs w:val="20"/>
                <w:highlight w:val="none"/>
              </w:rPr>
              <w:t>环境敏感区</w:t>
            </w:r>
            <w:r>
              <w:rPr>
                <w:rFonts w:hint="default" w:ascii="Times New Roman" w:hAnsi="Times New Roman" w:eastAsia="Times New Roman" w:cs="Times New Roman"/>
                <w:spacing w:val="8"/>
                <w:sz w:val="20"/>
                <w:szCs w:val="20"/>
                <w:highlight w:val="none"/>
              </w:rPr>
              <w:t>”</w:t>
            </w:r>
            <w:r>
              <w:rPr>
                <w:rFonts w:hint="default" w:ascii="Times New Roman" w:hAnsi="Times New Roman" w:eastAsia="宋体" w:cs="Times New Roman"/>
                <w:spacing w:val="8"/>
                <w:sz w:val="20"/>
                <w:szCs w:val="20"/>
                <w:highlight w:val="none"/>
              </w:rPr>
              <w:t>是指《建设项目环境影响评价分类管理名录》中所界定的涉及地下水的</w:t>
            </w:r>
            <w:r>
              <w:rPr>
                <w:rFonts w:hint="default" w:ascii="Times New Roman" w:hAnsi="Times New Roman" w:eastAsia="宋体" w:cs="Times New Roman"/>
                <w:spacing w:val="3"/>
                <w:sz w:val="20"/>
                <w:szCs w:val="20"/>
                <w:highlight w:val="none"/>
              </w:rPr>
              <w:t>环</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8"/>
                <w:sz w:val="20"/>
                <w:szCs w:val="20"/>
                <w:highlight w:val="none"/>
              </w:rPr>
              <w:t>境</w:t>
            </w:r>
            <w:r>
              <w:rPr>
                <w:rFonts w:hint="default" w:ascii="Times New Roman" w:hAnsi="Times New Roman" w:eastAsia="宋体" w:cs="Times New Roman"/>
                <w:spacing w:val="5"/>
                <w:sz w:val="20"/>
                <w:szCs w:val="20"/>
                <w:highlight w:val="none"/>
              </w:rPr>
              <w:t>敏感区。</w:t>
            </w:r>
          </w:p>
        </w:tc>
      </w:tr>
    </w:tbl>
    <w:p>
      <w:pPr>
        <w:spacing w:before="199" w:line="401" w:lineRule="auto"/>
        <w:ind w:left="133" w:right="175"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本项目不在集中式饮用水源准保护区及准保护区以外的补给径流区；不涉</w:t>
      </w:r>
      <w:r>
        <w:rPr>
          <w:rFonts w:hint="default" w:ascii="Times New Roman" w:hAnsi="Times New Roman" w:eastAsia="宋体" w:cs="Times New Roman"/>
          <w:spacing w:val="6"/>
          <w:sz w:val="23"/>
          <w:szCs w:val="23"/>
          <w:highlight w:val="none"/>
        </w:rPr>
        <w:t>及</w:t>
      </w:r>
      <w:r>
        <w:rPr>
          <w:rFonts w:hint="default" w:ascii="Times New Roman" w:hAnsi="Times New Roman" w:eastAsia="宋体" w:cs="Times New Roman"/>
          <w:spacing w:val="11"/>
          <w:sz w:val="23"/>
          <w:szCs w:val="23"/>
          <w:highlight w:val="none"/>
        </w:rPr>
        <w:t>国</w:t>
      </w:r>
      <w:r>
        <w:rPr>
          <w:rFonts w:hint="default" w:ascii="Times New Roman" w:hAnsi="Times New Roman" w:eastAsia="宋体" w:cs="Times New Roman"/>
          <w:spacing w:val="8"/>
          <w:sz w:val="23"/>
          <w:szCs w:val="23"/>
          <w:highlight w:val="none"/>
        </w:rPr>
        <w:t>家及地方政府设定的与地下水环境相关的其他保护区及保护区以外的分布区，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不</w:t>
      </w:r>
      <w:r>
        <w:rPr>
          <w:rFonts w:hint="default" w:ascii="Times New Roman" w:hAnsi="Times New Roman" w:eastAsia="宋体" w:cs="Times New Roman"/>
          <w:spacing w:val="7"/>
          <w:sz w:val="23"/>
          <w:szCs w:val="23"/>
          <w:highlight w:val="none"/>
        </w:rPr>
        <w:t>涉及未划定准保护区的集中式饮用水水源，其保护区以外的补给径流区，涉及</w:t>
      </w:r>
      <w:r>
        <w:rPr>
          <w:rFonts w:hint="default" w:ascii="Times New Roman" w:hAnsi="Times New Roman" w:eastAsia="宋体" w:cs="Times New Roman"/>
          <w:spacing w:val="12"/>
          <w:sz w:val="23"/>
          <w:szCs w:val="23"/>
          <w:highlight w:val="none"/>
        </w:rPr>
        <w:t>分</w:t>
      </w:r>
      <w:r>
        <w:rPr>
          <w:rFonts w:hint="default" w:ascii="Times New Roman" w:hAnsi="Times New Roman" w:eastAsia="宋体" w:cs="Times New Roman"/>
          <w:spacing w:val="7"/>
          <w:sz w:val="23"/>
          <w:szCs w:val="23"/>
          <w:highlight w:val="none"/>
        </w:rPr>
        <w:t>散式饮用水水源井，位于张家坟村、孟子院村及皮各庄，供水范围主要为所在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村庄，</w:t>
      </w:r>
      <w:r>
        <w:rPr>
          <w:rFonts w:hint="default" w:ascii="Times New Roman" w:hAnsi="Times New Roman" w:eastAsia="宋体" w:cs="Times New Roman"/>
          <w:spacing w:val="11"/>
          <w:sz w:val="23"/>
          <w:szCs w:val="23"/>
          <w:highlight w:val="none"/>
        </w:rPr>
        <w:t>人</w:t>
      </w:r>
      <w:r>
        <w:rPr>
          <w:rFonts w:hint="default" w:ascii="Times New Roman" w:hAnsi="Times New Roman" w:eastAsia="宋体" w:cs="Times New Roman"/>
          <w:spacing w:val="6"/>
          <w:sz w:val="23"/>
          <w:szCs w:val="23"/>
          <w:highlight w:val="none"/>
        </w:rPr>
        <w:t xml:space="preserve">口规模均小于 </w:t>
      </w:r>
      <w:r>
        <w:rPr>
          <w:rFonts w:hint="default" w:ascii="Times New Roman" w:hAnsi="Times New Roman" w:eastAsia="Times New Roman" w:cs="Times New Roman"/>
          <w:spacing w:val="6"/>
          <w:sz w:val="23"/>
          <w:szCs w:val="23"/>
          <w:highlight w:val="none"/>
        </w:rPr>
        <w:t xml:space="preserve">1000 </w:t>
      </w:r>
      <w:r>
        <w:rPr>
          <w:rFonts w:hint="default" w:ascii="Times New Roman" w:hAnsi="Times New Roman" w:eastAsia="宋体" w:cs="Times New Roman"/>
          <w:spacing w:val="6"/>
          <w:sz w:val="23"/>
          <w:szCs w:val="23"/>
          <w:highlight w:val="none"/>
        </w:rPr>
        <w:t>人，因此场地地下水敏感特征为较敏感。</w:t>
      </w:r>
    </w:p>
    <w:p>
      <w:pPr>
        <w:spacing w:before="1" w:line="225" w:lineRule="auto"/>
        <w:ind w:left="61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③</w:t>
      </w:r>
      <w:r>
        <w:rPr>
          <w:rFonts w:hint="default" w:ascii="Times New Roman" w:hAnsi="Times New Roman" w:eastAsia="宋体" w:cs="Times New Roman"/>
          <w:spacing w:val="9"/>
          <w:sz w:val="23"/>
          <w:szCs w:val="23"/>
          <w:highlight w:val="none"/>
        </w:rPr>
        <w:t>建设项目评价工作等级</w:t>
      </w:r>
    </w:p>
    <w:p>
      <w:pPr>
        <w:spacing w:before="218" w:line="408" w:lineRule="auto"/>
        <w:ind w:left="131" w:right="207" w:firstLine="48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sz w:val="23"/>
          <w:szCs w:val="23"/>
          <w:highlight w:val="none"/>
        </w:rPr>
        <w:t>《</w:t>
      </w:r>
      <w:r>
        <w:rPr>
          <w:rFonts w:hint="default" w:ascii="Times New Roman" w:hAnsi="Times New Roman" w:eastAsia="宋体" w:cs="Times New Roman"/>
          <w:spacing w:val="7"/>
          <w:sz w:val="23"/>
          <w:szCs w:val="23"/>
          <w:highlight w:val="none"/>
        </w:rPr>
        <w:t>环境影响评价技术导则</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地下水环境》  (</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7"/>
          <w:sz w:val="23"/>
          <w:szCs w:val="23"/>
          <w:highlight w:val="none"/>
        </w:rPr>
        <w:t>610-2016</w:t>
      </w:r>
      <w:r>
        <w:rPr>
          <w:rFonts w:hint="default" w:ascii="Times New Roman" w:hAnsi="Times New Roman" w:eastAsia="宋体" w:cs="Times New Roman"/>
          <w:spacing w:val="7"/>
          <w:sz w:val="23"/>
          <w:szCs w:val="23"/>
          <w:highlight w:val="none"/>
        </w:rPr>
        <w:t>) 评价工作等级分级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表见表 </w:t>
      </w:r>
      <w:r>
        <w:rPr>
          <w:rFonts w:hint="default" w:ascii="Times New Roman" w:hAnsi="Times New Roman" w:eastAsia="Times New Roman" w:cs="Times New Roman"/>
          <w:spacing w:val="-1"/>
          <w:sz w:val="23"/>
          <w:szCs w:val="23"/>
          <w:highlight w:val="none"/>
        </w:rPr>
        <w:t>2.4-</w:t>
      </w:r>
      <w:r>
        <w:rPr>
          <w:rFonts w:hint="eastAsia" w:ascii="Times New Roman" w:hAnsi="Times New Roman" w:eastAsia="宋体" w:cs="Times New Roman"/>
          <w:spacing w:val="-1"/>
          <w:sz w:val="23"/>
          <w:szCs w:val="23"/>
          <w:highlight w:val="none"/>
          <w:lang w:val="en-US" w:eastAsia="zh-CN"/>
        </w:rPr>
        <w:t>8</w:t>
      </w:r>
      <w:r>
        <w:rPr>
          <w:rFonts w:hint="default" w:ascii="Times New Roman" w:hAnsi="Times New Roman" w:eastAsia="宋体" w:cs="Times New Roman"/>
          <w:spacing w:val="-1"/>
          <w:sz w:val="23"/>
          <w:szCs w:val="23"/>
          <w:highlight w:val="none"/>
        </w:rPr>
        <w:t>。</w:t>
      </w:r>
    </w:p>
    <w:p>
      <w:pPr>
        <w:tabs>
          <w:tab w:val="left" w:pos="680"/>
        </w:tabs>
        <w:bidi w:val="0"/>
        <w:jc w:val="left"/>
        <w:rPr>
          <w:rFonts w:hint="default" w:ascii="Times New Roman" w:hAnsi="Times New Roman" w:eastAsia="宋体" w:cs="Times New Roman"/>
          <w:sz w:val="23"/>
          <w:szCs w:val="23"/>
          <w:highlight w:val="none"/>
        </w:rPr>
      </w:pPr>
      <w:r>
        <w:rPr>
          <w:rFonts w:hint="eastAsia" w:eastAsia="宋体"/>
          <w:highlight w:val="none"/>
          <w:lang w:eastAsia="zh-CN"/>
        </w:rPr>
        <w:tab/>
      </w:r>
      <w:r>
        <w:rPr>
          <w:rFonts w:hint="default" w:ascii="Times New Roman" w:hAnsi="Times New Roman" w:cs="Times New Roman"/>
          <w:highlight w:val="none"/>
        </w:rPr>
        <w:pict>
          <v:shape id="_x0000_s1066" o:spid="_x0000_s1066" style="position:absolute;left:0pt;margin-left:89.85pt;margin-top:60.75pt;height:0.75pt;width:415.65pt;mso-position-horizontal-relative:page;mso-position-vertical-relative:page;z-index:251675648;mso-width-relative:page;mso-height-relative:page;" fillcolor="#000000" filled="t" stroked="f" coordsize="8312,15" o:allowincell="f" path="m0,0l8312,0,8312,14,0,14,0,0xe">
            <v:path/>
            <v:fill on="t" focussize="0,0"/>
            <v:stroke on="f"/>
            <v:imagedata o:title=""/>
            <o:lock v:ext="edit"/>
          </v:shape>
        </w:pict>
      </w:r>
      <w:r>
        <w:rPr>
          <w:rFonts w:hint="eastAsia" w:eastAsia="宋体"/>
          <w:highlight w:val="none"/>
          <w:lang w:val="en-US" w:eastAsia="zh-CN"/>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b/>
          <w:bCs/>
          <w:spacing w:val="6"/>
          <w:sz w:val="23"/>
          <w:szCs w:val="23"/>
          <w:highlight w:val="none"/>
        </w:rPr>
        <w:t>2</w:t>
      </w:r>
      <w:r>
        <w:rPr>
          <w:rFonts w:hint="default" w:ascii="Times New Roman" w:hAnsi="Times New Roman" w:eastAsia="Times New Roman" w:cs="Times New Roman"/>
          <w:b/>
          <w:bCs/>
          <w:spacing w:val="3"/>
          <w:sz w:val="23"/>
          <w:szCs w:val="23"/>
          <w:highlight w:val="none"/>
        </w:rPr>
        <w:t>.4-</w:t>
      </w:r>
      <w:r>
        <w:rPr>
          <w:rFonts w:hint="eastAsia" w:ascii="Times New Roman" w:hAnsi="Times New Roman" w:eastAsia="宋体" w:cs="Times New Roman"/>
          <w:b/>
          <w:bCs/>
          <w:spacing w:val="3"/>
          <w:sz w:val="23"/>
          <w:szCs w:val="23"/>
          <w:highlight w:val="none"/>
          <w:lang w:val="en-US" w:eastAsia="zh-CN"/>
        </w:rPr>
        <w:t>8</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评价工作等级分级表</w:t>
      </w:r>
    </w:p>
    <w:p>
      <w:pPr>
        <w:spacing w:line="21" w:lineRule="exact"/>
        <w:rPr>
          <w:rFonts w:hint="default" w:ascii="Times New Roman" w:hAnsi="Times New Roman" w:cs="Times New Roman"/>
          <w:highlight w:val="none"/>
        </w:rPr>
      </w:pPr>
    </w:p>
    <w:tbl>
      <w:tblPr>
        <w:tblStyle w:val="19"/>
        <w:tblW w:w="7999" w:type="dxa"/>
        <w:tblInd w:w="2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07"/>
        <w:gridCol w:w="1670"/>
        <w:gridCol w:w="1554"/>
        <w:gridCol w:w="15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207" w:type="dxa"/>
            <w:tcBorders>
              <w:left w:val="single" w:color="000000" w:sz="10" w:space="0"/>
            </w:tcBorders>
            <w:vAlign w:val="top"/>
          </w:tcPr>
          <w:p>
            <w:pPr>
              <w:spacing w:before="84" w:line="228" w:lineRule="auto"/>
              <w:ind w:left="180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14:textOutline w14:w="3795" w14:cap="sq" w14:cmpd="sng">
                  <w14:solidFill>
                    <w14:srgbClr w14:val="000000"/>
                  </w14:solidFill>
                  <w14:prstDash w14:val="solid"/>
                  <w14:bevel/>
                </w14:textOutline>
              </w:rPr>
              <w:t>项</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目类别</w:t>
            </w:r>
          </w:p>
          <w:p>
            <w:pPr>
              <w:spacing w:before="52" w:line="225" w:lineRule="auto"/>
              <w:ind w:left="10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环境敏感程度</w:t>
            </w:r>
          </w:p>
        </w:tc>
        <w:tc>
          <w:tcPr>
            <w:tcW w:w="1670" w:type="dxa"/>
            <w:vAlign w:val="top"/>
          </w:tcPr>
          <w:p>
            <w:pPr>
              <w:spacing w:before="233" w:line="228" w:lineRule="auto"/>
              <w:ind w:left="43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Ⅰ</w:t>
            </w:r>
            <w:r>
              <w:rPr>
                <w:rFonts w:hint="default" w:ascii="Times New Roman" w:hAnsi="Times New Roman" w:eastAsia="宋体" w:cs="Times New Roman"/>
                <w:spacing w:val="-6"/>
                <w:sz w:val="20"/>
                <w:szCs w:val="20"/>
                <w:highlight w:val="none"/>
              </w:rPr>
              <w:t xml:space="preserve"> </w:t>
            </w: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类项目</w:t>
            </w:r>
          </w:p>
        </w:tc>
        <w:tc>
          <w:tcPr>
            <w:tcW w:w="1554" w:type="dxa"/>
            <w:vAlign w:val="top"/>
          </w:tcPr>
          <w:p>
            <w:pPr>
              <w:spacing w:before="233" w:line="228" w:lineRule="auto"/>
              <w:ind w:left="40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14:textOutline w14:w="3795" w14:cap="sq" w14:cmpd="sng">
                  <w14:solidFill>
                    <w14:srgbClr w14:val="000000"/>
                  </w14:solidFill>
                  <w14:prstDash w14:val="solid"/>
                  <w14:bevel/>
                </w14:textOutline>
              </w:rPr>
              <w:t>Ⅱ类项目</w:t>
            </w:r>
          </w:p>
        </w:tc>
        <w:tc>
          <w:tcPr>
            <w:tcW w:w="1568" w:type="dxa"/>
            <w:tcBorders>
              <w:right w:val="single" w:color="000000" w:sz="10" w:space="0"/>
            </w:tcBorders>
            <w:vAlign w:val="top"/>
          </w:tcPr>
          <w:p>
            <w:pPr>
              <w:spacing w:before="233" w:line="228" w:lineRule="auto"/>
              <w:ind w:left="37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Ⅲ类项</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207" w:type="dxa"/>
            <w:tcBorders>
              <w:left w:val="single" w:color="000000" w:sz="10" w:space="0"/>
            </w:tcBorders>
            <w:vAlign w:val="top"/>
          </w:tcPr>
          <w:p>
            <w:pPr>
              <w:spacing w:before="95" w:line="228" w:lineRule="auto"/>
              <w:ind w:left="138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敏</w:t>
            </w: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感</w:t>
            </w:r>
          </w:p>
        </w:tc>
        <w:tc>
          <w:tcPr>
            <w:tcW w:w="1670" w:type="dxa"/>
            <w:vAlign w:val="top"/>
          </w:tcPr>
          <w:p>
            <w:pPr>
              <w:spacing w:before="173" w:line="168" w:lineRule="exact"/>
              <w:ind w:left="738"/>
              <w:rPr>
                <w:rFonts w:hint="default" w:ascii="Times New Roman" w:hAnsi="Times New Roman" w:eastAsia="宋体" w:cs="Times New Roman"/>
                <w:sz w:val="10"/>
                <w:szCs w:val="10"/>
                <w:highlight w:val="none"/>
              </w:rPr>
            </w:pPr>
            <w:r>
              <w:rPr>
                <w:rFonts w:hint="default" w:ascii="Times New Roman" w:hAnsi="Times New Roman" w:eastAsia="宋体" w:cs="Times New Roman"/>
                <w:spacing w:val="97"/>
                <w:position w:val="1"/>
                <w:sz w:val="10"/>
                <w:szCs w:val="10"/>
                <w:highlight w:val="none"/>
                <w14:textOutline w14:w="3795" w14:cap="sq" w14:cmpd="sng">
                  <w14:solidFill>
                    <w14:srgbClr w14:val="000000"/>
                  </w14:solidFill>
                  <w14:prstDash w14:val="solid"/>
                  <w14:bevel/>
                </w14:textOutline>
              </w:rPr>
              <w:t>一</w:t>
            </w:r>
          </w:p>
        </w:tc>
        <w:tc>
          <w:tcPr>
            <w:tcW w:w="1554" w:type="dxa"/>
            <w:vAlign w:val="top"/>
          </w:tcPr>
          <w:p>
            <w:pPr>
              <w:spacing w:before="173" w:line="168" w:lineRule="exact"/>
              <w:ind w:left="686"/>
              <w:rPr>
                <w:rFonts w:hint="default" w:ascii="Times New Roman" w:hAnsi="Times New Roman" w:eastAsia="宋体" w:cs="Times New Roman"/>
                <w:sz w:val="10"/>
                <w:szCs w:val="10"/>
                <w:highlight w:val="none"/>
              </w:rPr>
            </w:pPr>
            <w:r>
              <w:rPr>
                <w:rFonts w:hint="default" w:ascii="Times New Roman" w:hAnsi="Times New Roman" w:eastAsia="宋体" w:cs="Times New Roman"/>
                <w:spacing w:val="97"/>
                <w:position w:val="1"/>
                <w:sz w:val="10"/>
                <w:szCs w:val="10"/>
                <w:highlight w:val="none"/>
                <w14:textOutline w14:w="3795" w14:cap="sq" w14:cmpd="sng">
                  <w14:solidFill>
                    <w14:srgbClr w14:val="000000"/>
                  </w14:solidFill>
                  <w14:prstDash w14:val="solid"/>
                  <w14:bevel/>
                </w14:textOutline>
              </w:rPr>
              <w:t>一</w:t>
            </w:r>
          </w:p>
        </w:tc>
        <w:tc>
          <w:tcPr>
            <w:tcW w:w="1568" w:type="dxa"/>
            <w:tcBorders>
              <w:right w:val="single" w:color="000000" w:sz="10" w:space="0"/>
            </w:tcBorders>
            <w:vAlign w:val="top"/>
          </w:tcPr>
          <w:p>
            <w:pPr>
              <w:spacing w:before="133" w:line="189" w:lineRule="auto"/>
              <w:ind w:left="689"/>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14:textOutline w14:w="3795" w14:cap="sq" w14:cmpd="sng">
                  <w14:solidFill>
                    <w14:srgbClr w14:val="000000"/>
                  </w14:solidFill>
                  <w14:prstDash w14:val="solid"/>
                  <w14:bevel/>
                </w14:textOutline>
              </w:rPr>
              <w:t>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207" w:type="dxa"/>
            <w:tcBorders>
              <w:left w:val="single" w:color="000000" w:sz="10" w:space="0"/>
            </w:tcBorders>
            <w:vAlign w:val="top"/>
          </w:tcPr>
          <w:p>
            <w:pPr>
              <w:spacing w:before="96" w:line="228" w:lineRule="auto"/>
              <w:ind w:left="128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较</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敏感</w:t>
            </w:r>
          </w:p>
        </w:tc>
        <w:tc>
          <w:tcPr>
            <w:tcW w:w="1670" w:type="dxa"/>
            <w:vAlign w:val="top"/>
          </w:tcPr>
          <w:p>
            <w:pPr>
              <w:spacing w:before="174" w:line="168" w:lineRule="exact"/>
              <w:ind w:left="738"/>
              <w:rPr>
                <w:rFonts w:hint="default" w:ascii="Times New Roman" w:hAnsi="Times New Roman" w:eastAsia="宋体" w:cs="Times New Roman"/>
                <w:sz w:val="10"/>
                <w:szCs w:val="10"/>
                <w:highlight w:val="none"/>
              </w:rPr>
            </w:pPr>
            <w:r>
              <w:rPr>
                <w:rFonts w:hint="default" w:ascii="Times New Roman" w:hAnsi="Times New Roman" w:eastAsia="宋体" w:cs="Times New Roman"/>
                <w:spacing w:val="97"/>
                <w:position w:val="1"/>
                <w:sz w:val="10"/>
                <w:szCs w:val="10"/>
                <w:highlight w:val="none"/>
                <w14:textOutline w14:w="3795" w14:cap="sq" w14:cmpd="sng">
                  <w14:solidFill>
                    <w14:srgbClr w14:val="000000"/>
                  </w14:solidFill>
                  <w14:prstDash w14:val="solid"/>
                  <w14:bevel/>
                </w14:textOutline>
              </w:rPr>
              <w:t>一</w:t>
            </w:r>
          </w:p>
        </w:tc>
        <w:tc>
          <w:tcPr>
            <w:tcW w:w="1554" w:type="dxa"/>
            <w:vAlign w:val="top"/>
          </w:tcPr>
          <w:p>
            <w:pPr>
              <w:spacing w:before="135" w:line="189" w:lineRule="auto"/>
              <w:ind w:left="686"/>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14:textOutline w14:w="3795" w14:cap="sq" w14:cmpd="sng">
                  <w14:solidFill>
                    <w14:srgbClr w14:val="000000"/>
                  </w14:solidFill>
                  <w14:prstDash w14:val="solid"/>
                  <w14:bevel/>
                </w14:textOutline>
              </w:rPr>
              <w:t>二</w:t>
            </w:r>
          </w:p>
        </w:tc>
        <w:tc>
          <w:tcPr>
            <w:tcW w:w="1568" w:type="dxa"/>
            <w:tcBorders>
              <w:right w:val="single" w:color="000000" w:sz="10" w:space="0"/>
            </w:tcBorders>
            <w:vAlign w:val="top"/>
          </w:tcPr>
          <w:p>
            <w:pPr>
              <w:spacing w:before="95" w:line="267" w:lineRule="exact"/>
              <w:ind w:left="686"/>
              <w:rPr>
                <w:rFonts w:hint="default" w:ascii="Times New Roman" w:hAnsi="Times New Roman" w:eastAsia="宋体" w:cs="Times New Roman"/>
                <w:sz w:val="20"/>
                <w:szCs w:val="20"/>
                <w:highlight w:val="none"/>
              </w:rPr>
            </w:pPr>
            <w:r>
              <w:rPr>
                <w:rFonts w:hint="default" w:ascii="Times New Roman" w:hAnsi="Times New Roman" w:eastAsia="宋体" w:cs="Times New Roman"/>
                <w:position w:val="1"/>
                <w:sz w:val="20"/>
                <w:szCs w:val="20"/>
                <w:highlight w:val="none"/>
                <w14:textOutline w14:w="3795" w14:cap="sq" w14:cmpd="sng">
                  <w14:solidFill>
                    <w14:srgbClr w14:val="000000"/>
                  </w14:solidFill>
                  <w14:prstDash w14:val="solid"/>
                  <w14:bevel/>
                </w14:textOutline>
              </w:rP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3207" w:type="dxa"/>
            <w:tcBorders>
              <w:left w:val="single" w:color="000000" w:sz="10" w:space="0"/>
            </w:tcBorders>
            <w:vAlign w:val="top"/>
          </w:tcPr>
          <w:p>
            <w:pPr>
              <w:spacing w:before="97" w:line="228" w:lineRule="auto"/>
              <w:ind w:left="128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不</w:t>
            </w: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敏感</w:t>
            </w:r>
          </w:p>
        </w:tc>
        <w:tc>
          <w:tcPr>
            <w:tcW w:w="1670" w:type="dxa"/>
            <w:vAlign w:val="top"/>
          </w:tcPr>
          <w:p>
            <w:pPr>
              <w:spacing w:before="136" w:line="189" w:lineRule="auto"/>
              <w:ind w:left="738"/>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14:textOutline w14:w="3795" w14:cap="sq" w14:cmpd="sng">
                  <w14:solidFill>
                    <w14:srgbClr w14:val="000000"/>
                  </w14:solidFill>
                  <w14:prstDash w14:val="solid"/>
                  <w14:bevel/>
                </w14:textOutline>
              </w:rPr>
              <w:t>二</w:t>
            </w:r>
          </w:p>
        </w:tc>
        <w:tc>
          <w:tcPr>
            <w:tcW w:w="1554" w:type="dxa"/>
            <w:vAlign w:val="top"/>
          </w:tcPr>
          <w:p>
            <w:pPr>
              <w:spacing w:before="97" w:line="266" w:lineRule="exact"/>
              <w:ind w:left="682"/>
              <w:rPr>
                <w:rFonts w:hint="default" w:ascii="Times New Roman" w:hAnsi="Times New Roman" w:eastAsia="宋体" w:cs="Times New Roman"/>
                <w:sz w:val="20"/>
                <w:szCs w:val="20"/>
                <w:highlight w:val="none"/>
              </w:rPr>
            </w:pPr>
            <w:r>
              <w:rPr>
                <w:rFonts w:hint="default" w:ascii="Times New Roman" w:hAnsi="Times New Roman" w:eastAsia="宋体" w:cs="Times New Roman"/>
                <w:position w:val="1"/>
                <w:sz w:val="20"/>
                <w:szCs w:val="20"/>
                <w:highlight w:val="none"/>
                <w14:textOutline w14:w="3795" w14:cap="sq" w14:cmpd="sng">
                  <w14:solidFill>
                    <w14:srgbClr w14:val="000000"/>
                  </w14:solidFill>
                  <w14:prstDash w14:val="solid"/>
                  <w14:bevel/>
                </w14:textOutline>
              </w:rPr>
              <w:t>三</w:t>
            </w:r>
          </w:p>
        </w:tc>
        <w:tc>
          <w:tcPr>
            <w:tcW w:w="1568" w:type="dxa"/>
            <w:tcBorders>
              <w:right w:val="single" w:color="000000" w:sz="10" w:space="0"/>
            </w:tcBorders>
            <w:vAlign w:val="top"/>
          </w:tcPr>
          <w:p>
            <w:pPr>
              <w:spacing w:before="97" w:line="266" w:lineRule="exact"/>
              <w:ind w:left="686"/>
              <w:rPr>
                <w:rFonts w:hint="default" w:ascii="Times New Roman" w:hAnsi="Times New Roman" w:eastAsia="宋体" w:cs="Times New Roman"/>
                <w:sz w:val="20"/>
                <w:szCs w:val="20"/>
                <w:highlight w:val="none"/>
              </w:rPr>
            </w:pPr>
            <w:r>
              <w:rPr>
                <w:rFonts w:hint="default" w:ascii="Times New Roman" w:hAnsi="Times New Roman" w:eastAsia="宋体" w:cs="Times New Roman"/>
                <w:position w:val="1"/>
                <w:sz w:val="20"/>
                <w:szCs w:val="20"/>
                <w:highlight w:val="none"/>
                <w14:textOutline w14:w="3795" w14:cap="sq" w14:cmpd="sng">
                  <w14:solidFill>
                    <w14:srgbClr w14:val="000000"/>
                  </w14:solidFill>
                  <w14:prstDash w14:val="solid"/>
                  <w14:bevel/>
                </w14:textOutline>
              </w:rPr>
              <w:t>三</w:t>
            </w:r>
          </w:p>
        </w:tc>
      </w:tr>
    </w:tbl>
    <w:p>
      <w:pPr>
        <w:spacing w:before="196" w:line="407" w:lineRule="auto"/>
        <w:ind w:left="154" w:right="21" w:firstLine="457"/>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5"/>
          <w:sz w:val="23"/>
          <w:szCs w:val="23"/>
          <w:highlight w:val="none"/>
        </w:rPr>
        <w:t>根</w:t>
      </w:r>
      <w:r>
        <w:rPr>
          <w:rFonts w:hint="default" w:ascii="Times New Roman" w:hAnsi="Times New Roman" w:eastAsia="宋体" w:cs="Times New Roman"/>
          <w:spacing w:val="3"/>
          <w:sz w:val="23"/>
          <w:szCs w:val="23"/>
          <w:highlight w:val="none"/>
        </w:rPr>
        <w:t>据上述分析，按照《环境影响评价技术导则</w:t>
      </w:r>
      <w:r>
        <w:rPr>
          <w:rFonts w:hint="default" w:ascii="Times New Roman" w:hAnsi="Times New Roman" w:eastAsia="Times New Roman" w:cs="Times New Roman"/>
          <w:spacing w:val="3"/>
          <w:sz w:val="23"/>
          <w:szCs w:val="23"/>
          <w:highlight w:val="none"/>
        </w:rPr>
        <w:t>—</w:t>
      </w:r>
      <w:r>
        <w:rPr>
          <w:rFonts w:hint="default" w:ascii="Times New Roman" w:hAnsi="Times New Roman" w:eastAsia="宋体" w:cs="Times New Roman"/>
          <w:spacing w:val="3"/>
          <w:sz w:val="23"/>
          <w:szCs w:val="23"/>
          <w:highlight w:val="none"/>
        </w:rPr>
        <w:t>地下水环境》 (</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3"/>
          <w:sz w:val="23"/>
          <w:szCs w:val="23"/>
          <w:highlight w:val="none"/>
        </w:rPr>
        <w:t>610-2016</w:t>
      </w:r>
      <w:r>
        <w:rPr>
          <w:rFonts w:hint="default" w:ascii="Times New Roman" w:hAnsi="Times New Roman" w:eastAsia="宋体" w:cs="Times New Roman"/>
          <w:spacing w:val="3"/>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中的评价工作等级划分办法，确定本项目地下水环境影响评价等级为二级</w:t>
      </w:r>
      <w:r>
        <w:rPr>
          <w:rFonts w:hint="default" w:ascii="Times New Roman" w:hAnsi="Times New Roman" w:eastAsia="宋体" w:cs="Times New Roman"/>
          <w:spacing w:val="2"/>
          <w:sz w:val="23"/>
          <w:szCs w:val="23"/>
          <w:highlight w:val="none"/>
        </w:rPr>
        <w:t>。</w:t>
      </w:r>
    </w:p>
    <w:p>
      <w:pPr>
        <w:spacing w:before="103" w:line="227" w:lineRule="auto"/>
        <w:ind w:left="128"/>
        <w:outlineLvl w:val="3"/>
        <w:rPr>
          <w:rFonts w:hint="default" w:ascii="Times New Roman" w:hAnsi="Times New Roman" w:eastAsia="宋体" w:cs="Times New Roman"/>
          <w:spacing w:val="5"/>
          <w:sz w:val="23"/>
          <w:szCs w:val="23"/>
          <w:highlight w:val="none"/>
        </w:rPr>
      </w:pPr>
      <w:r>
        <w:rPr>
          <w:rFonts w:hint="default" w:ascii="Times New Roman" w:hAnsi="Times New Roman" w:eastAsia="Times New Roman" w:cs="Times New Roman"/>
          <w:spacing w:val="7"/>
          <w:sz w:val="23"/>
          <w:szCs w:val="23"/>
          <w:highlight w:val="none"/>
        </w:rPr>
        <w:t xml:space="preserve">2.4.1.4 </w:t>
      </w:r>
      <w:r>
        <w:rPr>
          <w:rFonts w:hint="eastAsia" w:ascii="Times New Roman" w:hAnsi="Times New Roman" w:eastAsia="宋体" w:cs="Times New Roman"/>
          <w:spacing w:val="7"/>
          <w:sz w:val="23"/>
          <w:szCs w:val="23"/>
          <w:highlight w:val="none"/>
          <w:lang w:val="en-US" w:eastAsia="zh-CN"/>
        </w:rPr>
        <w:t>土壤</w:t>
      </w:r>
      <w:r>
        <w:rPr>
          <w:rFonts w:hint="default" w:ascii="Times New Roman" w:hAnsi="Times New Roman" w:eastAsia="宋体" w:cs="Times New Roman"/>
          <w:spacing w:val="7"/>
          <w:sz w:val="23"/>
          <w:szCs w:val="23"/>
          <w:highlight w:val="none"/>
        </w:rPr>
        <w:t>环境影响评价等</w:t>
      </w:r>
      <w:r>
        <w:rPr>
          <w:rFonts w:hint="default" w:ascii="Times New Roman" w:hAnsi="Times New Roman" w:eastAsia="宋体" w:cs="Times New Roman"/>
          <w:spacing w:val="5"/>
          <w:sz w:val="23"/>
          <w:szCs w:val="23"/>
          <w:highlight w:val="none"/>
        </w:rPr>
        <w:t>级</w:t>
      </w:r>
    </w:p>
    <w:p>
      <w:pPr>
        <w:spacing w:before="75" w:line="401" w:lineRule="auto"/>
        <w:ind w:left="79" w:right="122" w:firstLine="532"/>
        <w:rPr>
          <w:rFonts w:hint="eastAsia" w:ascii="Times New Roman" w:hAnsi="Times New Roman" w:eastAsia="宋体" w:cs="Times New Roman"/>
          <w:spacing w:val="7"/>
          <w:sz w:val="23"/>
          <w:szCs w:val="23"/>
          <w:highlight w:val="none"/>
          <w:lang w:val="en-US" w:eastAsia="zh-CN"/>
        </w:rPr>
      </w:pPr>
      <w:r>
        <w:rPr>
          <w:rFonts w:hint="eastAsia" w:ascii="Times New Roman" w:hAnsi="Times New Roman" w:eastAsia="宋体" w:cs="Times New Roman"/>
          <w:spacing w:val="7"/>
          <w:sz w:val="23"/>
          <w:szCs w:val="23"/>
          <w:highlight w:val="none"/>
          <w:lang w:val="en-US" w:eastAsia="zh-CN"/>
        </w:rPr>
        <w:t>依据《环境影响评价技术导则 土壤环境》（HJ964-2018）评价等级划分的规定，建设项目土壤环境影响评价工作等级的划分应依据建设项目影响类型、行业分类、项目占地规模及土壤环境敏感程度分级进行判定。</w:t>
      </w:r>
    </w:p>
    <w:p>
      <w:pPr>
        <w:keepNext w:val="0"/>
        <w:keepLines w:val="0"/>
        <w:pageBreakBefore w:val="0"/>
        <w:widowControl/>
        <w:kinsoku w:val="0"/>
        <w:wordWrap/>
        <w:overflowPunct/>
        <w:topLinePunct w:val="0"/>
        <w:autoSpaceDE w:val="0"/>
        <w:autoSpaceDN w:val="0"/>
        <w:bidi w:val="0"/>
        <w:adjustRightInd w:val="0"/>
        <w:snapToGrid w:val="0"/>
        <w:spacing w:line="312" w:lineRule="auto"/>
        <w:ind w:left="79" w:right="119" w:firstLine="533"/>
        <w:textAlignment w:val="baseline"/>
        <w:rPr>
          <w:rFonts w:hint="eastAsia" w:ascii="Times New Roman" w:hAnsi="Times New Roman" w:eastAsia="宋体" w:cs="Times New Roman"/>
          <w:spacing w:val="7"/>
          <w:sz w:val="23"/>
          <w:szCs w:val="23"/>
          <w:highlight w:val="none"/>
          <w:lang w:val="en-US" w:eastAsia="zh-CN"/>
        </w:rPr>
      </w:pPr>
      <w:r>
        <w:rPr>
          <w:rFonts w:hint="eastAsia" w:ascii="Times New Roman" w:hAnsi="Times New Roman" w:eastAsia="宋体" w:cs="Times New Roman"/>
          <w:spacing w:val="7"/>
          <w:sz w:val="23"/>
          <w:szCs w:val="23"/>
          <w:highlight w:val="none"/>
          <w:lang w:val="en-US" w:eastAsia="zh-CN"/>
        </w:rPr>
        <w:t>（1）项目类别</w:t>
      </w:r>
    </w:p>
    <w:p>
      <w:pPr>
        <w:spacing w:before="75" w:line="401" w:lineRule="auto"/>
        <w:ind w:left="79" w:right="122" w:firstLine="532"/>
        <w:rPr>
          <w:rFonts w:hint="eastAsia" w:ascii="Times New Roman" w:hAnsi="Times New Roman" w:eastAsia="宋体" w:cs="Times New Roman"/>
          <w:spacing w:val="7"/>
          <w:sz w:val="23"/>
          <w:szCs w:val="23"/>
          <w:highlight w:val="none"/>
          <w:lang w:val="en-US" w:eastAsia="zh-CN"/>
        </w:rPr>
      </w:pPr>
      <w:r>
        <w:rPr>
          <w:rFonts w:hint="eastAsia" w:ascii="Times New Roman" w:hAnsi="Times New Roman" w:eastAsia="宋体" w:cs="Times New Roman"/>
          <w:spacing w:val="7"/>
          <w:sz w:val="23"/>
          <w:szCs w:val="23"/>
          <w:highlight w:val="none"/>
          <w:lang w:val="en-US" w:eastAsia="zh-CN"/>
        </w:rPr>
        <w:t>根据《环境影响评价技术导则·土壤环境（试行）》(HJ964-2018)附录A—土壤环境影响评价项目类别表，确定本项目土壤环境影响评价项目类别为III类（“采矿业”中的“其他”类别）。</w:t>
      </w:r>
    </w:p>
    <w:p>
      <w:pPr>
        <w:keepNext w:val="0"/>
        <w:keepLines w:val="0"/>
        <w:pageBreakBefore w:val="0"/>
        <w:widowControl/>
        <w:kinsoku w:val="0"/>
        <w:wordWrap/>
        <w:overflowPunct/>
        <w:topLinePunct w:val="0"/>
        <w:autoSpaceDE w:val="0"/>
        <w:autoSpaceDN w:val="0"/>
        <w:bidi w:val="0"/>
        <w:adjustRightInd w:val="0"/>
        <w:snapToGrid w:val="0"/>
        <w:spacing w:line="312" w:lineRule="auto"/>
        <w:ind w:left="79" w:right="119" w:firstLine="533"/>
        <w:textAlignment w:val="baseline"/>
        <w:rPr>
          <w:rFonts w:hint="eastAsia" w:ascii="Times New Roman" w:hAnsi="Times New Roman" w:eastAsia="宋体" w:cs="Times New Roman"/>
          <w:spacing w:val="7"/>
          <w:sz w:val="23"/>
          <w:szCs w:val="23"/>
          <w:highlight w:val="none"/>
          <w:lang w:val="en-US" w:eastAsia="zh-CN"/>
        </w:rPr>
      </w:pPr>
      <w:r>
        <w:rPr>
          <w:rFonts w:hint="eastAsia" w:ascii="Times New Roman" w:hAnsi="Times New Roman" w:eastAsia="宋体" w:cs="Times New Roman"/>
          <w:spacing w:val="7"/>
          <w:sz w:val="23"/>
          <w:szCs w:val="23"/>
          <w:highlight w:val="none"/>
          <w:lang w:val="en-US" w:eastAsia="zh-CN"/>
        </w:rPr>
        <w:t>（2）建设项目土壤环境影响类型与影响途径识别</w:t>
      </w:r>
    </w:p>
    <w:p>
      <w:pPr>
        <w:spacing w:before="75" w:line="401" w:lineRule="auto"/>
        <w:ind w:left="79" w:right="122" w:firstLine="532"/>
        <w:rPr>
          <w:rFonts w:hint="eastAsia" w:ascii="Times New Roman" w:hAnsi="Times New Roman" w:eastAsia="宋体" w:cs="Times New Roman"/>
          <w:spacing w:val="7"/>
          <w:sz w:val="23"/>
          <w:szCs w:val="23"/>
          <w:highlight w:val="none"/>
          <w:lang w:val="en-US" w:eastAsia="zh-CN"/>
        </w:rPr>
      </w:pPr>
      <w:r>
        <w:rPr>
          <w:rFonts w:hint="eastAsia" w:ascii="Times New Roman" w:hAnsi="Times New Roman" w:eastAsia="宋体" w:cs="Times New Roman"/>
          <w:spacing w:val="7"/>
          <w:sz w:val="23"/>
          <w:szCs w:val="23"/>
          <w:highlight w:val="none"/>
          <w:lang w:val="en-US" w:eastAsia="zh-CN"/>
        </w:rPr>
        <w:t>依据《建设项目环境影响评价技术导则·总纲》(HJ2.1-2016)中对建设项目污染影响和生态影响的相关要求，结合本项目的工程分析内容，确定本项目土壤环境影响类型为“污染影响型”。</w:t>
      </w:r>
    </w:p>
    <w:p>
      <w:pPr>
        <w:tabs>
          <w:tab w:val="left" w:pos="680"/>
        </w:tabs>
        <w:bidi w:val="0"/>
        <w:jc w:val="cente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表2.</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4</w:t>
      </w:r>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9</w:t>
      </w:r>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  建设项目土壤环境影响类型与影响途径表</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1134"/>
        <w:gridCol w:w="1134"/>
        <w:gridCol w:w="992"/>
        <w:gridCol w:w="851"/>
        <w:gridCol w:w="708"/>
        <w:gridCol w:w="851"/>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6" w:type="dxa"/>
            <w:vMerge w:val="restart"/>
            <w:vAlign w:val="center"/>
          </w:tcPr>
          <w:p>
            <w:pPr>
              <w:pStyle w:val="21"/>
              <w:widowControl w:val="0"/>
              <w:rPr>
                <w:highlight w:val="none"/>
                <w:lang w:val="en-US"/>
              </w:rPr>
            </w:pPr>
            <w:r>
              <w:rPr>
                <w:highlight w:val="none"/>
                <w:lang w:val="en-US"/>
              </w:rPr>
              <w:t>不同时段</w:t>
            </w:r>
          </w:p>
        </w:tc>
        <w:tc>
          <w:tcPr>
            <w:tcW w:w="4407" w:type="dxa"/>
            <w:gridSpan w:val="4"/>
            <w:vAlign w:val="center"/>
          </w:tcPr>
          <w:p>
            <w:pPr>
              <w:pStyle w:val="21"/>
              <w:widowControl w:val="0"/>
              <w:rPr>
                <w:highlight w:val="none"/>
                <w:lang w:val="en-US"/>
              </w:rPr>
            </w:pPr>
            <w:r>
              <w:rPr>
                <w:highlight w:val="none"/>
                <w:lang w:val="en-US"/>
              </w:rPr>
              <w:t>污染影响型</w:t>
            </w:r>
          </w:p>
        </w:tc>
        <w:tc>
          <w:tcPr>
            <w:tcW w:w="3169" w:type="dxa"/>
            <w:gridSpan w:val="4"/>
            <w:vAlign w:val="center"/>
          </w:tcPr>
          <w:p>
            <w:pPr>
              <w:pStyle w:val="21"/>
              <w:widowControl w:val="0"/>
              <w:rPr>
                <w:highlight w:val="none"/>
                <w:lang w:val="en-US"/>
              </w:rPr>
            </w:pPr>
            <w:r>
              <w:rPr>
                <w:highlight w:val="none"/>
                <w:lang w:val="en-US"/>
              </w:rPr>
              <w:t>生态影响型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6" w:type="dxa"/>
            <w:vMerge w:val="continue"/>
            <w:vAlign w:val="center"/>
          </w:tcPr>
          <w:p>
            <w:pPr>
              <w:pStyle w:val="21"/>
              <w:widowControl w:val="0"/>
              <w:rPr>
                <w:highlight w:val="none"/>
                <w:lang w:val="en-US"/>
              </w:rPr>
            </w:pPr>
          </w:p>
        </w:tc>
        <w:tc>
          <w:tcPr>
            <w:tcW w:w="1147" w:type="dxa"/>
            <w:vAlign w:val="center"/>
          </w:tcPr>
          <w:p>
            <w:pPr>
              <w:pStyle w:val="21"/>
              <w:widowControl w:val="0"/>
              <w:rPr>
                <w:highlight w:val="none"/>
                <w:lang w:val="en-US"/>
              </w:rPr>
            </w:pPr>
            <w:r>
              <w:rPr>
                <w:highlight w:val="none"/>
                <w:lang w:val="en-US"/>
              </w:rPr>
              <w:t>大气沉降</w:t>
            </w:r>
          </w:p>
        </w:tc>
        <w:tc>
          <w:tcPr>
            <w:tcW w:w="1134" w:type="dxa"/>
            <w:vAlign w:val="center"/>
          </w:tcPr>
          <w:p>
            <w:pPr>
              <w:pStyle w:val="21"/>
              <w:widowControl w:val="0"/>
              <w:rPr>
                <w:highlight w:val="none"/>
                <w:lang w:val="en-US"/>
              </w:rPr>
            </w:pPr>
            <w:r>
              <w:rPr>
                <w:highlight w:val="none"/>
                <w:lang w:val="en-US"/>
              </w:rPr>
              <w:t>地面漫流</w:t>
            </w:r>
          </w:p>
        </w:tc>
        <w:tc>
          <w:tcPr>
            <w:tcW w:w="1134" w:type="dxa"/>
            <w:vAlign w:val="center"/>
          </w:tcPr>
          <w:p>
            <w:pPr>
              <w:pStyle w:val="21"/>
              <w:widowControl w:val="0"/>
              <w:rPr>
                <w:highlight w:val="none"/>
                <w:lang w:val="en-US"/>
              </w:rPr>
            </w:pPr>
            <w:r>
              <w:rPr>
                <w:highlight w:val="none"/>
                <w:lang w:val="en-US"/>
              </w:rPr>
              <w:t>垂直入渗</w:t>
            </w:r>
          </w:p>
        </w:tc>
        <w:tc>
          <w:tcPr>
            <w:tcW w:w="992" w:type="dxa"/>
            <w:vAlign w:val="center"/>
          </w:tcPr>
          <w:p>
            <w:pPr>
              <w:pStyle w:val="21"/>
              <w:widowControl w:val="0"/>
              <w:rPr>
                <w:highlight w:val="none"/>
                <w:lang w:val="en-US"/>
              </w:rPr>
            </w:pPr>
            <w:r>
              <w:rPr>
                <w:highlight w:val="none"/>
                <w:lang w:val="en-US"/>
              </w:rPr>
              <w:t>其他</w:t>
            </w:r>
          </w:p>
        </w:tc>
        <w:tc>
          <w:tcPr>
            <w:tcW w:w="851" w:type="dxa"/>
            <w:vAlign w:val="center"/>
          </w:tcPr>
          <w:p>
            <w:pPr>
              <w:pStyle w:val="21"/>
              <w:widowControl w:val="0"/>
              <w:rPr>
                <w:highlight w:val="none"/>
                <w:lang w:val="en-US"/>
              </w:rPr>
            </w:pPr>
            <w:r>
              <w:rPr>
                <w:highlight w:val="none"/>
                <w:lang w:val="en-US"/>
              </w:rPr>
              <w:t>盐化</w:t>
            </w:r>
          </w:p>
        </w:tc>
        <w:tc>
          <w:tcPr>
            <w:tcW w:w="708" w:type="dxa"/>
            <w:vAlign w:val="center"/>
          </w:tcPr>
          <w:p>
            <w:pPr>
              <w:pStyle w:val="21"/>
              <w:widowControl w:val="0"/>
              <w:rPr>
                <w:highlight w:val="none"/>
                <w:lang w:val="en-US"/>
              </w:rPr>
            </w:pPr>
            <w:r>
              <w:rPr>
                <w:highlight w:val="none"/>
                <w:lang w:val="en-US"/>
              </w:rPr>
              <w:t>碱化</w:t>
            </w:r>
          </w:p>
        </w:tc>
        <w:tc>
          <w:tcPr>
            <w:tcW w:w="851" w:type="dxa"/>
            <w:vAlign w:val="center"/>
          </w:tcPr>
          <w:p>
            <w:pPr>
              <w:pStyle w:val="21"/>
              <w:widowControl w:val="0"/>
              <w:rPr>
                <w:highlight w:val="none"/>
                <w:lang w:val="en-US"/>
              </w:rPr>
            </w:pPr>
            <w:r>
              <w:rPr>
                <w:highlight w:val="none"/>
                <w:lang w:val="en-US"/>
              </w:rPr>
              <w:t>酸化</w:t>
            </w:r>
          </w:p>
        </w:tc>
        <w:tc>
          <w:tcPr>
            <w:tcW w:w="759" w:type="dxa"/>
            <w:vAlign w:val="center"/>
          </w:tcPr>
          <w:p>
            <w:pPr>
              <w:pStyle w:val="21"/>
              <w:widowControl w:val="0"/>
              <w:rPr>
                <w:highlight w:val="none"/>
                <w:lang w:val="en-US"/>
              </w:rPr>
            </w:pPr>
            <w:r>
              <w:rPr>
                <w:highlight w:val="none"/>
                <w:lang w:val="en-US"/>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6" w:type="dxa"/>
            <w:vAlign w:val="center"/>
          </w:tcPr>
          <w:p>
            <w:pPr>
              <w:pStyle w:val="21"/>
              <w:widowControl w:val="0"/>
              <w:rPr>
                <w:highlight w:val="none"/>
                <w:lang w:val="en-US"/>
              </w:rPr>
            </w:pPr>
            <w:r>
              <w:rPr>
                <w:highlight w:val="none"/>
                <w:lang w:val="en-US"/>
              </w:rPr>
              <w:t>建设期</w:t>
            </w:r>
          </w:p>
        </w:tc>
        <w:tc>
          <w:tcPr>
            <w:tcW w:w="1147" w:type="dxa"/>
            <w:vAlign w:val="center"/>
          </w:tcPr>
          <w:p>
            <w:pPr>
              <w:pStyle w:val="21"/>
              <w:widowControl w:val="0"/>
              <w:rPr>
                <w:highlight w:val="none"/>
                <w:lang w:val="en-US"/>
              </w:rPr>
            </w:pPr>
            <w:r>
              <w:rPr>
                <w:rFonts w:hint="eastAsia"/>
                <w:highlight w:val="none"/>
                <w:lang w:val="en-US"/>
              </w:rPr>
              <w:t>-</w:t>
            </w:r>
          </w:p>
        </w:tc>
        <w:tc>
          <w:tcPr>
            <w:tcW w:w="1134" w:type="dxa"/>
            <w:vAlign w:val="center"/>
          </w:tcPr>
          <w:p>
            <w:pPr>
              <w:pStyle w:val="21"/>
              <w:widowControl w:val="0"/>
              <w:rPr>
                <w:highlight w:val="none"/>
                <w:lang w:val="en-US"/>
              </w:rPr>
            </w:pPr>
            <w:r>
              <w:rPr>
                <w:rFonts w:hint="eastAsia"/>
                <w:highlight w:val="none"/>
                <w:lang w:val="en-US"/>
              </w:rPr>
              <w:t>-</w:t>
            </w:r>
          </w:p>
        </w:tc>
        <w:tc>
          <w:tcPr>
            <w:tcW w:w="1134" w:type="dxa"/>
            <w:vAlign w:val="center"/>
          </w:tcPr>
          <w:p>
            <w:pPr>
              <w:pStyle w:val="21"/>
              <w:widowControl w:val="0"/>
              <w:rPr>
                <w:highlight w:val="none"/>
                <w:lang w:val="en-US"/>
              </w:rPr>
            </w:pPr>
            <w:r>
              <w:rPr>
                <w:rFonts w:hint="eastAsia"/>
                <w:highlight w:val="none"/>
                <w:lang w:val="en-US"/>
              </w:rPr>
              <w:t>-</w:t>
            </w:r>
          </w:p>
        </w:tc>
        <w:tc>
          <w:tcPr>
            <w:tcW w:w="992" w:type="dxa"/>
            <w:vAlign w:val="center"/>
          </w:tcPr>
          <w:p>
            <w:pPr>
              <w:pStyle w:val="21"/>
              <w:widowControl w:val="0"/>
              <w:rPr>
                <w:highlight w:val="none"/>
                <w:lang w:val="en-US"/>
              </w:rPr>
            </w:pPr>
            <w:r>
              <w:rPr>
                <w:rFonts w:hint="eastAsia"/>
                <w:highlight w:val="none"/>
                <w:lang w:val="en-US"/>
              </w:rPr>
              <w:t>-</w:t>
            </w:r>
          </w:p>
        </w:tc>
        <w:tc>
          <w:tcPr>
            <w:tcW w:w="851" w:type="dxa"/>
            <w:vAlign w:val="center"/>
          </w:tcPr>
          <w:p>
            <w:pPr>
              <w:pStyle w:val="21"/>
              <w:widowControl w:val="0"/>
              <w:rPr>
                <w:highlight w:val="none"/>
                <w:lang w:val="en-US"/>
              </w:rPr>
            </w:pPr>
            <w:r>
              <w:rPr>
                <w:rFonts w:hint="eastAsia"/>
                <w:highlight w:val="none"/>
                <w:lang w:val="en-US"/>
              </w:rPr>
              <w:t>-</w:t>
            </w:r>
          </w:p>
        </w:tc>
        <w:tc>
          <w:tcPr>
            <w:tcW w:w="708" w:type="dxa"/>
            <w:vAlign w:val="center"/>
          </w:tcPr>
          <w:p>
            <w:pPr>
              <w:pStyle w:val="21"/>
              <w:widowControl w:val="0"/>
              <w:rPr>
                <w:highlight w:val="none"/>
                <w:lang w:val="en-US"/>
              </w:rPr>
            </w:pPr>
            <w:r>
              <w:rPr>
                <w:rFonts w:hint="eastAsia"/>
                <w:highlight w:val="none"/>
                <w:lang w:val="en-US"/>
              </w:rPr>
              <w:t>-</w:t>
            </w:r>
          </w:p>
        </w:tc>
        <w:tc>
          <w:tcPr>
            <w:tcW w:w="851" w:type="dxa"/>
            <w:vAlign w:val="center"/>
          </w:tcPr>
          <w:p>
            <w:pPr>
              <w:pStyle w:val="21"/>
              <w:widowControl w:val="0"/>
              <w:rPr>
                <w:highlight w:val="none"/>
                <w:lang w:val="en-US"/>
              </w:rPr>
            </w:pPr>
            <w:r>
              <w:rPr>
                <w:rFonts w:hint="eastAsia"/>
                <w:highlight w:val="none"/>
                <w:lang w:val="en-US"/>
              </w:rPr>
              <w:t>-</w:t>
            </w:r>
          </w:p>
        </w:tc>
        <w:tc>
          <w:tcPr>
            <w:tcW w:w="759" w:type="dxa"/>
            <w:vAlign w:val="center"/>
          </w:tcPr>
          <w:p>
            <w:pPr>
              <w:pStyle w:val="21"/>
              <w:widowControl w:val="0"/>
              <w:rPr>
                <w:highlight w:val="none"/>
                <w:lang w:val="en-US"/>
              </w:rPr>
            </w:pPr>
            <w:r>
              <w:rPr>
                <w:rFonts w:hint="eastAsia"/>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6" w:type="dxa"/>
            <w:vAlign w:val="center"/>
          </w:tcPr>
          <w:p>
            <w:pPr>
              <w:pStyle w:val="21"/>
              <w:widowControl w:val="0"/>
              <w:rPr>
                <w:highlight w:val="none"/>
                <w:lang w:val="en-US"/>
              </w:rPr>
            </w:pPr>
            <w:r>
              <w:rPr>
                <w:highlight w:val="none"/>
                <w:lang w:val="en-US"/>
              </w:rPr>
              <w:t>运营期</w:t>
            </w:r>
          </w:p>
        </w:tc>
        <w:tc>
          <w:tcPr>
            <w:tcW w:w="1147" w:type="dxa"/>
            <w:vAlign w:val="center"/>
          </w:tcPr>
          <w:p>
            <w:pPr>
              <w:pStyle w:val="21"/>
              <w:widowControl w:val="0"/>
              <w:rPr>
                <w:highlight w:val="none"/>
                <w:lang w:val="en-US"/>
              </w:rPr>
            </w:pPr>
            <w:r>
              <w:rPr>
                <w:rFonts w:hint="eastAsia"/>
                <w:highlight w:val="none"/>
                <w:lang w:val="en-US"/>
              </w:rPr>
              <w:t>√</w:t>
            </w:r>
          </w:p>
        </w:tc>
        <w:tc>
          <w:tcPr>
            <w:tcW w:w="1134" w:type="dxa"/>
            <w:vAlign w:val="center"/>
          </w:tcPr>
          <w:p>
            <w:pPr>
              <w:pStyle w:val="21"/>
              <w:widowControl w:val="0"/>
              <w:rPr>
                <w:highlight w:val="none"/>
                <w:lang w:val="en-US"/>
              </w:rPr>
            </w:pPr>
            <w:r>
              <w:rPr>
                <w:rFonts w:hint="eastAsia"/>
                <w:highlight w:val="none"/>
                <w:lang w:val="en-US"/>
              </w:rPr>
              <w:t>-</w:t>
            </w:r>
          </w:p>
        </w:tc>
        <w:tc>
          <w:tcPr>
            <w:tcW w:w="1134" w:type="dxa"/>
            <w:vAlign w:val="center"/>
          </w:tcPr>
          <w:p>
            <w:pPr>
              <w:pStyle w:val="21"/>
              <w:widowControl w:val="0"/>
              <w:rPr>
                <w:highlight w:val="none"/>
                <w:lang w:val="en-US"/>
              </w:rPr>
            </w:pPr>
            <w:r>
              <w:rPr>
                <w:rFonts w:hint="eastAsia"/>
                <w:highlight w:val="none"/>
                <w:lang w:val="en-US"/>
              </w:rPr>
              <w:t>√</w:t>
            </w:r>
          </w:p>
        </w:tc>
        <w:tc>
          <w:tcPr>
            <w:tcW w:w="992" w:type="dxa"/>
            <w:vAlign w:val="center"/>
          </w:tcPr>
          <w:p>
            <w:pPr>
              <w:pStyle w:val="21"/>
              <w:widowControl w:val="0"/>
              <w:rPr>
                <w:highlight w:val="none"/>
                <w:lang w:val="en-US"/>
              </w:rPr>
            </w:pPr>
            <w:r>
              <w:rPr>
                <w:rFonts w:hint="eastAsia"/>
                <w:highlight w:val="none"/>
                <w:lang w:val="en-US"/>
              </w:rPr>
              <w:t>-</w:t>
            </w:r>
          </w:p>
        </w:tc>
        <w:tc>
          <w:tcPr>
            <w:tcW w:w="851" w:type="dxa"/>
            <w:vAlign w:val="center"/>
          </w:tcPr>
          <w:p>
            <w:pPr>
              <w:pStyle w:val="21"/>
              <w:widowControl w:val="0"/>
              <w:rPr>
                <w:highlight w:val="none"/>
                <w:lang w:val="en-US"/>
              </w:rPr>
            </w:pPr>
            <w:r>
              <w:rPr>
                <w:rFonts w:hint="eastAsia"/>
                <w:highlight w:val="none"/>
                <w:lang w:val="en-US"/>
              </w:rPr>
              <w:t>-</w:t>
            </w:r>
          </w:p>
        </w:tc>
        <w:tc>
          <w:tcPr>
            <w:tcW w:w="708" w:type="dxa"/>
            <w:vAlign w:val="center"/>
          </w:tcPr>
          <w:p>
            <w:pPr>
              <w:pStyle w:val="21"/>
              <w:widowControl w:val="0"/>
              <w:rPr>
                <w:highlight w:val="none"/>
                <w:lang w:val="en-US"/>
              </w:rPr>
            </w:pPr>
            <w:r>
              <w:rPr>
                <w:rFonts w:hint="eastAsia"/>
                <w:highlight w:val="none"/>
                <w:lang w:val="en-US"/>
              </w:rPr>
              <w:t>-</w:t>
            </w:r>
          </w:p>
        </w:tc>
        <w:tc>
          <w:tcPr>
            <w:tcW w:w="851" w:type="dxa"/>
            <w:vAlign w:val="center"/>
          </w:tcPr>
          <w:p>
            <w:pPr>
              <w:pStyle w:val="21"/>
              <w:widowControl w:val="0"/>
              <w:rPr>
                <w:highlight w:val="none"/>
                <w:lang w:val="en-US"/>
              </w:rPr>
            </w:pPr>
            <w:r>
              <w:rPr>
                <w:rFonts w:hint="eastAsia"/>
                <w:highlight w:val="none"/>
                <w:lang w:val="en-US"/>
              </w:rPr>
              <w:t>-</w:t>
            </w:r>
          </w:p>
        </w:tc>
        <w:tc>
          <w:tcPr>
            <w:tcW w:w="759" w:type="dxa"/>
            <w:vAlign w:val="center"/>
          </w:tcPr>
          <w:p>
            <w:pPr>
              <w:pStyle w:val="21"/>
              <w:widowControl w:val="0"/>
              <w:rPr>
                <w:highlight w:val="none"/>
                <w:lang w:val="en-US"/>
              </w:rPr>
            </w:pPr>
            <w:r>
              <w:rPr>
                <w:rFonts w:hint="eastAsia"/>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pStyle w:val="21"/>
              <w:widowControl w:val="0"/>
              <w:rPr>
                <w:highlight w:val="none"/>
                <w:lang w:val="en-US"/>
              </w:rPr>
            </w:pPr>
            <w:r>
              <w:rPr>
                <w:highlight w:val="none"/>
                <w:lang w:val="en-US"/>
              </w:rPr>
              <w:t>服务期满后</w:t>
            </w:r>
          </w:p>
        </w:tc>
        <w:tc>
          <w:tcPr>
            <w:tcW w:w="1147" w:type="dxa"/>
            <w:vAlign w:val="center"/>
          </w:tcPr>
          <w:p>
            <w:pPr>
              <w:pStyle w:val="21"/>
              <w:widowControl w:val="0"/>
              <w:rPr>
                <w:highlight w:val="none"/>
                <w:lang w:val="en-US"/>
              </w:rPr>
            </w:pPr>
            <w:r>
              <w:rPr>
                <w:rFonts w:hint="eastAsia"/>
                <w:highlight w:val="none"/>
                <w:lang w:val="en-US"/>
              </w:rPr>
              <w:t>-</w:t>
            </w:r>
          </w:p>
        </w:tc>
        <w:tc>
          <w:tcPr>
            <w:tcW w:w="1134" w:type="dxa"/>
            <w:vAlign w:val="center"/>
          </w:tcPr>
          <w:p>
            <w:pPr>
              <w:pStyle w:val="21"/>
              <w:widowControl w:val="0"/>
              <w:rPr>
                <w:highlight w:val="none"/>
                <w:lang w:val="en-US"/>
              </w:rPr>
            </w:pPr>
            <w:r>
              <w:rPr>
                <w:rFonts w:hint="eastAsia"/>
                <w:highlight w:val="none"/>
                <w:lang w:val="en-US"/>
              </w:rPr>
              <w:t>-</w:t>
            </w:r>
          </w:p>
        </w:tc>
        <w:tc>
          <w:tcPr>
            <w:tcW w:w="1134" w:type="dxa"/>
            <w:vAlign w:val="center"/>
          </w:tcPr>
          <w:p>
            <w:pPr>
              <w:pStyle w:val="21"/>
              <w:widowControl w:val="0"/>
              <w:rPr>
                <w:highlight w:val="none"/>
                <w:lang w:val="en-US"/>
              </w:rPr>
            </w:pPr>
            <w:r>
              <w:rPr>
                <w:rFonts w:hint="eastAsia"/>
                <w:highlight w:val="none"/>
                <w:lang w:val="en-US"/>
              </w:rPr>
              <w:t>-</w:t>
            </w:r>
          </w:p>
        </w:tc>
        <w:tc>
          <w:tcPr>
            <w:tcW w:w="992" w:type="dxa"/>
            <w:vAlign w:val="center"/>
          </w:tcPr>
          <w:p>
            <w:pPr>
              <w:pStyle w:val="21"/>
              <w:widowControl w:val="0"/>
              <w:rPr>
                <w:highlight w:val="none"/>
                <w:lang w:val="en-US"/>
              </w:rPr>
            </w:pPr>
            <w:r>
              <w:rPr>
                <w:rFonts w:hint="eastAsia"/>
                <w:highlight w:val="none"/>
                <w:lang w:val="en-US"/>
              </w:rPr>
              <w:t>-</w:t>
            </w:r>
          </w:p>
        </w:tc>
        <w:tc>
          <w:tcPr>
            <w:tcW w:w="851" w:type="dxa"/>
            <w:vAlign w:val="center"/>
          </w:tcPr>
          <w:p>
            <w:pPr>
              <w:pStyle w:val="21"/>
              <w:widowControl w:val="0"/>
              <w:rPr>
                <w:highlight w:val="none"/>
                <w:lang w:val="en-US"/>
              </w:rPr>
            </w:pPr>
            <w:r>
              <w:rPr>
                <w:rFonts w:hint="eastAsia"/>
                <w:highlight w:val="none"/>
                <w:lang w:val="en-US"/>
              </w:rPr>
              <w:t>-</w:t>
            </w:r>
          </w:p>
        </w:tc>
        <w:tc>
          <w:tcPr>
            <w:tcW w:w="708" w:type="dxa"/>
            <w:vAlign w:val="center"/>
          </w:tcPr>
          <w:p>
            <w:pPr>
              <w:pStyle w:val="21"/>
              <w:widowControl w:val="0"/>
              <w:rPr>
                <w:highlight w:val="none"/>
                <w:lang w:val="en-US"/>
              </w:rPr>
            </w:pPr>
            <w:r>
              <w:rPr>
                <w:rFonts w:hint="eastAsia"/>
                <w:highlight w:val="none"/>
                <w:lang w:val="en-US"/>
              </w:rPr>
              <w:t>-</w:t>
            </w:r>
          </w:p>
        </w:tc>
        <w:tc>
          <w:tcPr>
            <w:tcW w:w="851" w:type="dxa"/>
            <w:vAlign w:val="center"/>
          </w:tcPr>
          <w:p>
            <w:pPr>
              <w:pStyle w:val="21"/>
              <w:widowControl w:val="0"/>
              <w:rPr>
                <w:highlight w:val="none"/>
                <w:lang w:val="en-US"/>
              </w:rPr>
            </w:pPr>
            <w:r>
              <w:rPr>
                <w:rFonts w:hint="eastAsia"/>
                <w:highlight w:val="none"/>
                <w:lang w:val="en-US"/>
              </w:rPr>
              <w:t>-</w:t>
            </w:r>
          </w:p>
        </w:tc>
        <w:tc>
          <w:tcPr>
            <w:tcW w:w="759" w:type="dxa"/>
            <w:vAlign w:val="center"/>
          </w:tcPr>
          <w:p>
            <w:pPr>
              <w:pStyle w:val="21"/>
              <w:widowControl w:val="0"/>
              <w:rPr>
                <w:highlight w:val="none"/>
                <w:lang w:val="en-US"/>
              </w:rPr>
            </w:pPr>
            <w:r>
              <w:rPr>
                <w:rFonts w:hint="eastAsia"/>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9"/>
            <w:vAlign w:val="center"/>
          </w:tcPr>
          <w:p>
            <w:pPr>
              <w:pStyle w:val="21"/>
              <w:widowControl w:val="0"/>
              <w:jc w:val="left"/>
              <w:rPr>
                <w:highlight w:val="none"/>
                <w:lang w:val="en-US"/>
              </w:rPr>
            </w:pPr>
            <w:r>
              <w:rPr>
                <w:highlight w:val="none"/>
                <w:lang w:val="en-US"/>
              </w:rPr>
              <w:t>注</w:t>
            </w:r>
            <w:r>
              <w:rPr>
                <w:rFonts w:hint="eastAsia"/>
                <w:highlight w:val="none"/>
                <w:lang w:val="en-US"/>
              </w:rPr>
              <w:t>：</w:t>
            </w:r>
            <w:r>
              <w:rPr>
                <w:highlight w:val="none"/>
                <w:lang w:val="en-US"/>
              </w:rPr>
              <w:t>在可能产生的土壤环境影响类型处打</w:t>
            </w:r>
            <w:r>
              <w:rPr>
                <w:rFonts w:hint="eastAsia"/>
                <w:highlight w:val="none"/>
                <w:lang w:val="en-US"/>
              </w:rPr>
              <w:t>“√”，列表未涵盖的可自行设计</w:t>
            </w:r>
          </w:p>
        </w:tc>
      </w:tr>
    </w:tbl>
    <w:p>
      <w:pPr>
        <w:autoSpaceDE w:val="0"/>
        <w:autoSpaceDN w:val="0"/>
        <w:spacing w:line="240" w:lineRule="auto"/>
        <w:ind w:firstLine="420"/>
        <w:textAlignment w:val="auto"/>
        <w:rPr>
          <w:rFonts w:eastAsia="黑体"/>
          <w:bCs/>
          <w:kern w:val="2"/>
          <w:sz w:val="21"/>
          <w:szCs w:val="21"/>
          <w:highlight w:val="none"/>
        </w:rPr>
      </w:pPr>
    </w:p>
    <w:p>
      <w:pPr>
        <w:tabs>
          <w:tab w:val="left" w:pos="680"/>
        </w:tabs>
        <w:bidi w:val="0"/>
        <w:jc w:val="cente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表2.</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4-10</w:t>
      </w:r>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  项目土壤环境影响源及影响因子识别一览表</w:t>
      </w:r>
    </w:p>
    <w:tbl>
      <w:tblPr>
        <w:tblStyle w:val="15"/>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1462"/>
        <w:gridCol w:w="1462"/>
        <w:gridCol w:w="1462"/>
        <w:gridCol w:w="1241"/>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Borders>
              <w:tl2br w:val="nil"/>
              <w:tr2bl w:val="nil"/>
            </w:tcBorders>
            <w:shd w:val="clear" w:color="auto" w:fill="auto"/>
            <w:vAlign w:val="center"/>
          </w:tcPr>
          <w:p>
            <w:pPr>
              <w:pStyle w:val="21"/>
              <w:rPr>
                <w:highlight w:val="none"/>
              </w:rPr>
            </w:pPr>
            <w:r>
              <w:rPr>
                <w:rFonts w:hint="eastAsia"/>
                <w:highlight w:val="none"/>
              </w:rPr>
              <w:t>污染源</w:t>
            </w:r>
          </w:p>
        </w:tc>
        <w:tc>
          <w:tcPr>
            <w:tcW w:w="1462" w:type="dxa"/>
            <w:tcBorders>
              <w:tl2br w:val="nil"/>
              <w:tr2bl w:val="nil"/>
            </w:tcBorders>
            <w:shd w:val="clear" w:color="auto" w:fill="auto"/>
            <w:vAlign w:val="center"/>
          </w:tcPr>
          <w:p>
            <w:pPr>
              <w:pStyle w:val="21"/>
              <w:rPr>
                <w:highlight w:val="none"/>
              </w:rPr>
            </w:pPr>
            <w:r>
              <w:rPr>
                <w:rFonts w:hint="eastAsia"/>
                <w:highlight w:val="none"/>
              </w:rPr>
              <w:t>工艺流程/节点</w:t>
            </w:r>
          </w:p>
        </w:tc>
        <w:tc>
          <w:tcPr>
            <w:tcW w:w="1462" w:type="dxa"/>
            <w:tcBorders>
              <w:tl2br w:val="nil"/>
              <w:tr2bl w:val="nil"/>
            </w:tcBorders>
            <w:shd w:val="clear" w:color="auto" w:fill="auto"/>
            <w:vAlign w:val="center"/>
          </w:tcPr>
          <w:p>
            <w:pPr>
              <w:pStyle w:val="21"/>
              <w:rPr>
                <w:highlight w:val="none"/>
              </w:rPr>
            </w:pPr>
            <w:r>
              <w:rPr>
                <w:rFonts w:hint="eastAsia"/>
                <w:highlight w:val="none"/>
              </w:rPr>
              <w:t>污染途径</w:t>
            </w:r>
          </w:p>
        </w:tc>
        <w:tc>
          <w:tcPr>
            <w:tcW w:w="1462" w:type="dxa"/>
            <w:tcBorders>
              <w:tl2br w:val="nil"/>
              <w:tr2bl w:val="nil"/>
            </w:tcBorders>
            <w:shd w:val="clear" w:color="auto" w:fill="auto"/>
            <w:vAlign w:val="center"/>
          </w:tcPr>
          <w:p>
            <w:pPr>
              <w:pStyle w:val="21"/>
              <w:rPr>
                <w:highlight w:val="none"/>
              </w:rPr>
            </w:pPr>
            <w:r>
              <w:rPr>
                <w:rFonts w:hint="eastAsia"/>
                <w:highlight w:val="none"/>
              </w:rPr>
              <w:t>全部污染物指标</w:t>
            </w:r>
          </w:p>
        </w:tc>
        <w:tc>
          <w:tcPr>
            <w:tcW w:w="1241" w:type="dxa"/>
            <w:tcBorders>
              <w:tl2br w:val="nil"/>
              <w:tr2bl w:val="nil"/>
            </w:tcBorders>
            <w:shd w:val="clear" w:color="auto" w:fill="auto"/>
            <w:vAlign w:val="center"/>
          </w:tcPr>
          <w:p>
            <w:pPr>
              <w:pStyle w:val="21"/>
              <w:rPr>
                <w:highlight w:val="none"/>
              </w:rPr>
            </w:pPr>
            <w:r>
              <w:rPr>
                <w:rFonts w:hint="eastAsia"/>
                <w:highlight w:val="none"/>
              </w:rPr>
              <w:t>特征因子</w:t>
            </w:r>
          </w:p>
        </w:tc>
        <w:tc>
          <w:tcPr>
            <w:tcW w:w="1433" w:type="dxa"/>
            <w:tcBorders>
              <w:tl2br w:val="nil"/>
              <w:tr2bl w:val="nil"/>
            </w:tcBorders>
            <w:shd w:val="clear" w:color="auto" w:fill="auto"/>
            <w:vAlign w:val="center"/>
          </w:tcPr>
          <w:p>
            <w:pPr>
              <w:pStyle w:val="21"/>
              <w:rPr>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Borders>
              <w:tl2br w:val="nil"/>
              <w:tr2bl w:val="nil"/>
            </w:tcBorders>
            <w:shd w:val="clear" w:color="auto" w:fill="auto"/>
            <w:vAlign w:val="center"/>
          </w:tcPr>
          <w:p>
            <w:pPr>
              <w:pStyle w:val="21"/>
              <w:rPr>
                <w:highlight w:val="none"/>
              </w:rPr>
            </w:pPr>
            <w:r>
              <w:rPr>
                <w:rFonts w:hint="eastAsia"/>
                <w:highlight w:val="none"/>
              </w:rPr>
              <w:t>破碎生产线</w:t>
            </w:r>
          </w:p>
        </w:tc>
        <w:tc>
          <w:tcPr>
            <w:tcW w:w="1462" w:type="dxa"/>
            <w:tcBorders>
              <w:tl2br w:val="nil"/>
              <w:tr2bl w:val="nil"/>
            </w:tcBorders>
            <w:shd w:val="clear" w:color="auto" w:fill="auto"/>
            <w:vAlign w:val="center"/>
          </w:tcPr>
          <w:p>
            <w:pPr>
              <w:pStyle w:val="21"/>
              <w:rPr>
                <w:highlight w:val="none"/>
              </w:rPr>
            </w:pPr>
            <w:r>
              <w:rPr>
                <w:rFonts w:hint="eastAsia"/>
                <w:highlight w:val="none"/>
              </w:rPr>
              <w:t>破碎粉尘</w:t>
            </w:r>
          </w:p>
        </w:tc>
        <w:tc>
          <w:tcPr>
            <w:tcW w:w="1462" w:type="dxa"/>
            <w:tcBorders>
              <w:tl2br w:val="nil"/>
              <w:tr2bl w:val="nil"/>
            </w:tcBorders>
            <w:shd w:val="clear" w:color="auto" w:fill="auto"/>
            <w:vAlign w:val="center"/>
          </w:tcPr>
          <w:p>
            <w:pPr>
              <w:pStyle w:val="21"/>
              <w:rPr>
                <w:highlight w:val="none"/>
              </w:rPr>
            </w:pPr>
            <w:r>
              <w:rPr>
                <w:rFonts w:hint="eastAsia"/>
                <w:highlight w:val="none"/>
              </w:rPr>
              <w:t>大气沉降</w:t>
            </w:r>
          </w:p>
        </w:tc>
        <w:tc>
          <w:tcPr>
            <w:tcW w:w="1462" w:type="dxa"/>
            <w:tcBorders>
              <w:tl2br w:val="nil"/>
              <w:tr2bl w:val="nil"/>
            </w:tcBorders>
            <w:shd w:val="clear" w:color="auto" w:fill="auto"/>
            <w:vAlign w:val="center"/>
          </w:tcPr>
          <w:p>
            <w:pPr>
              <w:pStyle w:val="21"/>
              <w:rPr>
                <w:highlight w:val="none"/>
              </w:rPr>
            </w:pPr>
            <w:r>
              <w:rPr>
                <w:rFonts w:hint="eastAsia"/>
                <w:highlight w:val="none"/>
              </w:rPr>
              <w:t>铁</w:t>
            </w:r>
          </w:p>
        </w:tc>
        <w:tc>
          <w:tcPr>
            <w:tcW w:w="1241" w:type="dxa"/>
            <w:tcBorders>
              <w:tl2br w:val="nil"/>
              <w:tr2bl w:val="nil"/>
            </w:tcBorders>
            <w:shd w:val="clear" w:color="auto" w:fill="auto"/>
            <w:vAlign w:val="center"/>
          </w:tcPr>
          <w:p>
            <w:pPr>
              <w:pStyle w:val="21"/>
              <w:rPr>
                <w:highlight w:val="none"/>
              </w:rPr>
            </w:pPr>
            <w:r>
              <w:rPr>
                <w:rFonts w:hint="eastAsia"/>
                <w:highlight w:val="none"/>
              </w:rPr>
              <w:t>铁</w:t>
            </w:r>
          </w:p>
        </w:tc>
        <w:tc>
          <w:tcPr>
            <w:tcW w:w="1433" w:type="dxa"/>
            <w:tcBorders>
              <w:tl2br w:val="nil"/>
              <w:tr2bl w:val="nil"/>
            </w:tcBorders>
            <w:shd w:val="clear" w:color="auto" w:fill="auto"/>
            <w:vAlign w:val="center"/>
          </w:tcPr>
          <w:p>
            <w:pPr>
              <w:pStyle w:val="21"/>
              <w:rPr>
                <w:highlight w:val="none"/>
              </w:rPr>
            </w:pPr>
            <w:r>
              <w:rPr>
                <w:rFonts w:hint="eastAsia"/>
                <w:highlight w:val="none"/>
              </w:rPr>
              <w:t>周围敏感目标主要耕地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Borders>
              <w:tl2br w:val="nil"/>
              <w:tr2bl w:val="nil"/>
            </w:tcBorders>
            <w:shd w:val="clear" w:color="auto" w:fill="auto"/>
            <w:vAlign w:val="center"/>
          </w:tcPr>
          <w:p>
            <w:pPr>
              <w:pStyle w:val="21"/>
              <w:rPr>
                <w:highlight w:val="none"/>
              </w:rPr>
            </w:pPr>
            <w:r>
              <w:rPr>
                <w:rFonts w:hint="eastAsia"/>
                <w:highlight w:val="none"/>
              </w:rPr>
              <w:t>浓密池</w:t>
            </w:r>
          </w:p>
        </w:tc>
        <w:tc>
          <w:tcPr>
            <w:tcW w:w="1462" w:type="dxa"/>
            <w:tcBorders>
              <w:tl2br w:val="nil"/>
              <w:tr2bl w:val="nil"/>
            </w:tcBorders>
            <w:shd w:val="clear" w:color="auto" w:fill="auto"/>
            <w:vAlign w:val="center"/>
          </w:tcPr>
          <w:p>
            <w:pPr>
              <w:pStyle w:val="21"/>
              <w:rPr>
                <w:highlight w:val="none"/>
              </w:rPr>
            </w:pPr>
            <w:r>
              <w:rPr>
                <w:rFonts w:hint="eastAsia"/>
                <w:highlight w:val="none"/>
              </w:rPr>
              <w:t>水处理</w:t>
            </w:r>
          </w:p>
        </w:tc>
        <w:tc>
          <w:tcPr>
            <w:tcW w:w="1462" w:type="dxa"/>
            <w:tcBorders>
              <w:tl2br w:val="nil"/>
              <w:tr2bl w:val="nil"/>
            </w:tcBorders>
            <w:shd w:val="clear" w:color="auto" w:fill="auto"/>
            <w:vAlign w:val="center"/>
          </w:tcPr>
          <w:p>
            <w:pPr>
              <w:pStyle w:val="21"/>
              <w:rPr>
                <w:highlight w:val="none"/>
              </w:rPr>
            </w:pPr>
            <w:r>
              <w:rPr>
                <w:rFonts w:hint="eastAsia"/>
                <w:highlight w:val="none"/>
              </w:rPr>
              <w:t>垂直入渗</w:t>
            </w:r>
          </w:p>
        </w:tc>
        <w:tc>
          <w:tcPr>
            <w:tcW w:w="1462" w:type="dxa"/>
            <w:tcBorders>
              <w:tl2br w:val="nil"/>
              <w:tr2bl w:val="nil"/>
            </w:tcBorders>
            <w:shd w:val="clear" w:color="auto" w:fill="auto"/>
            <w:vAlign w:val="center"/>
          </w:tcPr>
          <w:p>
            <w:pPr>
              <w:pStyle w:val="21"/>
              <w:rPr>
                <w:highlight w:val="none"/>
              </w:rPr>
            </w:pPr>
            <w:r>
              <w:rPr>
                <w:rFonts w:hint="eastAsia"/>
                <w:highlight w:val="none"/>
              </w:rPr>
              <w:t>铁</w:t>
            </w:r>
          </w:p>
        </w:tc>
        <w:tc>
          <w:tcPr>
            <w:tcW w:w="1241" w:type="dxa"/>
            <w:tcBorders>
              <w:tl2br w:val="nil"/>
              <w:tr2bl w:val="nil"/>
            </w:tcBorders>
            <w:shd w:val="clear" w:color="auto" w:fill="auto"/>
            <w:vAlign w:val="center"/>
          </w:tcPr>
          <w:p>
            <w:pPr>
              <w:pStyle w:val="21"/>
              <w:rPr>
                <w:highlight w:val="none"/>
              </w:rPr>
            </w:pPr>
            <w:r>
              <w:rPr>
                <w:rFonts w:hint="eastAsia"/>
                <w:highlight w:val="none"/>
              </w:rPr>
              <w:t>铁</w:t>
            </w:r>
          </w:p>
        </w:tc>
        <w:tc>
          <w:tcPr>
            <w:tcW w:w="1433" w:type="dxa"/>
            <w:tcBorders>
              <w:tl2br w:val="nil"/>
              <w:tr2bl w:val="nil"/>
            </w:tcBorders>
            <w:shd w:val="clear" w:color="auto" w:fill="auto"/>
            <w:vAlign w:val="center"/>
          </w:tcPr>
          <w:p>
            <w:pPr>
              <w:pStyle w:val="21"/>
              <w:rPr>
                <w:highlight w:val="none"/>
              </w:rPr>
            </w:pPr>
            <w:r>
              <w:rPr>
                <w:rFonts w:hint="eastAsia"/>
                <w:highlight w:val="none"/>
              </w:rPr>
              <w:t>间断、事故</w:t>
            </w:r>
          </w:p>
        </w:tc>
      </w:tr>
    </w:tbl>
    <w:p>
      <w:pPr>
        <w:pStyle w:val="22"/>
        <w:spacing w:line="360" w:lineRule="auto"/>
        <w:rPr>
          <w:highlight w:val="none"/>
        </w:rPr>
      </w:pPr>
      <w:r>
        <w:rPr>
          <w:rFonts w:hint="eastAsia"/>
          <w:highlight w:val="none"/>
        </w:rPr>
        <w:t>(3)占地规模</w:t>
      </w:r>
    </w:p>
    <w:p>
      <w:pPr>
        <w:pStyle w:val="22"/>
        <w:spacing w:line="360" w:lineRule="auto"/>
        <w:rPr>
          <w:highlight w:val="none"/>
        </w:rPr>
      </w:pPr>
      <w:r>
        <w:rPr>
          <w:rFonts w:hint="eastAsia"/>
          <w:highlight w:val="none"/>
        </w:rPr>
        <w:t>本项目永久占地规模41087</w:t>
      </w:r>
      <w:r>
        <w:rPr>
          <w:rFonts w:ascii="Times New Roman" w:hAnsi="Times New Roman" w:eastAsia="Times New Roman" w:cs="Times New Roman"/>
          <w:sz w:val="24"/>
          <w:szCs w:val="24"/>
          <w:highlight w:val="none"/>
        </w:rPr>
        <w:t>m</w:t>
      </w:r>
      <w:r>
        <w:rPr>
          <w:rFonts w:hint="eastAsia" w:eastAsia="宋体" w:cs="Times New Roman"/>
          <w:sz w:val="24"/>
          <w:szCs w:val="24"/>
          <w:highlight w:val="none"/>
          <w:vertAlign w:val="superscript"/>
          <w:lang w:val="en-US" w:eastAsia="zh-CN"/>
        </w:rPr>
        <w:t>2</w:t>
      </w:r>
      <w:r>
        <w:rPr>
          <w:rFonts w:ascii="Times New Roman" w:hAnsi="Times New Roman" w:eastAsia="Times New Roman" w:cs="Times New Roman"/>
          <w:spacing w:val="6"/>
          <w:position w:val="6"/>
          <w:sz w:val="24"/>
          <w:szCs w:val="24"/>
          <w:highlight w:val="none"/>
        </w:rPr>
        <w:t xml:space="preserve"> </w:t>
      </w:r>
      <w:r>
        <w:rPr>
          <w:rFonts w:hint="eastAsia"/>
          <w:highlight w:val="none"/>
        </w:rPr>
        <w:t>＜5hm</w:t>
      </w:r>
      <w:r>
        <w:rPr>
          <w:rFonts w:hint="eastAsia"/>
          <w:highlight w:val="none"/>
          <w:vertAlign w:val="superscript"/>
        </w:rPr>
        <w:t>2</w:t>
      </w:r>
      <w:r>
        <w:rPr>
          <w:rFonts w:hint="eastAsia"/>
          <w:highlight w:val="none"/>
        </w:rPr>
        <w:t>，属于小型规模。</w:t>
      </w:r>
    </w:p>
    <w:p>
      <w:pPr>
        <w:pStyle w:val="22"/>
        <w:spacing w:line="360" w:lineRule="auto"/>
        <w:rPr>
          <w:highlight w:val="none"/>
        </w:rPr>
      </w:pPr>
      <w:r>
        <w:rPr>
          <w:rFonts w:hint="eastAsia"/>
          <w:highlight w:val="none"/>
        </w:rPr>
        <w:t>(4)土壤环境敏感程度</w:t>
      </w:r>
    </w:p>
    <w:p>
      <w:pPr>
        <w:pStyle w:val="22"/>
        <w:spacing w:line="360" w:lineRule="auto"/>
        <w:rPr>
          <w:highlight w:val="none"/>
        </w:rPr>
      </w:pPr>
      <w:r>
        <w:rPr>
          <w:rFonts w:hint="eastAsia"/>
          <w:highlight w:val="none"/>
        </w:rPr>
        <w:t xml:space="preserve">建设项目所在地周边的土壤环境敏感程度可分为敏感、较敏感、不敏感三级，判别依据见表 </w:t>
      </w:r>
      <w:r>
        <w:rPr>
          <w:highlight w:val="none"/>
        </w:rPr>
        <w:t>2.</w:t>
      </w:r>
      <w:r>
        <w:rPr>
          <w:rFonts w:hint="eastAsia"/>
          <w:highlight w:val="none"/>
          <w:lang w:val="en-US" w:eastAsia="zh-CN"/>
        </w:rPr>
        <w:t>4</w:t>
      </w:r>
      <w:r>
        <w:rPr>
          <w:highlight w:val="none"/>
        </w:rPr>
        <w:t>-1</w:t>
      </w:r>
      <w:r>
        <w:rPr>
          <w:rFonts w:hint="eastAsia"/>
          <w:highlight w:val="none"/>
          <w:lang w:val="en-US" w:eastAsia="zh-CN"/>
        </w:rPr>
        <w:t>0</w:t>
      </w:r>
      <w:r>
        <w:rPr>
          <w:rFonts w:hint="eastAsia"/>
          <w:highlight w:val="none"/>
        </w:rPr>
        <w:t>。</w:t>
      </w:r>
    </w:p>
    <w:p>
      <w:pPr>
        <w:tabs>
          <w:tab w:val="left" w:pos="680"/>
        </w:tabs>
        <w:bidi w:val="0"/>
        <w:jc w:val="cente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bookmarkStart w:id="91" w:name="_Ref14098024"/>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表 </w:t>
      </w:r>
      <w:bookmarkEnd w:id="91"/>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2.</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4</w:t>
      </w:r>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-1</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0</w:t>
      </w:r>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  污染影响型敏感程度分级表</w:t>
      </w:r>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auto"/>
          </w:tcPr>
          <w:p>
            <w:pPr>
              <w:pStyle w:val="21"/>
              <w:rPr>
                <w:highlight w:val="none"/>
                <w:lang w:val="en-US"/>
              </w:rPr>
            </w:pPr>
            <w:r>
              <w:rPr>
                <w:rFonts w:hint="eastAsia"/>
                <w:highlight w:val="none"/>
                <w:lang w:val="en-US"/>
              </w:rPr>
              <w:t>敏感程度</w:t>
            </w:r>
          </w:p>
        </w:tc>
        <w:tc>
          <w:tcPr>
            <w:tcW w:w="6883" w:type="dxa"/>
            <w:shd w:val="clear" w:color="auto" w:fill="auto"/>
          </w:tcPr>
          <w:p>
            <w:pPr>
              <w:pStyle w:val="21"/>
              <w:rPr>
                <w:highlight w:val="none"/>
                <w:lang w:val="en-US"/>
              </w:rPr>
            </w:pPr>
            <w:r>
              <w:rPr>
                <w:rFonts w:hint="eastAsia"/>
                <w:highlight w:val="none"/>
                <w:lang w:val="en-US"/>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auto"/>
            <w:vAlign w:val="center"/>
          </w:tcPr>
          <w:p>
            <w:pPr>
              <w:pStyle w:val="21"/>
              <w:rPr>
                <w:highlight w:val="none"/>
                <w:lang w:val="en-US"/>
              </w:rPr>
            </w:pPr>
            <w:r>
              <w:rPr>
                <w:rFonts w:hint="eastAsia"/>
                <w:highlight w:val="none"/>
                <w:lang w:val="en-US"/>
              </w:rPr>
              <w:t>敏感</w:t>
            </w:r>
          </w:p>
        </w:tc>
        <w:tc>
          <w:tcPr>
            <w:tcW w:w="6883" w:type="dxa"/>
            <w:shd w:val="clear" w:color="auto" w:fill="auto"/>
          </w:tcPr>
          <w:p>
            <w:pPr>
              <w:pStyle w:val="21"/>
              <w:rPr>
                <w:highlight w:val="none"/>
                <w:lang w:val="en-US"/>
              </w:rPr>
            </w:pPr>
            <w:r>
              <w:rPr>
                <w:rFonts w:hint="eastAsia"/>
                <w:highlight w:val="none"/>
                <w:lang w:val="en-US"/>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shd w:val="clear" w:color="auto" w:fill="auto"/>
          </w:tcPr>
          <w:p>
            <w:pPr>
              <w:pStyle w:val="21"/>
              <w:rPr>
                <w:highlight w:val="none"/>
                <w:lang w:val="en-US"/>
              </w:rPr>
            </w:pPr>
            <w:r>
              <w:rPr>
                <w:rFonts w:hint="eastAsia"/>
                <w:highlight w:val="none"/>
                <w:lang w:val="en-US"/>
              </w:rPr>
              <w:t>较敏感</w:t>
            </w:r>
          </w:p>
        </w:tc>
        <w:tc>
          <w:tcPr>
            <w:tcW w:w="6883" w:type="dxa"/>
            <w:shd w:val="clear" w:color="auto" w:fill="auto"/>
          </w:tcPr>
          <w:p>
            <w:pPr>
              <w:pStyle w:val="21"/>
              <w:rPr>
                <w:highlight w:val="none"/>
                <w:lang w:val="en-US"/>
              </w:rPr>
            </w:pPr>
            <w:r>
              <w:rPr>
                <w:rFonts w:hint="eastAsia"/>
                <w:highlight w:val="none"/>
                <w:lang w:val="en-US"/>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shd w:val="clear" w:color="auto" w:fill="auto"/>
          </w:tcPr>
          <w:p>
            <w:pPr>
              <w:pStyle w:val="21"/>
              <w:rPr>
                <w:highlight w:val="none"/>
                <w:lang w:val="en-US"/>
              </w:rPr>
            </w:pPr>
            <w:r>
              <w:rPr>
                <w:rFonts w:hint="eastAsia"/>
                <w:highlight w:val="none"/>
                <w:lang w:val="en-US"/>
              </w:rPr>
              <w:t>不敏感</w:t>
            </w:r>
          </w:p>
        </w:tc>
        <w:tc>
          <w:tcPr>
            <w:tcW w:w="6883" w:type="dxa"/>
            <w:shd w:val="clear" w:color="auto" w:fill="auto"/>
          </w:tcPr>
          <w:p>
            <w:pPr>
              <w:pStyle w:val="21"/>
              <w:rPr>
                <w:highlight w:val="none"/>
                <w:lang w:val="en-US"/>
              </w:rPr>
            </w:pPr>
            <w:r>
              <w:rPr>
                <w:rFonts w:hint="eastAsia"/>
                <w:highlight w:val="none"/>
                <w:lang w:val="en-US"/>
              </w:rPr>
              <w:t>其他情况</w:t>
            </w:r>
          </w:p>
        </w:tc>
      </w:tr>
    </w:tbl>
    <w:p>
      <w:pPr>
        <w:pStyle w:val="22"/>
        <w:spacing w:line="360" w:lineRule="auto"/>
        <w:rPr>
          <w:highlight w:val="none"/>
        </w:rPr>
      </w:pPr>
      <w:r>
        <w:rPr>
          <w:rFonts w:hint="eastAsia"/>
          <w:highlight w:val="none"/>
        </w:rPr>
        <w:t>项目南北厂区周边均存在耕地等土壤环境敏感目标，因此，本项目土壤环境敏感程度分级为敏感。</w:t>
      </w:r>
    </w:p>
    <w:p>
      <w:pPr>
        <w:pStyle w:val="22"/>
        <w:spacing w:line="360" w:lineRule="auto"/>
        <w:rPr>
          <w:highlight w:val="none"/>
        </w:rPr>
      </w:pPr>
      <w:r>
        <w:rPr>
          <w:highlight w:val="none"/>
        </w:rPr>
        <w:t>(</w:t>
      </w:r>
      <w:r>
        <w:rPr>
          <w:rFonts w:hint="eastAsia"/>
          <w:highlight w:val="none"/>
        </w:rPr>
        <w:t>5)评价工作等级划分依据</w:t>
      </w:r>
    </w:p>
    <w:p>
      <w:pPr>
        <w:pStyle w:val="22"/>
        <w:spacing w:line="360" w:lineRule="auto"/>
        <w:rPr>
          <w:highlight w:val="none"/>
        </w:rPr>
      </w:pPr>
      <w:r>
        <w:rPr>
          <w:rFonts w:hint="eastAsia"/>
          <w:highlight w:val="none"/>
        </w:rPr>
        <w:t>根据《环境影响评价技术导则·土壤环境（试行）》</w:t>
      </w:r>
      <w:r>
        <w:rPr>
          <w:highlight w:val="none"/>
        </w:rPr>
        <w:t>(HJ964-2018)</w:t>
      </w:r>
      <w:r>
        <w:rPr>
          <w:rFonts w:hint="eastAsia"/>
          <w:highlight w:val="none"/>
        </w:rPr>
        <w:t>，土壤环境影响评价工作等级划分见表 2.</w:t>
      </w:r>
      <w:r>
        <w:rPr>
          <w:rFonts w:hint="eastAsia"/>
          <w:highlight w:val="none"/>
          <w:lang w:val="en-US" w:eastAsia="zh-CN"/>
        </w:rPr>
        <w:t>4</w:t>
      </w:r>
      <w:r>
        <w:rPr>
          <w:rFonts w:hint="eastAsia"/>
          <w:highlight w:val="none"/>
        </w:rPr>
        <w:t>-1</w:t>
      </w:r>
      <w:r>
        <w:rPr>
          <w:rFonts w:hint="eastAsia"/>
          <w:highlight w:val="none"/>
          <w:lang w:val="en-US" w:eastAsia="zh-CN"/>
        </w:rPr>
        <w:t>1</w:t>
      </w:r>
      <w:r>
        <w:rPr>
          <w:rFonts w:hint="eastAsia"/>
          <w:highlight w:val="none"/>
        </w:rPr>
        <w:t>。</w:t>
      </w:r>
    </w:p>
    <w:p>
      <w:pPr>
        <w:tabs>
          <w:tab w:val="left" w:pos="680"/>
        </w:tabs>
        <w:bidi w:val="0"/>
        <w:jc w:val="cente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bookmarkStart w:id="92" w:name="_Ref14766141"/>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表 </w:t>
      </w:r>
      <w:bookmarkEnd w:id="92"/>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2.</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4</w:t>
      </w:r>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-1</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1</w:t>
      </w:r>
      <w:r>
        <w:rPr>
          <w:rFonts w:hint="eastAsia"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  污染影响型评价工作等级划分表</w:t>
      </w:r>
    </w:p>
    <w:tbl>
      <w:tblPr>
        <w:tblStyle w:val="1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709"/>
        <w:gridCol w:w="708"/>
        <w:gridCol w:w="567"/>
        <w:gridCol w:w="567"/>
        <w:gridCol w:w="709"/>
        <w:gridCol w:w="709"/>
        <w:gridCol w:w="567"/>
        <w:gridCol w:w="567"/>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47" w:type="dxa"/>
            <w:vMerge w:val="restart"/>
            <w:shd w:val="clear" w:color="auto" w:fill="auto"/>
            <w:tcMar>
              <w:left w:w="0" w:type="dxa"/>
              <w:right w:w="0" w:type="dxa"/>
            </w:tcMar>
            <w:vAlign w:val="center"/>
          </w:tcPr>
          <w:p>
            <w:pPr>
              <w:pStyle w:val="21"/>
              <w:rPr>
                <w:highlight w:val="none"/>
                <w:lang w:val="en-US"/>
              </w:rPr>
            </w:pPr>
            <w:r>
              <w:rPr>
                <w:highlight w:val="none"/>
                <w:lang w:val="en-US"/>
              </w:rPr>
              <mc:AlternateContent>
                <mc:Choice Requires="wps">
                  <w:drawing>
                    <wp:anchor distT="0" distB="0" distL="114300" distR="114300" simplePos="0" relativeHeight="251875328" behindDoc="0" locked="0" layoutInCell="1" allowOverlap="1">
                      <wp:simplePos x="0" y="0"/>
                      <wp:positionH relativeFrom="column">
                        <wp:posOffset>334010</wp:posOffset>
                      </wp:positionH>
                      <wp:positionV relativeFrom="paragraph">
                        <wp:posOffset>-8255</wp:posOffset>
                      </wp:positionV>
                      <wp:extent cx="1256030" cy="504825"/>
                      <wp:effectExtent l="1905" t="4445" r="18415" b="5080"/>
                      <wp:wrapNone/>
                      <wp:docPr id="241" name="直接连接符 241"/>
                      <wp:cNvGraphicFramePr/>
                      <a:graphic xmlns:a="http://schemas.openxmlformats.org/drawingml/2006/main">
                        <a:graphicData uri="http://schemas.microsoft.com/office/word/2010/wordprocessingShape">
                          <wps:wsp>
                            <wps:cNvCnPr/>
                            <wps:spPr>
                              <a:xfrm flipH="1" flipV="1">
                                <a:off x="0" y="0"/>
                                <a:ext cx="1256030" cy="504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flip:x y;margin-left:26.3pt;margin-top:-0.65pt;height:39.75pt;width:98.9pt;z-index:251875328;mso-width-relative:page;mso-height-relative:page;" filled="f" stroked="t" coordsize="21600,21600" o:gfxdata="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7a6vYAAAACAEAAA8AAAAAAAAAAQAgAAAAIgAA&#10;AGRycy9kb3ducmV2LnhtbFBLAQIUABQAAAAIAIdO4kA6VOqQCAIAAPADAAAOAAAAAAAAAAEAIAAA&#10;ACcBAABkcnMvZTJvRG9jLnhtbFBLBQYAAAAABgAGAFkBAAChBQAAAAA=&#10;">
                      <v:fill on="f" focussize="0,0"/>
                      <v:stroke weight="0.5pt" color="#000000" miterlimit="8" joinstyle="miter"/>
                      <v:imagedata o:title=""/>
                      <o:lock v:ext="edit" aspectratio="f"/>
                    </v:line>
                  </w:pict>
                </mc:Fallback>
              </mc:AlternateContent>
            </w:r>
            <w:r>
              <w:rPr>
                <w:rFonts w:hint="eastAsia"/>
                <w:highlight w:val="none"/>
                <w:lang w:val="en-US"/>
              </w:rPr>
              <w:t xml:space="preserve"> </w:t>
            </w:r>
            <w:r>
              <w:rPr>
                <w:highlight w:val="none"/>
                <w:lang w:val="en-US"/>
              </w:rPr>
              <w:t xml:space="preserve">          </w:t>
            </w:r>
            <w:r>
              <w:rPr>
                <w:rFonts w:hint="eastAsia"/>
                <w:highlight w:val="none"/>
                <w:lang w:val="en-US"/>
              </w:rPr>
              <w:t>占地规模</w:t>
            </w:r>
          </w:p>
          <w:p>
            <w:pPr>
              <w:pStyle w:val="21"/>
              <w:rPr>
                <w:highlight w:val="none"/>
                <w:lang w:val="en-US"/>
              </w:rPr>
            </w:pPr>
            <w:r>
              <w:rPr>
                <w:highlight w:val="none"/>
                <w:lang w:val="en-US"/>
              </w:rPr>
              <mc:AlternateContent>
                <mc:Choice Requires="wps">
                  <w:drawing>
                    <wp:anchor distT="0" distB="0" distL="114300" distR="114300" simplePos="0" relativeHeight="251876352" behindDoc="0" locked="0" layoutInCell="1" allowOverlap="1">
                      <wp:simplePos x="0" y="0"/>
                      <wp:positionH relativeFrom="column">
                        <wp:posOffset>16510</wp:posOffset>
                      </wp:positionH>
                      <wp:positionV relativeFrom="paragraph">
                        <wp:posOffset>99695</wp:posOffset>
                      </wp:positionV>
                      <wp:extent cx="1593215" cy="241935"/>
                      <wp:effectExtent l="635" t="4445" r="6350" b="20320"/>
                      <wp:wrapNone/>
                      <wp:docPr id="240" name="直接连接符 240"/>
                      <wp:cNvGraphicFramePr/>
                      <a:graphic xmlns:a="http://schemas.openxmlformats.org/drawingml/2006/main">
                        <a:graphicData uri="http://schemas.microsoft.com/office/word/2010/wordprocessingShape">
                          <wps:wsp>
                            <wps:cNvCnPr/>
                            <wps:spPr>
                              <a:xfrm flipH="1" flipV="1">
                                <a:off x="0" y="0"/>
                                <a:ext cx="1593215" cy="24193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flip:x y;margin-left:1.3pt;margin-top:7.85pt;height:19.05pt;width:125.45pt;z-index:251876352;mso-width-relative:page;mso-height-relative:page;" filled="f" stroked="t" coordsize="21600,21600" o:gfxdata="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&#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W+8m1gAAAAcBAAAPAAAAAAAAAAEAIAAAACIAAABk&#10;cnMvZG93bnJldi54bWxQSwECFAAUAAAACACHTuJAI+irYQgCAADwAwAADgAAAAAAAAABACAAAAAl&#10;AQAAZHJzL2Uyb0RvYy54bWxQSwUGAAAAAAYABgBZAQAAnwUAAAAA&#10;">
                      <v:fill on="f" focussize="0,0"/>
                      <v:stroke weight="0.5pt" color="#000000" miterlimit="8" joinstyle="miter"/>
                      <v:imagedata o:title=""/>
                      <o:lock v:ext="edit" aspectratio="f"/>
                    </v:line>
                  </w:pict>
                </mc:Fallback>
              </mc:AlternateContent>
            </w:r>
            <w:r>
              <w:rPr>
                <w:rFonts w:hint="eastAsia"/>
                <w:highlight w:val="none"/>
                <w:lang w:val="en-US"/>
              </w:rPr>
              <w:t>评价工作等级</w:t>
            </w:r>
          </w:p>
          <w:p>
            <w:pPr>
              <w:pStyle w:val="21"/>
              <w:jc w:val="left"/>
              <w:rPr>
                <w:highlight w:val="none"/>
                <w:lang w:val="en-US"/>
              </w:rPr>
            </w:pPr>
            <w:r>
              <w:rPr>
                <w:rFonts w:hint="eastAsia"/>
                <w:highlight w:val="none"/>
                <w:lang w:val="en-US"/>
              </w:rPr>
              <w:t>敏感程度</w:t>
            </w:r>
          </w:p>
        </w:tc>
        <w:tc>
          <w:tcPr>
            <w:tcW w:w="1984" w:type="dxa"/>
            <w:gridSpan w:val="3"/>
            <w:shd w:val="clear" w:color="auto" w:fill="auto"/>
            <w:tcMar>
              <w:left w:w="0" w:type="dxa"/>
              <w:right w:w="0" w:type="dxa"/>
            </w:tcMar>
            <w:vAlign w:val="center"/>
          </w:tcPr>
          <w:p>
            <w:pPr>
              <w:pStyle w:val="21"/>
              <w:rPr>
                <w:highlight w:val="none"/>
                <w:lang w:val="en-US"/>
              </w:rPr>
            </w:pPr>
            <w:r>
              <w:rPr>
                <w:rFonts w:hint="eastAsia"/>
                <w:highlight w:val="none"/>
                <w:lang w:val="en-US"/>
              </w:rPr>
              <w:t>Ⅰ类</w:t>
            </w:r>
          </w:p>
        </w:tc>
        <w:tc>
          <w:tcPr>
            <w:tcW w:w="1985" w:type="dxa"/>
            <w:gridSpan w:val="3"/>
            <w:shd w:val="clear" w:color="auto" w:fill="auto"/>
            <w:tcMar>
              <w:left w:w="0" w:type="dxa"/>
              <w:right w:w="0" w:type="dxa"/>
            </w:tcMar>
            <w:vAlign w:val="center"/>
          </w:tcPr>
          <w:p>
            <w:pPr>
              <w:pStyle w:val="21"/>
              <w:rPr>
                <w:highlight w:val="none"/>
                <w:lang w:val="en-US"/>
              </w:rPr>
            </w:pPr>
            <w:r>
              <w:rPr>
                <w:rFonts w:hint="eastAsia"/>
                <w:highlight w:val="none"/>
                <w:lang w:val="en-US"/>
              </w:rPr>
              <w:t>Ⅱ类</w:t>
            </w:r>
          </w:p>
        </w:tc>
        <w:tc>
          <w:tcPr>
            <w:tcW w:w="1780" w:type="dxa"/>
            <w:gridSpan w:val="3"/>
            <w:shd w:val="clear" w:color="auto" w:fill="auto"/>
            <w:tcMar>
              <w:left w:w="0" w:type="dxa"/>
              <w:right w:w="0" w:type="dxa"/>
            </w:tcMar>
            <w:vAlign w:val="center"/>
          </w:tcPr>
          <w:p>
            <w:pPr>
              <w:pStyle w:val="21"/>
              <w:rPr>
                <w:highlight w:val="none"/>
                <w:lang w:val="en-US"/>
              </w:rPr>
            </w:pPr>
            <w:r>
              <w:rPr>
                <w:rFonts w:hint="eastAsia"/>
                <w:highlight w:val="none"/>
                <w:lang w:val="en-US"/>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continue"/>
            <w:shd w:val="clear" w:color="auto" w:fill="auto"/>
            <w:tcMar>
              <w:left w:w="0" w:type="dxa"/>
              <w:right w:w="0" w:type="dxa"/>
            </w:tcMar>
            <w:vAlign w:val="center"/>
          </w:tcPr>
          <w:p>
            <w:pPr>
              <w:pStyle w:val="21"/>
              <w:rPr>
                <w:highlight w:val="none"/>
                <w:lang w:val="en-US"/>
              </w:rPr>
            </w:pP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大</w:t>
            </w:r>
          </w:p>
        </w:tc>
        <w:tc>
          <w:tcPr>
            <w:tcW w:w="708" w:type="dxa"/>
            <w:shd w:val="clear" w:color="auto" w:fill="auto"/>
            <w:tcMar>
              <w:left w:w="0" w:type="dxa"/>
              <w:right w:w="0" w:type="dxa"/>
            </w:tcMar>
            <w:vAlign w:val="center"/>
          </w:tcPr>
          <w:p>
            <w:pPr>
              <w:pStyle w:val="21"/>
              <w:rPr>
                <w:highlight w:val="none"/>
                <w:lang w:val="en-US"/>
              </w:rPr>
            </w:pPr>
            <w:r>
              <w:rPr>
                <w:rFonts w:hint="eastAsia"/>
                <w:highlight w:val="none"/>
                <w:lang w:val="en-US"/>
              </w:rPr>
              <w:t>中</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小</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大</w:t>
            </w: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中</w:t>
            </w: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小</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中</w:t>
            </w:r>
          </w:p>
        </w:tc>
        <w:tc>
          <w:tcPr>
            <w:tcW w:w="646" w:type="dxa"/>
            <w:shd w:val="clear" w:color="auto" w:fill="auto"/>
            <w:tcMar>
              <w:left w:w="0" w:type="dxa"/>
              <w:right w:w="0" w:type="dxa"/>
            </w:tcMar>
            <w:vAlign w:val="center"/>
          </w:tcPr>
          <w:p>
            <w:pPr>
              <w:pStyle w:val="21"/>
              <w:rPr>
                <w:highlight w:val="none"/>
                <w:lang w:val="en-US"/>
              </w:rPr>
            </w:pPr>
            <w:r>
              <w:rPr>
                <w:rFonts w:hint="eastAsia"/>
                <w:highlight w:val="none"/>
                <w:lang w:val="en-US"/>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shd w:val="clear" w:color="auto" w:fill="auto"/>
            <w:tcMar>
              <w:left w:w="0" w:type="dxa"/>
              <w:right w:w="0" w:type="dxa"/>
            </w:tcMar>
            <w:vAlign w:val="center"/>
          </w:tcPr>
          <w:p>
            <w:pPr>
              <w:pStyle w:val="21"/>
              <w:rPr>
                <w:highlight w:val="none"/>
                <w:lang w:val="en-US"/>
              </w:rPr>
            </w:pPr>
            <w:r>
              <w:rPr>
                <w:rFonts w:hint="eastAsia"/>
                <w:highlight w:val="none"/>
                <w:lang w:val="en-US"/>
              </w:rPr>
              <w:t>敏感</w:t>
            </w: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一级</w:t>
            </w:r>
          </w:p>
        </w:tc>
        <w:tc>
          <w:tcPr>
            <w:tcW w:w="708" w:type="dxa"/>
            <w:shd w:val="clear" w:color="auto" w:fill="auto"/>
            <w:tcMar>
              <w:left w:w="0" w:type="dxa"/>
              <w:right w:w="0" w:type="dxa"/>
            </w:tcMar>
            <w:vAlign w:val="center"/>
          </w:tcPr>
          <w:p>
            <w:pPr>
              <w:pStyle w:val="21"/>
              <w:rPr>
                <w:highlight w:val="none"/>
                <w:lang w:val="en-US"/>
              </w:rPr>
            </w:pPr>
            <w:r>
              <w:rPr>
                <w:rFonts w:hint="eastAsia"/>
                <w:highlight w:val="none"/>
                <w:lang w:val="en-US"/>
              </w:rPr>
              <w:t>一级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一级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二级</w:t>
            </w: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二级</w:t>
            </w: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二级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三级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三级</w:t>
            </w:r>
          </w:p>
        </w:tc>
        <w:tc>
          <w:tcPr>
            <w:tcW w:w="646" w:type="dxa"/>
            <w:shd w:val="clear" w:color="auto" w:fill="auto"/>
            <w:tcMar>
              <w:left w:w="0" w:type="dxa"/>
              <w:right w:w="0" w:type="dxa"/>
            </w:tcMar>
            <w:vAlign w:val="center"/>
          </w:tcPr>
          <w:p>
            <w:pPr>
              <w:pStyle w:val="21"/>
              <w:rPr>
                <w:b/>
                <w:bCs/>
                <w:highlight w:val="none"/>
                <w:lang w:val="en-US"/>
              </w:rPr>
            </w:pPr>
            <w:r>
              <w:rPr>
                <w:rFonts w:hint="eastAsia"/>
                <w:b/>
                <w:bCs/>
                <w:highlight w:val="none"/>
                <w:lang w:val="en-US"/>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shd w:val="clear" w:color="auto" w:fill="auto"/>
            <w:tcMar>
              <w:left w:w="0" w:type="dxa"/>
              <w:right w:w="0" w:type="dxa"/>
            </w:tcMar>
            <w:vAlign w:val="center"/>
          </w:tcPr>
          <w:p>
            <w:pPr>
              <w:pStyle w:val="21"/>
              <w:rPr>
                <w:highlight w:val="none"/>
                <w:lang w:val="en-US"/>
              </w:rPr>
            </w:pPr>
            <w:r>
              <w:rPr>
                <w:rFonts w:hint="eastAsia"/>
                <w:highlight w:val="none"/>
                <w:lang w:val="en-US"/>
              </w:rPr>
              <w:t>较敏感</w:t>
            </w: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一级</w:t>
            </w:r>
          </w:p>
        </w:tc>
        <w:tc>
          <w:tcPr>
            <w:tcW w:w="708" w:type="dxa"/>
            <w:shd w:val="clear" w:color="auto" w:fill="auto"/>
            <w:tcMar>
              <w:left w:w="0" w:type="dxa"/>
              <w:right w:w="0" w:type="dxa"/>
            </w:tcMar>
            <w:vAlign w:val="center"/>
          </w:tcPr>
          <w:p>
            <w:pPr>
              <w:pStyle w:val="21"/>
              <w:rPr>
                <w:highlight w:val="none"/>
                <w:lang w:val="en-US"/>
              </w:rPr>
            </w:pPr>
            <w:r>
              <w:rPr>
                <w:rFonts w:hint="eastAsia"/>
                <w:highlight w:val="none"/>
                <w:lang w:val="en-US"/>
              </w:rPr>
              <w:t>一级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二级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二级</w:t>
            </w: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二级</w:t>
            </w: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三级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三级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三级</w:t>
            </w:r>
          </w:p>
        </w:tc>
        <w:tc>
          <w:tcPr>
            <w:tcW w:w="646" w:type="dxa"/>
            <w:shd w:val="clear" w:color="auto" w:fill="auto"/>
            <w:tcMar>
              <w:left w:w="0" w:type="dxa"/>
              <w:right w:w="0" w:type="dxa"/>
            </w:tcMar>
            <w:vAlign w:val="center"/>
          </w:tcPr>
          <w:p>
            <w:pPr>
              <w:pStyle w:val="21"/>
              <w:rPr>
                <w:highlight w:val="none"/>
                <w:lang w:val="en-US"/>
              </w:rPr>
            </w:pPr>
            <w:r>
              <w:rPr>
                <w:rFonts w:hint="eastAsia"/>
                <w:highlight w:val="none"/>
                <w:lang w:val="en-US"/>
              </w:rPr>
              <w:t>-</w:t>
            </w:r>
            <w:r>
              <w:rPr>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shd w:val="clear" w:color="auto" w:fill="auto"/>
            <w:tcMar>
              <w:left w:w="0" w:type="dxa"/>
              <w:right w:w="0" w:type="dxa"/>
            </w:tcMar>
            <w:vAlign w:val="center"/>
          </w:tcPr>
          <w:p>
            <w:pPr>
              <w:pStyle w:val="21"/>
              <w:rPr>
                <w:highlight w:val="none"/>
                <w:lang w:val="en-US"/>
              </w:rPr>
            </w:pPr>
            <w:r>
              <w:rPr>
                <w:rFonts w:hint="eastAsia"/>
                <w:highlight w:val="none"/>
                <w:lang w:val="en-US"/>
              </w:rPr>
              <w:t>不敏感</w:t>
            </w: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一级</w:t>
            </w:r>
          </w:p>
        </w:tc>
        <w:tc>
          <w:tcPr>
            <w:tcW w:w="708" w:type="dxa"/>
            <w:shd w:val="clear" w:color="auto" w:fill="auto"/>
            <w:tcMar>
              <w:left w:w="0" w:type="dxa"/>
              <w:right w:w="0" w:type="dxa"/>
            </w:tcMar>
            <w:vAlign w:val="center"/>
          </w:tcPr>
          <w:p>
            <w:pPr>
              <w:pStyle w:val="21"/>
              <w:rPr>
                <w:highlight w:val="none"/>
                <w:lang w:val="en-US"/>
              </w:rPr>
            </w:pPr>
            <w:r>
              <w:rPr>
                <w:rFonts w:hint="eastAsia"/>
                <w:highlight w:val="none"/>
                <w:lang w:val="en-US"/>
              </w:rPr>
              <w:t>二级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二级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二级</w:t>
            </w: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三级</w:t>
            </w:r>
          </w:p>
        </w:tc>
        <w:tc>
          <w:tcPr>
            <w:tcW w:w="709" w:type="dxa"/>
            <w:shd w:val="clear" w:color="auto" w:fill="auto"/>
            <w:tcMar>
              <w:left w:w="0" w:type="dxa"/>
              <w:right w:w="0" w:type="dxa"/>
            </w:tcMar>
            <w:vAlign w:val="center"/>
          </w:tcPr>
          <w:p>
            <w:pPr>
              <w:pStyle w:val="21"/>
              <w:rPr>
                <w:highlight w:val="none"/>
                <w:lang w:val="en-US"/>
              </w:rPr>
            </w:pPr>
            <w:r>
              <w:rPr>
                <w:rFonts w:hint="eastAsia"/>
                <w:highlight w:val="none"/>
                <w:lang w:val="en-US"/>
              </w:rPr>
              <w:t>三级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三级</w:t>
            </w:r>
          </w:p>
        </w:tc>
        <w:tc>
          <w:tcPr>
            <w:tcW w:w="567" w:type="dxa"/>
            <w:shd w:val="clear" w:color="auto" w:fill="auto"/>
            <w:tcMar>
              <w:left w:w="0" w:type="dxa"/>
              <w:right w:w="0" w:type="dxa"/>
            </w:tcMar>
            <w:vAlign w:val="center"/>
          </w:tcPr>
          <w:p>
            <w:pPr>
              <w:pStyle w:val="21"/>
              <w:rPr>
                <w:highlight w:val="none"/>
                <w:lang w:val="en-US"/>
              </w:rPr>
            </w:pPr>
            <w:r>
              <w:rPr>
                <w:rFonts w:hint="eastAsia"/>
                <w:highlight w:val="none"/>
                <w:lang w:val="en-US"/>
              </w:rPr>
              <w:t>-</w:t>
            </w:r>
            <w:r>
              <w:rPr>
                <w:highlight w:val="none"/>
                <w:lang w:val="en-US"/>
              </w:rPr>
              <w:t>-</w:t>
            </w:r>
          </w:p>
        </w:tc>
        <w:tc>
          <w:tcPr>
            <w:tcW w:w="646" w:type="dxa"/>
            <w:shd w:val="clear" w:color="auto" w:fill="auto"/>
            <w:tcMar>
              <w:left w:w="0" w:type="dxa"/>
              <w:right w:w="0" w:type="dxa"/>
            </w:tcMar>
            <w:vAlign w:val="center"/>
          </w:tcPr>
          <w:p>
            <w:pPr>
              <w:pStyle w:val="21"/>
              <w:rPr>
                <w:highlight w:val="none"/>
                <w:lang w:val="en-US"/>
              </w:rPr>
            </w:pPr>
            <w:r>
              <w:rPr>
                <w:rFonts w:hint="eastAsia"/>
                <w:highlight w:val="none"/>
                <w:lang w:val="en-US"/>
              </w:rPr>
              <w:t>-</w:t>
            </w:r>
            <w:r>
              <w:rPr>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10"/>
            <w:shd w:val="clear" w:color="auto" w:fill="auto"/>
            <w:tcMar>
              <w:left w:w="0" w:type="dxa"/>
              <w:right w:w="0" w:type="dxa"/>
            </w:tcMar>
            <w:vAlign w:val="center"/>
          </w:tcPr>
          <w:p>
            <w:pPr>
              <w:pStyle w:val="21"/>
              <w:jc w:val="left"/>
              <w:rPr>
                <w:highlight w:val="none"/>
                <w:lang w:val="en-US"/>
              </w:rPr>
            </w:pPr>
            <w:r>
              <w:rPr>
                <w:rFonts w:hint="eastAsia"/>
                <w:highlight w:val="none"/>
                <w:lang w:val="en-US"/>
              </w:rPr>
              <w:t>注：“-</w:t>
            </w:r>
            <w:r>
              <w:rPr>
                <w:highlight w:val="none"/>
                <w:lang w:val="en-US"/>
              </w:rPr>
              <w:t>-</w:t>
            </w:r>
            <w:r>
              <w:rPr>
                <w:rFonts w:hint="eastAsia"/>
                <w:highlight w:val="none"/>
                <w:lang w:val="en-US"/>
              </w:rPr>
              <w:t>”表示可不开展土壤环境影响评价工作。</w:t>
            </w:r>
          </w:p>
        </w:tc>
      </w:tr>
    </w:tbl>
    <w:p>
      <w:pPr>
        <w:pStyle w:val="22"/>
        <w:spacing w:line="360" w:lineRule="auto"/>
        <w:rPr>
          <w:highlight w:val="none"/>
        </w:rPr>
      </w:pPr>
      <w:r>
        <w:rPr>
          <w:rFonts w:hint="eastAsia"/>
          <w:highlight w:val="none"/>
        </w:rPr>
        <w:t>综合以上分析，根据《环境影响评价技术导则·</w:t>
      </w:r>
      <w:r>
        <w:rPr>
          <w:highlight w:val="none"/>
        </w:rPr>
        <w:t xml:space="preserve"> </w:t>
      </w:r>
      <w:r>
        <w:rPr>
          <w:rFonts w:hint="eastAsia"/>
          <w:highlight w:val="none"/>
        </w:rPr>
        <w:t>土壤环境（试行）》</w:t>
      </w:r>
      <w:r>
        <w:rPr>
          <w:highlight w:val="none"/>
        </w:rPr>
        <w:t>(HJ964-2018)</w:t>
      </w:r>
      <w:r>
        <w:rPr>
          <w:rFonts w:hint="eastAsia"/>
          <w:highlight w:val="none"/>
        </w:rPr>
        <w:t>土壤环境影响评价工作等级划分原则，确定本项目土壤环境影响评价工作等级为三级。</w:t>
      </w:r>
    </w:p>
    <w:p>
      <w:pPr>
        <w:spacing w:before="103" w:line="227" w:lineRule="auto"/>
        <w:ind w:left="128"/>
        <w:outlineLvl w:val="3"/>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7"/>
          <w:sz w:val="23"/>
          <w:szCs w:val="23"/>
          <w:highlight w:val="none"/>
        </w:rPr>
        <w:t>2.4.1.</w:t>
      </w:r>
      <w:r>
        <w:rPr>
          <w:rFonts w:hint="eastAsia" w:ascii="Times New Roman" w:hAnsi="Times New Roman" w:eastAsia="宋体" w:cs="Times New Roman"/>
          <w:spacing w:val="7"/>
          <w:sz w:val="23"/>
          <w:szCs w:val="23"/>
          <w:highlight w:val="none"/>
          <w:lang w:val="en-US" w:eastAsia="zh-CN"/>
        </w:rPr>
        <w:t>5</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生态环境影响评价等</w:t>
      </w:r>
      <w:r>
        <w:rPr>
          <w:rFonts w:hint="default" w:ascii="Times New Roman" w:hAnsi="Times New Roman" w:eastAsia="宋体" w:cs="Times New Roman"/>
          <w:spacing w:val="5"/>
          <w:sz w:val="23"/>
          <w:szCs w:val="23"/>
          <w:highlight w:val="none"/>
        </w:rPr>
        <w:t>级</w:t>
      </w:r>
    </w:p>
    <w:p>
      <w:pPr>
        <w:spacing w:before="75" w:line="401" w:lineRule="auto"/>
        <w:ind w:left="79" w:right="122" w:firstLine="532"/>
        <w:rPr>
          <w:rFonts w:hint="default" w:ascii="Times New Roman" w:hAnsi="Times New Roman" w:eastAsia="宋体" w:cs="Times New Roman"/>
          <w:spacing w:val="7"/>
          <w:sz w:val="23"/>
          <w:szCs w:val="23"/>
          <w:highlight w:val="none"/>
        </w:rPr>
      </w:pPr>
      <w:bookmarkStart w:id="93" w:name="_Hlk532027944"/>
      <w:r>
        <w:rPr>
          <w:rFonts w:hint="eastAsia" w:ascii="Times New Roman" w:hAnsi="Times New Roman" w:eastAsia="宋体" w:cs="Times New Roman"/>
          <w:spacing w:val="7"/>
          <w:sz w:val="23"/>
          <w:szCs w:val="23"/>
          <w:highlight w:val="none"/>
        </w:rPr>
        <w:t>本项目</w:t>
      </w:r>
      <w:r>
        <w:rPr>
          <w:rFonts w:hint="eastAsia" w:ascii="Times New Roman" w:hAnsi="Times New Roman" w:eastAsia="宋体" w:cs="Times New Roman"/>
          <w:spacing w:val="7"/>
          <w:sz w:val="23"/>
          <w:szCs w:val="23"/>
          <w:highlight w:val="none"/>
          <w:lang w:val="en-US" w:eastAsia="zh-CN"/>
        </w:rPr>
        <w:t>在现有厂区内进行建设</w:t>
      </w:r>
      <w:r>
        <w:rPr>
          <w:rFonts w:hint="eastAsia" w:ascii="Times New Roman" w:hAnsi="Times New Roman" w:eastAsia="宋体" w:cs="Times New Roman"/>
          <w:spacing w:val="7"/>
          <w:sz w:val="23"/>
          <w:szCs w:val="23"/>
          <w:highlight w:val="none"/>
        </w:rPr>
        <w:t>，项目在原选矿厂厂界范围内进行建设，不新增占地</w:t>
      </w:r>
      <w:r>
        <w:rPr>
          <w:rFonts w:hint="eastAsia" w:ascii="Times New Roman" w:hAnsi="Times New Roman" w:eastAsia="宋体" w:cs="Times New Roman"/>
          <w:spacing w:val="7"/>
          <w:sz w:val="23"/>
          <w:szCs w:val="23"/>
          <w:highlight w:val="none"/>
          <w:lang w:eastAsia="zh-CN"/>
        </w:rPr>
        <w:t>，</w:t>
      </w:r>
      <w:r>
        <w:rPr>
          <w:rFonts w:hint="default" w:ascii="Times New Roman" w:hAnsi="Times New Roman" w:eastAsia="宋体" w:cs="Times New Roman"/>
          <w:spacing w:val="7"/>
          <w:sz w:val="23"/>
          <w:szCs w:val="23"/>
          <w:highlight w:val="none"/>
        </w:rPr>
        <w:t>根据《环境影响评价导则生态影响》（HJ 19-20</w:t>
      </w:r>
      <w:r>
        <w:rPr>
          <w:rFonts w:hint="eastAsia" w:ascii="Times New Roman" w:hAnsi="Times New Roman" w:eastAsia="宋体" w:cs="Times New Roman"/>
          <w:spacing w:val="7"/>
          <w:sz w:val="23"/>
          <w:szCs w:val="23"/>
          <w:highlight w:val="none"/>
          <w:lang w:val="en-US" w:eastAsia="zh-CN"/>
        </w:rPr>
        <w:t>22</w:t>
      </w:r>
      <w:r>
        <w:rPr>
          <w:rFonts w:hint="default" w:ascii="Times New Roman" w:hAnsi="Times New Roman" w:eastAsia="宋体" w:cs="Times New Roman"/>
          <w:spacing w:val="7"/>
          <w:sz w:val="23"/>
          <w:szCs w:val="23"/>
          <w:highlight w:val="none"/>
        </w:rPr>
        <w:t>）要求</w:t>
      </w:r>
      <w:r>
        <w:rPr>
          <w:rFonts w:hint="eastAsia" w:ascii="Times New Roman" w:hAnsi="Times New Roman" w:eastAsia="宋体" w:cs="Times New Roman"/>
          <w:spacing w:val="7"/>
          <w:sz w:val="23"/>
          <w:szCs w:val="23"/>
          <w:highlight w:val="none"/>
        </w:rPr>
        <w:t>，</w:t>
      </w:r>
      <w:r>
        <w:rPr>
          <w:rFonts w:hint="default" w:ascii="Times New Roman" w:hAnsi="Times New Roman" w:eastAsia="宋体" w:cs="Times New Roman"/>
          <w:spacing w:val="7"/>
          <w:sz w:val="23"/>
          <w:szCs w:val="23"/>
          <w:highlight w:val="none"/>
        </w:rPr>
        <w:t>本项目</w:t>
      </w:r>
      <w:r>
        <w:rPr>
          <w:rFonts w:hint="eastAsia" w:ascii="Times New Roman" w:hAnsi="Times New Roman" w:eastAsia="宋体" w:cs="Times New Roman"/>
          <w:spacing w:val="7"/>
          <w:sz w:val="23"/>
          <w:szCs w:val="23"/>
          <w:highlight w:val="none"/>
        </w:rPr>
        <w:t>仅进行生态影响</w:t>
      </w:r>
      <w:r>
        <w:rPr>
          <w:rFonts w:hint="eastAsia" w:ascii="Times New Roman" w:hAnsi="Times New Roman" w:eastAsia="宋体" w:cs="Times New Roman"/>
          <w:spacing w:val="7"/>
          <w:sz w:val="23"/>
          <w:szCs w:val="23"/>
          <w:highlight w:val="none"/>
          <w:lang w:val="en-US" w:eastAsia="zh-CN"/>
        </w:rPr>
        <w:t>简单</w:t>
      </w:r>
      <w:r>
        <w:rPr>
          <w:rFonts w:hint="eastAsia" w:ascii="Times New Roman" w:hAnsi="Times New Roman" w:eastAsia="宋体" w:cs="Times New Roman"/>
          <w:spacing w:val="7"/>
          <w:sz w:val="23"/>
          <w:szCs w:val="23"/>
          <w:highlight w:val="none"/>
        </w:rPr>
        <w:t>分析</w:t>
      </w:r>
      <w:r>
        <w:rPr>
          <w:rFonts w:hint="default" w:ascii="Times New Roman" w:hAnsi="Times New Roman" w:eastAsia="宋体" w:cs="Times New Roman"/>
          <w:spacing w:val="7"/>
          <w:sz w:val="23"/>
          <w:szCs w:val="23"/>
          <w:highlight w:val="none"/>
        </w:rPr>
        <w:t>。</w:t>
      </w:r>
      <w:bookmarkEnd w:id="93"/>
    </w:p>
    <w:p>
      <w:pPr>
        <w:spacing w:before="103" w:line="227" w:lineRule="auto"/>
        <w:ind w:left="128"/>
        <w:outlineLvl w:val="3"/>
        <w:rPr>
          <w:rFonts w:hint="default" w:ascii="Times New Roman" w:hAnsi="Times New Roman" w:eastAsia="宋体" w:cs="Times New Roman"/>
          <w:spacing w:val="5"/>
          <w:sz w:val="23"/>
          <w:szCs w:val="23"/>
          <w:highlight w:val="none"/>
        </w:rPr>
      </w:pPr>
      <w:r>
        <w:rPr>
          <w:rFonts w:hint="default" w:ascii="Times New Roman" w:hAnsi="Times New Roman" w:eastAsia="Times New Roman" w:cs="Times New Roman"/>
          <w:spacing w:val="7"/>
          <w:sz w:val="23"/>
          <w:szCs w:val="23"/>
          <w:highlight w:val="none"/>
        </w:rPr>
        <w:t>2.4.1.</w:t>
      </w:r>
      <w:r>
        <w:rPr>
          <w:rFonts w:hint="eastAsia" w:ascii="Times New Roman" w:hAnsi="Times New Roman" w:eastAsia="宋体" w:cs="Times New Roman"/>
          <w:spacing w:val="7"/>
          <w:sz w:val="23"/>
          <w:szCs w:val="23"/>
          <w:highlight w:val="none"/>
          <w:lang w:val="en-US" w:eastAsia="zh-CN"/>
        </w:rPr>
        <w:t>6</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rPr>
        <w:t>环境风险</w:t>
      </w:r>
      <w:r>
        <w:rPr>
          <w:rFonts w:hint="default" w:ascii="Times New Roman" w:hAnsi="Times New Roman" w:eastAsia="宋体" w:cs="Times New Roman"/>
          <w:spacing w:val="7"/>
          <w:sz w:val="23"/>
          <w:szCs w:val="23"/>
          <w:highlight w:val="none"/>
        </w:rPr>
        <w:t>评价等</w:t>
      </w:r>
      <w:r>
        <w:rPr>
          <w:rFonts w:hint="default" w:ascii="Times New Roman" w:hAnsi="Times New Roman" w:eastAsia="宋体" w:cs="Times New Roman"/>
          <w:spacing w:val="5"/>
          <w:sz w:val="23"/>
          <w:szCs w:val="23"/>
          <w:highlight w:val="none"/>
        </w:rPr>
        <w:t>级</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88" w:firstLineChars="200"/>
        <w:jc w:val="both"/>
        <w:textAlignment w:val="baseline"/>
        <w:rPr>
          <w:rFonts w:hint="eastAsia" w:ascii="Times New Roman" w:hAnsi="Times New Roman" w:eastAsia="宋体" w:cs="Times New Roman"/>
          <w:spacing w:val="7"/>
          <w:sz w:val="23"/>
          <w:szCs w:val="23"/>
          <w:highlight w:val="none"/>
          <w:lang w:val="en-US" w:eastAsia="zh-CN"/>
        </w:rPr>
      </w:pPr>
      <w:bookmarkStart w:id="94" w:name="_Hlk3826722"/>
      <w:r>
        <w:rPr>
          <w:rFonts w:hint="eastAsia" w:ascii="Times New Roman" w:hAnsi="Times New Roman" w:eastAsia="宋体" w:cs="Times New Roman"/>
          <w:spacing w:val="7"/>
          <w:sz w:val="23"/>
          <w:szCs w:val="23"/>
          <w:highlight w:val="none"/>
          <w:lang w:val="en-US" w:eastAsia="zh-CN"/>
        </w:rPr>
        <w:t>本项目涉及的主要危险物质为废矿物油，导则</w:t>
      </w:r>
      <w:r>
        <w:rPr>
          <w:rFonts w:hint="default" w:ascii="Times New Roman" w:hAnsi="Times New Roman" w:cs="Times New Roman"/>
          <w:kern w:val="24"/>
          <w:sz w:val="23"/>
          <w:szCs w:val="23"/>
          <w:highlight w:val="none"/>
        </w:rPr>
        <w:t>附录B中表B.1突发环境事件风险物质临界量“381、油类物质（矿物油类，临界量为100t）”可知</w:t>
      </w:r>
      <w:r>
        <w:rPr>
          <w:rFonts w:hint="eastAsia" w:ascii="Times New Roman" w:hAnsi="Times New Roman" w:eastAsia="宋体" w:cs="Times New Roman"/>
          <w:spacing w:val="7"/>
          <w:sz w:val="23"/>
          <w:szCs w:val="23"/>
          <w:highlight w:val="none"/>
          <w:lang w:val="en-US" w:eastAsia="zh-CN"/>
        </w:rPr>
        <w:t>，其临界量为100t，根据《建设项目环境风险评价评价技术导则》（HJ169-2018）附录C，本项目危险物质最大储存量为0.4t，其数量与临界量比值Q为0.004，Q小于1，环境风险潜势为Ⅰ，可开展简单分析。</w:t>
      </w:r>
      <w:bookmarkEnd w:id="94"/>
    </w:p>
    <w:p>
      <w:pPr>
        <w:spacing w:before="75" w:line="227" w:lineRule="auto"/>
        <w:ind w:left="128"/>
        <w:outlineLvl w:val="2"/>
        <w:rPr>
          <w:rFonts w:hint="default" w:ascii="Times New Roman" w:hAnsi="Times New Roman" w:eastAsia="宋体" w:cs="Times New Roman"/>
          <w:sz w:val="23"/>
          <w:szCs w:val="23"/>
          <w:highlight w:val="none"/>
        </w:rPr>
      </w:pPr>
      <w:bookmarkStart w:id="95" w:name="_Toc28532"/>
      <w:bookmarkStart w:id="96" w:name="_Toc21008"/>
      <w:bookmarkStart w:id="97" w:name="_Toc6314"/>
      <w:r>
        <w:rPr>
          <w:rFonts w:hint="default" w:ascii="Times New Roman" w:hAnsi="Times New Roman" w:eastAsia="Times New Roman" w:cs="Times New Roman"/>
          <w:b/>
          <w:bCs/>
          <w:spacing w:val="10"/>
          <w:sz w:val="23"/>
          <w:szCs w:val="23"/>
          <w:highlight w:val="none"/>
        </w:rPr>
        <w:t>2</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4.2</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评价范围</w:t>
      </w:r>
      <w:bookmarkEnd w:id="95"/>
      <w:bookmarkEnd w:id="96"/>
      <w:bookmarkEnd w:id="97"/>
    </w:p>
    <w:p>
      <w:pPr>
        <w:spacing w:line="261" w:lineRule="auto"/>
        <w:rPr>
          <w:rFonts w:hint="default" w:ascii="Times New Roman" w:hAnsi="Times New Roman" w:cs="Times New Roman"/>
          <w:sz w:val="21"/>
          <w:highlight w:val="none"/>
        </w:rPr>
      </w:pPr>
    </w:p>
    <w:p>
      <w:pPr>
        <w:spacing w:before="75" w:line="401" w:lineRule="auto"/>
        <w:ind w:left="79" w:right="122" w:firstLine="53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根据本项目各环境要素确定的评价等级，结合区域环境特征及地形特点，按</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5"/>
          <w:sz w:val="23"/>
          <w:szCs w:val="23"/>
          <w:highlight w:val="none"/>
        </w:rPr>
        <w:t>“</w:t>
      </w:r>
      <w:r>
        <w:rPr>
          <w:rFonts w:hint="default" w:ascii="Times New Roman" w:hAnsi="Times New Roman" w:eastAsia="宋体" w:cs="Times New Roman"/>
          <w:spacing w:val="9"/>
          <w:sz w:val="23"/>
          <w:szCs w:val="23"/>
          <w:highlight w:val="none"/>
        </w:rPr>
        <w:t>导则</w:t>
      </w:r>
      <w:r>
        <w:rPr>
          <w:rFonts w:hint="default" w:ascii="Times New Roman" w:hAnsi="Times New Roman" w:eastAsia="Times New Roman" w:cs="Times New Roman"/>
          <w:spacing w:val="9"/>
          <w:sz w:val="23"/>
          <w:szCs w:val="23"/>
          <w:highlight w:val="none"/>
        </w:rPr>
        <w:t>”</w:t>
      </w:r>
      <w:r>
        <w:rPr>
          <w:rFonts w:hint="default" w:ascii="Times New Roman" w:hAnsi="Times New Roman" w:eastAsia="宋体" w:cs="Times New Roman"/>
          <w:spacing w:val="9"/>
          <w:sz w:val="23"/>
          <w:szCs w:val="23"/>
          <w:highlight w:val="none"/>
        </w:rPr>
        <w:t>中评价范围确定的相关规定，并综合本工程污染源排放特征，确定本评价</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各</w:t>
      </w:r>
      <w:r>
        <w:rPr>
          <w:rFonts w:hint="default" w:ascii="Times New Roman" w:hAnsi="Times New Roman" w:eastAsia="宋体" w:cs="Times New Roman"/>
          <w:spacing w:val="10"/>
          <w:sz w:val="23"/>
          <w:szCs w:val="23"/>
          <w:highlight w:val="none"/>
        </w:rPr>
        <w:t>环境要素评价范围见表</w:t>
      </w:r>
      <w:r>
        <w:rPr>
          <w:rFonts w:hint="default" w:ascii="Times New Roman" w:hAnsi="Times New Roman" w:eastAsia="Times New Roman" w:cs="Times New Roman"/>
          <w:spacing w:val="10"/>
          <w:sz w:val="23"/>
          <w:szCs w:val="23"/>
          <w:highlight w:val="none"/>
        </w:rPr>
        <w:t>2.4-</w:t>
      </w:r>
      <w:r>
        <w:rPr>
          <w:rFonts w:hint="eastAsia" w:ascii="Times New Roman" w:hAnsi="Times New Roman" w:eastAsia="宋体" w:cs="Times New Roman"/>
          <w:spacing w:val="10"/>
          <w:sz w:val="23"/>
          <w:szCs w:val="23"/>
          <w:highlight w:val="none"/>
          <w:lang w:val="en-US" w:eastAsia="zh-CN"/>
        </w:rPr>
        <w:t>12</w:t>
      </w:r>
      <w:r>
        <w:rPr>
          <w:rFonts w:hint="default" w:ascii="Times New Roman" w:hAnsi="Times New Roman" w:eastAsia="宋体" w:cs="Times New Roman"/>
          <w:spacing w:val="10"/>
          <w:sz w:val="23"/>
          <w:szCs w:val="23"/>
          <w:highlight w:val="none"/>
        </w:rPr>
        <w:t>。</w:t>
      </w:r>
    </w:p>
    <w:p>
      <w:pPr>
        <w:spacing w:before="1" w:line="226" w:lineRule="auto"/>
        <w:ind w:left="166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10"/>
          <w:sz w:val="23"/>
          <w:szCs w:val="23"/>
          <w:highlight w:val="none"/>
        </w:rPr>
        <w:t xml:space="preserve"> </w:t>
      </w:r>
      <w:r>
        <w:rPr>
          <w:rFonts w:hint="default" w:ascii="Times New Roman" w:hAnsi="Times New Roman" w:eastAsia="Times New Roman" w:cs="Times New Roman"/>
          <w:b/>
          <w:bCs/>
          <w:spacing w:val="10"/>
          <w:sz w:val="23"/>
          <w:szCs w:val="23"/>
          <w:highlight w:val="none"/>
        </w:rPr>
        <w:t>2</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4-</w:t>
      </w:r>
      <w:r>
        <w:rPr>
          <w:rFonts w:hint="eastAsia" w:ascii="Times New Roman" w:hAnsi="Times New Roman" w:eastAsia="宋体" w:cs="Times New Roman"/>
          <w:b/>
          <w:bCs/>
          <w:spacing w:val="5"/>
          <w:sz w:val="23"/>
          <w:szCs w:val="23"/>
          <w:highlight w:val="none"/>
          <w:lang w:val="en-US" w:eastAsia="zh-CN"/>
        </w:rPr>
        <w:t>12</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各环境要素评价等级及评价范围一览表</w:t>
      </w:r>
    </w:p>
    <w:p>
      <w:pPr>
        <w:spacing w:line="23" w:lineRule="exact"/>
        <w:rPr>
          <w:rFonts w:hint="default" w:ascii="Times New Roman" w:hAnsi="Times New Roman" w:cs="Times New Roman"/>
          <w:highlight w:val="none"/>
        </w:rPr>
      </w:pPr>
    </w:p>
    <w:tbl>
      <w:tblPr>
        <w:tblStyle w:val="19"/>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9"/>
        <w:gridCol w:w="1352"/>
        <w:gridCol w:w="1140"/>
        <w:gridCol w:w="51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89" w:type="dxa"/>
            <w:tcBorders>
              <w:left w:val="single" w:color="000000" w:sz="10" w:space="0"/>
            </w:tcBorders>
            <w:vAlign w:val="top"/>
          </w:tcPr>
          <w:p>
            <w:pPr>
              <w:spacing w:before="117" w:line="230" w:lineRule="auto"/>
              <w:ind w:left="22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序号</w:t>
            </w:r>
          </w:p>
        </w:tc>
        <w:tc>
          <w:tcPr>
            <w:tcW w:w="1352" w:type="dxa"/>
            <w:vAlign w:val="top"/>
          </w:tcPr>
          <w:p>
            <w:pPr>
              <w:spacing w:before="117" w:line="228" w:lineRule="auto"/>
              <w:ind w:left="25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环</w:t>
            </w:r>
            <w:r>
              <w:rPr>
                <w:rFonts w:hint="default" w:ascii="Times New Roman" w:hAnsi="Times New Roman" w:eastAsia="宋体" w:cs="Times New Roman"/>
                <w:spacing w:val="7"/>
                <w:sz w:val="20"/>
                <w:szCs w:val="20"/>
                <w:highlight w:val="none"/>
              </w:rPr>
              <w:t>境要素</w:t>
            </w:r>
          </w:p>
        </w:tc>
        <w:tc>
          <w:tcPr>
            <w:tcW w:w="1140" w:type="dxa"/>
            <w:vAlign w:val="top"/>
          </w:tcPr>
          <w:p>
            <w:pPr>
              <w:spacing w:before="117" w:line="227" w:lineRule="auto"/>
              <w:ind w:left="1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评</w:t>
            </w:r>
            <w:r>
              <w:rPr>
                <w:rFonts w:hint="default" w:ascii="Times New Roman" w:hAnsi="Times New Roman" w:eastAsia="宋体" w:cs="Times New Roman"/>
                <w:spacing w:val="7"/>
                <w:sz w:val="20"/>
                <w:szCs w:val="20"/>
                <w:highlight w:val="none"/>
              </w:rPr>
              <w:t>价等级</w:t>
            </w:r>
          </w:p>
        </w:tc>
        <w:tc>
          <w:tcPr>
            <w:tcW w:w="5150" w:type="dxa"/>
            <w:tcBorders>
              <w:right w:val="single" w:color="000000" w:sz="10" w:space="0"/>
            </w:tcBorders>
            <w:vAlign w:val="top"/>
          </w:tcPr>
          <w:p>
            <w:pPr>
              <w:spacing w:before="117" w:line="227" w:lineRule="auto"/>
              <w:ind w:left="215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评</w:t>
            </w:r>
            <w:r>
              <w:rPr>
                <w:rFonts w:hint="default" w:ascii="Times New Roman" w:hAnsi="Times New Roman" w:eastAsia="宋体" w:cs="Times New Roman"/>
                <w:spacing w:val="7"/>
                <w:sz w:val="20"/>
                <w:szCs w:val="20"/>
                <w:highlight w:val="none"/>
              </w:rPr>
              <w:t>价范围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89" w:type="dxa"/>
            <w:tcBorders>
              <w:left w:val="single" w:color="000000" w:sz="10" w:space="0"/>
            </w:tcBorders>
            <w:vAlign w:val="top"/>
          </w:tcPr>
          <w:p>
            <w:pPr>
              <w:spacing w:before="204" w:line="195" w:lineRule="auto"/>
              <w:ind w:left="4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352" w:type="dxa"/>
            <w:vAlign w:val="top"/>
          </w:tcPr>
          <w:p>
            <w:pPr>
              <w:spacing w:before="165" w:line="228" w:lineRule="auto"/>
              <w:ind w:left="2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大</w:t>
            </w:r>
            <w:r>
              <w:rPr>
                <w:rFonts w:hint="default" w:ascii="Times New Roman" w:hAnsi="Times New Roman" w:eastAsia="宋体" w:cs="Times New Roman"/>
                <w:spacing w:val="6"/>
                <w:sz w:val="20"/>
                <w:szCs w:val="20"/>
                <w:highlight w:val="none"/>
              </w:rPr>
              <w:t>气环境</w:t>
            </w:r>
          </w:p>
        </w:tc>
        <w:tc>
          <w:tcPr>
            <w:tcW w:w="1140" w:type="dxa"/>
            <w:vAlign w:val="top"/>
          </w:tcPr>
          <w:p>
            <w:pPr>
              <w:spacing w:before="165" w:line="231" w:lineRule="auto"/>
              <w:ind w:left="361"/>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5"/>
                <w:sz w:val="20"/>
                <w:szCs w:val="20"/>
                <w:highlight w:val="none"/>
                <w:lang w:val="en-US" w:eastAsia="zh-CN"/>
              </w:rPr>
              <w:t>二</w:t>
            </w:r>
            <w:r>
              <w:rPr>
                <w:rFonts w:hint="default" w:ascii="Times New Roman" w:hAnsi="Times New Roman" w:eastAsia="宋体" w:cs="Times New Roman"/>
                <w:spacing w:val="4"/>
                <w:sz w:val="20"/>
                <w:szCs w:val="20"/>
                <w:highlight w:val="none"/>
              </w:rPr>
              <w:t>级</w:t>
            </w:r>
          </w:p>
        </w:tc>
        <w:tc>
          <w:tcPr>
            <w:tcW w:w="5150" w:type="dxa"/>
            <w:tcBorders>
              <w:right w:val="single" w:color="000000" w:sz="10" w:space="0"/>
            </w:tcBorders>
            <w:vAlign w:val="center"/>
          </w:tcPr>
          <w:p>
            <w:pPr>
              <w:spacing w:line="273" w:lineRule="exact"/>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以</w:t>
            </w:r>
            <w:r>
              <w:rPr>
                <w:rFonts w:hint="eastAsia" w:ascii="Times New Roman" w:hAnsi="Times New Roman" w:eastAsia="宋体" w:cs="Times New Roman"/>
                <w:spacing w:val="5"/>
                <w:sz w:val="20"/>
                <w:szCs w:val="20"/>
                <w:highlight w:val="none"/>
              </w:rPr>
              <w:t>厂址</w:t>
            </w:r>
            <w:r>
              <w:rPr>
                <w:rFonts w:hint="default" w:ascii="Times New Roman" w:hAnsi="Times New Roman" w:eastAsia="宋体" w:cs="Times New Roman"/>
                <w:spacing w:val="5"/>
                <w:sz w:val="20"/>
                <w:szCs w:val="20"/>
                <w:highlight w:val="none"/>
              </w:rPr>
              <w:t>为中心，</w:t>
            </w:r>
            <w:r>
              <w:rPr>
                <w:rFonts w:hint="eastAsia" w:ascii="Times New Roman" w:hAnsi="Times New Roman" w:eastAsia="宋体" w:cs="Times New Roman"/>
                <w:spacing w:val="5"/>
                <w:sz w:val="20"/>
                <w:szCs w:val="20"/>
                <w:highlight w:val="none"/>
              </w:rPr>
              <w:t>边长</w:t>
            </w:r>
            <w:r>
              <w:rPr>
                <w:rFonts w:hint="default" w:ascii="Times New Roman" w:hAnsi="Times New Roman" w:eastAsia="宋体" w:cs="Times New Roman"/>
                <w:spacing w:val="5"/>
                <w:sz w:val="20"/>
                <w:szCs w:val="20"/>
                <w:highlight w:val="none"/>
              </w:rPr>
              <w:t>为</w:t>
            </w:r>
            <w:r>
              <w:rPr>
                <w:rFonts w:hint="eastAsia" w:ascii="Times New Roman" w:hAnsi="Times New Roman" w:eastAsia="宋体" w:cs="Times New Roman"/>
                <w:spacing w:val="5"/>
                <w:sz w:val="20"/>
                <w:szCs w:val="20"/>
                <w:highlight w:val="none"/>
              </w:rPr>
              <w:t>5.0</w:t>
            </w:r>
            <w:r>
              <w:rPr>
                <w:rFonts w:hint="default" w:ascii="Times New Roman" w:hAnsi="Times New Roman" w:eastAsia="宋体" w:cs="Times New Roman"/>
                <w:spacing w:val="5"/>
                <w:sz w:val="20"/>
                <w:szCs w:val="20"/>
                <w:highlight w:val="none"/>
              </w:rPr>
              <w:t>km的</w:t>
            </w:r>
            <w:r>
              <w:rPr>
                <w:rFonts w:hint="eastAsia" w:ascii="Times New Roman" w:hAnsi="Times New Roman" w:eastAsia="宋体" w:cs="Times New Roman"/>
                <w:spacing w:val="5"/>
                <w:sz w:val="20"/>
                <w:szCs w:val="20"/>
                <w:highlight w:val="none"/>
              </w:rPr>
              <w:t>矩形</w:t>
            </w:r>
            <w:r>
              <w:rPr>
                <w:rFonts w:hint="default" w:ascii="Times New Roman" w:hAnsi="Times New Roman" w:eastAsia="宋体" w:cs="Times New Roman"/>
                <w:spacing w:val="5"/>
                <w:sz w:val="20"/>
                <w:szCs w:val="20"/>
                <w:highlight w:val="none"/>
              </w:rPr>
              <w:t>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89" w:type="dxa"/>
            <w:tcBorders>
              <w:left w:val="single" w:color="000000" w:sz="10" w:space="0"/>
            </w:tcBorders>
            <w:vAlign w:val="top"/>
          </w:tcPr>
          <w:p>
            <w:pPr>
              <w:spacing w:before="130" w:line="195" w:lineRule="auto"/>
              <w:ind w:left="38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352" w:type="dxa"/>
            <w:vAlign w:val="top"/>
          </w:tcPr>
          <w:p>
            <w:pPr>
              <w:spacing w:before="94" w:line="229" w:lineRule="auto"/>
              <w:ind w:left="36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声</w:t>
            </w:r>
            <w:r>
              <w:rPr>
                <w:rFonts w:hint="default" w:ascii="Times New Roman" w:hAnsi="Times New Roman" w:eastAsia="宋体" w:cs="Times New Roman"/>
                <w:spacing w:val="5"/>
                <w:sz w:val="20"/>
                <w:szCs w:val="20"/>
                <w:highlight w:val="none"/>
              </w:rPr>
              <w:t>环境</w:t>
            </w:r>
          </w:p>
        </w:tc>
        <w:tc>
          <w:tcPr>
            <w:tcW w:w="1140" w:type="dxa"/>
            <w:vAlign w:val="top"/>
          </w:tcPr>
          <w:p>
            <w:pPr>
              <w:spacing w:before="94" w:line="231" w:lineRule="auto"/>
              <w:ind w:left="36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二级</w:t>
            </w:r>
          </w:p>
        </w:tc>
        <w:tc>
          <w:tcPr>
            <w:tcW w:w="5150" w:type="dxa"/>
            <w:tcBorders>
              <w:right w:val="single" w:color="000000" w:sz="10" w:space="0"/>
            </w:tcBorders>
            <w:vAlign w:val="top"/>
          </w:tcPr>
          <w:p>
            <w:pPr>
              <w:spacing w:before="94" w:line="228" w:lineRule="auto"/>
              <w:ind w:left="113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 xml:space="preserve">本项目周围边界外延 </w:t>
            </w:r>
            <w:r>
              <w:rPr>
                <w:rFonts w:hint="default" w:ascii="Times New Roman" w:hAnsi="Times New Roman" w:eastAsia="Times New Roman" w:cs="Times New Roman"/>
                <w:spacing w:val="5"/>
                <w:sz w:val="20"/>
                <w:szCs w:val="20"/>
                <w:highlight w:val="none"/>
              </w:rPr>
              <w:t>200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 xml:space="preserve"> </w:t>
            </w:r>
            <w:r>
              <w:rPr>
                <w:rFonts w:hint="default" w:ascii="Times New Roman" w:hAnsi="Times New Roman" w:eastAsia="宋体" w:cs="Times New Roman"/>
                <w:spacing w:val="5"/>
                <w:sz w:val="20"/>
                <w:szCs w:val="20"/>
                <w:highlight w:val="none"/>
              </w:rPr>
              <w:t>范</w:t>
            </w:r>
            <w:r>
              <w:rPr>
                <w:rFonts w:hint="default" w:ascii="Times New Roman" w:hAnsi="Times New Roman" w:eastAsia="宋体" w:cs="Times New Roman"/>
                <w:spacing w:val="2"/>
                <w:sz w:val="20"/>
                <w:szCs w:val="20"/>
                <w:highlight w:val="none"/>
              </w:rPr>
              <w:t>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89" w:type="dxa"/>
            <w:tcBorders>
              <w:left w:val="single" w:color="000000" w:sz="10" w:space="0"/>
            </w:tcBorders>
            <w:vAlign w:val="top"/>
          </w:tcPr>
          <w:p>
            <w:pPr>
              <w:spacing w:before="130" w:line="195" w:lineRule="auto"/>
              <w:ind w:left="380"/>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3</w:t>
            </w:r>
          </w:p>
        </w:tc>
        <w:tc>
          <w:tcPr>
            <w:tcW w:w="1352" w:type="dxa"/>
            <w:vAlign w:val="top"/>
          </w:tcPr>
          <w:p>
            <w:pPr>
              <w:spacing w:before="94" w:line="229" w:lineRule="auto"/>
              <w:ind w:left="361"/>
              <w:rPr>
                <w:rFonts w:hint="eastAsia" w:ascii="Times New Roman" w:hAnsi="Times New Roman" w:eastAsia="宋体" w:cs="Times New Roman"/>
                <w:spacing w:val="6"/>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地表水</w:t>
            </w:r>
          </w:p>
        </w:tc>
        <w:tc>
          <w:tcPr>
            <w:tcW w:w="1140" w:type="dxa"/>
            <w:vAlign w:val="center"/>
          </w:tcPr>
          <w:p>
            <w:pPr>
              <w:spacing w:line="240" w:lineRule="auto"/>
              <w:ind w:firstLine="0" w:firstLineChars="0"/>
              <w:jc w:val="center"/>
              <w:rPr>
                <w:rFonts w:hint="default" w:ascii="Times New Roman" w:hAnsi="Times New Roman" w:eastAsia="宋体" w:cs="Times New Roman"/>
                <w:spacing w:val="3"/>
                <w:sz w:val="20"/>
                <w:szCs w:val="20"/>
                <w:highlight w:val="none"/>
              </w:rPr>
            </w:pPr>
            <w:r>
              <w:rPr>
                <w:rFonts w:hint="eastAsia" w:ascii="Times New Roman" w:hAnsi="Times New Roman" w:eastAsia="宋体" w:cs="Times New Roman"/>
                <w:spacing w:val="5"/>
                <w:sz w:val="20"/>
                <w:szCs w:val="20"/>
                <w:highlight w:val="none"/>
              </w:rPr>
              <w:t>三级B</w:t>
            </w:r>
          </w:p>
        </w:tc>
        <w:tc>
          <w:tcPr>
            <w:tcW w:w="5150" w:type="dxa"/>
            <w:tcBorders>
              <w:right w:val="single" w:color="000000" w:sz="10" w:space="0"/>
            </w:tcBorders>
            <w:vAlign w:val="center"/>
          </w:tcPr>
          <w:p>
            <w:pPr>
              <w:spacing w:line="240" w:lineRule="auto"/>
              <w:ind w:firstLine="0" w:firstLineChars="0"/>
              <w:jc w:val="center"/>
              <w:rPr>
                <w:rFonts w:hint="default" w:ascii="Times New Roman" w:hAnsi="Times New Roman" w:eastAsia="宋体" w:cs="Times New Roman"/>
                <w:spacing w:val="5"/>
                <w:sz w:val="20"/>
                <w:szCs w:val="20"/>
                <w:highlight w:val="none"/>
              </w:rPr>
            </w:pPr>
            <w:r>
              <w:rPr>
                <w:rFonts w:hint="eastAsia"/>
                <w:kern w:val="24"/>
                <w:sz w:val="21"/>
                <w:szCs w:val="21"/>
                <w:highlight w:val="none"/>
              </w:rPr>
              <w:t>依托水处理设施环境可行性分析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89" w:type="dxa"/>
            <w:tcBorders>
              <w:left w:val="single" w:color="000000" w:sz="10" w:space="0"/>
            </w:tcBorders>
            <w:vAlign w:val="top"/>
          </w:tcPr>
          <w:p>
            <w:pPr>
              <w:spacing w:line="256"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before="57" w:line="195" w:lineRule="auto"/>
              <w:ind w:left="384" w:leftChars="0"/>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4</w:t>
            </w:r>
          </w:p>
        </w:tc>
        <w:tc>
          <w:tcPr>
            <w:tcW w:w="1352" w:type="dxa"/>
            <w:vAlign w:val="top"/>
          </w:tcPr>
          <w:p>
            <w:pPr>
              <w:spacing w:line="468" w:lineRule="auto"/>
              <w:rPr>
                <w:rFonts w:hint="default" w:ascii="Times New Roman" w:hAnsi="Times New Roman" w:cs="Times New Roman"/>
                <w:sz w:val="21"/>
                <w:highlight w:val="none"/>
              </w:rPr>
            </w:pPr>
          </w:p>
          <w:p>
            <w:pPr>
              <w:spacing w:before="65" w:line="228" w:lineRule="auto"/>
              <w:ind w:left="357" w:leftChars="0"/>
              <w:rPr>
                <w:rFonts w:hint="eastAsia" w:ascii="Times New Roman" w:hAnsi="Times New Roman" w:eastAsia="宋体" w:cs="Times New Roman"/>
                <w:spacing w:val="6"/>
                <w:sz w:val="20"/>
                <w:szCs w:val="20"/>
                <w:highlight w:val="none"/>
                <w:lang w:val="en-US" w:eastAsia="zh-CN"/>
              </w:rPr>
            </w:pPr>
            <w:r>
              <w:rPr>
                <w:rFonts w:hint="default" w:ascii="Times New Roman" w:hAnsi="Times New Roman" w:eastAsia="宋体" w:cs="Times New Roman"/>
                <w:spacing w:val="7"/>
                <w:sz w:val="20"/>
                <w:szCs w:val="20"/>
                <w:highlight w:val="none"/>
              </w:rPr>
              <w:t>地下</w:t>
            </w:r>
            <w:r>
              <w:rPr>
                <w:rFonts w:hint="default" w:ascii="Times New Roman" w:hAnsi="Times New Roman" w:eastAsia="宋体" w:cs="Times New Roman"/>
                <w:spacing w:val="6"/>
                <w:sz w:val="20"/>
                <w:szCs w:val="20"/>
                <w:highlight w:val="none"/>
              </w:rPr>
              <w:t>水</w:t>
            </w:r>
          </w:p>
        </w:tc>
        <w:tc>
          <w:tcPr>
            <w:tcW w:w="1140" w:type="dxa"/>
            <w:vAlign w:val="top"/>
          </w:tcPr>
          <w:p>
            <w:pPr>
              <w:spacing w:line="467" w:lineRule="auto"/>
              <w:rPr>
                <w:rFonts w:hint="default" w:ascii="Times New Roman" w:hAnsi="Times New Roman" w:cs="Times New Roman"/>
                <w:sz w:val="21"/>
                <w:highlight w:val="none"/>
              </w:rPr>
            </w:pPr>
          </w:p>
          <w:p>
            <w:pPr>
              <w:spacing w:before="65" w:line="231" w:lineRule="auto"/>
              <w:ind w:left="364" w:leftChars="0"/>
              <w:rPr>
                <w:rFonts w:hint="eastAsia" w:ascii="Times New Roman" w:hAnsi="Times New Roman" w:eastAsia="宋体" w:cs="Times New Roman"/>
                <w:spacing w:val="5"/>
                <w:sz w:val="20"/>
                <w:szCs w:val="20"/>
                <w:highlight w:val="none"/>
              </w:rPr>
            </w:pPr>
            <w:r>
              <w:rPr>
                <w:rFonts w:hint="default" w:ascii="Times New Roman" w:hAnsi="Times New Roman" w:eastAsia="宋体" w:cs="Times New Roman"/>
                <w:spacing w:val="3"/>
                <w:sz w:val="20"/>
                <w:szCs w:val="20"/>
                <w:highlight w:val="none"/>
              </w:rPr>
              <w:t>二级</w:t>
            </w:r>
          </w:p>
        </w:tc>
        <w:tc>
          <w:tcPr>
            <w:tcW w:w="5150" w:type="dxa"/>
            <w:tcBorders>
              <w:right w:val="single" w:color="000000" w:sz="10" w:space="0"/>
            </w:tcBorders>
            <w:vAlign w:val="top"/>
          </w:tcPr>
          <w:p>
            <w:pPr>
              <w:spacing w:before="46" w:line="274" w:lineRule="exact"/>
              <w:ind w:left="15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position w:val="1"/>
                <w:sz w:val="20"/>
                <w:szCs w:val="20"/>
                <w:highlight w:val="none"/>
              </w:rPr>
              <w:t>总</w:t>
            </w:r>
            <w:r>
              <w:rPr>
                <w:rFonts w:hint="default" w:ascii="Times New Roman" w:hAnsi="Times New Roman" w:eastAsia="宋体" w:cs="Times New Roman"/>
                <w:spacing w:val="5"/>
                <w:position w:val="1"/>
                <w:sz w:val="20"/>
                <w:szCs w:val="20"/>
                <w:highlight w:val="none"/>
              </w:rPr>
              <w:t xml:space="preserve">面积约为 </w:t>
            </w:r>
            <w:r>
              <w:rPr>
                <w:rFonts w:hint="default" w:ascii="Times New Roman" w:hAnsi="Times New Roman" w:eastAsia="Times New Roman" w:cs="Times New Roman"/>
                <w:spacing w:val="5"/>
                <w:position w:val="1"/>
                <w:sz w:val="20"/>
                <w:szCs w:val="20"/>
                <w:highlight w:val="none"/>
              </w:rPr>
              <w:t>6.636</w:t>
            </w:r>
            <w:r>
              <w:rPr>
                <w:rFonts w:hint="default" w:ascii="Times New Roman" w:hAnsi="Times New Roman" w:eastAsia="Times New Roman" w:cs="Times New Roman"/>
                <w:position w:val="1"/>
                <w:sz w:val="20"/>
                <w:szCs w:val="20"/>
                <w:highlight w:val="none"/>
              </w:rPr>
              <w:t>km</w:t>
            </w:r>
            <w:r>
              <w:rPr>
                <w:rFonts w:hint="default" w:ascii="Times New Roman" w:hAnsi="Times New Roman" w:eastAsia="Times New Roman" w:cs="Times New Roman"/>
                <w:spacing w:val="5"/>
                <w:position w:val="7"/>
                <w:sz w:val="13"/>
                <w:szCs w:val="13"/>
                <w:highlight w:val="none"/>
              </w:rPr>
              <w:t xml:space="preserve">2 </w:t>
            </w:r>
            <w:r>
              <w:rPr>
                <w:rFonts w:hint="default" w:ascii="Times New Roman" w:hAnsi="Times New Roman" w:eastAsia="宋体" w:cs="Times New Roman"/>
                <w:spacing w:val="5"/>
                <w:position w:val="1"/>
                <w:sz w:val="20"/>
                <w:szCs w:val="20"/>
                <w:highlight w:val="none"/>
              </w:rPr>
              <w:t>，具体包含厂区在内，东北部边</w:t>
            </w:r>
          </w:p>
          <w:p>
            <w:pPr>
              <w:spacing w:before="78" w:line="228" w:lineRule="auto"/>
              <w:ind w:left="1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界为地下</w:t>
            </w:r>
            <w:r>
              <w:rPr>
                <w:rFonts w:hint="default" w:ascii="Times New Roman" w:hAnsi="Times New Roman" w:eastAsia="宋体" w:cs="Times New Roman"/>
                <w:spacing w:val="5"/>
                <w:sz w:val="20"/>
                <w:szCs w:val="20"/>
                <w:highlight w:val="none"/>
              </w:rPr>
              <w:t>水</w:t>
            </w:r>
            <w:r>
              <w:rPr>
                <w:rFonts w:hint="default" w:ascii="Times New Roman" w:hAnsi="Times New Roman" w:eastAsia="宋体" w:cs="Times New Roman"/>
                <w:spacing w:val="4"/>
                <w:sz w:val="20"/>
                <w:szCs w:val="20"/>
                <w:highlight w:val="none"/>
              </w:rPr>
              <w:t>流量边界 (为流入边界) ，南部边界也为流</w:t>
            </w:r>
          </w:p>
          <w:p>
            <w:pPr>
              <w:spacing w:before="72" w:line="228" w:lineRule="auto"/>
              <w:ind w:left="11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量边界 (地下水流出边界) ，西南和东南边界由于与</w:t>
            </w:r>
            <w:r>
              <w:rPr>
                <w:rFonts w:hint="default" w:ascii="Times New Roman" w:hAnsi="Times New Roman" w:eastAsia="宋体" w:cs="Times New Roman"/>
                <w:spacing w:val="1"/>
                <w:sz w:val="20"/>
                <w:szCs w:val="20"/>
                <w:highlight w:val="none"/>
              </w:rPr>
              <w:t>地</w:t>
            </w:r>
          </w:p>
          <w:p>
            <w:pPr>
              <w:spacing w:before="71" w:line="227" w:lineRule="auto"/>
              <w:ind w:left="800" w:leftChars="0"/>
              <w:rPr>
                <w:rFonts w:hint="eastAsia"/>
                <w:kern w:val="24"/>
                <w:sz w:val="21"/>
                <w:szCs w:val="21"/>
                <w:highlight w:val="none"/>
              </w:rPr>
            </w:pPr>
            <w:r>
              <w:rPr>
                <w:rFonts w:hint="default" w:ascii="Times New Roman" w:hAnsi="Times New Roman" w:eastAsia="宋体" w:cs="Times New Roman"/>
                <w:spacing w:val="10"/>
                <w:sz w:val="20"/>
                <w:szCs w:val="20"/>
                <w:highlight w:val="none"/>
              </w:rPr>
              <w:t>下</w:t>
            </w:r>
            <w:r>
              <w:rPr>
                <w:rFonts w:hint="default" w:ascii="Times New Roman" w:hAnsi="Times New Roman" w:eastAsia="宋体" w:cs="Times New Roman"/>
                <w:spacing w:val="9"/>
                <w:sz w:val="20"/>
                <w:szCs w:val="20"/>
                <w:highlight w:val="none"/>
              </w:rPr>
              <w:t>水等水位线相互垂直，为零</w:t>
            </w:r>
            <w:r>
              <w:rPr>
                <w:rFonts w:hint="eastAsia" w:ascii="Times New Roman" w:hAnsi="Times New Roman" w:eastAsia="宋体" w:cs="Times New Roman"/>
                <w:spacing w:val="9"/>
                <w:sz w:val="20"/>
                <w:szCs w:val="20"/>
                <w:highlight w:val="none"/>
                <w:lang w:val="en-US" w:eastAsia="zh-CN"/>
              </w:rPr>
              <w:t>流</w:t>
            </w:r>
            <w:r>
              <w:rPr>
                <w:rFonts w:hint="default" w:ascii="Times New Roman" w:hAnsi="Times New Roman" w:eastAsia="宋体" w:cs="Times New Roman"/>
                <w:spacing w:val="9"/>
                <w:sz w:val="20"/>
                <w:szCs w:val="20"/>
                <w:highlight w:val="none"/>
              </w:rPr>
              <w:t>量边界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889" w:type="dxa"/>
            <w:tcBorders>
              <w:left w:val="single" w:color="000000" w:sz="10" w:space="0"/>
            </w:tcBorders>
            <w:vAlign w:val="top"/>
          </w:tcPr>
          <w:p>
            <w:pPr>
              <w:spacing w:before="133" w:line="195" w:lineRule="auto"/>
              <w:ind w:left="379"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5</w:t>
            </w:r>
          </w:p>
        </w:tc>
        <w:tc>
          <w:tcPr>
            <w:tcW w:w="1352" w:type="dxa"/>
            <w:vAlign w:val="top"/>
          </w:tcPr>
          <w:p>
            <w:pPr>
              <w:spacing w:before="97" w:line="229" w:lineRule="auto"/>
              <w:ind w:left="256" w:leftChars="0"/>
              <w:rPr>
                <w:rFonts w:hint="default" w:ascii="Times New Roman" w:hAnsi="Times New Roman" w:eastAsia="宋体" w:cs="Times New Roman"/>
                <w:snapToGrid w:val="0"/>
                <w:color w:val="000000"/>
                <w:kern w:val="0"/>
                <w:sz w:val="20"/>
                <w:szCs w:val="20"/>
                <w:highlight w:val="none"/>
              </w:rPr>
            </w:pPr>
            <w:r>
              <w:rPr>
                <w:rFonts w:hint="eastAsia" w:ascii="Times New Roman" w:hAnsi="Times New Roman" w:eastAsia="宋体" w:cs="Times New Roman"/>
                <w:spacing w:val="7"/>
                <w:sz w:val="20"/>
                <w:szCs w:val="20"/>
                <w:highlight w:val="none"/>
                <w:lang w:val="en-US" w:eastAsia="zh-CN"/>
              </w:rPr>
              <w:t>土壤</w:t>
            </w:r>
            <w:r>
              <w:rPr>
                <w:rFonts w:hint="default" w:ascii="Times New Roman" w:hAnsi="Times New Roman" w:eastAsia="宋体" w:cs="Times New Roman"/>
                <w:spacing w:val="7"/>
                <w:sz w:val="20"/>
                <w:szCs w:val="20"/>
                <w:highlight w:val="none"/>
              </w:rPr>
              <w:t>环</w:t>
            </w:r>
            <w:r>
              <w:rPr>
                <w:rFonts w:hint="default" w:ascii="Times New Roman" w:hAnsi="Times New Roman" w:eastAsia="宋体" w:cs="Times New Roman"/>
                <w:spacing w:val="6"/>
                <w:sz w:val="20"/>
                <w:szCs w:val="20"/>
                <w:highlight w:val="none"/>
              </w:rPr>
              <w:t>境</w:t>
            </w:r>
          </w:p>
        </w:tc>
        <w:tc>
          <w:tcPr>
            <w:tcW w:w="1140" w:type="dxa"/>
            <w:vAlign w:val="top"/>
          </w:tcPr>
          <w:p>
            <w:pPr>
              <w:spacing w:before="97" w:line="231" w:lineRule="auto"/>
              <w:ind w:firstLine="420" w:firstLineChars="20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三级</w:t>
            </w:r>
          </w:p>
        </w:tc>
        <w:tc>
          <w:tcPr>
            <w:tcW w:w="5150" w:type="dxa"/>
            <w:tcBorders>
              <w:right w:val="single" w:color="000000" w:sz="10" w:space="0"/>
            </w:tcBorders>
            <w:vAlign w:val="top"/>
          </w:tcPr>
          <w:p>
            <w:pPr>
              <w:spacing w:before="97" w:line="228" w:lineRule="auto"/>
              <w:ind w:firstLine="840" w:firstLineChars="40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cs="Times New Roman"/>
                <w:sz w:val="21"/>
                <w:szCs w:val="21"/>
                <w:highlight w:val="none"/>
              </w:rPr>
              <w:t>占地范围及厂界外0.05m范围内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889" w:type="dxa"/>
            <w:tcBorders>
              <w:left w:val="single" w:color="000000" w:sz="10" w:space="0"/>
            </w:tcBorders>
            <w:vAlign w:val="top"/>
          </w:tcPr>
          <w:p>
            <w:pPr>
              <w:spacing w:before="133" w:line="195" w:lineRule="auto"/>
              <w:ind w:left="379"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6</w:t>
            </w:r>
          </w:p>
        </w:tc>
        <w:tc>
          <w:tcPr>
            <w:tcW w:w="1352" w:type="dxa"/>
            <w:vAlign w:val="top"/>
          </w:tcPr>
          <w:p>
            <w:pPr>
              <w:spacing w:before="97" w:line="229" w:lineRule="auto"/>
              <w:ind w:left="256"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7"/>
                <w:sz w:val="20"/>
                <w:szCs w:val="20"/>
                <w:highlight w:val="none"/>
              </w:rPr>
              <w:t>生态环</w:t>
            </w:r>
            <w:r>
              <w:rPr>
                <w:rFonts w:hint="default" w:ascii="Times New Roman" w:hAnsi="Times New Roman" w:eastAsia="宋体" w:cs="Times New Roman"/>
                <w:spacing w:val="6"/>
                <w:sz w:val="20"/>
                <w:szCs w:val="20"/>
                <w:highlight w:val="none"/>
              </w:rPr>
              <w:t>境</w:t>
            </w:r>
          </w:p>
        </w:tc>
        <w:tc>
          <w:tcPr>
            <w:tcW w:w="1140" w:type="dxa"/>
            <w:vAlign w:val="top"/>
          </w:tcPr>
          <w:p>
            <w:pPr>
              <w:spacing w:before="97" w:line="231" w:lineRule="auto"/>
              <w:ind w:firstLine="210" w:firstLineChars="10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简单分析</w:t>
            </w:r>
          </w:p>
        </w:tc>
        <w:tc>
          <w:tcPr>
            <w:tcW w:w="5150" w:type="dxa"/>
            <w:tcBorders>
              <w:right w:val="single" w:color="000000" w:sz="10" w:space="0"/>
            </w:tcBorders>
            <w:vAlign w:val="top"/>
          </w:tcPr>
          <w:p>
            <w:pPr>
              <w:spacing w:before="97" w:line="228" w:lineRule="auto"/>
              <w:ind w:left="1151"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本</w:t>
            </w:r>
            <w:r>
              <w:rPr>
                <w:rFonts w:hint="default" w:ascii="Times New Roman" w:hAnsi="Times New Roman" w:eastAsia="宋体" w:cs="Times New Roman"/>
                <w:spacing w:val="6"/>
                <w:sz w:val="20"/>
                <w:szCs w:val="20"/>
                <w:highlight w:val="none"/>
              </w:rPr>
              <w:t>项目占地范围内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889" w:type="dxa"/>
            <w:tcBorders>
              <w:left w:val="single" w:color="000000" w:sz="10" w:space="0"/>
            </w:tcBorders>
            <w:vAlign w:val="top"/>
          </w:tcPr>
          <w:p>
            <w:pPr>
              <w:spacing w:before="133" w:line="195" w:lineRule="auto"/>
              <w:ind w:left="379"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pacing w:val="1"/>
                <w:sz w:val="20"/>
                <w:szCs w:val="20"/>
                <w:highlight w:val="none"/>
                <w:lang w:val="en-US" w:eastAsia="zh-CN"/>
              </w:rPr>
              <w:t>7</w:t>
            </w:r>
          </w:p>
        </w:tc>
        <w:tc>
          <w:tcPr>
            <w:tcW w:w="1352" w:type="dxa"/>
            <w:vAlign w:val="top"/>
          </w:tcPr>
          <w:p>
            <w:pPr>
              <w:spacing w:before="97" w:line="229" w:lineRule="auto"/>
              <w:ind w:left="256"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7"/>
                <w:sz w:val="20"/>
                <w:szCs w:val="20"/>
                <w:highlight w:val="none"/>
                <w:lang w:val="en-US" w:eastAsia="zh-CN"/>
              </w:rPr>
              <w:t>环境风险</w:t>
            </w:r>
          </w:p>
        </w:tc>
        <w:tc>
          <w:tcPr>
            <w:tcW w:w="1140" w:type="dxa"/>
            <w:vAlign w:val="top"/>
          </w:tcPr>
          <w:p>
            <w:pPr>
              <w:spacing w:before="97" w:line="231" w:lineRule="auto"/>
              <w:ind w:firstLine="210" w:firstLineChars="10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简单分析</w:t>
            </w:r>
          </w:p>
        </w:tc>
        <w:tc>
          <w:tcPr>
            <w:tcW w:w="5150" w:type="dxa"/>
            <w:tcBorders>
              <w:right w:val="single" w:color="000000" w:sz="10" w:space="0"/>
            </w:tcBorders>
            <w:vAlign w:val="top"/>
          </w:tcPr>
          <w:p>
            <w:pPr>
              <w:spacing w:before="97" w:line="228" w:lineRule="auto"/>
              <w:ind w:left="1151" w:leftChars="0" w:firstLine="1296" w:firstLineChars="60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pacing w:val="8"/>
                <w:sz w:val="20"/>
                <w:szCs w:val="20"/>
                <w:highlight w:val="none"/>
                <w:lang w:eastAsia="zh-CN"/>
              </w:rPr>
              <w:t>—</w:t>
            </w:r>
          </w:p>
        </w:tc>
      </w:tr>
    </w:tbl>
    <w:p>
      <w:pPr>
        <w:spacing w:before="272" w:line="219" w:lineRule="auto"/>
        <w:ind w:left="129"/>
        <w:outlineLvl w:val="1"/>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pPr>
      <w:bookmarkStart w:id="98" w:name="_Toc6758"/>
      <w:bookmarkStart w:id="99" w:name="_Toc26883"/>
      <w:bookmarkStart w:id="100" w:name="_Toc14477"/>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pict>
          <v:rect id="_x0000_s1067" o:spid="_x0000_s1067" o:spt="1" style="position:absolute;left:0pt;margin-left:89.85pt;margin-top:774.95pt;height:0.75pt;width:415.65pt;mso-position-horizontal-relative:page;mso-position-vertical-relative:page;z-index:251677696;mso-width-relative:page;mso-height-relative:page;" fillcolor="#000000" filled="t" stroked="f" coordsize="21600,21600" o:allowincell="f">
            <v:path/>
            <v:fill on="t" focussize="0,0"/>
            <v:stroke on="f"/>
            <v:imagedata o:title=""/>
            <o:lock v:ext="edit"/>
            <v:textbox>
              <w:txbxContent>
                <w:p/>
              </w:txbxContent>
            </v:textbox>
          </v:rect>
        </w:pic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pict>
          <v:rect id="_x0000_s1068" o:spid="_x0000_s1068" o:spt="1" style="position:absolute;left:0pt;margin-left:89.85pt;margin-top:776.35pt;height:2.9pt;width:415.65pt;mso-position-horizontal-relative:page;mso-position-vertical-relative:page;z-index:251676672;mso-width-relative:page;mso-height-relative:page;" fillcolor="#000000" filled="t" stroked="f" coordsize="21600,21600" o:allowincell="f">
            <v:path/>
            <v:fill on="t" focussize="0,0"/>
            <v:stroke on="f"/>
            <v:imagedata o:title=""/>
            <o:lock v:ext="edit"/>
            <v:textbox>
              <w:txbxContent>
                <w:p/>
              </w:txbxContent>
            </v:textbox>
          </v:rect>
        </w:pic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pict>
          <v:shape id="_x0000_s1069" o:spid="_x0000_s1069" style="position:absolute;left:0pt;margin-left:89.85pt;margin-top:60.75pt;height:0.75pt;width:415.65pt;mso-position-horizontal-relative:page;mso-position-vertical-relative:page;z-index:251678720;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2.5  环境保护目标确定</w:t>
      </w:r>
      <w:bookmarkEnd w:id="98"/>
      <w:bookmarkEnd w:id="99"/>
      <w:bookmarkEnd w:id="100"/>
    </w:p>
    <w:p>
      <w:pPr>
        <w:spacing w:before="75" w:line="401" w:lineRule="auto"/>
        <w:ind w:left="128" w:right="90"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评价区</w:t>
      </w:r>
      <w:r>
        <w:rPr>
          <w:rFonts w:hint="default" w:ascii="Times New Roman" w:hAnsi="Times New Roman" w:eastAsia="宋体" w:cs="Times New Roman"/>
          <w:spacing w:val="6"/>
          <w:sz w:val="23"/>
          <w:szCs w:val="23"/>
          <w:highlight w:val="none"/>
        </w:rPr>
        <w:t>域</w:t>
      </w:r>
      <w:r>
        <w:rPr>
          <w:rFonts w:hint="default" w:ascii="Times New Roman" w:hAnsi="Times New Roman" w:eastAsia="宋体" w:cs="Times New Roman"/>
          <w:spacing w:val="4"/>
          <w:sz w:val="23"/>
          <w:szCs w:val="23"/>
          <w:highlight w:val="none"/>
        </w:rPr>
        <w:t>内没有珍稀动植物资源、 自然保护区、饮用水源保护区等敏感区，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本项目所在区域高程为</w:t>
      </w:r>
      <w:r>
        <w:rPr>
          <w:rFonts w:hint="default" w:ascii="Times New Roman" w:hAnsi="Times New Roman" w:eastAsia="Times New Roman" w:cs="Times New Roman"/>
          <w:spacing w:val="7"/>
          <w:sz w:val="23"/>
          <w:szCs w:val="23"/>
          <w:highlight w:val="none"/>
        </w:rPr>
        <w:t>74</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，根据本项目性质及周围环境特征，确定评价范围</w:t>
      </w:r>
      <w:r>
        <w:rPr>
          <w:rFonts w:hint="default" w:ascii="Times New Roman" w:hAnsi="Times New Roman" w:eastAsia="宋体" w:cs="Times New Roman"/>
          <w:spacing w:val="4"/>
          <w:sz w:val="23"/>
          <w:szCs w:val="23"/>
          <w:highlight w:val="none"/>
        </w:rPr>
        <w:t>及</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5"/>
          <w:sz w:val="23"/>
          <w:szCs w:val="23"/>
          <w:highlight w:val="none"/>
        </w:rPr>
        <w:t>运</w:t>
      </w:r>
      <w:r>
        <w:rPr>
          <w:rFonts w:hint="default" w:ascii="Times New Roman" w:hAnsi="Times New Roman" w:eastAsia="宋体" w:cs="Times New Roman"/>
          <w:spacing w:val="19"/>
          <w:sz w:val="23"/>
          <w:szCs w:val="23"/>
          <w:highlight w:val="none"/>
        </w:rPr>
        <w:t>输路线两侧</w:t>
      </w:r>
      <w:r>
        <w:rPr>
          <w:rFonts w:hint="default" w:ascii="Times New Roman" w:hAnsi="Times New Roman" w:eastAsia="Times New Roman" w:cs="Times New Roman"/>
          <w:spacing w:val="19"/>
          <w:sz w:val="23"/>
          <w:szCs w:val="23"/>
          <w:highlight w:val="none"/>
        </w:rPr>
        <w:t>200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19"/>
          <w:sz w:val="23"/>
          <w:szCs w:val="23"/>
          <w:highlight w:val="none"/>
        </w:rPr>
        <w:t>内居民点作为大气环境保护对象，厂界外及运输路线两侧</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4"/>
          <w:sz w:val="23"/>
          <w:szCs w:val="23"/>
          <w:highlight w:val="none"/>
        </w:rPr>
        <w:t>2</w:t>
      </w:r>
      <w:r>
        <w:rPr>
          <w:rFonts w:hint="default" w:ascii="Times New Roman" w:hAnsi="Times New Roman" w:eastAsia="Times New Roman" w:cs="Times New Roman"/>
          <w:spacing w:val="12"/>
          <w:sz w:val="23"/>
          <w:szCs w:val="23"/>
          <w:highlight w:val="none"/>
        </w:rPr>
        <w:t>00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12"/>
          <w:sz w:val="23"/>
          <w:szCs w:val="23"/>
          <w:highlight w:val="none"/>
        </w:rPr>
        <w:t>内居民点作为声环境保护对象，区域地下水为地下水保护对象，主要环境</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保护对象及其保护目标见表</w:t>
      </w:r>
      <w:r>
        <w:rPr>
          <w:rFonts w:hint="default" w:ascii="Times New Roman" w:hAnsi="Times New Roman" w:eastAsia="Times New Roman" w:cs="Times New Roman"/>
          <w:spacing w:val="9"/>
          <w:sz w:val="23"/>
          <w:szCs w:val="23"/>
          <w:highlight w:val="none"/>
        </w:rPr>
        <w:t>2.5</w:t>
      </w:r>
      <w:r>
        <w:rPr>
          <w:rFonts w:hint="eastAsia" w:ascii="Times New Roman" w:hAnsi="Times New Roman" w:eastAsia="宋体" w:cs="Times New Roman"/>
          <w:spacing w:val="9"/>
          <w:sz w:val="23"/>
          <w:szCs w:val="23"/>
          <w:highlight w:val="none"/>
          <w:lang w:val="en-US" w:eastAsia="zh-CN"/>
        </w:rPr>
        <w:t>-</w:t>
      </w:r>
      <w:r>
        <w:rPr>
          <w:rFonts w:hint="default" w:ascii="Times New Roman" w:hAnsi="Times New Roman" w:eastAsia="Times New Roman" w:cs="Times New Roman"/>
          <w:spacing w:val="9"/>
          <w:sz w:val="23"/>
          <w:szCs w:val="23"/>
          <w:highlight w:val="none"/>
        </w:rPr>
        <w:t xml:space="preserve">1 </w:t>
      </w:r>
      <w:r>
        <w:rPr>
          <w:rFonts w:hint="default" w:ascii="Times New Roman" w:hAnsi="Times New Roman" w:eastAsia="宋体" w:cs="Times New Roman"/>
          <w:spacing w:val="9"/>
          <w:sz w:val="23"/>
          <w:szCs w:val="23"/>
          <w:highlight w:val="none"/>
        </w:rPr>
        <w:t>，其中皮各庄村即为项目运行过程中的保护目</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标，也是物料运输过程的保护目标。</w:t>
      </w:r>
    </w:p>
    <w:p>
      <w:pPr>
        <w:spacing w:line="228" w:lineRule="auto"/>
        <w:ind w:left="178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10"/>
          <w:sz w:val="23"/>
          <w:szCs w:val="23"/>
          <w:highlight w:val="none"/>
        </w:rPr>
        <w:t xml:space="preserve"> </w:t>
      </w:r>
      <w:r>
        <w:rPr>
          <w:rFonts w:hint="default" w:ascii="Times New Roman" w:hAnsi="Times New Roman" w:eastAsia="Times New Roman" w:cs="Times New Roman"/>
          <w:b/>
          <w:bCs/>
          <w:spacing w:val="6"/>
          <w:sz w:val="23"/>
          <w:szCs w:val="23"/>
          <w:highlight w:val="none"/>
        </w:rPr>
        <w:t>2</w:t>
      </w:r>
      <w:r>
        <w:rPr>
          <w:rFonts w:hint="default" w:ascii="Times New Roman" w:hAnsi="Times New Roman" w:eastAsia="Times New Roman" w:cs="Times New Roman"/>
          <w:b/>
          <w:bCs/>
          <w:spacing w:val="5"/>
          <w:sz w:val="23"/>
          <w:szCs w:val="23"/>
          <w:highlight w:val="none"/>
        </w:rPr>
        <w:t>.5-1</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环境保护对象及环境保护目标一览表</w:t>
      </w:r>
    </w:p>
    <w:p>
      <w:pPr>
        <w:spacing w:line="20" w:lineRule="exact"/>
        <w:rPr>
          <w:rFonts w:hint="default" w:ascii="Times New Roman" w:hAnsi="Times New Roman" w:cs="Times New Roman"/>
          <w:highlight w:val="none"/>
        </w:rPr>
      </w:pPr>
    </w:p>
    <w:tbl>
      <w:tblPr>
        <w:tblStyle w:val="19"/>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1"/>
        <w:gridCol w:w="1545"/>
        <w:gridCol w:w="673"/>
        <w:gridCol w:w="1545"/>
        <w:gridCol w:w="636"/>
        <w:gridCol w:w="947"/>
        <w:gridCol w:w="897"/>
        <w:gridCol w:w="16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657" w:type="dxa"/>
            <w:tcBorders>
              <w:left w:val="single" w:color="000000" w:sz="10" w:space="0"/>
            </w:tcBorders>
            <w:vAlign w:val="top"/>
          </w:tcPr>
          <w:p>
            <w:pPr>
              <w:spacing w:before="191" w:line="267" w:lineRule="auto"/>
              <w:ind w:left="108" w:right="12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环</w:t>
            </w:r>
            <w:r>
              <w:rPr>
                <w:rFonts w:hint="default" w:ascii="Times New Roman" w:hAnsi="Times New Roman" w:eastAsia="宋体" w:cs="Times New Roman"/>
                <w:spacing w:val="4"/>
                <w:sz w:val="20"/>
                <w:szCs w:val="20"/>
                <w:highlight w:val="none"/>
              </w:rPr>
              <w:t>境</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4"/>
                <w:sz w:val="20"/>
                <w:szCs w:val="20"/>
                <w:highlight w:val="none"/>
              </w:rPr>
              <w:t>要素</w:t>
            </w:r>
          </w:p>
        </w:tc>
        <w:tc>
          <w:tcPr>
            <w:tcW w:w="1546" w:type="dxa"/>
            <w:gridSpan w:val="2"/>
            <w:vAlign w:val="top"/>
          </w:tcPr>
          <w:p>
            <w:pPr>
              <w:spacing w:line="261" w:lineRule="auto"/>
              <w:rPr>
                <w:rFonts w:hint="default" w:ascii="Times New Roman" w:hAnsi="Times New Roman" w:cs="Times New Roman"/>
                <w:sz w:val="21"/>
                <w:highlight w:val="none"/>
              </w:rPr>
            </w:pPr>
          </w:p>
          <w:p>
            <w:pPr>
              <w:spacing w:before="65" w:line="229" w:lineRule="auto"/>
              <w:ind w:left="35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保护目标</w:t>
            </w:r>
          </w:p>
        </w:tc>
        <w:tc>
          <w:tcPr>
            <w:tcW w:w="673" w:type="dxa"/>
            <w:vAlign w:val="top"/>
          </w:tcPr>
          <w:p>
            <w:pPr>
              <w:spacing w:line="261" w:lineRule="auto"/>
              <w:rPr>
                <w:rFonts w:hint="default" w:ascii="Times New Roman" w:hAnsi="Times New Roman" w:cs="Times New Roman"/>
                <w:sz w:val="21"/>
                <w:highlight w:val="none"/>
              </w:rPr>
            </w:pPr>
          </w:p>
          <w:p>
            <w:pPr>
              <w:spacing w:before="65" w:line="230" w:lineRule="auto"/>
              <w:ind w:left="1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方位</w:t>
            </w:r>
          </w:p>
        </w:tc>
        <w:tc>
          <w:tcPr>
            <w:tcW w:w="1545" w:type="dxa"/>
            <w:vAlign w:val="top"/>
          </w:tcPr>
          <w:p>
            <w:pPr>
              <w:spacing w:before="57" w:line="236" w:lineRule="auto"/>
              <w:ind w:left="145" w:right="143" w:firstLine="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厂界 (车间)</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0"/>
                <w:sz w:val="20"/>
                <w:szCs w:val="20"/>
                <w:highlight w:val="none"/>
              </w:rPr>
              <w:t>距</w:t>
            </w:r>
            <w:r>
              <w:rPr>
                <w:rFonts w:hint="default" w:ascii="Times New Roman" w:hAnsi="Times New Roman" w:eastAsia="宋体" w:cs="Times New Roman"/>
                <w:spacing w:val="8"/>
                <w:sz w:val="20"/>
                <w:szCs w:val="20"/>
                <w:highlight w:val="none"/>
              </w:rPr>
              <w:t>离敏感点的</w:t>
            </w:r>
          </w:p>
          <w:p>
            <w:pPr>
              <w:spacing w:line="274" w:lineRule="exact"/>
              <w:ind w:left="455"/>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7"/>
                <w:position w:val="1"/>
                <w:sz w:val="20"/>
                <w:szCs w:val="20"/>
                <w:highlight w:val="none"/>
              </w:rPr>
              <w:t>距离</w:t>
            </w:r>
            <w:r>
              <w:rPr>
                <w:rFonts w:hint="default" w:ascii="Times New Roman" w:hAnsi="Times New Roman" w:eastAsia="Times New Roman" w:cs="Times New Roman"/>
                <w:spacing w:val="7"/>
                <w:position w:val="1"/>
                <w:sz w:val="20"/>
                <w:szCs w:val="20"/>
                <w:highlight w:val="none"/>
              </w:rPr>
              <w:t>/</w:t>
            </w:r>
            <w:r>
              <w:rPr>
                <w:rFonts w:hint="default" w:ascii="Times New Roman" w:hAnsi="Times New Roman" w:eastAsia="Times New Roman" w:cs="Times New Roman"/>
                <w:position w:val="1"/>
                <w:sz w:val="20"/>
                <w:szCs w:val="20"/>
                <w:highlight w:val="none"/>
              </w:rPr>
              <w:t>m</w:t>
            </w:r>
          </w:p>
        </w:tc>
        <w:tc>
          <w:tcPr>
            <w:tcW w:w="636" w:type="dxa"/>
            <w:vAlign w:val="top"/>
          </w:tcPr>
          <w:p>
            <w:pPr>
              <w:spacing w:line="262" w:lineRule="auto"/>
              <w:rPr>
                <w:rFonts w:hint="default" w:ascii="Times New Roman" w:hAnsi="Times New Roman" w:cs="Times New Roman"/>
                <w:sz w:val="21"/>
                <w:highlight w:val="none"/>
              </w:rPr>
            </w:pPr>
          </w:p>
          <w:p>
            <w:pPr>
              <w:spacing w:before="65" w:line="228" w:lineRule="auto"/>
              <w:ind w:left="11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人</w:t>
            </w:r>
            <w:r>
              <w:rPr>
                <w:rFonts w:hint="default" w:ascii="Times New Roman" w:hAnsi="Times New Roman" w:eastAsia="宋体" w:cs="Times New Roman"/>
                <w:spacing w:val="3"/>
                <w:sz w:val="20"/>
                <w:szCs w:val="20"/>
                <w:highlight w:val="none"/>
              </w:rPr>
              <w:t>数</w:t>
            </w:r>
          </w:p>
        </w:tc>
        <w:tc>
          <w:tcPr>
            <w:tcW w:w="947" w:type="dxa"/>
            <w:vAlign w:val="top"/>
          </w:tcPr>
          <w:p>
            <w:pPr>
              <w:spacing w:before="297" w:line="274" w:lineRule="exact"/>
              <w:ind w:left="167"/>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5"/>
                <w:position w:val="1"/>
                <w:sz w:val="20"/>
                <w:szCs w:val="20"/>
                <w:highlight w:val="none"/>
              </w:rPr>
              <w:t>高程</w:t>
            </w:r>
            <w:r>
              <w:rPr>
                <w:rFonts w:hint="default" w:ascii="Times New Roman" w:hAnsi="Times New Roman" w:eastAsia="Times New Roman" w:cs="Times New Roman"/>
                <w:spacing w:val="5"/>
                <w:position w:val="1"/>
                <w:sz w:val="20"/>
                <w:szCs w:val="20"/>
                <w:highlight w:val="none"/>
              </w:rPr>
              <w:t>/</w:t>
            </w:r>
            <w:r>
              <w:rPr>
                <w:rFonts w:hint="default" w:ascii="Times New Roman" w:hAnsi="Times New Roman" w:eastAsia="Times New Roman" w:cs="Times New Roman"/>
                <w:position w:val="1"/>
                <w:sz w:val="20"/>
                <w:szCs w:val="20"/>
                <w:highlight w:val="none"/>
              </w:rPr>
              <w:t>m</w:t>
            </w:r>
          </w:p>
        </w:tc>
        <w:tc>
          <w:tcPr>
            <w:tcW w:w="897" w:type="dxa"/>
            <w:vAlign w:val="top"/>
          </w:tcPr>
          <w:p>
            <w:pPr>
              <w:spacing w:line="261" w:lineRule="auto"/>
              <w:rPr>
                <w:rFonts w:hint="default" w:ascii="Times New Roman" w:hAnsi="Times New Roman" w:cs="Times New Roman"/>
                <w:sz w:val="21"/>
                <w:highlight w:val="none"/>
              </w:rPr>
            </w:pPr>
          </w:p>
          <w:p>
            <w:pPr>
              <w:spacing w:before="65" w:line="230" w:lineRule="auto"/>
              <w:ind w:left="25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功能</w:t>
            </w:r>
          </w:p>
        </w:tc>
        <w:tc>
          <w:tcPr>
            <w:tcW w:w="1630" w:type="dxa"/>
            <w:tcBorders>
              <w:right w:val="single" w:color="000000" w:sz="10" w:space="0"/>
            </w:tcBorders>
            <w:vAlign w:val="top"/>
          </w:tcPr>
          <w:p>
            <w:pPr>
              <w:spacing w:line="261" w:lineRule="auto"/>
              <w:rPr>
                <w:rFonts w:hint="default" w:ascii="Times New Roman" w:hAnsi="Times New Roman" w:cs="Times New Roman"/>
                <w:sz w:val="21"/>
                <w:highlight w:val="none"/>
              </w:rPr>
            </w:pPr>
          </w:p>
          <w:p>
            <w:pPr>
              <w:spacing w:before="65" w:line="229" w:lineRule="auto"/>
              <w:ind w:left="40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保护级别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restart"/>
            <w:tcBorders>
              <w:left w:val="single" w:color="000000" w:sz="10" w:space="0"/>
              <w:bottom w:val="nil"/>
            </w:tcBorders>
            <w:vAlign w:val="top"/>
          </w:tcPr>
          <w:p>
            <w:pPr>
              <w:spacing w:line="250" w:lineRule="auto"/>
              <w:rPr>
                <w:rFonts w:hint="default" w:ascii="Times New Roman" w:hAnsi="Times New Roman" w:cs="Times New Roman"/>
                <w:sz w:val="21"/>
                <w:highlight w:val="none"/>
              </w:rPr>
            </w:pPr>
          </w:p>
          <w:p>
            <w:pPr>
              <w:spacing w:line="250" w:lineRule="auto"/>
              <w:rPr>
                <w:rFonts w:hint="default" w:ascii="Times New Roman" w:hAnsi="Times New Roman" w:cs="Times New Roman"/>
                <w:sz w:val="21"/>
                <w:highlight w:val="none"/>
              </w:rPr>
            </w:pPr>
          </w:p>
          <w:p>
            <w:pPr>
              <w:spacing w:line="250" w:lineRule="auto"/>
              <w:rPr>
                <w:rFonts w:hint="default" w:ascii="Times New Roman" w:hAnsi="Times New Roman" w:cs="Times New Roman"/>
                <w:sz w:val="21"/>
                <w:highlight w:val="none"/>
              </w:rPr>
            </w:pPr>
          </w:p>
          <w:p>
            <w:pPr>
              <w:spacing w:line="250" w:lineRule="auto"/>
              <w:rPr>
                <w:rFonts w:hint="default" w:ascii="Times New Roman" w:hAnsi="Times New Roman" w:cs="Times New Roman"/>
                <w:sz w:val="21"/>
                <w:highlight w:val="none"/>
              </w:rPr>
            </w:pPr>
          </w:p>
          <w:p>
            <w:pPr>
              <w:spacing w:line="250" w:lineRule="auto"/>
              <w:rPr>
                <w:rFonts w:hint="default" w:ascii="Times New Roman" w:hAnsi="Times New Roman" w:cs="Times New Roman"/>
                <w:sz w:val="21"/>
                <w:highlight w:val="none"/>
              </w:rPr>
            </w:pPr>
          </w:p>
          <w:p>
            <w:pPr>
              <w:spacing w:line="250"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before="65" w:line="265" w:lineRule="auto"/>
              <w:ind w:left="108" w:right="123" w:firstLine="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大</w:t>
            </w:r>
            <w:r>
              <w:rPr>
                <w:rFonts w:hint="default" w:ascii="Times New Roman" w:hAnsi="Times New Roman" w:eastAsia="宋体" w:cs="Times New Roman"/>
                <w:spacing w:val="3"/>
                <w:sz w:val="20"/>
                <w:szCs w:val="20"/>
                <w:highlight w:val="none"/>
              </w:rPr>
              <w:t>气</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5"/>
                <w:sz w:val="20"/>
                <w:szCs w:val="20"/>
                <w:highlight w:val="none"/>
              </w:rPr>
              <w:t>环</w:t>
            </w:r>
            <w:r>
              <w:rPr>
                <w:rFonts w:hint="default" w:ascii="Times New Roman" w:hAnsi="Times New Roman" w:eastAsia="宋体" w:cs="Times New Roman"/>
                <w:spacing w:val="4"/>
                <w:sz w:val="20"/>
                <w:szCs w:val="20"/>
                <w:highlight w:val="none"/>
              </w:rPr>
              <w:t>境</w:t>
            </w:r>
          </w:p>
        </w:tc>
        <w:tc>
          <w:tcPr>
            <w:tcW w:w="1546" w:type="dxa"/>
            <w:gridSpan w:val="2"/>
            <w:vAlign w:val="top"/>
          </w:tcPr>
          <w:p>
            <w:pPr>
              <w:spacing w:before="94" w:line="228" w:lineRule="auto"/>
              <w:ind w:left="354" w:leftChars="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张家坟村</w:t>
            </w:r>
          </w:p>
        </w:tc>
        <w:tc>
          <w:tcPr>
            <w:tcW w:w="673" w:type="dxa"/>
            <w:vAlign w:val="top"/>
          </w:tcPr>
          <w:p>
            <w:pPr>
              <w:spacing w:before="134" w:line="192" w:lineRule="auto"/>
              <w:ind w:left="249" w:leftChars="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N</w:t>
            </w:r>
          </w:p>
        </w:tc>
        <w:tc>
          <w:tcPr>
            <w:tcW w:w="1545" w:type="dxa"/>
            <w:vAlign w:val="top"/>
          </w:tcPr>
          <w:p>
            <w:pPr>
              <w:spacing w:before="95" w:line="231" w:lineRule="auto"/>
              <w:ind w:left="270" w:leftChars="0"/>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
                <w:sz w:val="20"/>
                <w:szCs w:val="20"/>
                <w:highlight w:val="none"/>
              </w:rPr>
              <w:t xml:space="preserve">116  </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126</w:t>
            </w:r>
            <w:r>
              <w:rPr>
                <w:rFonts w:hint="default" w:ascii="Times New Roman" w:hAnsi="Times New Roman" w:eastAsia="宋体" w:cs="Times New Roman"/>
                <w:sz w:val="20"/>
                <w:szCs w:val="20"/>
                <w:highlight w:val="none"/>
              </w:rPr>
              <w:t>)</w:t>
            </w:r>
          </w:p>
        </w:tc>
        <w:tc>
          <w:tcPr>
            <w:tcW w:w="636" w:type="dxa"/>
            <w:vAlign w:val="top"/>
          </w:tcPr>
          <w:p>
            <w:pPr>
              <w:spacing w:before="131" w:line="195" w:lineRule="auto"/>
              <w:ind w:left="167" w:leftChars="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640</w:t>
            </w:r>
          </w:p>
        </w:tc>
        <w:tc>
          <w:tcPr>
            <w:tcW w:w="947" w:type="dxa"/>
            <w:vAlign w:val="top"/>
          </w:tcPr>
          <w:p>
            <w:pPr>
              <w:spacing w:before="131" w:line="195" w:lineRule="auto"/>
              <w:ind w:left="377" w:leftChars="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79</w:t>
            </w:r>
          </w:p>
        </w:tc>
        <w:tc>
          <w:tcPr>
            <w:tcW w:w="897" w:type="dxa"/>
            <w:vAlign w:val="top"/>
          </w:tcPr>
          <w:p>
            <w:pPr>
              <w:spacing w:before="94" w:line="228" w:lineRule="auto"/>
              <w:ind w:left="253"/>
              <w:rPr>
                <w:rFonts w:hint="default" w:ascii="Times New Roman" w:hAnsi="Times New Roman" w:eastAsia="宋体" w:cs="Times New Roman"/>
                <w:sz w:val="20"/>
                <w:szCs w:val="20"/>
                <w:highlight w:val="none"/>
              </w:rPr>
            </w:pPr>
          </w:p>
        </w:tc>
        <w:tc>
          <w:tcPr>
            <w:tcW w:w="1630" w:type="dxa"/>
            <w:vMerge w:val="restart"/>
            <w:tcBorders>
              <w:bottom w:val="nil"/>
              <w:right w:val="single" w:color="000000" w:sz="10" w:space="0"/>
            </w:tcBorders>
            <w:vAlign w:val="top"/>
          </w:tcPr>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before="65" w:line="228" w:lineRule="auto"/>
              <w:ind w:left="19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w:t>
            </w:r>
            <w:r>
              <w:rPr>
                <w:rFonts w:hint="default" w:ascii="Times New Roman" w:hAnsi="Times New Roman" w:eastAsia="宋体" w:cs="Times New Roman"/>
                <w:spacing w:val="7"/>
                <w:sz w:val="20"/>
                <w:szCs w:val="20"/>
                <w:highlight w:val="none"/>
              </w:rPr>
              <w:t>环境空气质</w:t>
            </w:r>
          </w:p>
          <w:p>
            <w:pPr>
              <w:spacing w:before="28" w:line="261" w:lineRule="auto"/>
              <w:ind w:left="180" w:right="145" w:firstLine="22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量标准》</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6"/>
                <w:sz w:val="20"/>
                <w:szCs w:val="20"/>
                <w:highlight w:val="none"/>
              </w:rPr>
              <w:t>(</w:t>
            </w:r>
            <w:r>
              <w:rPr>
                <w:rFonts w:hint="default" w:ascii="Times New Roman" w:hAnsi="Times New Roman" w:eastAsia="Times New Roman" w:cs="Times New Roman"/>
                <w:sz w:val="20"/>
                <w:szCs w:val="20"/>
                <w:highlight w:val="none"/>
              </w:rPr>
              <w:t>GB</w:t>
            </w:r>
            <w:r>
              <w:rPr>
                <w:rFonts w:hint="default" w:ascii="Times New Roman" w:hAnsi="Times New Roman" w:eastAsia="Times New Roman" w:cs="Times New Roman"/>
                <w:spacing w:val="16"/>
                <w:sz w:val="20"/>
                <w:szCs w:val="20"/>
                <w:highlight w:val="none"/>
              </w:rPr>
              <w:t>3095-201</w:t>
            </w:r>
            <w:r>
              <w:rPr>
                <w:rFonts w:hint="default" w:ascii="Times New Roman" w:hAnsi="Times New Roman" w:eastAsia="Times New Roman" w:cs="Times New Roman"/>
                <w:sz w:val="20"/>
                <w:szCs w:val="20"/>
                <w:highlight w:val="none"/>
              </w:rPr>
              <w:t xml:space="preserve"> </w:t>
            </w:r>
            <w:r>
              <w:rPr>
                <w:rFonts w:hint="default" w:ascii="Times New Roman" w:hAnsi="Times New Roman" w:eastAsia="Times New Roman" w:cs="Times New Roman"/>
                <w:spacing w:val="16"/>
                <w:sz w:val="20"/>
                <w:szCs w:val="20"/>
                <w:highlight w:val="none"/>
              </w:rPr>
              <w:t>2</w:t>
            </w:r>
            <w:r>
              <w:rPr>
                <w:rFonts w:hint="default" w:ascii="Times New Roman" w:hAnsi="Times New Roman" w:eastAsia="宋体" w:cs="Times New Roman"/>
                <w:spacing w:val="16"/>
                <w:sz w:val="20"/>
                <w:szCs w:val="20"/>
                <w:highlight w:val="none"/>
              </w:rPr>
              <w:t>) 二级标</w:t>
            </w:r>
            <w:r>
              <w:rPr>
                <w:rFonts w:hint="default" w:ascii="Times New Roman" w:hAnsi="Times New Roman" w:eastAsia="宋体" w:cs="Times New Roman"/>
                <w:spacing w:val="14"/>
                <w:sz w:val="20"/>
                <w:szCs w:val="20"/>
                <w:highlight w:val="none"/>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3" w:line="228" w:lineRule="auto"/>
              <w:ind w:left="35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李家沟</w:t>
            </w:r>
            <w:r>
              <w:rPr>
                <w:rFonts w:hint="default" w:ascii="Times New Roman" w:hAnsi="Times New Roman" w:eastAsia="宋体" w:cs="Times New Roman"/>
                <w:spacing w:val="6"/>
                <w:sz w:val="20"/>
                <w:szCs w:val="20"/>
                <w:highlight w:val="none"/>
              </w:rPr>
              <w:t>村</w:t>
            </w:r>
          </w:p>
        </w:tc>
        <w:tc>
          <w:tcPr>
            <w:tcW w:w="673" w:type="dxa"/>
            <w:vAlign w:val="top"/>
          </w:tcPr>
          <w:p>
            <w:pPr>
              <w:spacing w:before="132" w:line="192" w:lineRule="auto"/>
              <w:ind w:left="26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E</w:t>
            </w:r>
          </w:p>
        </w:tc>
        <w:tc>
          <w:tcPr>
            <w:tcW w:w="1545" w:type="dxa"/>
            <w:vAlign w:val="top"/>
          </w:tcPr>
          <w:p>
            <w:pPr>
              <w:spacing w:before="129" w:line="195" w:lineRule="auto"/>
              <w:ind w:left="62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620</w:t>
            </w:r>
          </w:p>
        </w:tc>
        <w:tc>
          <w:tcPr>
            <w:tcW w:w="636" w:type="dxa"/>
            <w:vAlign w:val="top"/>
          </w:tcPr>
          <w:p>
            <w:pPr>
              <w:spacing w:before="129" w:line="195" w:lineRule="auto"/>
              <w:ind w:left="16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460</w:t>
            </w:r>
          </w:p>
        </w:tc>
        <w:tc>
          <w:tcPr>
            <w:tcW w:w="947" w:type="dxa"/>
            <w:vAlign w:val="top"/>
          </w:tcPr>
          <w:p>
            <w:pPr>
              <w:spacing w:before="129" w:line="195" w:lineRule="auto"/>
              <w:ind w:left="3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8</w:t>
            </w:r>
            <w:r>
              <w:rPr>
                <w:rFonts w:hint="default" w:ascii="Times New Roman" w:hAnsi="Times New Roman" w:eastAsia="Times New Roman" w:cs="Times New Roman"/>
                <w:spacing w:val="-1"/>
                <w:sz w:val="20"/>
                <w:szCs w:val="20"/>
                <w:highlight w:val="none"/>
              </w:rPr>
              <w:t>8</w:t>
            </w:r>
          </w:p>
        </w:tc>
        <w:tc>
          <w:tcPr>
            <w:tcW w:w="897" w:type="dxa"/>
            <w:vMerge w:val="restart"/>
            <w:tcBorders>
              <w:top w:val="nil"/>
            </w:tcBorders>
            <w:vAlign w:val="top"/>
          </w:tcPr>
          <w:p>
            <w:pPr>
              <w:jc w:val="center"/>
              <w:rPr>
                <w:rFonts w:hint="eastAsia" w:ascii="Times New Roman" w:hAnsi="Times New Roman" w:eastAsia="宋体" w:cs="Times New Roman"/>
                <w:sz w:val="21"/>
                <w:highlight w:val="none"/>
                <w:lang w:val="en-US" w:eastAsia="zh-CN"/>
              </w:rPr>
            </w:pPr>
            <w:r>
              <w:rPr>
                <w:rFonts w:hint="eastAsia" w:ascii="Times New Roman" w:hAnsi="Times New Roman" w:eastAsia="宋体" w:cs="Times New Roman"/>
                <w:sz w:val="21"/>
                <w:highlight w:val="none"/>
                <w:lang w:val="en-US" w:eastAsia="zh-CN"/>
              </w:rPr>
              <w:t>居住</w:t>
            </w: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4" w:line="229" w:lineRule="auto"/>
              <w:ind w:left="45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碾盘</w:t>
            </w:r>
            <w:r>
              <w:rPr>
                <w:rFonts w:hint="default" w:ascii="Times New Roman" w:hAnsi="Times New Roman" w:eastAsia="宋体" w:cs="Times New Roman"/>
                <w:spacing w:val="6"/>
                <w:sz w:val="20"/>
                <w:szCs w:val="20"/>
                <w:highlight w:val="none"/>
              </w:rPr>
              <w:t>沟</w:t>
            </w:r>
          </w:p>
        </w:tc>
        <w:tc>
          <w:tcPr>
            <w:tcW w:w="673" w:type="dxa"/>
            <w:vAlign w:val="top"/>
          </w:tcPr>
          <w:p>
            <w:pPr>
              <w:spacing w:before="133" w:line="192" w:lineRule="auto"/>
              <w:ind w:left="26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E</w:t>
            </w:r>
          </w:p>
        </w:tc>
        <w:tc>
          <w:tcPr>
            <w:tcW w:w="1545" w:type="dxa"/>
            <w:vAlign w:val="top"/>
          </w:tcPr>
          <w:p>
            <w:pPr>
              <w:spacing w:before="130" w:line="195" w:lineRule="auto"/>
              <w:ind w:left="5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1910</w:t>
            </w:r>
          </w:p>
        </w:tc>
        <w:tc>
          <w:tcPr>
            <w:tcW w:w="636" w:type="dxa"/>
            <w:vAlign w:val="top"/>
          </w:tcPr>
          <w:p>
            <w:pPr>
              <w:spacing w:before="130" w:line="195" w:lineRule="auto"/>
              <w:ind w:left="1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3</w:t>
            </w:r>
            <w:r>
              <w:rPr>
                <w:rFonts w:hint="default" w:ascii="Times New Roman" w:hAnsi="Times New Roman" w:eastAsia="Times New Roman" w:cs="Times New Roman"/>
                <w:spacing w:val="2"/>
                <w:sz w:val="20"/>
                <w:szCs w:val="20"/>
                <w:highlight w:val="none"/>
              </w:rPr>
              <w:t>20</w:t>
            </w:r>
          </w:p>
        </w:tc>
        <w:tc>
          <w:tcPr>
            <w:tcW w:w="947" w:type="dxa"/>
            <w:vAlign w:val="top"/>
          </w:tcPr>
          <w:p>
            <w:pPr>
              <w:spacing w:before="130" w:line="195" w:lineRule="auto"/>
              <w:ind w:left="3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9</w:t>
            </w:r>
            <w:r>
              <w:rPr>
                <w:rFonts w:hint="default" w:ascii="Times New Roman" w:hAnsi="Times New Roman" w:eastAsia="Times New Roman" w:cs="Times New Roman"/>
                <w:sz w:val="20"/>
                <w:szCs w:val="20"/>
                <w:highlight w:val="none"/>
              </w:rPr>
              <w:t>3</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4" w:line="229" w:lineRule="auto"/>
              <w:ind w:left="45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孟子</w:t>
            </w:r>
            <w:r>
              <w:rPr>
                <w:rFonts w:hint="default" w:ascii="Times New Roman" w:hAnsi="Times New Roman" w:eastAsia="宋体" w:cs="Times New Roman"/>
                <w:spacing w:val="6"/>
                <w:sz w:val="20"/>
                <w:szCs w:val="20"/>
                <w:highlight w:val="none"/>
              </w:rPr>
              <w:t>院</w:t>
            </w:r>
          </w:p>
        </w:tc>
        <w:tc>
          <w:tcPr>
            <w:tcW w:w="673" w:type="dxa"/>
            <w:vAlign w:val="top"/>
          </w:tcPr>
          <w:p>
            <w:pPr>
              <w:spacing w:before="130" w:line="195" w:lineRule="auto"/>
              <w:ind w:left="21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SE</w:t>
            </w:r>
          </w:p>
        </w:tc>
        <w:tc>
          <w:tcPr>
            <w:tcW w:w="1545" w:type="dxa"/>
            <w:vAlign w:val="top"/>
          </w:tcPr>
          <w:p>
            <w:pPr>
              <w:spacing w:before="94" w:line="231" w:lineRule="auto"/>
              <w:ind w:left="268"/>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2"/>
                <w:sz w:val="20"/>
                <w:szCs w:val="20"/>
                <w:highlight w:val="none"/>
              </w:rPr>
              <w:t xml:space="preserve">150 </w:t>
            </w:r>
            <w:r>
              <w:rPr>
                <w:rFonts w:hint="default" w:ascii="Times New Roman" w:hAnsi="Times New Roman" w:eastAsia="Times New Roman" w:cs="Times New Roman"/>
                <w:spacing w:val="1"/>
                <w:sz w:val="20"/>
                <w:szCs w:val="20"/>
                <w:highlight w:val="none"/>
              </w:rPr>
              <w:t xml:space="preserve"> </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170</w:t>
            </w:r>
            <w:r>
              <w:rPr>
                <w:rFonts w:hint="default" w:ascii="Times New Roman" w:hAnsi="Times New Roman" w:eastAsia="宋体" w:cs="Times New Roman"/>
                <w:spacing w:val="1"/>
                <w:sz w:val="20"/>
                <w:szCs w:val="20"/>
                <w:highlight w:val="none"/>
              </w:rPr>
              <w:t>)</w:t>
            </w:r>
          </w:p>
        </w:tc>
        <w:tc>
          <w:tcPr>
            <w:tcW w:w="636" w:type="dxa"/>
            <w:vAlign w:val="top"/>
          </w:tcPr>
          <w:p>
            <w:pPr>
              <w:spacing w:before="130" w:line="195" w:lineRule="auto"/>
              <w:ind w:left="1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3</w:t>
            </w:r>
            <w:r>
              <w:rPr>
                <w:rFonts w:hint="default" w:ascii="Times New Roman" w:hAnsi="Times New Roman" w:eastAsia="Times New Roman" w:cs="Times New Roman"/>
                <w:spacing w:val="2"/>
                <w:sz w:val="20"/>
                <w:szCs w:val="20"/>
                <w:highlight w:val="none"/>
              </w:rPr>
              <w:t>80</w:t>
            </w:r>
          </w:p>
        </w:tc>
        <w:tc>
          <w:tcPr>
            <w:tcW w:w="947" w:type="dxa"/>
            <w:vAlign w:val="top"/>
          </w:tcPr>
          <w:p>
            <w:pPr>
              <w:spacing w:before="133" w:line="192" w:lineRule="auto"/>
              <w:ind w:left="3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75</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5" w:line="228" w:lineRule="auto"/>
              <w:ind w:left="35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枣</w:t>
            </w:r>
            <w:r>
              <w:rPr>
                <w:rFonts w:hint="default" w:ascii="Times New Roman" w:hAnsi="Times New Roman" w:eastAsia="宋体" w:cs="Times New Roman"/>
                <w:spacing w:val="6"/>
                <w:sz w:val="20"/>
                <w:szCs w:val="20"/>
                <w:highlight w:val="none"/>
              </w:rPr>
              <w:t>林庄村</w:t>
            </w:r>
          </w:p>
        </w:tc>
        <w:tc>
          <w:tcPr>
            <w:tcW w:w="673" w:type="dxa"/>
            <w:vAlign w:val="top"/>
          </w:tcPr>
          <w:p>
            <w:pPr>
              <w:spacing w:before="131" w:line="195"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S</w:t>
            </w:r>
          </w:p>
        </w:tc>
        <w:tc>
          <w:tcPr>
            <w:tcW w:w="1545" w:type="dxa"/>
            <w:vAlign w:val="top"/>
          </w:tcPr>
          <w:p>
            <w:pPr>
              <w:spacing w:before="131" w:line="195" w:lineRule="auto"/>
              <w:ind w:left="5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1810</w:t>
            </w:r>
          </w:p>
        </w:tc>
        <w:tc>
          <w:tcPr>
            <w:tcW w:w="636" w:type="dxa"/>
            <w:vAlign w:val="top"/>
          </w:tcPr>
          <w:p>
            <w:pPr>
              <w:spacing w:before="131" w:line="195" w:lineRule="auto"/>
              <w:ind w:left="1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1480</w:t>
            </w:r>
          </w:p>
        </w:tc>
        <w:tc>
          <w:tcPr>
            <w:tcW w:w="947" w:type="dxa"/>
            <w:vAlign w:val="top"/>
          </w:tcPr>
          <w:p>
            <w:pPr>
              <w:spacing w:before="131" w:line="195" w:lineRule="auto"/>
              <w:ind w:left="3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9</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6" w:line="228" w:lineRule="auto"/>
              <w:ind w:left="35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大</w:t>
            </w:r>
            <w:r>
              <w:rPr>
                <w:rFonts w:hint="default" w:ascii="Times New Roman" w:hAnsi="Times New Roman" w:eastAsia="宋体" w:cs="Times New Roman"/>
                <w:spacing w:val="6"/>
                <w:sz w:val="20"/>
                <w:szCs w:val="20"/>
                <w:highlight w:val="none"/>
              </w:rPr>
              <w:t>刘庄村</w:t>
            </w:r>
          </w:p>
        </w:tc>
        <w:tc>
          <w:tcPr>
            <w:tcW w:w="673" w:type="dxa"/>
            <w:vAlign w:val="top"/>
          </w:tcPr>
          <w:p>
            <w:pPr>
              <w:spacing w:before="132" w:line="195"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S</w:t>
            </w:r>
          </w:p>
        </w:tc>
        <w:tc>
          <w:tcPr>
            <w:tcW w:w="1545" w:type="dxa"/>
            <w:vAlign w:val="top"/>
          </w:tcPr>
          <w:p>
            <w:pPr>
              <w:spacing w:before="132" w:line="195" w:lineRule="auto"/>
              <w:ind w:left="5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1300</w:t>
            </w:r>
          </w:p>
        </w:tc>
        <w:tc>
          <w:tcPr>
            <w:tcW w:w="636" w:type="dxa"/>
            <w:vAlign w:val="top"/>
          </w:tcPr>
          <w:p>
            <w:pPr>
              <w:spacing w:before="132" w:line="195" w:lineRule="auto"/>
              <w:ind w:left="11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2200</w:t>
            </w:r>
          </w:p>
        </w:tc>
        <w:tc>
          <w:tcPr>
            <w:tcW w:w="947" w:type="dxa"/>
            <w:vAlign w:val="top"/>
          </w:tcPr>
          <w:p>
            <w:pPr>
              <w:spacing w:before="132" w:line="195" w:lineRule="auto"/>
              <w:ind w:left="3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8</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4" w:line="228" w:lineRule="auto"/>
              <w:ind w:left="35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皮</w:t>
            </w:r>
            <w:r>
              <w:rPr>
                <w:rFonts w:hint="default" w:ascii="Times New Roman" w:hAnsi="Times New Roman" w:eastAsia="宋体" w:cs="Times New Roman"/>
                <w:spacing w:val="6"/>
                <w:sz w:val="20"/>
                <w:szCs w:val="20"/>
                <w:highlight w:val="none"/>
              </w:rPr>
              <w:t>各庄村</w:t>
            </w:r>
          </w:p>
        </w:tc>
        <w:tc>
          <w:tcPr>
            <w:tcW w:w="673" w:type="dxa"/>
            <w:vAlign w:val="top"/>
          </w:tcPr>
          <w:p>
            <w:pPr>
              <w:spacing w:before="130" w:line="195"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S</w:t>
            </w:r>
          </w:p>
        </w:tc>
        <w:tc>
          <w:tcPr>
            <w:tcW w:w="1545" w:type="dxa"/>
            <w:vAlign w:val="top"/>
          </w:tcPr>
          <w:p>
            <w:pPr>
              <w:spacing w:before="95" w:line="231" w:lineRule="auto"/>
              <w:ind w:left="268"/>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2"/>
                <w:sz w:val="20"/>
                <w:szCs w:val="20"/>
                <w:highlight w:val="none"/>
              </w:rPr>
              <w:t xml:space="preserve">156 </w:t>
            </w:r>
            <w:r>
              <w:rPr>
                <w:rFonts w:hint="default" w:ascii="Times New Roman" w:hAnsi="Times New Roman" w:eastAsia="Times New Roman" w:cs="Times New Roman"/>
                <w:spacing w:val="1"/>
                <w:sz w:val="20"/>
                <w:szCs w:val="20"/>
                <w:highlight w:val="none"/>
              </w:rPr>
              <w:t xml:space="preserve"> </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215</w:t>
            </w:r>
            <w:r>
              <w:rPr>
                <w:rFonts w:hint="default" w:ascii="Times New Roman" w:hAnsi="Times New Roman" w:eastAsia="宋体" w:cs="Times New Roman"/>
                <w:spacing w:val="1"/>
                <w:sz w:val="20"/>
                <w:szCs w:val="20"/>
                <w:highlight w:val="none"/>
              </w:rPr>
              <w:t>)</w:t>
            </w:r>
          </w:p>
        </w:tc>
        <w:tc>
          <w:tcPr>
            <w:tcW w:w="636" w:type="dxa"/>
            <w:vAlign w:val="top"/>
          </w:tcPr>
          <w:p>
            <w:pPr>
              <w:spacing w:before="130" w:line="195" w:lineRule="auto"/>
              <w:ind w:left="16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52</w:t>
            </w:r>
            <w:r>
              <w:rPr>
                <w:rFonts w:hint="default" w:ascii="Times New Roman" w:hAnsi="Times New Roman" w:eastAsia="Times New Roman" w:cs="Times New Roman"/>
                <w:spacing w:val="1"/>
                <w:sz w:val="20"/>
                <w:szCs w:val="20"/>
                <w:highlight w:val="none"/>
              </w:rPr>
              <w:t>0</w:t>
            </w:r>
          </w:p>
        </w:tc>
        <w:tc>
          <w:tcPr>
            <w:tcW w:w="947" w:type="dxa"/>
            <w:vAlign w:val="top"/>
          </w:tcPr>
          <w:p>
            <w:pPr>
              <w:spacing w:before="130" w:line="195" w:lineRule="auto"/>
              <w:ind w:left="3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72</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5" w:line="228" w:lineRule="auto"/>
              <w:ind w:left="45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南山村</w:t>
            </w:r>
          </w:p>
        </w:tc>
        <w:tc>
          <w:tcPr>
            <w:tcW w:w="673" w:type="dxa"/>
            <w:vAlign w:val="top"/>
          </w:tcPr>
          <w:p>
            <w:pPr>
              <w:spacing w:before="131" w:line="195" w:lineRule="auto"/>
              <w:ind w:left="18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S</w:t>
            </w:r>
            <w:r>
              <w:rPr>
                <w:rFonts w:hint="default" w:ascii="Times New Roman" w:hAnsi="Times New Roman" w:eastAsia="Times New Roman" w:cs="Times New Roman"/>
                <w:sz w:val="20"/>
                <w:szCs w:val="20"/>
                <w:highlight w:val="none"/>
              </w:rPr>
              <w:t>W</w:t>
            </w:r>
          </w:p>
        </w:tc>
        <w:tc>
          <w:tcPr>
            <w:tcW w:w="1545" w:type="dxa"/>
            <w:vAlign w:val="top"/>
          </w:tcPr>
          <w:p>
            <w:pPr>
              <w:spacing w:before="131" w:line="195" w:lineRule="auto"/>
              <w:ind w:left="5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1680</w:t>
            </w:r>
          </w:p>
        </w:tc>
        <w:tc>
          <w:tcPr>
            <w:tcW w:w="636" w:type="dxa"/>
            <w:vAlign w:val="top"/>
          </w:tcPr>
          <w:p>
            <w:pPr>
              <w:spacing w:before="131" w:line="195" w:lineRule="auto"/>
              <w:ind w:left="1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3</w:t>
            </w:r>
            <w:r>
              <w:rPr>
                <w:rFonts w:hint="default" w:ascii="Times New Roman" w:hAnsi="Times New Roman" w:eastAsia="Times New Roman" w:cs="Times New Roman"/>
                <w:spacing w:val="2"/>
                <w:sz w:val="20"/>
                <w:szCs w:val="20"/>
                <w:highlight w:val="none"/>
              </w:rPr>
              <w:t>40</w:t>
            </w:r>
          </w:p>
        </w:tc>
        <w:tc>
          <w:tcPr>
            <w:tcW w:w="947" w:type="dxa"/>
            <w:vAlign w:val="top"/>
          </w:tcPr>
          <w:p>
            <w:pPr>
              <w:spacing w:before="131" w:line="195" w:lineRule="auto"/>
              <w:ind w:left="3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32" w:line="226" w:lineRule="auto"/>
              <w:ind w:left="35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小石庄</w:t>
            </w:r>
            <w:r>
              <w:rPr>
                <w:rFonts w:hint="default" w:ascii="Times New Roman" w:hAnsi="Times New Roman" w:eastAsia="宋体" w:cs="Times New Roman"/>
                <w:spacing w:val="5"/>
                <w:sz w:val="20"/>
                <w:szCs w:val="20"/>
                <w:highlight w:val="none"/>
              </w:rPr>
              <w:t>村</w:t>
            </w:r>
          </w:p>
        </w:tc>
        <w:tc>
          <w:tcPr>
            <w:tcW w:w="673" w:type="dxa"/>
            <w:vAlign w:val="top"/>
          </w:tcPr>
          <w:p>
            <w:pPr>
              <w:spacing w:before="68" w:line="195"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S</w:t>
            </w:r>
          </w:p>
        </w:tc>
        <w:tc>
          <w:tcPr>
            <w:tcW w:w="1545" w:type="dxa"/>
            <w:vAlign w:val="top"/>
          </w:tcPr>
          <w:p>
            <w:pPr>
              <w:spacing w:before="68" w:line="195" w:lineRule="auto"/>
              <w:ind w:left="61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7</w:t>
            </w:r>
            <w:r>
              <w:rPr>
                <w:rFonts w:hint="default" w:ascii="Times New Roman" w:hAnsi="Times New Roman" w:eastAsia="Times New Roman" w:cs="Times New Roman"/>
                <w:spacing w:val="2"/>
                <w:sz w:val="20"/>
                <w:szCs w:val="20"/>
                <w:highlight w:val="none"/>
              </w:rPr>
              <w:t>10</w:t>
            </w:r>
          </w:p>
        </w:tc>
        <w:tc>
          <w:tcPr>
            <w:tcW w:w="636" w:type="dxa"/>
            <w:vAlign w:val="top"/>
          </w:tcPr>
          <w:p>
            <w:pPr>
              <w:spacing w:before="68" w:line="195" w:lineRule="auto"/>
              <w:ind w:left="16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420</w:t>
            </w:r>
          </w:p>
        </w:tc>
        <w:tc>
          <w:tcPr>
            <w:tcW w:w="947" w:type="dxa"/>
            <w:vAlign w:val="top"/>
          </w:tcPr>
          <w:p>
            <w:pPr>
              <w:spacing w:before="68" w:line="195" w:lineRule="auto"/>
              <w:ind w:left="3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70</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33" w:line="226" w:lineRule="auto"/>
              <w:ind w:left="35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小王庄</w:t>
            </w:r>
            <w:r>
              <w:rPr>
                <w:rFonts w:hint="default" w:ascii="Times New Roman" w:hAnsi="Times New Roman" w:eastAsia="宋体" w:cs="Times New Roman"/>
                <w:spacing w:val="5"/>
                <w:sz w:val="20"/>
                <w:szCs w:val="20"/>
                <w:highlight w:val="none"/>
              </w:rPr>
              <w:t>村</w:t>
            </w:r>
          </w:p>
        </w:tc>
        <w:tc>
          <w:tcPr>
            <w:tcW w:w="673" w:type="dxa"/>
            <w:vAlign w:val="top"/>
          </w:tcPr>
          <w:p>
            <w:pPr>
              <w:spacing w:before="69" w:line="195" w:lineRule="auto"/>
              <w:ind w:left="18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S</w:t>
            </w:r>
            <w:r>
              <w:rPr>
                <w:rFonts w:hint="default" w:ascii="Times New Roman" w:hAnsi="Times New Roman" w:eastAsia="Times New Roman" w:cs="Times New Roman"/>
                <w:sz w:val="20"/>
                <w:szCs w:val="20"/>
                <w:highlight w:val="none"/>
              </w:rPr>
              <w:t>W</w:t>
            </w:r>
          </w:p>
        </w:tc>
        <w:tc>
          <w:tcPr>
            <w:tcW w:w="1545" w:type="dxa"/>
            <w:vAlign w:val="top"/>
          </w:tcPr>
          <w:p>
            <w:pPr>
              <w:spacing w:before="69" w:line="195" w:lineRule="auto"/>
              <w:ind w:left="5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1690</w:t>
            </w:r>
          </w:p>
        </w:tc>
        <w:tc>
          <w:tcPr>
            <w:tcW w:w="636" w:type="dxa"/>
            <w:vAlign w:val="top"/>
          </w:tcPr>
          <w:p>
            <w:pPr>
              <w:spacing w:before="69" w:line="195" w:lineRule="auto"/>
              <w:ind w:left="16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56</w:t>
            </w:r>
            <w:r>
              <w:rPr>
                <w:rFonts w:hint="default" w:ascii="Times New Roman" w:hAnsi="Times New Roman" w:eastAsia="Times New Roman" w:cs="Times New Roman"/>
                <w:spacing w:val="1"/>
                <w:sz w:val="20"/>
                <w:szCs w:val="20"/>
                <w:highlight w:val="none"/>
              </w:rPr>
              <w:t>0</w:t>
            </w:r>
          </w:p>
        </w:tc>
        <w:tc>
          <w:tcPr>
            <w:tcW w:w="947" w:type="dxa"/>
            <w:vAlign w:val="top"/>
          </w:tcPr>
          <w:p>
            <w:pPr>
              <w:spacing w:before="69" w:line="195" w:lineRule="auto"/>
              <w:ind w:left="3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5</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3" w:line="228" w:lineRule="auto"/>
              <w:ind w:left="35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苏</w:t>
            </w:r>
            <w:r>
              <w:rPr>
                <w:rFonts w:hint="default" w:ascii="Times New Roman" w:hAnsi="Times New Roman" w:eastAsia="宋体" w:cs="Times New Roman"/>
                <w:spacing w:val="6"/>
                <w:sz w:val="20"/>
                <w:szCs w:val="20"/>
                <w:highlight w:val="none"/>
              </w:rPr>
              <w:t>家洼村</w:t>
            </w:r>
          </w:p>
        </w:tc>
        <w:tc>
          <w:tcPr>
            <w:tcW w:w="673" w:type="dxa"/>
            <w:vAlign w:val="top"/>
          </w:tcPr>
          <w:p>
            <w:pPr>
              <w:spacing w:before="129" w:line="195" w:lineRule="auto"/>
              <w:ind w:left="18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S</w:t>
            </w:r>
            <w:r>
              <w:rPr>
                <w:rFonts w:hint="default" w:ascii="Times New Roman" w:hAnsi="Times New Roman" w:eastAsia="Times New Roman" w:cs="Times New Roman"/>
                <w:sz w:val="20"/>
                <w:szCs w:val="20"/>
                <w:highlight w:val="none"/>
              </w:rPr>
              <w:t>W</w:t>
            </w:r>
          </w:p>
        </w:tc>
        <w:tc>
          <w:tcPr>
            <w:tcW w:w="1545" w:type="dxa"/>
            <w:vAlign w:val="top"/>
          </w:tcPr>
          <w:p>
            <w:pPr>
              <w:spacing w:before="129" w:line="195" w:lineRule="auto"/>
              <w:ind w:left="5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1060</w:t>
            </w:r>
          </w:p>
        </w:tc>
        <w:tc>
          <w:tcPr>
            <w:tcW w:w="636" w:type="dxa"/>
            <w:vAlign w:val="top"/>
          </w:tcPr>
          <w:p>
            <w:pPr>
              <w:spacing w:before="129" w:line="195" w:lineRule="auto"/>
              <w:ind w:left="1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1950</w:t>
            </w:r>
          </w:p>
        </w:tc>
        <w:tc>
          <w:tcPr>
            <w:tcW w:w="947" w:type="dxa"/>
            <w:vAlign w:val="top"/>
          </w:tcPr>
          <w:p>
            <w:pPr>
              <w:spacing w:before="129" w:line="195" w:lineRule="auto"/>
              <w:ind w:left="3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5</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5" w:line="228" w:lineRule="auto"/>
              <w:ind w:left="35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杨树沟</w:t>
            </w:r>
            <w:r>
              <w:rPr>
                <w:rFonts w:hint="default" w:ascii="Times New Roman" w:hAnsi="Times New Roman" w:eastAsia="宋体" w:cs="Times New Roman"/>
                <w:spacing w:val="6"/>
                <w:sz w:val="20"/>
                <w:szCs w:val="20"/>
                <w:highlight w:val="none"/>
              </w:rPr>
              <w:t>村</w:t>
            </w:r>
          </w:p>
        </w:tc>
        <w:tc>
          <w:tcPr>
            <w:tcW w:w="673" w:type="dxa"/>
            <w:vAlign w:val="top"/>
          </w:tcPr>
          <w:p>
            <w:pPr>
              <w:spacing w:before="131" w:line="195" w:lineRule="auto"/>
              <w:ind w:left="18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S</w:t>
            </w:r>
            <w:r>
              <w:rPr>
                <w:rFonts w:hint="default" w:ascii="Times New Roman" w:hAnsi="Times New Roman" w:eastAsia="Times New Roman" w:cs="Times New Roman"/>
                <w:sz w:val="20"/>
                <w:szCs w:val="20"/>
                <w:highlight w:val="none"/>
              </w:rPr>
              <w:t>W</w:t>
            </w:r>
          </w:p>
        </w:tc>
        <w:tc>
          <w:tcPr>
            <w:tcW w:w="1545" w:type="dxa"/>
            <w:vAlign w:val="top"/>
          </w:tcPr>
          <w:p>
            <w:pPr>
              <w:spacing w:before="131" w:line="195" w:lineRule="auto"/>
              <w:ind w:left="5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1060</w:t>
            </w:r>
          </w:p>
        </w:tc>
        <w:tc>
          <w:tcPr>
            <w:tcW w:w="636" w:type="dxa"/>
            <w:vAlign w:val="top"/>
          </w:tcPr>
          <w:p>
            <w:pPr>
              <w:spacing w:before="131" w:line="195" w:lineRule="auto"/>
              <w:ind w:left="16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430</w:t>
            </w:r>
          </w:p>
        </w:tc>
        <w:tc>
          <w:tcPr>
            <w:tcW w:w="947" w:type="dxa"/>
            <w:vAlign w:val="top"/>
          </w:tcPr>
          <w:p>
            <w:pPr>
              <w:spacing w:before="131" w:line="195" w:lineRule="auto"/>
              <w:ind w:left="3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8</w:t>
            </w:r>
            <w:r>
              <w:rPr>
                <w:rFonts w:hint="default" w:ascii="Times New Roman" w:hAnsi="Times New Roman" w:eastAsia="Times New Roman" w:cs="Times New Roman"/>
                <w:spacing w:val="-1"/>
                <w:sz w:val="20"/>
                <w:szCs w:val="20"/>
                <w:highlight w:val="none"/>
              </w:rPr>
              <w:t>1</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3" w:line="228" w:lineRule="auto"/>
              <w:ind w:left="36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山</w:t>
            </w:r>
            <w:r>
              <w:rPr>
                <w:rFonts w:hint="default" w:ascii="Times New Roman" w:hAnsi="Times New Roman" w:eastAsia="宋体" w:cs="Times New Roman"/>
                <w:spacing w:val="2"/>
                <w:sz w:val="20"/>
                <w:szCs w:val="20"/>
                <w:highlight w:val="none"/>
              </w:rPr>
              <w:t>王庄村</w:t>
            </w:r>
          </w:p>
        </w:tc>
        <w:tc>
          <w:tcPr>
            <w:tcW w:w="673" w:type="dxa"/>
            <w:vAlign w:val="top"/>
          </w:tcPr>
          <w:p>
            <w:pPr>
              <w:spacing w:before="132" w:line="192" w:lineRule="auto"/>
              <w:ind w:left="2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W</w:t>
            </w:r>
          </w:p>
        </w:tc>
        <w:tc>
          <w:tcPr>
            <w:tcW w:w="1545" w:type="dxa"/>
            <w:vAlign w:val="top"/>
          </w:tcPr>
          <w:p>
            <w:pPr>
              <w:spacing w:before="130" w:line="195" w:lineRule="auto"/>
              <w:ind w:left="61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7</w:t>
            </w:r>
            <w:r>
              <w:rPr>
                <w:rFonts w:hint="default" w:ascii="Times New Roman" w:hAnsi="Times New Roman" w:eastAsia="Times New Roman" w:cs="Times New Roman"/>
                <w:spacing w:val="2"/>
                <w:sz w:val="20"/>
                <w:szCs w:val="20"/>
                <w:highlight w:val="none"/>
              </w:rPr>
              <w:t>90</w:t>
            </w:r>
          </w:p>
        </w:tc>
        <w:tc>
          <w:tcPr>
            <w:tcW w:w="636" w:type="dxa"/>
            <w:vAlign w:val="top"/>
          </w:tcPr>
          <w:p>
            <w:pPr>
              <w:spacing w:before="130" w:line="195" w:lineRule="auto"/>
              <w:ind w:left="16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7</w:t>
            </w:r>
            <w:r>
              <w:rPr>
                <w:rFonts w:hint="default" w:ascii="Times New Roman" w:hAnsi="Times New Roman" w:eastAsia="Times New Roman" w:cs="Times New Roman"/>
                <w:spacing w:val="2"/>
                <w:sz w:val="20"/>
                <w:szCs w:val="20"/>
                <w:highlight w:val="none"/>
              </w:rPr>
              <w:t>50</w:t>
            </w:r>
          </w:p>
        </w:tc>
        <w:tc>
          <w:tcPr>
            <w:tcW w:w="947" w:type="dxa"/>
            <w:vAlign w:val="top"/>
          </w:tcPr>
          <w:p>
            <w:pPr>
              <w:spacing w:before="130" w:line="195" w:lineRule="auto"/>
              <w:ind w:left="3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8</w:t>
            </w:r>
            <w:r>
              <w:rPr>
                <w:rFonts w:hint="default" w:ascii="Times New Roman" w:hAnsi="Times New Roman" w:eastAsia="Times New Roman" w:cs="Times New Roman"/>
                <w:spacing w:val="-1"/>
                <w:sz w:val="20"/>
                <w:szCs w:val="20"/>
                <w:highlight w:val="none"/>
              </w:rPr>
              <w:t>0</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4" w:line="228" w:lineRule="auto"/>
              <w:ind w:left="35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西北沟村</w:t>
            </w:r>
          </w:p>
        </w:tc>
        <w:tc>
          <w:tcPr>
            <w:tcW w:w="673" w:type="dxa"/>
            <w:vAlign w:val="top"/>
          </w:tcPr>
          <w:p>
            <w:pPr>
              <w:spacing w:before="133" w:line="192" w:lineRule="auto"/>
              <w:ind w:left="15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9"/>
                <w:sz w:val="20"/>
                <w:szCs w:val="20"/>
                <w:highlight w:val="none"/>
              </w:rPr>
              <w:t>N</w:t>
            </w:r>
            <w:r>
              <w:rPr>
                <w:rFonts w:hint="default" w:ascii="Times New Roman" w:hAnsi="Times New Roman" w:eastAsia="Times New Roman" w:cs="Times New Roman"/>
                <w:spacing w:val="8"/>
                <w:sz w:val="20"/>
                <w:szCs w:val="20"/>
                <w:highlight w:val="none"/>
              </w:rPr>
              <w:t>W</w:t>
            </w:r>
          </w:p>
        </w:tc>
        <w:tc>
          <w:tcPr>
            <w:tcW w:w="1545" w:type="dxa"/>
            <w:vAlign w:val="top"/>
          </w:tcPr>
          <w:p>
            <w:pPr>
              <w:spacing w:before="131" w:line="195" w:lineRule="auto"/>
              <w:ind w:left="5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1390</w:t>
            </w:r>
          </w:p>
        </w:tc>
        <w:tc>
          <w:tcPr>
            <w:tcW w:w="636" w:type="dxa"/>
            <w:vAlign w:val="top"/>
          </w:tcPr>
          <w:p>
            <w:pPr>
              <w:spacing w:before="131" w:line="195" w:lineRule="auto"/>
              <w:ind w:left="16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480</w:t>
            </w:r>
          </w:p>
        </w:tc>
        <w:tc>
          <w:tcPr>
            <w:tcW w:w="947" w:type="dxa"/>
            <w:vAlign w:val="top"/>
          </w:tcPr>
          <w:p>
            <w:pPr>
              <w:spacing w:before="131" w:line="195" w:lineRule="auto"/>
              <w:ind w:left="3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9</w:t>
            </w:r>
            <w:r>
              <w:rPr>
                <w:rFonts w:hint="default" w:ascii="Times New Roman" w:hAnsi="Times New Roman" w:eastAsia="Times New Roman" w:cs="Times New Roman"/>
                <w:sz w:val="20"/>
                <w:szCs w:val="20"/>
                <w:highlight w:val="none"/>
              </w:rPr>
              <w:t>2</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1546" w:type="dxa"/>
            <w:gridSpan w:val="2"/>
            <w:vAlign w:val="top"/>
          </w:tcPr>
          <w:p>
            <w:pPr>
              <w:spacing w:before="95" w:line="228" w:lineRule="auto"/>
              <w:ind w:left="2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北</w:t>
            </w:r>
            <w:r>
              <w:rPr>
                <w:rFonts w:hint="default" w:ascii="Times New Roman" w:hAnsi="Times New Roman" w:eastAsia="宋体" w:cs="Times New Roman"/>
                <w:spacing w:val="7"/>
                <w:sz w:val="20"/>
                <w:szCs w:val="20"/>
                <w:highlight w:val="none"/>
              </w:rPr>
              <w:t>十里铺村</w:t>
            </w:r>
          </w:p>
        </w:tc>
        <w:tc>
          <w:tcPr>
            <w:tcW w:w="673" w:type="dxa"/>
            <w:vAlign w:val="top"/>
          </w:tcPr>
          <w:p>
            <w:pPr>
              <w:spacing w:before="134" w:line="192" w:lineRule="auto"/>
              <w:ind w:left="15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9"/>
                <w:sz w:val="20"/>
                <w:szCs w:val="20"/>
                <w:highlight w:val="none"/>
              </w:rPr>
              <w:t>N</w:t>
            </w:r>
            <w:r>
              <w:rPr>
                <w:rFonts w:hint="default" w:ascii="Times New Roman" w:hAnsi="Times New Roman" w:eastAsia="Times New Roman" w:cs="Times New Roman"/>
                <w:spacing w:val="8"/>
                <w:sz w:val="20"/>
                <w:szCs w:val="20"/>
                <w:highlight w:val="none"/>
              </w:rPr>
              <w:t>W</w:t>
            </w:r>
          </w:p>
        </w:tc>
        <w:tc>
          <w:tcPr>
            <w:tcW w:w="1545" w:type="dxa"/>
            <w:vAlign w:val="top"/>
          </w:tcPr>
          <w:p>
            <w:pPr>
              <w:spacing w:before="132" w:line="195" w:lineRule="auto"/>
              <w:ind w:left="62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620</w:t>
            </w:r>
          </w:p>
        </w:tc>
        <w:tc>
          <w:tcPr>
            <w:tcW w:w="636" w:type="dxa"/>
            <w:vAlign w:val="top"/>
          </w:tcPr>
          <w:p>
            <w:pPr>
              <w:spacing w:before="132" w:line="195" w:lineRule="auto"/>
              <w:ind w:left="16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57</w:t>
            </w:r>
            <w:r>
              <w:rPr>
                <w:rFonts w:hint="default" w:ascii="Times New Roman" w:hAnsi="Times New Roman" w:eastAsia="Times New Roman" w:cs="Times New Roman"/>
                <w:spacing w:val="1"/>
                <w:sz w:val="20"/>
                <w:szCs w:val="20"/>
                <w:highlight w:val="none"/>
              </w:rPr>
              <w:t>0</w:t>
            </w:r>
          </w:p>
        </w:tc>
        <w:tc>
          <w:tcPr>
            <w:tcW w:w="947" w:type="dxa"/>
            <w:vAlign w:val="top"/>
          </w:tcPr>
          <w:p>
            <w:pPr>
              <w:spacing w:before="132" w:line="195" w:lineRule="auto"/>
              <w:ind w:left="3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8</w:t>
            </w:r>
            <w:r>
              <w:rPr>
                <w:rFonts w:hint="default" w:ascii="Times New Roman" w:hAnsi="Times New Roman" w:eastAsia="Times New Roman" w:cs="Times New Roman"/>
                <w:spacing w:val="-1"/>
                <w:sz w:val="20"/>
                <w:szCs w:val="20"/>
                <w:highlight w:val="none"/>
              </w:rPr>
              <w:t>4</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nil"/>
              <w:left w:val="single" w:color="000000" w:sz="10" w:space="0"/>
              <w:bottom w:val="single" w:color="auto" w:sz="4" w:space="0"/>
            </w:tcBorders>
            <w:vAlign w:val="top"/>
          </w:tcPr>
          <w:p>
            <w:pPr>
              <w:rPr>
                <w:rFonts w:hint="default" w:ascii="Times New Roman" w:hAnsi="Times New Roman" w:cs="Times New Roman"/>
                <w:sz w:val="21"/>
                <w:highlight w:val="none"/>
              </w:rPr>
            </w:pPr>
          </w:p>
        </w:tc>
        <w:tc>
          <w:tcPr>
            <w:tcW w:w="1546" w:type="dxa"/>
            <w:gridSpan w:val="2"/>
            <w:vAlign w:val="top"/>
          </w:tcPr>
          <w:p>
            <w:pPr>
              <w:spacing w:before="94" w:line="228"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阎</w:t>
            </w:r>
            <w:r>
              <w:rPr>
                <w:rFonts w:hint="default" w:ascii="Times New Roman" w:hAnsi="Times New Roman" w:eastAsia="宋体" w:cs="Times New Roman"/>
                <w:spacing w:val="3"/>
                <w:sz w:val="20"/>
                <w:szCs w:val="20"/>
                <w:highlight w:val="none"/>
              </w:rPr>
              <w:t>家沟村</w:t>
            </w:r>
          </w:p>
        </w:tc>
        <w:tc>
          <w:tcPr>
            <w:tcW w:w="673" w:type="dxa"/>
            <w:vAlign w:val="top"/>
          </w:tcPr>
          <w:p>
            <w:pPr>
              <w:spacing w:before="133" w:line="192" w:lineRule="auto"/>
              <w:ind w:left="24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N</w:t>
            </w:r>
          </w:p>
        </w:tc>
        <w:tc>
          <w:tcPr>
            <w:tcW w:w="1545" w:type="dxa"/>
            <w:vAlign w:val="top"/>
          </w:tcPr>
          <w:p>
            <w:pPr>
              <w:spacing w:before="130" w:line="195" w:lineRule="auto"/>
              <w:ind w:left="61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7</w:t>
            </w:r>
            <w:r>
              <w:rPr>
                <w:rFonts w:hint="default" w:ascii="Times New Roman" w:hAnsi="Times New Roman" w:eastAsia="Times New Roman" w:cs="Times New Roman"/>
                <w:spacing w:val="2"/>
                <w:sz w:val="20"/>
                <w:szCs w:val="20"/>
                <w:highlight w:val="none"/>
              </w:rPr>
              <w:t>50</w:t>
            </w:r>
          </w:p>
        </w:tc>
        <w:tc>
          <w:tcPr>
            <w:tcW w:w="636" w:type="dxa"/>
            <w:vAlign w:val="top"/>
          </w:tcPr>
          <w:p>
            <w:pPr>
              <w:spacing w:before="130" w:line="195" w:lineRule="auto"/>
              <w:ind w:left="16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7</w:t>
            </w:r>
            <w:r>
              <w:rPr>
                <w:rFonts w:hint="default" w:ascii="Times New Roman" w:hAnsi="Times New Roman" w:eastAsia="Times New Roman" w:cs="Times New Roman"/>
                <w:spacing w:val="2"/>
                <w:sz w:val="20"/>
                <w:szCs w:val="20"/>
                <w:highlight w:val="none"/>
              </w:rPr>
              <w:t>30</w:t>
            </w:r>
          </w:p>
        </w:tc>
        <w:tc>
          <w:tcPr>
            <w:tcW w:w="947" w:type="dxa"/>
            <w:vAlign w:val="top"/>
          </w:tcPr>
          <w:p>
            <w:pPr>
              <w:spacing w:before="130" w:line="195" w:lineRule="auto"/>
              <w:ind w:left="3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8</w:t>
            </w:r>
            <w:r>
              <w:rPr>
                <w:rFonts w:hint="default" w:ascii="Times New Roman" w:hAnsi="Times New Roman" w:eastAsia="Times New Roman" w:cs="Times New Roman"/>
                <w:spacing w:val="-1"/>
                <w:sz w:val="20"/>
                <w:szCs w:val="20"/>
                <w:highlight w:val="none"/>
              </w:rPr>
              <w:t>6</w:t>
            </w:r>
          </w:p>
        </w:tc>
        <w:tc>
          <w:tcPr>
            <w:tcW w:w="897" w:type="dxa"/>
            <w:vMerge w:val="continue"/>
            <w:tcBorders>
              <w:top w:val="nil"/>
            </w:tcBorders>
            <w:vAlign w:val="top"/>
          </w:tcPr>
          <w:p>
            <w:pPr>
              <w:rPr>
                <w:rFonts w:hint="default" w:ascii="Times New Roman" w:hAnsi="Times New Roman" w:cs="Times New Roman"/>
                <w:sz w:val="21"/>
                <w:highlight w:val="none"/>
              </w:rPr>
            </w:pPr>
          </w:p>
        </w:tc>
        <w:tc>
          <w:tcPr>
            <w:tcW w:w="1630" w:type="dxa"/>
            <w:vMerge w:val="continue"/>
            <w:tcBorders>
              <w:top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57" w:type="dxa"/>
            <w:vMerge w:val="restart"/>
            <w:tcBorders>
              <w:top w:val="single" w:color="auto" w:sz="4" w:space="0"/>
              <w:left w:val="single" w:color="000000" w:sz="10" w:space="0"/>
            </w:tcBorders>
            <w:vAlign w:val="center"/>
          </w:tcPr>
          <w:p>
            <w:pPr>
              <w:jc w:val="center"/>
              <w:rPr>
                <w:rFonts w:hint="default" w:ascii="Times New Roman" w:hAnsi="Times New Roman" w:cs="Times New Roman"/>
                <w:sz w:val="21"/>
                <w:highlight w:val="none"/>
              </w:rPr>
            </w:pPr>
            <w:r>
              <w:rPr>
                <w:rFonts w:hint="default" w:ascii="Times New Roman" w:hAnsi="Times New Roman" w:eastAsia="宋体" w:cs="Times New Roman"/>
                <w:spacing w:val="3"/>
                <w:sz w:val="20"/>
                <w:szCs w:val="20"/>
                <w:highlight w:val="none"/>
              </w:rPr>
              <w:t>声</w:t>
            </w:r>
            <w:r>
              <w:rPr>
                <w:rFonts w:hint="default" w:ascii="Times New Roman" w:hAnsi="Times New Roman" w:eastAsia="宋体" w:cs="Times New Roman"/>
                <w:spacing w:val="2"/>
                <w:sz w:val="20"/>
                <w:szCs w:val="20"/>
                <w:highlight w:val="none"/>
              </w:rPr>
              <w:t>环</w:t>
            </w:r>
            <w:r>
              <w:rPr>
                <w:rFonts w:hint="default" w:ascii="Times New Roman" w:hAnsi="Times New Roman" w:eastAsia="宋体" w:cs="Times New Roman"/>
                <w:sz w:val="20"/>
                <w:szCs w:val="20"/>
                <w:highlight w:val="none"/>
              </w:rPr>
              <w:t xml:space="preserve"> 境</w:t>
            </w:r>
          </w:p>
        </w:tc>
        <w:tc>
          <w:tcPr>
            <w:tcW w:w="1546" w:type="dxa"/>
            <w:gridSpan w:val="2"/>
            <w:vAlign w:val="top"/>
          </w:tcPr>
          <w:p>
            <w:pPr>
              <w:spacing w:before="96" w:line="229" w:lineRule="auto"/>
              <w:ind w:left="45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孟子</w:t>
            </w:r>
            <w:r>
              <w:rPr>
                <w:rFonts w:hint="default" w:ascii="Times New Roman" w:hAnsi="Times New Roman" w:eastAsia="宋体" w:cs="Times New Roman"/>
                <w:spacing w:val="6"/>
                <w:sz w:val="20"/>
                <w:szCs w:val="20"/>
                <w:highlight w:val="none"/>
              </w:rPr>
              <w:t>院</w:t>
            </w:r>
          </w:p>
        </w:tc>
        <w:tc>
          <w:tcPr>
            <w:tcW w:w="673" w:type="dxa"/>
            <w:vAlign w:val="top"/>
          </w:tcPr>
          <w:p>
            <w:pPr>
              <w:spacing w:before="132" w:line="195" w:lineRule="auto"/>
              <w:ind w:left="21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SE</w:t>
            </w:r>
          </w:p>
        </w:tc>
        <w:tc>
          <w:tcPr>
            <w:tcW w:w="1545" w:type="dxa"/>
            <w:vAlign w:val="top"/>
          </w:tcPr>
          <w:p>
            <w:pPr>
              <w:spacing w:before="97" w:line="231" w:lineRule="auto"/>
              <w:ind w:left="268"/>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2"/>
                <w:sz w:val="20"/>
                <w:szCs w:val="20"/>
                <w:highlight w:val="none"/>
              </w:rPr>
              <w:t xml:space="preserve">150 </w:t>
            </w:r>
            <w:r>
              <w:rPr>
                <w:rFonts w:hint="default" w:ascii="Times New Roman" w:hAnsi="Times New Roman" w:eastAsia="Times New Roman" w:cs="Times New Roman"/>
                <w:spacing w:val="1"/>
                <w:sz w:val="20"/>
                <w:szCs w:val="20"/>
                <w:highlight w:val="none"/>
              </w:rPr>
              <w:t xml:space="preserve"> </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170</w:t>
            </w:r>
            <w:r>
              <w:rPr>
                <w:rFonts w:hint="default" w:ascii="Times New Roman" w:hAnsi="Times New Roman" w:eastAsia="宋体" w:cs="Times New Roman"/>
                <w:spacing w:val="1"/>
                <w:sz w:val="20"/>
                <w:szCs w:val="20"/>
                <w:highlight w:val="none"/>
              </w:rPr>
              <w:t>)</w:t>
            </w:r>
          </w:p>
        </w:tc>
        <w:tc>
          <w:tcPr>
            <w:tcW w:w="636" w:type="dxa"/>
            <w:vAlign w:val="top"/>
          </w:tcPr>
          <w:p>
            <w:pPr>
              <w:spacing w:before="132" w:line="195" w:lineRule="auto"/>
              <w:ind w:left="1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3</w:t>
            </w:r>
            <w:r>
              <w:rPr>
                <w:rFonts w:hint="default" w:ascii="Times New Roman" w:hAnsi="Times New Roman" w:eastAsia="Times New Roman" w:cs="Times New Roman"/>
                <w:spacing w:val="2"/>
                <w:sz w:val="20"/>
                <w:szCs w:val="20"/>
                <w:highlight w:val="none"/>
              </w:rPr>
              <w:t>80</w:t>
            </w:r>
          </w:p>
        </w:tc>
        <w:tc>
          <w:tcPr>
            <w:tcW w:w="947" w:type="dxa"/>
            <w:vAlign w:val="top"/>
          </w:tcPr>
          <w:p>
            <w:pPr>
              <w:spacing w:before="135" w:line="192" w:lineRule="auto"/>
              <w:ind w:left="3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75</w:t>
            </w:r>
          </w:p>
        </w:tc>
        <w:tc>
          <w:tcPr>
            <w:tcW w:w="897" w:type="dxa"/>
            <w:vMerge w:val="restart"/>
            <w:tcBorders>
              <w:bottom w:val="nil"/>
            </w:tcBorders>
            <w:vAlign w:val="top"/>
          </w:tcPr>
          <w:p>
            <w:pPr>
              <w:spacing w:line="437" w:lineRule="auto"/>
              <w:rPr>
                <w:rFonts w:hint="default" w:ascii="Times New Roman" w:hAnsi="Times New Roman" w:cs="Times New Roman"/>
                <w:sz w:val="21"/>
                <w:highlight w:val="none"/>
              </w:rPr>
            </w:pPr>
          </w:p>
          <w:p>
            <w:pPr>
              <w:spacing w:before="65" w:line="229" w:lineRule="auto"/>
              <w:ind w:left="25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居</w:t>
            </w:r>
            <w:r>
              <w:rPr>
                <w:rFonts w:hint="default" w:ascii="Times New Roman" w:hAnsi="Times New Roman" w:eastAsia="宋体" w:cs="Times New Roman"/>
                <w:spacing w:val="3"/>
                <w:sz w:val="20"/>
                <w:szCs w:val="20"/>
                <w:highlight w:val="none"/>
              </w:rPr>
              <w:t>住</w:t>
            </w:r>
          </w:p>
        </w:tc>
        <w:tc>
          <w:tcPr>
            <w:tcW w:w="1630" w:type="dxa"/>
            <w:vMerge w:val="restart"/>
            <w:tcBorders>
              <w:right w:val="single" w:color="000000" w:sz="10" w:space="0"/>
            </w:tcBorders>
            <w:vAlign w:val="center"/>
          </w:tcPr>
          <w:p>
            <w:pPr>
              <w:spacing w:before="111" w:line="229" w:lineRule="auto"/>
              <w:ind w:left="199"/>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w:t>
            </w:r>
            <w:r>
              <w:rPr>
                <w:rFonts w:hint="default" w:ascii="Times New Roman" w:hAnsi="Times New Roman" w:eastAsia="宋体" w:cs="Times New Roman"/>
                <w:spacing w:val="7"/>
                <w:sz w:val="20"/>
                <w:szCs w:val="20"/>
                <w:highlight w:val="none"/>
              </w:rPr>
              <w:t>声环境质量</w:t>
            </w:r>
          </w:p>
          <w:p>
            <w:pPr>
              <w:spacing w:before="22" w:line="253" w:lineRule="auto"/>
              <w:ind w:left="156" w:right="125" w:firstLine="353"/>
              <w:jc w:val="center"/>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3"/>
                <w:sz w:val="20"/>
                <w:szCs w:val="20"/>
                <w:highlight w:val="none"/>
              </w:rPr>
              <w:t>标</w:t>
            </w:r>
            <w:r>
              <w:rPr>
                <w:rFonts w:hint="default" w:ascii="Times New Roman" w:hAnsi="Times New Roman" w:eastAsia="宋体" w:cs="Times New Roman"/>
                <w:spacing w:val="2"/>
                <w:sz w:val="20"/>
                <w:szCs w:val="20"/>
                <w:highlight w:val="none"/>
              </w:rPr>
              <w:t>准》</w:t>
            </w: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spacing w:val="5"/>
                <w:sz w:val="20"/>
                <w:szCs w:val="20"/>
                <w:highlight w:val="none"/>
              </w:rPr>
              <w:t>(</w:t>
            </w:r>
            <w:r>
              <w:rPr>
                <w:rFonts w:hint="default" w:ascii="Times New Roman" w:hAnsi="Times New Roman" w:eastAsia="Times New Roman" w:cs="Times New Roman"/>
                <w:sz w:val="20"/>
                <w:szCs w:val="20"/>
                <w:highlight w:val="none"/>
              </w:rPr>
              <w:t>GB</w:t>
            </w:r>
            <w:r>
              <w:rPr>
                <w:rFonts w:hint="default" w:ascii="Times New Roman" w:hAnsi="Times New Roman" w:eastAsia="Times New Roman" w:cs="Times New Roman"/>
                <w:spacing w:val="5"/>
                <w:sz w:val="20"/>
                <w:szCs w:val="20"/>
                <w:highlight w:val="none"/>
              </w:rPr>
              <w:t>3096-2008)</w:t>
            </w:r>
          </w:p>
          <w:p>
            <w:pPr>
              <w:spacing w:line="228" w:lineRule="auto"/>
              <w:ind w:left="322"/>
              <w:jc w:val="center"/>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9"/>
                <w:sz w:val="20"/>
                <w:szCs w:val="20"/>
                <w:highlight w:val="none"/>
              </w:rPr>
              <w:t>2</w:t>
            </w:r>
            <w:r>
              <w:rPr>
                <w:rFonts w:hint="default" w:ascii="Times New Roman" w:hAnsi="Times New Roman" w:eastAsia="Times New Roman" w:cs="Times New Roman"/>
                <w:spacing w:val="6"/>
                <w:sz w:val="20"/>
                <w:szCs w:val="20"/>
                <w:highlight w:val="none"/>
              </w:rPr>
              <w:t xml:space="preserve"> </w:t>
            </w:r>
            <w:r>
              <w:rPr>
                <w:rFonts w:hint="default" w:ascii="Times New Roman" w:hAnsi="Times New Roman" w:eastAsia="宋体" w:cs="Times New Roman"/>
                <w:spacing w:val="6"/>
                <w:sz w:val="20"/>
                <w:szCs w:val="20"/>
                <w:highlight w:val="none"/>
              </w:rPr>
              <w:t>类区标准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7" w:type="dxa"/>
            <w:vMerge w:val="continue"/>
            <w:tcBorders>
              <w:top w:val="single" w:color="auto" w:sz="4" w:space="0"/>
              <w:left w:val="single" w:color="000000" w:sz="10" w:space="0"/>
              <w:bottom w:val="single" w:color="auto" w:sz="4" w:space="0"/>
            </w:tcBorders>
            <w:vAlign w:val="top"/>
          </w:tcPr>
          <w:p>
            <w:pPr>
              <w:rPr>
                <w:rFonts w:hint="default" w:ascii="Times New Roman" w:hAnsi="Times New Roman" w:cs="Times New Roman"/>
                <w:sz w:val="21"/>
                <w:highlight w:val="none"/>
              </w:rPr>
            </w:pPr>
          </w:p>
        </w:tc>
        <w:tc>
          <w:tcPr>
            <w:tcW w:w="1546" w:type="dxa"/>
            <w:gridSpan w:val="2"/>
            <w:vAlign w:val="top"/>
          </w:tcPr>
          <w:p>
            <w:pPr>
              <w:spacing w:before="98" w:line="228" w:lineRule="auto"/>
              <w:ind w:left="35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皮</w:t>
            </w:r>
            <w:r>
              <w:rPr>
                <w:rFonts w:hint="default" w:ascii="Times New Roman" w:hAnsi="Times New Roman" w:eastAsia="宋体" w:cs="Times New Roman"/>
                <w:spacing w:val="6"/>
                <w:sz w:val="20"/>
                <w:szCs w:val="20"/>
                <w:highlight w:val="none"/>
              </w:rPr>
              <w:t>各庄村</w:t>
            </w:r>
          </w:p>
        </w:tc>
        <w:tc>
          <w:tcPr>
            <w:tcW w:w="673" w:type="dxa"/>
            <w:vAlign w:val="top"/>
          </w:tcPr>
          <w:p>
            <w:pPr>
              <w:spacing w:before="134" w:line="195"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S</w:t>
            </w:r>
          </w:p>
        </w:tc>
        <w:tc>
          <w:tcPr>
            <w:tcW w:w="1545" w:type="dxa"/>
            <w:vAlign w:val="top"/>
          </w:tcPr>
          <w:p>
            <w:pPr>
              <w:spacing w:before="99" w:line="231" w:lineRule="auto"/>
              <w:ind w:left="268"/>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2"/>
                <w:sz w:val="20"/>
                <w:szCs w:val="20"/>
                <w:highlight w:val="none"/>
              </w:rPr>
              <w:t xml:space="preserve">156 </w:t>
            </w:r>
            <w:r>
              <w:rPr>
                <w:rFonts w:hint="default" w:ascii="Times New Roman" w:hAnsi="Times New Roman" w:eastAsia="Times New Roman" w:cs="Times New Roman"/>
                <w:spacing w:val="1"/>
                <w:sz w:val="20"/>
                <w:szCs w:val="20"/>
                <w:highlight w:val="none"/>
              </w:rPr>
              <w:t xml:space="preserve"> </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215</w:t>
            </w:r>
            <w:r>
              <w:rPr>
                <w:rFonts w:hint="default" w:ascii="Times New Roman" w:hAnsi="Times New Roman" w:eastAsia="宋体" w:cs="Times New Roman"/>
                <w:spacing w:val="1"/>
                <w:sz w:val="20"/>
                <w:szCs w:val="20"/>
                <w:highlight w:val="none"/>
              </w:rPr>
              <w:t>)</w:t>
            </w:r>
          </w:p>
        </w:tc>
        <w:tc>
          <w:tcPr>
            <w:tcW w:w="636" w:type="dxa"/>
            <w:vAlign w:val="top"/>
          </w:tcPr>
          <w:p>
            <w:pPr>
              <w:spacing w:before="134" w:line="195" w:lineRule="auto"/>
              <w:ind w:left="16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52</w:t>
            </w:r>
            <w:r>
              <w:rPr>
                <w:rFonts w:hint="default" w:ascii="Times New Roman" w:hAnsi="Times New Roman" w:eastAsia="Times New Roman" w:cs="Times New Roman"/>
                <w:spacing w:val="1"/>
                <w:sz w:val="20"/>
                <w:szCs w:val="20"/>
                <w:highlight w:val="none"/>
              </w:rPr>
              <w:t>0</w:t>
            </w:r>
          </w:p>
        </w:tc>
        <w:tc>
          <w:tcPr>
            <w:tcW w:w="947" w:type="dxa"/>
            <w:vAlign w:val="top"/>
          </w:tcPr>
          <w:p>
            <w:pPr>
              <w:spacing w:before="134" w:line="195" w:lineRule="auto"/>
              <w:ind w:left="3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72</w:t>
            </w:r>
          </w:p>
        </w:tc>
        <w:tc>
          <w:tcPr>
            <w:tcW w:w="897" w:type="dxa"/>
            <w:vMerge w:val="continue"/>
            <w:tcBorders>
              <w:top w:val="nil"/>
              <w:bottom w:val="nil"/>
            </w:tcBorders>
            <w:vAlign w:val="top"/>
          </w:tcPr>
          <w:p>
            <w:pPr>
              <w:rPr>
                <w:rFonts w:hint="default" w:ascii="Times New Roman" w:hAnsi="Times New Roman" w:cs="Times New Roman"/>
                <w:sz w:val="21"/>
                <w:highlight w:val="none"/>
              </w:rPr>
            </w:pPr>
          </w:p>
        </w:tc>
        <w:tc>
          <w:tcPr>
            <w:tcW w:w="1630" w:type="dxa"/>
            <w:vMerge w:val="continue"/>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57" w:type="dxa"/>
            <w:vMerge w:val="continue"/>
            <w:tcBorders>
              <w:top w:val="single" w:color="auto" w:sz="4" w:space="0"/>
              <w:left w:val="single" w:color="000000" w:sz="10" w:space="0"/>
              <w:bottom w:val="single" w:color="auto" w:sz="4" w:space="0"/>
            </w:tcBorders>
            <w:vAlign w:val="top"/>
          </w:tcPr>
          <w:p>
            <w:pPr>
              <w:rPr>
                <w:rFonts w:hint="default" w:ascii="Times New Roman" w:hAnsi="Times New Roman" w:cs="Times New Roman"/>
                <w:sz w:val="21"/>
                <w:highlight w:val="none"/>
              </w:rPr>
            </w:pPr>
          </w:p>
        </w:tc>
        <w:tc>
          <w:tcPr>
            <w:tcW w:w="1546" w:type="dxa"/>
            <w:gridSpan w:val="2"/>
            <w:vAlign w:val="top"/>
          </w:tcPr>
          <w:p>
            <w:pPr>
              <w:spacing w:before="97" w:line="228" w:lineRule="auto"/>
              <w:ind w:left="35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张家坟村</w:t>
            </w:r>
          </w:p>
        </w:tc>
        <w:tc>
          <w:tcPr>
            <w:tcW w:w="673" w:type="dxa"/>
            <w:vAlign w:val="top"/>
          </w:tcPr>
          <w:p>
            <w:pPr>
              <w:spacing w:before="136" w:line="192" w:lineRule="auto"/>
              <w:ind w:left="24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N</w:t>
            </w:r>
          </w:p>
        </w:tc>
        <w:tc>
          <w:tcPr>
            <w:tcW w:w="1545" w:type="dxa"/>
            <w:vAlign w:val="top"/>
          </w:tcPr>
          <w:p>
            <w:pPr>
              <w:spacing w:before="97" w:line="231" w:lineRule="auto"/>
              <w:ind w:left="270"/>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
                <w:sz w:val="20"/>
                <w:szCs w:val="20"/>
                <w:highlight w:val="none"/>
              </w:rPr>
              <w:t xml:space="preserve">116  </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126</w:t>
            </w:r>
            <w:r>
              <w:rPr>
                <w:rFonts w:hint="default" w:ascii="Times New Roman" w:hAnsi="Times New Roman" w:eastAsia="宋体" w:cs="Times New Roman"/>
                <w:sz w:val="20"/>
                <w:szCs w:val="20"/>
                <w:highlight w:val="none"/>
              </w:rPr>
              <w:t>)</w:t>
            </w:r>
          </w:p>
        </w:tc>
        <w:tc>
          <w:tcPr>
            <w:tcW w:w="636" w:type="dxa"/>
            <w:vAlign w:val="top"/>
          </w:tcPr>
          <w:p>
            <w:pPr>
              <w:spacing w:before="133" w:line="195" w:lineRule="auto"/>
              <w:ind w:left="16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640</w:t>
            </w:r>
          </w:p>
        </w:tc>
        <w:tc>
          <w:tcPr>
            <w:tcW w:w="947" w:type="dxa"/>
            <w:vAlign w:val="top"/>
          </w:tcPr>
          <w:p>
            <w:pPr>
              <w:spacing w:before="133" w:line="195" w:lineRule="auto"/>
              <w:ind w:left="3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79</w:t>
            </w:r>
          </w:p>
        </w:tc>
        <w:tc>
          <w:tcPr>
            <w:tcW w:w="897" w:type="dxa"/>
            <w:vMerge w:val="continue"/>
            <w:tcBorders>
              <w:top w:val="nil"/>
            </w:tcBorders>
            <w:vAlign w:val="top"/>
          </w:tcPr>
          <w:p>
            <w:pPr>
              <w:rPr>
                <w:rFonts w:hint="default" w:ascii="Times New Roman" w:hAnsi="Times New Roman" w:cs="Times New Roman"/>
                <w:sz w:val="21"/>
                <w:highlight w:val="none"/>
              </w:rPr>
            </w:pPr>
          </w:p>
        </w:tc>
        <w:tc>
          <w:tcPr>
            <w:tcW w:w="1630" w:type="dxa"/>
            <w:vMerge w:val="continue"/>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58" w:type="dxa"/>
            <w:gridSpan w:val="2"/>
            <w:vMerge w:val="continue"/>
            <w:tcBorders>
              <w:left w:val="single" w:color="000000" w:sz="10" w:space="0"/>
              <w:bottom w:val="single" w:color="auto" w:sz="4" w:space="0"/>
            </w:tcBorders>
            <w:vAlign w:val="top"/>
          </w:tcPr>
          <w:p>
            <w:pPr>
              <w:rPr>
                <w:rFonts w:hint="default" w:ascii="Times New Roman" w:hAnsi="Times New Roman" w:cs="Times New Roman"/>
                <w:sz w:val="21"/>
                <w:highlight w:val="none"/>
              </w:rPr>
            </w:pPr>
          </w:p>
        </w:tc>
        <w:tc>
          <w:tcPr>
            <w:tcW w:w="5346" w:type="dxa"/>
            <w:gridSpan w:val="5"/>
            <w:tcBorders>
              <w:bottom w:val="single" w:color="auto" w:sz="4" w:space="0"/>
            </w:tcBorders>
            <w:vAlign w:val="top"/>
          </w:tcPr>
          <w:p>
            <w:pPr>
              <w:spacing w:before="93" w:line="228" w:lineRule="auto"/>
              <w:ind w:left="1993"/>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
                <w:sz w:val="20"/>
                <w:szCs w:val="20"/>
                <w:highlight w:val="none"/>
              </w:rPr>
              <w:t>项目</w:t>
            </w:r>
            <w:r>
              <w:rPr>
                <w:rFonts w:hint="default" w:ascii="Times New Roman" w:hAnsi="Times New Roman" w:eastAsia="宋体" w:cs="Times New Roman"/>
                <w:sz w:val="20"/>
                <w:szCs w:val="20"/>
                <w:highlight w:val="none"/>
              </w:rPr>
              <w:t xml:space="preserve">厂界外 </w:t>
            </w:r>
            <w:r>
              <w:rPr>
                <w:rFonts w:hint="default" w:ascii="Times New Roman" w:hAnsi="Times New Roman" w:eastAsia="Times New Roman" w:cs="Times New Roman"/>
                <w:sz w:val="20"/>
                <w:szCs w:val="20"/>
                <w:highlight w:val="none"/>
              </w:rPr>
              <w:t>1m</w:t>
            </w:r>
          </w:p>
        </w:tc>
        <w:tc>
          <w:tcPr>
            <w:tcW w:w="897" w:type="dxa"/>
            <w:tcBorders>
              <w:bottom w:val="single" w:color="auto" w:sz="4" w:space="0"/>
            </w:tcBorders>
            <w:vAlign w:val="top"/>
          </w:tcPr>
          <w:p>
            <w:pPr>
              <w:spacing w:before="92" w:line="239" w:lineRule="auto"/>
              <w:ind w:left="25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企业</w:t>
            </w:r>
          </w:p>
        </w:tc>
        <w:tc>
          <w:tcPr>
            <w:tcW w:w="1630" w:type="dxa"/>
            <w:vMerge w:val="continue"/>
            <w:tcBorders>
              <w:bottom w:val="single" w:color="auto" w:sz="4" w:space="0"/>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658" w:type="dxa"/>
            <w:gridSpan w:val="2"/>
            <w:vMerge w:val="restart"/>
            <w:tcBorders>
              <w:left w:val="single" w:color="000000" w:sz="10" w:space="0"/>
            </w:tcBorders>
            <w:vAlign w:val="center"/>
          </w:tcPr>
          <w:p>
            <w:pPr>
              <w:spacing w:before="65" w:line="265" w:lineRule="auto"/>
              <w:ind w:left="216" w:right="124" w:hanging="108"/>
              <w:jc w:val="center"/>
              <w:rPr>
                <w:rFonts w:hint="default" w:ascii="Times New Roman" w:hAnsi="Times New Roman" w:eastAsia="宋体" w:cs="Times New Roman"/>
                <w:spacing w:val="5"/>
                <w:sz w:val="20"/>
                <w:szCs w:val="20"/>
                <w:highlight w:val="none"/>
              </w:rPr>
            </w:pPr>
            <w:r>
              <w:rPr>
                <w:rFonts w:hint="default" w:ascii="Times New Roman" w:hAnsi="Times New Roman" w:eastAsia="宋体" w:cs="Times New Roman"/>
                <w:spacing w:val="5"/>
                <w:sz w:val="20"/>
                <w:szCs w:val="20"/>
                <w:highlight w:val="none"/>
              </w:rPr>
              <w:t>地</w:t>
            </w:r>
          </w:p>
          <w:p>
            <w:pPr>
              <w:spacing w:before="65" w:line="265" w:lineRule="auto"/>
              <w:ind w:left="216" w:right="124" w:hanging="108"/>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下</w:t>
            </w:r>
            <w:r>
              <w:rPr>
                <w:rFonts w:hint="default" w:ascii="Times New Roman" w:hAnsi="Times New Roman" w:eastAsia="宋体" w:cs="Times New Roman"/>
                <w:sz w:val="20"/>
                <w:szCs w:val="20"/>
                <w:highlight w:val="none"/>
              </w:rPr>
              <w:t xml:space="preserve"> </w:t>
            </w:r>
          </w:p>
          <w:p>
            <w:pPr>
              <w:spacing w:before="65" w:line="265" w:lineRule="auto"/>
              <w:ind w:left="216" w:right="124" w:hanging="108"/>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水</w:t>
            </w:r>
          </w:p>
        </w:tc>
        <w:tc>
          <w:tcPr>
            <w:tcW w:w="1545" w:type="dxa"/>
            <w:vAlign w:val="center"/>
          </w:tcPr>
          <w:p>
            <w:pPr>
              <w:spacing w:before="94" w:line="228" w:lineRule="auto"/>
              <w:ind w:left="354"/>
              <w:jc w:val="both"/>
              <w:rPr>
                <w:rFonts w:hint="eastAsia" w:ascii="Times New Roman" w:hAnsi="Times New Roman" w:eastAsia="宋体" w:cs="Times New Roman"/>
                <w:spacing w:val="6"/>
                <w:sz w:val="20"/>
                <w:szCs w:val="20"/>
                <w:highlight w:val="none"/>
                <w:lang w:val="en-US" w:eastAsia="zh-CN"/>
              </w:rPr>
            </w:pPr>
            <w:r>
              <w:rPr>
                <w:rFonts w:hint="default" w:ascii="Times New Roman" w:hAnsi="Times New Roman" w:eastAsia="宋体" w:cs="Times New Roman"/>
                <w:spacing w:val="6"/>
                <w:sz w:val="20"/>
                <w:szCs w:val="20"/>
                <w:highlight w:val="none"/>
              </w:rPr>
              <w:t>张家坟</w:t>
            </w:r>
            <w:r>
              <w:rPr>
                <w:rFonts w:hint="eastAsia" w:ascii="Times New Roman" w:hAnsi="Times New Roman" w:eastAsia="宋体" w:cs="Times New Roman"/>
                <w:spacing w:val="6"/>
                <w:sz w:val="20"/>
                <w:szCs w:val="20"/>
                <w:highlight w:val="none"/>
                <w:lang w:val="en-US" w:eastAsia="zh-CN"/>
              </w:rPr>
              <w:t>村</w:t>
            </w:r>
          </w:p>
          <w:p>
            <w:pPr>
              <w:spacing w:before="94" w:line="228" w:lineRule="auto"/>
              <w:ind w:firstLine="212" w:firstLineChars="100"/>
              <w:jc w:val="both"/>
              <w:rPr>
                <w:rFonts w:hint="default" w:ascii="Times New Roman" w:hAnsi="Times New Roman" w:eastAsia="宋体" w:cs="Times New Roman"/>
                <w:spacing w:val="6"/>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集中供水井</w:t>
            </w:r>
          </w:p>
        </w:tc>
        <w:tc>
          <w:tcPr>
            <w:tcW w:w="67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Times New Roman" w:cs="Times New Roman"/>
                <w:spacing w:val="8"/>
                <w:sz w:val="20"/>
                <w:szCs w:val="20"/>
                <w:highlight w:val="none"/>
              </w:rPr>
            </w:pPr>
            <w:r>
              <w:rPr>
                <w:rFonts w:hint="default" w:ascii="Times New Roman" w:hAnsi="Times New Roman" w:eastAsia="Times New Roman" w:cs="Times New Roman"/>
                <w:spacing w:val="8"/>
                <w:sz w:val="20"/>
                <w:szCs w:val="20"/>
                <w:highlight w:val="none"/>
              </w:rPr>
              <w:t>N</w:t>
            </w:r>
          </w:p>
          <w:p>
            <w:pPr>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上游</w:t>
            </w:r>
          </w:p>
        </w:tc>
        <w:tc>
          <w:tcPr>
            <w:tcW w:w="3128"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tLeast"/>
              <w:ind w:firstLine="222" w:firstLineChars="100"/>
              <w:jc w:val="center"/>
              <w:textAlignment w:val="baseline"/>
              <w:rPr>
                <w:rFonts w:hint="eastAsia" w:ascii="Times New Roman" w:hAnsi="Times New Roman" w:eastAsia="宋体" w:cs="Times New Roman"/>
                <w:spacing w:val="11"/>
                <w:position w:val="-1"/>
                <w:sz w:val="20"/>
                <w:szCs w:val="20"/>
                <w:highlight w:val="none"/>
                <w:lang w:val="en-US" w:eastAsia="zh-CN"/>
              </w:rPr>
            </w:pPr>
            <w:r>
              <w:rPr>
                <w:rFonts w:hint="eastAsia" w:ascii="Times New Roman" w:hAnsi="Times New Roman" w:eastAsia="宋体" w:cs="Times New Roman"/>
                <w:spacing w:val="11"/>
                <w:position w:val="-1"/>
                <w:sz w:val="20"/>
                <w:szCs w:val="20"/>
                <w:highlight w:val="none"/>
                <w:lang w:val="en-US" w:eastAsia="zh-CN"/>
              </w:rPr>
              <w:t>坐标E117.97556，N40.24088</w:t>
            </w:r>
          </w:p>
          <w:p>
            <w:pPr>
              <w:keepNext w:val="0"/>
              <w:keepLines w:val="0"/>
              <w:pageBreakBefore w:val="0"/>
              <w:widowControl/>
              <w:kinsoku w:val="0"/>
              <w:wordWrap/>
              <w:overflowPunct/>
              <w:topLinePunct w:val="0"/>
              <w:autoSpaceDE w:val="0"/>
              <w:autoSpaceDN w:val="0"/>
              <w:bidi w:val="0"/>
              <w:adjustRightInd w:val="0"/>
              <w:snapToGrid w:val="0"/>
              <w:spacing w:line="240" w:lineRule="atLeast"/>
              <w:ind w:firstLine="222" w:firstLineChars="100"/>
              <w:jc w:val="center"/>
              <w:textAlignment w:val="baseline"/>
              <w:rPr>
                <w:rFonts w:hint="default" w:ascii="Times New Roman" w:hAnsi="Times New Roman" w:cs="Times New Roman"/>
                <w:sz w:val="21"/>
                <w:highlight w:val="none"/>
                <w:lang w:val="en-US"/>
              </w:rPr>
            </w:pPr>
            <w:r>
              <w:rPr>
                <w:rFonts w:hint="eastAsia" w:ascii="Times New Roman" w:hAnsi="Times New Roman" w:eastAsia="宋体" w:cs="Times New Roman"/>
                <w:spacing w:val="11"/>
                <w:position w:val="-1"/>
                <w:sz w:val="20"/>
                <w:szCs w:val="20"/>
                <w:highlight w:val="none"/>
                <w:lang w:val="en-US" w:eastAsia="zh-CN"/>
              </w:rPr>
              <w:t>距离320m，供水人口640人</w:t>
            </w:r>
          </w:p>
        </w:tc>
        <w:tc>
          <w:tcPr>
            <w:tcW w:w="897" w:type="dxa"/>
            <w:vMerge w:val="restart"/>
            <w:vAlign w:val="top"/>
          </w:tcPr>
          <w:p>
            <w:pPr>
              <w:spacing w:before="92" w:line="239" w:lineRule="auto"/>
              <w:ind w:left="254"/>
              <w:rPr>
                <w:rFonts w:hint="default" w:ascii="Times New Roman" w:hAnsi="Times New Roman" w:eastAsia="宋体" w:cs="Times New Roman"/>
                <w:spacing w:val="3"/>
                <w:sz w:val="20"/>
                <w:szCs w:val="20"/>
                <w:highlight w:val="none"/>
              </w:rPr>
            </w:pPr>
          </w:p>
          <w:p>
            <w:pPr>
              <w:spacing w:before="92" w:line="239" w:lineRule="auto"/>
              <w:ind w:left="254"/>
              <w:rPr>
                <w:rFonts w:hint="default" w:ascii="Times New Roman" w:hAnsi="Times New Roman" w:eastAsia="宋体" w:cs="Times New Roman"/>
                <w:spacing w:val="3"/>
                <w:sz w:val="20"/>
                <w:szCs w:val="20"/>
                <w:highlight w:val="none"/>
              </w:rPr>
            </w:pPr>
          </w:p>
          <w:p>
            <w:pPr>
              <w:spacing w:before="92" w:line="239" w:lineRule="auto"/>
              <w:ind w:left="254"/>
              <w:rPr>
                <w:rFonts w:hint="default" w:ascii="Times New Roman" w:hAnsi="Times New Roman" w:eastAsia="宋体" w:cs="Times New Roman"/>
                <w:spacing w:val="3"/>
                <w:sz w:val="20"/>
                <w:szCs w:val="20"/>
                <w:highlight w:val="none"/>
              </w:rPr>
            </w:pPr>
          </w:p>
          <w:p>
            <w:pPr>
              <w:spacing w:before="92" w:line="239" w:lineRule="auto"/>
              <w:ind w:left="254"/>
              <w:rPr>
                <w:rFonts w:hint="default" w:ascii="Times New Roman" w:hAnsi="Times New Roman" w:eastAsia="宋体" w:cs="Times New Roman"/>
                <w:spacing w:val="3"/>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饮用水</w:t>
            </w:r>
          </w:p>
        </w:tc>
        <w:tc>
          <w:tcPr>
            <w:tcW w:w="1630" w:type="dxa"/>
            <w:vMerge w:val="restart"/>
            <w:tcBorders>
              <w:right w:val="single" w:color="000000" w:sz="10" w:space="0"/>
            </w:tcBorders>
            <w:vAlign w:val="top"/>
          </w:tcPr>
          <w:p>
            <w:pPr>
              <w:spacing w:before="92" w:line="239" w:lineRule="auto"/>
              <w:ind w:left="254"/>
              <w:rPr>
                <w:rFonts w:hint="default" w:ascii="Times New Roman" w:hAnsi="Times New Roman" w:eastAsia="宋体" w:cs="Times New Roman"/>
                <w:spacing w:val="3"/>
                <w:sz w:val="20"/>
                <w:szCs w:val="20"/>
                <w:highlight w:val="none"/>
              </w:rPr>
            </w:pPr>
          </w:p>
          <w:p>
            <w:pPr>
              <w:spacing w:before="92" w:line="239" w:lineRule="auto"/>
              <w:ind w:left="254"/>
              <w:rPr>
                <w:rFonts w:hint="default" w:ascii="Times New Roman" w:hAnsi="Times New Roman" w:eastAsia="宋体" w:cs="Times New Roman"/>
                <w:spacing w:val="3"/>
                <w:sz w:val="20"/>
                <w:szCs w:val="20"/>
                <w:highlight w:val="none"/>
              </w:rPr>
            </w:pPr>
            <w:r>
              <w:rPr>
                <w:rFonts w:hint="default" w:ascii="Times New Roman" w:hAnsi="Times New Roman" w:eastAsia="宋体" w:cs="Times New Roman"/>
                <w:spacing w:val="3"/>
                <w:sz w:val="20"/>
                <w:szCs w:val="20"/>
                <w:highlight w:val="none"/>
              </w:rPr>
              <w:t>《地下水质量 标准》</w:t>
            </w:r>
          </w:p>
          <w:p>
            <w:pPr>
              <w:spacing w:before="92" w:line="239" w:lineRule="auto"/>
              <w:ind w:left="254"/>
              <w:rPr>
                <w:rFonts w:hint="default" w:ascii="Times New Roman" w:hAnsi="Times New Roman" w:eastAsia="宋体" w:cs="Times New Roman"/>
                <w:spacing w:val="3"/>
                <w:sz w:val="20"/>
                <w:szCs w:val="20"/>
                <w:highlight w:val="none"/>
              </w:rPr>
            </w:pPr>
            <w:r>
              <w:rPr>
                <w:rFonts w:hint="default" w:ascii="Times New Roman" w:hAnsi="Times New Roman" w:eastAsia="宋体" w:cs="Times New Roman"/>
                <w:spacing w:val="3"/>
                <w:sz w:val="20"/>
                <w:szCs w:val="20"/>
                <w:highlight w:val="none"/>
              </w:rPr>
              <w:t>(GB/T14848-2</w:t>
            </w:r>
          </w:p>
          <w:p>
            <w:pPr>
              <w:spacing w:before="92" w:line="239" w:lineRule="auto"/>
              <w:ind w:left="254"/>
              <w:rPr>
                <w:rFonts w:hint="default" w:ascii="Times New Roman" w:hAnsi="Times New Roman" w:eastAsia="宋体" w:cs="Times New Roman"/>
                <w:spacing w:val="3"/>
                <w:sz w:val="20"/>
                <w:szCs w:val="20"/>
                <w:highlight w:val="none"/>
              </w:rPr>
            </w:pPr>
            <w:r>
              <w:rPr>
                <w:rFonts w:hint="default" w:ascii="Times New Roman" w:hAnsi="Times New Roman" w:eastAsia="宋体" w:cs="Times New Roman"/>
                <w:spacing w:val="3"/>
                <w:sz w:val="20"/>
                <w:szCs w:val="20"/>
                <w:highlight w:val="none"/>
              </w:rPr>
              <w:t>017) 中Ⅲ类标 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58" w:type="dxa"/>
            <w:gridSpan w:val="2"/>
            <w:vMerge w:val="continue"/>
            <w:tcBorders>
              <w:left w:val="single" w:color="000000" w:sz="10" w:space="0"/>
            </w:tcBorders>
            <w:vAlign w:val="top"/>
          </w:tcPr>
          <w:p>
            <w:pPr>
              <w:spacing w:before="65" w:line="265" w:lineRule="auto"/>
              <w:ind w:left="216" w:right="124" w:hanging="108"/>
              <w:rPr>
                <w:rFonts w:hint="default" w:ascii="Times New Roman" w:hAnsi="Times New Roman" w:eastAsia="宋体" w:cs="Times New Roman"/>
                <w:spacing w:val="5"/>
                <w:sz w:val="20"/>
                <w:szCs w:val="20"/>
                <w:highlight w:val="none"/>
              </w:rPr>
            </w:pPr>
            <w:bookmarkStart w:id="101" w:name="_Toc20218"/>
            <w:bookmarkStart w:id="102" w:name="_Toc12940"/>
            <w:bookmarkStart w:id="103" w:name="_Toc16120"/>
          </w:p>
        </w:tc>
        <w:tc>
          <w:tcPr>
            <w:tcW w:w="1545" w:type="dxa"/>
            <w:vAlign w:val="top"/>
          </w:tcPr>
          <w:p>
            <w:pPr>
              <w:spacing w:before="94" w:line="228" w:lineRule="auto"/>
              <w:ind w:firstLine="424" w:firstLineChars="200"/>
              <w:rPr>
                <w:rFonts w:hint="default" w:ascii="Times New Roman" w:hAnsi="Times New Roman" w:eastAsia="宋体" w:cs="Times New Roman"/>
                <w:spacing w:val="6"/>
                <w:sz w:val="20"/>
                <w:szCs w:val="20"/>
                <w:highlight w:val="none"/>
              </w:rPr>
            </w:pPr>
            <w:r>
              <w:rPr>
                <w:rFonts w:hint="default" w:ascii="Times New Roman" w:hAnsi="Times New Roman" w:eastAsia="宋体" w:cs="Times New Roman"/>
                <w:spacing w:val="6"/>
                <w:sz w:val="20"/>
                <w:szCs w:val="20"/>
                <w:highlight w:val="none"/>
              </w:rPr>
              <w:t>孟子院</w:t>
            </w:r>
          </w:p>
          <w:p>
            <w:pPr>
              <w:spacing w:before="94" w:line="228" w:lineRule="auto"/>
              <w:ind w:firstLine="212" w:firstLineChars="100"/>
              <w:rPr>
                <w:rFonts w:hint="default" w:ascii="Times New Roman" w:hAnsi="Times New Roman" w:eastAsia="宋体" w:cs="Times New Roman"/>
                <w:spacing w:val="6"/>
                <w:sz w:val="20"/>
                <w:szCs w:val="20"/>
                <w:highlight w:val="none"/>
              </w:rPr>
            </w:pPr>
            <w:r>
              <w:rPr>
                <w:rFonts w:hint="eastAsia" w:ascii="Times New Roman" w:hAnsi="Times New Roman" w:eastAsia="宋体" w:cs="Times New Roman"/>
                <w:spacing w:val="6"/>
                <w:sz w:val="20"/>
                <w:szCs w:val="20"/>
                <w:highlight w:val="none"/>
                <w:lang w:val="en-US" w:eastAsia="zh-CN"/>
              </w:rPr>
              <w:t>集中供水井</w:t>
            </w:r>
          </w:p>
        </w:tc>
        <w:tc>
          <w:tcPr>
            <w:tcW w:w="67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spacing w:val="8"/>
                <w:sz w:val="20"/>
                <w:szCs w:val="20"/>
                <w:highlight w:val="none"/>
                <w:lang w:val="en-US" w:eastAsia="zh-CN"/>
              </w:rPr>
            </w:pPr>
            <w:r>
              <w:rPr>
                <w:rFonts w:hint="default" w:ascii="Times New Roman" w:hAnsi="Times New Roman" w:eastAsia="宋体" w:cs="Times New Roman"/>
                <w:spacing w:val="8"/>
                <w:sz w:val="20"/>
                <w:szCs w:val="20"/>
                <w:highlight w:val="none"/>
                <w:lang w:val="en-US" w:eastAsia="zh-CN"/>
              </w:rPr>
              <w:t>SE</w:t>
            </w:r>
          </w:p>
          <w:p>
            <w:pPr>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eastAsia"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下游</w:t>
            </w:r>
          </w:p>
        </w:tc>
        <w:tc>
          <w:tcPr>
            <w:tcW w:w="3128"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tLeast"/>
              <w:ind w:firstLine="222" w:firstLineChars="100"/>
              <w:jc w:val="center"/>
              <w:textAlignment w:val="baseline"/>
              <w:rPr>
                <w:rFonts w:hint="eastAsia" w:ascii="Times New Roman" w:hAnsi="Times New Roman" w:eastAsia="宋体" w:cs="Times New Roman"/>
                <w:spacing w:val="11"/>
                <w:position w:val="-1"/>
                <w:sz w:val="20"/>
                <w:szCs w:val="20"/>
                <w:highlight w:val="none"/>
                <w:lang w:val="en-US" w:eastAsia="zh-CN"/>
              </w:rPr>
            </w:pPr>
            <w:r>
              <w:rPr>
                <w:rFonts w:hint="eastAsia" w:ascii="Times New Roman" w:hAnsi="Times New Roman" w:eastAsia="宋体" w:cs="Times New Roman"/>
                <w:spacing w:val="11"/>
                <w:position w:val="-1"/>
                <w:sz w:val="20"/>
                <w:szCs w:val="20"/>
                <w:highlight w:val="none"/>
                <w:lang w:val="en-US" w:eastAsia="zh-CN"/>
              </w:rPr>
              <w:t>坐标E117.97655，N40.23370</w:t>
            </w:r>
          </w:p>
          <w:p>
            <w:pPr>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cs="Times New Roman"/>
                <w:sz w:val="21"/>
                <w:highlight w:val="none"/>
              </w:rPr>
            </w:pPr>
            <w:r>
              <w:rPr>
                <w:rFonts w:hint="eastAsia" w:ascii="Times New Roman" w:hAnsi="Times New Roman" w:eastAsia="宋体" w:cs="Times New Roman"/>
                <w:spacing w:val="11"/>
                <w:position w:val="-1"/>
                <w:sz w:val="20"/>
                <w:szCs w:val="20"/>
                <w:highlight w:val="none"/>
                <w:lang w:val="en-US" w:eastAsia="zh-CN"/>
              </w:rPr>
              <w:t>距离320m，供水人口900人</w:t>
            </w:r>
          </w:p>
        </w:tc>
        <w:tc>
          <w:tcPr>
            <w:tcW w:w="897" w:type="dxa"/>
            <w:vMerge w:val="continue"/>
            <w:vAlign w:val="top"/>
          </w:tcPr>
          <w:p>
            <w:pPr>
              <w:spacing w:before="57" w:line="142" w:lineRule="exact"/>
              <w:ind w:left="241"/>
              <w:rPr>
                <w:rFonts w:hint="default" w:ascii="Times New Roman" w:hAnsi="Times New Roman" w:eastAsia="Times New Roman" w:cs="Times New Roman"/>
                <w:spacing w:val="11"/>
                <w:position w:val="-1"/>
                <w:sz w:val="20"/>
                <w:szCs w:val="20"/>
                <w:highlight w:val="none"/>
              </w:rPr>
            </w:pPr>
          </w:p>
        </w:tc>
        <w:tc>
          <w:tcPr>
            <w:tcW w:w="1630" w:type="dxa"/>
            <w:vMerge w:val="continue"/>
            <w:tcBorders>
              <w:right w:val="single" w:color="000000" w:sz="10" w:space="0"/>
            </w:tcBorders>
            <w:vAlign w:val="top"/>
          </w:tcPr>
          <w:p>
            <w:pPr>
              <w:spacing w:before="31" w:line="237" w:lineRule="auto"/>
              <w:ind w:left="720" w:right="118" w:hanging="580"/>
              <w:rPr>
                <w:rFonts w:hint="default" w:ascii="Times New Roman" w:hAnsi="Times New Roman" w:eastAsia="Times New Roman" w:cs="Times New Roman"/>
                <w:spacing w:val="7"/>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58" w:type="dxa"/>
            <w:gridSpan w:val="2"/>
            <w:vMerge w:val="continue"/>
            <w:tcBorders>
              <w:left w:val="single" w:color="000000" w:sz="10" w:space="0"/>
            </w:tcBorders>
            <w:vAlign w:val="top"/>
          </w:tcPr>
          <w:p>
            <w:pPr>
              <w:spacing w:before="65" w:line="265" w:lineRule="auto"/>
              <w:ind w:left="216" w:right="124" w:hanging="108"/>
              <w:rPr>
                <w:rFonts w:hint="default" w:ascii="Times New Roman" w:hAnsi="Times New Roman" w:eastAsia="宋体" w:cs="Times New Roman"/>
                <w:spacing w:val="5"/>
                <w:sz w:val="20"/>
                <w:szCs w:val="20"/>
                <w:highlight w:val="none"/>
              </w:rPr>
            </w:pPr>
          </w:p>
        </w:tc>
        <w:tc>
          <w:tcPr>
            <w:tcW w:w="1545" w:type="dxa"/>
            <w:vAlign w:val="top"/>
          </w:tcPr>
          <w:p>
            <w:pPr>
              <w:spacing w:before="94" w:line="228" w:lineRule="auto"/>
              <w:ind w:firstLine="212" w:firstLineChars="100"/>
              <w:rPr>
                <w:rFonts w:hint="eastAsia" w:ascii="Times New Roman" w:hAnsi="Times New Roman" w:eastAsia="宋体" w:cs="Times New Roman"/>
                <w:spacing w:val="6"/>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小石庄村</w:t>
            </w:r>
          </w:p>
          <w:p>
            <w:pPr>
              <w:spacing w:before="94" w:line="228" w:lineRule="auto"/>
              <w:ind w:firstLine="212" w:firstLineChars="100"/>
              <w:rPr>
                <w:rFonts w:hint="default" w:ascii="Times New Roman" w:hAnsi="Times New Roman" w:eastAsia="宋体" w:cs="Times New Roman"/>
                <w:spacing w:val="6"/>
                <w:sz w:val="20"/>
                <w:szCs w:val="20"/>
                <w:highlight w:val="none"/>
              </w:rPr>
            </w:pPr>
            <w:r>
              <w:rPr>
                <w:rFonts w:hint="eastAsia" w:ascii="Times New Roman" w:hAnsi="Times New Roman" w:eastAsia="宋体" w:cs="Times New Roman"/>
                <w:spacing w:val="6"/>
                <w:sz w:val="20"/>
                <w:szCs w:val="20"/>
                <w:highlight w:val="none"/>
                <w:lang w:val="en-US" w:eastAsia="zh-CN"/>
              </w:rPr>
              <w:t>集中供水井</w:t>
            </w:r>
          </w:p>
        </w:tc>
        <w:tc>
          <w:tcPr>
            <w:tcW w:w="67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spacing w:val="8"/>
                <w:sz w:val="20"/>
                <w:szCs w:val="20"/>
                <w:highlight w:val="none"/>
                <w:lang w:val="en-US" w:eastAsia="zh-CN"/>
              </w:rPr>
            </w:pPr>
            <w:r>
              <w:rPr>
                <w:rFonts w:hint="default" w:ascii="Times New Roman" w:hAnsi="Times New Roman" w:eastAsia="宋体" w:cs="Times New Roman"/>
                <w:spacing w:val="8"/>
                <w:sz w:val="20"/>
                <w:szCs w:val="20"/>
                <w:highlight w:val="none"/>
                <w:lang w:val="en-US" w:eastAsia="zh-CN"/>
              </w:rPr>
              <w:t>S</w:t>
            </w:r>
          </w:p>
          <w:p>
            <w:pPr>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eastAsia"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下游</w:t>
            </w:r>
          </w:p>
        </w:tc>
        <w:tc>
          <w:tcPr>
            <w:tcW w:w="3128"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tLeast"/>
              <w:ind w:firstLine="222" w:firstLineChars="100"/>
              <w:jc w:val="center"/>
              <w:textAlignment w:val="baseline"/>
              <w:rPr>
                <w:rFonts w:hint="eastAsia" w:ascii="Times New Roman" w:hAnsi="Times New Roman" w:eastAsia="宋体" w:cs="Times New Roman"/>
                <w:spacing w:val="11"/>
                <w:position w:val="-1"/>
                <w:sz w:val="20"/>
                <w:szCs w:val="20"/>
                <w:highlight w:val="none"/>
                <w:lang w:val="en-US" w:eastAsia="zh-CN"/>
              </w:rPr>
            </w:pPr>
            <w:r>
              <w:rPr>
                <w:rFonts w:hint="eastAsia" w:ascii="Times New Roman" w:hAnsi="Times New Roman" w:eastAsia="宋体" w:cs="Times New Roman"/>
                <w:spacing w:val="11"/>
                <w:position w:val="-1"/>
                <w:sz w:val="20"/>
                <w:szCs w:val="20"/>
                <w:highlight w:val="none"/>
                <w:lang w:val="en-US" w:eastAsia="zh-CN"/>
              </w:rPr>
              <w:t>坐标E117.96462，N40.22974</w:t>
            </w:r>
          </w:p>
          <w:p>
            <w:pPr>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cs="Times New Roman"/>
                <w:sz w:val="21"/>
                <w:highlight w:val="none"/>
              </w:rPr>
            </w:pPr>
            <w:r>
              <w:rPr>
                <w:rFonts w:hint="eastAsia" w:ascii="Times New Roman" w:hAnsi="Times New Roman" w:eastAsia="宋体" w:cs="Times New Roman"/>
                <w:spacing w:val="11"/>
                <w:position w:val="-1"/>
                <w:sz w:val="20"/>
                <w:szCs w:val="20"/>
                <w:highlight w:val="none"/>
                <w:lang w:val="en-US" w:eastAsia="zh-CN"/>
              </w:rPr>
              <w:t>距离800m，供水人口420人</w:t>
            </w:r>
          </w:p>
        </w:tc>
        <w:tc>
          <w:tcPr>
            <w:tcW w:w="897" w:type="dxa"/>
            <w:vMerge w:val="continue"/>
            <w:vAlign w:val="top"/>
          </w:tcPr>
          <w:p>
            <w:pPr>
              <w:spacing w:before="57" w:line="142" w:lineRule="exact"/>
              <w:ind w:left="241"/>
              <w:rPr>
                <w:rFonts w:hint="default" w:ascii="Times New Roman" w:hAnsi="Times New Roman" w:eastAsia="Times New Roman" w:cs="Times New Roman"/>
                <w:spacing w:val="11"/>
                <w:position w:val="-1"/>
                <w:sz w:val="20"/>
                <w:szCs w:val="20"/>
                <w:highlight w:val="none"/>
              </w:rPr>
            </w:pPr>
          </w:p>
        </w:tc>
        <w:tc>
          <w:tcPr>
            <w:tcW w:w="1630" w:type="dxa"/>
            <w:vMerge w:val="continue"/>
            <w:tcBorders>
              <w:right w:val="single" w:color="000000" w:sz="10" w:space="0"/>
            </w:tcBorders>
            <w:vAlign w:val="top"/>
          </w:tcPr>
          <w:p>
            <w:pPr>
              <w:spacing w:before="31" w:line="237" w:lineRule="auto"/>
              <w:ind w:left="720" w:right="118" w:hanging="580"/>
              <w:rPr>
                <w:rFonts w:hint="default" w:ascii="Times New Roman" w:hAnsi="Times New Roman" w:eastAsia="Times New Roman" w:cs="Times New Roman"/>
                <w:spacing w:val="7"/>
                <w:sz w:val="20"/>
                <w:szCs w:val="20"/>
                <w:highlight w:val="none"/>
              </w:rPr>
            </w:pPr>
          </w:p>
        </w:tc>
      </w:tr>
    </w:tbl>
    <w:p>
      <w:pPr>
        <w:spacing w:before="272" w:line="219" w:lineRule="auto"/>
        <w:ind w:left="129"/>
        <w:outlineLvl w:val="1"/>
        <w:rPr>
          <w:rFonts w:hint="default" w:ascii="Times New Roman" w:hAnsi="Times New Roman" w:eastAsia="宋体" w:cs="Times New Roman"/>
          <w:sz w:val="28"/>
          <w:szCs w:val="28"/>
          <w:highlight w:val="none"/>
        </w:rPr>
      </w:pPr>
      <w:r>
        <w:rPr>
          <w:rFonts w:hint="default" w:ascii="Times New Roman" w:hAnsi="Times New Roman" w:eastAsia="Times New Roman" w:cs="Times New Roman"/>
          <w:b/>
          <w:bCs/>
          <w:spacing w:val="1"/>
          <w:sz w:val="28"/>
          <w:szCs w:val="28"/>
          <w:highlight w:val="none"/>
        </w:rPr>
        <w:t>2.</w:t>
      </w:r>
      <w:r>
        <w:rPr>
          <w:rFonts w:hint="default" w:ascii="Times New Roman" w:hAnsi="Times New Roman" w:eastAsia="Times New Roman" w:cs="Times New Roman"/>
          <w:b/>
          <w:bCs/>
          <w:sz w:val="28"/>
          <w:szCs w:val="28"/>
          <w:highlight w:val="none"/>
        </w:rPr>
        <w:t>6</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评价内容和评价重点</w:t>
      </w:r>
      <w:bookmarkEnd w:id="101"/>
      <w:bookmarkEnd w:id="102"/>
      <w:bookmarkEnd w:id="103"/>
    </w:p>
    <w:p>
      <w:pPr>
        <w:spacing w:line="245" w:lineRule="auto"/>
        <w:rPr>
          <w:rFonts w:hint="default" w:ascii="Times New Roman" w:hAnsi="Times New Roman" w:cs="Times New Roman"/>
          <w:sz w:val="21"/>
          <w:highlight w:val="none"/>
        </w:rPr>
      </w:pPr>
    </w:p>
    <w:p>
      <w:pPr>
        <w:spacing w:before="74" w:line="227" w:lineRule="auto"/>
        <w:ind w:left="128"/>
        <w:outlineLvl w:val="2"/>
        <w:rPr>
          <w:rFonts w:hint="default" w:ascii="Times New Roman" w:hAnsi="Times New Roman" w:eastAsia="宋体" w:cs="Times New Roman"/>
          <w:sz w:val="23"/>
          <w:szCs w:val="23"/>
          <w:highlight w:val="none"/>
        </w:rPr>
      </w:pPr>
      <w:bookmarkStart w:id="104" w:name="_Toc14210"/>
      <w:bookmarkStart w:id="105" w:name="_Toc25719"/>
      <w:bookmarkStart w:id="106" w:name="_Toc31954"/>
      <w:r>
        <w:rPr>
          <w:rFonts w:hint="default" w:ascii="Times New Roman" w:hAnsi="Times New Roman" w:eastAsia="Times New Roman" w:cs="Times New Roman"/>
          <w:b/>
          <w:bCs/>
          <w:spacing w:val="10"/>
          <w:sz w:val="23"/>
          <w:szCs w:val="23"/>
          <w:highlight w:val="none"/>
        </w:rPr>
        <w:t>2</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6.1</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评价内容</w:t>
      </w:r>
      <w:bookmarkEnd w:id="104"/>
      <w:bookmarkEnd w:id="105"/>
      <w:bookmarkEnd w:id="106"/>
    </w:p>
    <w:p>
      <w:pPr>
        <w:spacing w:line="258" w:lineRule="auto"/>
        <w:rPr>
          <w:rFonts w:hint="default" w:ascii="Times New Roman" w:hAnsi="Times New Roman" w:cs="Times New Roman"/>
          <w:sz w:val="21"/>
          <w:highlight w:val="none"/>
        </w:rPr>
      </w:pPr>
    </w:p>
    <w:p>
      <w:pPr>
        <w:spacing w:before="75" w:line="407" w:lineRule="auto"/>
        <w:ind w:left="131" w:right="122" w:firstLine="48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本次评价内容主要包括：概述、总则、建设项目工程分析、环境现状调查</w:t>
      </w:r>
      <w:r>
        <w:rPr>
          <w:rFonts w:hint="default" w:ascii="Times New Roman" w:hAnsi="Times New Roman" w:eastAsia="宋体" w:cs="Times New Roman"/>
          <w:spacing w:val="6"/>
          <w:sz w:val="23"/>
          <w:szCs w:val="23"/>
          <w:highlight w:val="none"/>
        </w:rPr>
        <w:t>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评</w:t>
      </w:r>
      <w:r>
        <w:rPr>
          <w:rFonts w:hint="default" w:ascii="Times New Roman" w:hAnsi="Times New Roman" w:eastAsia="宋体" w:cs="Times New Roman"/>
          <w:spacing w:val="7"/>
          <w:sz w:val="23"/>
          <w:szCs w:val="23"/>
          <w:highlight w:val="none"/>
        </w:rPr>
        <w:t>价、环境影响预测与评价、环境保护措施及其可行性论证、环境影响经济损益</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分</w:t>
      </w:r>
      <w:r>
        <w:rPr>
          <w:rFonts w:hint="default" w:ascii="Times New Roman" w:hAnsi="Times New Roman" w:eastAsia="宋体" w:cs="Times New Roman"/>
          <w:spacing w:val="9"/>
          <w:sz w:val="23"/>
          <w:szCs w:val="23"/>
          <w:highlight w:val="none"/>
        </w:rPr>
        <w:t>析、环境管理与监测计划、环境影响评价结论等。</w:t>
      </w:r>
    </w:p>
    <w:p>
      <w:pPr>
        <w:spacing w:before="99" w:line="227" w:lineRule="auto"/>
        <w:ind w:left="128"/>
        <w:outlineLvl w:val="2"/>
        <w:rPr>
          <w:rFonts w:hint="default" w:ascii="Times New Roman" w:hAnsi="Times New Roman" w:eastAsia="宋体" w:cs="Times New Roman"/>
          <w:sz w:val="23"/>
          <w:szCs w:val="23"/>
          <w:highlight w:val="none"/>
        </w:rPr>
      </w:pPr>
      <w:bookmarkStart w:id="107" w:name="_Toc22454"/>
      <w:bookmarkStart w:id="108" w:name="_Toc13838"/>
      <w:bookmarkStart w:id="109" w:name="_Toc26047"/>
      <w:r>
        <w:rPr>
          <w:rFonts w:hint="default" w:ascii="Times New Roman" w:hAnsi="Times New Roman" w:eastAsia="Times New Roman" w:cs="Times New Roman"/>
          <w:b/>
          <w:bCs/>
          <w:spacing w:val="10"/>
          <w:sz w:val="23"/>
          <w:szCs w:val="23"/>
          <w:highlight w:val="none"/>
        </w:rPr>
        <w:t>2</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6.2</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评价重点</w:t>
      </w:r>
      <w:bookmarkEnd w:id="107"/>
      <w:bookmarkEnd w:id="108"/>
      <w:bookmarkEnd w:id="109"/>
    </w:p>
    <w:p>
      <w:pPr>
        <w:spacing w:line="263" w:lineRule="auto"/>
        <w:rPr>
          <w:rFonts w:hint="default" w:ascii="Times New Roman" w:hAnsi="Times New Roman" w:cs="Times New Roman"/>
          <w:sz w:val="21"/>
          <w:highlight w:val="none"/>
        </w:rPr>
      </w:pPr>
    </w:p>
    <w:p>
      <w:pPr>
        <w:spacing w:before="75" w:line="408" w:lineRule="auto"/>
        <w:ind w:left="178" w:right="122" w:firstLine="43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结合项目的排污特点和周围环境状况，确定本次评价工作重点为：建设</w:t>
      </w:r>
      <w:r>
        <w:rPr>
          <w:rFonts w:hint="default" w:ascii="Times New Roman" w:hAnsi="Times New Roman" w:eastAsia="宋体" w:cs="Times New Roman"/>
          <w:spacing w:val="2"/>
          <w:sz w:val="23"/>
          <w:szCs w:val="23"/>
          <w:highlight w:val="none"/>
        </w:rPr>
        <w:t>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目工程分析、大气环境影响评价、声环境影响评价、环保措施可行性论证。</w:t>
      </w:r>
    </w:p>
    <w:p>
      <w:pPr>
        <w:spacing w:before="67" w:line="219" w:lineRule="auto"/>
        <w:ind w:left="129"/>
        <w:outlineLvl w:val="1"/>
        <w:rPr>
          <w:rFonts w:hint="default" w:ascii="Times New Roman" w:hAnsi="Times New Roman" w:eastAsia="宋体" w:cs="Times New Roman"/>
          <w:sz w:val="28"/>
          <w:szCs w:val="28"/>
          <w:highlight w:val="none"/>
        </w:rPr>
      </w:pPr>
      <w:bookmarkStart w:id="110" w:name="_Toc4623"/>
      <w:bookmarkStart w:id="111" w:name="_Toc4721"/>
      <w:bookmarkStart w:id="112" w:name="_Toc5127"/>
      <w:r>
        <w:rPr>
          <w:rFonts w:hint="default" w:ascii="Times New Roman" w:hAnsi="Times New Roman" w:eastAsia="Times New Roman" w:cs="Times New Roman"/>
          <w:b/>
          <w:bCs/>
          <w:spacing w:val="-1"/>
          <w:sz w:val="28"/>
          <w:szCs w:val="28"/>
          <w:highlight w:val="none"/>
        </w:rPr>
        <w:t>2.7</w:t>
      </w:r>
      <w:r>
        <w:rPr>
          <w:rFonts w:hint="default" w:ascii="Times New Roman" w:hAnsi="Times New Roman" w:eastAsia="Times New Roman" w:cs="Times New Roman"/>
          <w:spacing w:val="-1"/>
          <w:sz w:val="28"/>
          <w:szCs w:val="28"/>
          <w:highlight w:val="none"/>
        </w:rPr>
        <w:t xml:space="preserve"> </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评价标准</w:t>
      </w:r>
      <w:bookmarkEnd w:id="110"/>
      <w:bookmarkEnd w:id="111"/>
      <w:bookmarkEnd w:id="112"/>
    </w:p>
    <w:p>
      <w:pPr>
        <w:spacing w:before="76" w:line="229" w:lineRule="auto"/>
        <w:ind w:left="128"/>
        <w:outlineLvl w:val="2"/>
        <w:rPr>
          <w:rFonts w:hint="default" w:ascii="Times New Roman" w:hAnsi="Times New Roman" w:eastAsia="宋体" w:cs="Times New Roman"/>
          <w:sz w:val="23"/>
          <w:szCs w:val="23"/>
          <w:highlight w:val="none"/>
        </w:rPr>
      </w:pPr>
      <w:bookmarkStart w:id="113" w:name="_Toc13377"/>
      <w:bookmarkStart w:id="114" w:name="_Toc19632"/>
      <w:bookmarkStart w:id="115" w:name="_Toc10452"/>
      <w:r>
        <w:rPr>
          <w:rFonts w:hint="default" w:ascii="Times New Roman" w:hAnsi="Times New Roman" w:eastAsia="Times New Roman" w:cs="Times New Roman"/>
          <w:b/>
          <w:bCs/>
          <w:spacing w:val="12"/>
          <w:sz w:val="23"/>
          <w:szCs w:val="23"/>
          <w:highlight w:val="none"/>
        </w:rPr>
        <w:t>2</w:t>
      </w:r>
      <w:r>
        <w:rPr>
          <w:rFonts w:hint="default" w:ascii="Times New Roman" w:hAnsi="Times New Roman" w:eastAsia="Times New Roman" w:cs="Times New Roman"/>
          <w:b/>
          <w:bCs/>
          <w:spacing w:val="6"/>
          <w:sz w:val="23"/>
          <w:szCs w:val="23"/>
          <w:highlight w:val="none"/>
        </w:rPr>
        <w:t>.7.1</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环境质量标准</w:t>
      </w:r>
      <w:bookmarkEnd w:id="113"/>
      <w:bookmarkEnd w:id="114"/>
      <w:bookmarkEnd w:id="115"/>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88"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w:t>
      </w:r>
      <w:r>
        <w:rPr>
          <w:rFonts w:hint="default" w:ascii="Times New Roman" w:hAnsi="Times New Roman" w:eastAsia="Times New Roman" w:cs="Times New Roman"/>
          <w:spacing w:val="7"/>
          <w:sz w:val="23"/>
          <w:szCs w:val="23"/>
          <w:highlight w:val="none"/>
        </w:rPr>
        <w:t>1</w:t>
      </w:r>
      <w:r>
        <w:rPr>
          <w:rFonts w:hint="default" w:ascii="Times New Roman" w:hAnsi="Times New Roman" w:eastAsia="宋体" w:cs="Times New Roman"/>
          <w:spacing w:val="7"/>
          <w:sz w:val="23"/>
          <w:szCs w:val="23"/>
          <w:highlight w:val="none"/>
        </w:rPr>
        <w:t>) 环境空气：执行《环境空气质量标准》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7"/>
          <w:sz w:val="23"/>
          <w:szCs w:val="23"/>
          <w:highlight w:val="none"/>
        </w:rPr>
        <w:t>3095-2012</w:t>
      </w:r>
      <w:r>
        <w:rPr>
          <w:rFonts w:hint="default" w:ascii="Times New Roman" w:hAnsi="Times New Roman" w:eastAsia="宋体" w:cs="Times New Roman"/>
          <w:spacing w:val="7"/>
          <w:sz w:val="23"/>
          <w:szCs w:val="23"/>
          <w:highlight w:val="none"/>
        </w:rPr>
        <w:t>) 中二级标</w:t>
      </w:r>
      <w:r>
        <w:rPr>
          <w:rFonts w:hint="default" w:ascii="Times New Roman" w:hAnsi="Times New Roman" w:eastAsia="宋体" w:cs="Times New Roman"/>
          <w:spacing w:val="6"/>
          <w:sz w:val="23"/>
          <w:szCs w:val="23"/>
          <w:highlight w:val="none"/>
        </w:rPr>
        <w:t>准</w:t>
      </w:r>
      <w:r>
        <w:rPr>
          <w:rFonts w:hint="default" w:ascii="Times New Roman" w:hAnsi="Times New Roman" w:eastAsia="宋体" w:cs="Times New Roman"/>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516"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position w:val="1"/>
          <w:sz w:val="23"/>
          <w:szCs w:val="23"/>
          <w:highlight w:val="none"/>
        </w:rPr>
        <w:t>(</w:t>
      </w:r>
      <w:r>
        <w:rPr>
          <w:rFonts w:hint="default" w:ascii="Times New Roman" w:hAnsi="Times New Roman" w:eastAsia="Times New Roman" w:cs="Times New Roman"/>
          <w:spacing w:val="8"/>
          <w:position w:val="1"/>
          <w:sz w:val="23"/>
          <w:szCs w:val="23"/>
          <w:highlight w:val="none"/>
        </w:rPr>
        <w:t>2</w:t>
      </w:r>
      <w:r>
        <w:rPr>
          <w:rFonts w:hint="default" w:ascii="Times New Roman" w:hAnsi="Times New Roman" w:eastAsia="宋体" w:cs="Times New Roman"/>
          <w:spacing w:val="7"/>
          <w:position w:val="1"/>
          <w:sz w:val="23"/>
          <w:szCs w:val="23"/>
          <w:highlight w:val="none"/>
        </w:rPr>
        <w:t>) 地下水：执行《地下水质量标准》  (</w:t>
      </w:r>
      <w:r>
        <w:rPr>
          <w:rFonts w:hint="default" w:ascii="Times New Roman" w:hAnsi="Times New Roman" w:eastAsia="Times New Roman" w:cs="Times New Roman"/>
          <w:position w:val="1"/>
          <w:sz w:val="23"/>
          <w:szCs w:val="23"/>
          <w:highlight w:val="none"/>
        </w:rPr>
        <w:t>GB</w:t>
      </w:r>
      <w:r>
        <w:rPr>
          <w:rFonts w:hint="default" w:ascii="Times New Roman" w:hAnsi="Times New Roman" w:eastAsia="Times New Roman" w:cs="Times New Roman"/>
          <w:spacing w:val="7"/>
          <w:position w:val="1"/>
          <w:sz w:val="23"/>
          <w:szCs w:val="23"/>
          <w:highlight w:val="none"/>
        </w:rPr>
        <w:t>/</w:t>
      </w:r>
      <w:r>
        <w:rPr>
          <w:rFonts w:hint="default" w:ascii="Times New Roman" w:hAnsi="Times New Roman" w:eastAsia="Times New Roman" w:cs="Times New Roman"/>
          <w:position w:val="1"/>
          <w:sz w:val="23"/>
          <w:szCs w:val="23"/>
          <w:highlight w:val="none"/>
        </w:rPr>
        <w:t>T</w:t>
      </w:r>
      <w:r>
        <w:rPr>
          <w:rFonts w:hint="default" w:ascii="Times New Roman" w:hAnsi="Times New Roman" w:eastAsia="Times New Roman" w:cs="Times New Roman"/>
          <w:spacing w:val="7"/>
          <w:position w:val="1"/>
          <w:sz w:val="23"/>
          <w:szCs w:val="23"/>
          <w:highlight w:val="none"/>
        </w:rPr>
        <w:t>14848-2017</w:t>
      </w:r>
      <w:r>
        <w:rPr>
          <w:rFonts w:hint="default" w:ascii="Times New Roman" w:hAnsi="Times New Roman" w:eastAsia="宋体" w:cs="Times New Roman"/>
          <w:spacing w:val="7"/>
          <w:position w:val="1"/>
          <w:sz w:val="23"/>
          <w:szCs w:val="23"/>
          <w:highlight w:val="none"/>
        </w:rPr>
        <w:t>) 中Ⅲ类标准</w:t>
      </w:r>
      <w:r>
        <w:rPr>
          <w:rFonts w:hint="default" w:ascii="Times New Roman" w:hAnsi="Times New Roman" w:eastAsia="宋体" w:cs="Times New Roman"/>
          <w:spacing w:val="7"/>
          <w:position w:val="1"/>
          <w:sz w:val="23"/>
          <w:szCs w:val="23"/>
          <w:highlight w:val="none"/>
          <w:lang w:eastAsia="zh-CN"/>
        </w:rPr>
        <w:t>，</w:t>
      </w:r>
      <w:r>
        <w:rPr>
          <w:rFonts w:hint="default" w:ascii="Times New Roman" w:hAnsi="Times New Roman" w:cs="Times New Roman"/>
          <w:sz w:val="24"/>
          <w:szCs w:val="24"/>
          <w:highlight w:val="none"/>
        </w:rPr>
        <w:t>石油类参照《地表水环境质量标准》（GB3838-2002）III类标准</w:t>
      </w:r>
      <w:r>
        <w:rPr>
          <w:rFonts w:hint="default" w:ascii="Times New Roman" w:hAnsi="Times New Roman" w:eastAsia="宋体" w:cs="Times New Roman"/>
          <w:spacing w:val="7"/>
          <w:position w:val="1"/>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right="122" w:firstLine="532" w:firstLineChars="200"/>
        <w:jc w:val="both"/>
        <w:textAlignment w:val="baseline"/>
        <w:rPr>
          <w:rFonts w:hint="default"/>
          <w:highlight w:val="none"/>
        </w:rPr>
      </w:pPr>
      <w:r>
        <w:rPr>
          <w:rFonts w:hint="default" w:ascii="Times New Roman" w:hAnsi="Times New Roman" w:eastAsia="宋体" w:cs="Times New Roman"/>
          <w:spacing w:val="18"/>
          <w:position w:val="2"/>
          <w:sz w:val="23"/>
          <w:szCs w:val="23"/>
          <w:highlight w:val="none"/>
        </w:rPr>
        <w:t>(</w:t>
      </w:r>
      <w:r>
        <w:rPr>
          <w:rFonts w:hint="default" w:ascii="Times New Roman" w:hAnsi="Times New Roman" w:eastAsia="Times New Roman" w:cs="Times New Roman"/>
          <w:spacing w:val="18"/>
          <w:position w:val="2"/>
          <w:sz w:val="23"/>
          <w:szCs w:val="23"/>
          <w:highlight w:val="none"/>
        </w:rPr>
        <w:t>3</w:t>
      </w:r>
      <w:r>
        <w:rPr>
          <w:rFonts w:hint="default" w:ascii="Times New Roman" w:hAnsi="Times New Roman" w:eastAsia="宋体" w:cs="Times New Roman"/>
          <w:spacing w:val="18"/>
          <w:position w:val="2"/>
          <w:sz w:val="23"/>
          <w:szCs w:val="23"/>
          <w:highlight w:val="none"/>
        </w:rPr>
        <w:t>)</w:t>
      </w:r>
      <w:r>
        <w:rPr>
          <w:rFonts w:hint="default" w:ascii="Times New Roman" w:hAnsi="Times New Roman" w:eastAsia="宋体" w:cs="Times New Roman"/>
          <w:spacing w:val="15"/>
          <w:position w:val="2"/>
          <w:sz w:val="23"/>
          <w:szCs w:val="23"/>
          <w:highlight w:val="none"/>
        </w:rPr>
        <w:t xml:space="preserve"> </w:t>
      </w:r>
      <w:r>
        <w:rPr>
          <w:rFonts w:hint="default" w:ascii="Times New Roman" w:hAnsi="Times New Roman" w:eastAsia="宋体" w:cs="Times New Roman"/>
          <w:spacing w:val="9"/>
          <w:position w:val="2"/>
          <w:sz w:val="23"/>
          <w:szCs w:val="23"/>
          <w:highlight w:val="none"/>
        </w:rPr>
        <w:t>声环境：执行《声环境质量标准》</w:t>
      </w:r>
      <w:r>
        <w:rPr>
          <w:rFonts w:hint="default" w:ascii="Times New Roman" w:hAnsi="Times New Roman" w:eastAsia="Times New Roman" w:cs="Times New Roman"/>
          <w:spacing w:val="9"/>
          <w:position w:val="2"/>
          <w:sz w:val="23"/>
          <w:szCs w:val="23"/>
          <w:highlight w:val="none"/>
        </w:rPr>
        <w:t>(</w:t>
      </w:r>
      <w:r>
        <w:rPr>
          <w:rFonts w:hint="default" w:ascii="Times New Roman" w:hAnsi="Times New Roman" w:eastAsia="Times New Roman" w:cs="Times New Roman"/>
          <w:position w:val="2"/>
          <w:sz w:val="23"/>
          <w:szCs w:val="23"/>
          <w:highlight w:val="none"/>
        </w:rPr>
        <w:t>GB</w:t>
      </w:r>
      <w:r>
        <w:rPr>
          <w:rFonts w:hint="default" w:ascii="Times New Roman" w:hAnsi="Times New Roman" w:eastAsia="Times New Roman" w:cs="Times New Roman"/>
          <w:spacing w:val="9"/>
          <w:position w:val="2"/>
          <w:sz w:val="23"/>
          <w:szCs w:val="23"/>
          <w:highlight w:val="none"/>
        </w:rPr>
        <w:t xml:space="preserve">3096-2008) 2 </w:t>
      </w:r>
      <w:r>
        <w:rPr>
          <w:rFonts w:hint="default" w:ascii="Times New Roman" w:hAnsi="Times New Roman" w:eastAsia="宋体" w:cs="Times New Roman"/>
          <w:spacing w:val="9"/>
          <w:position w:val="2"/>
          <w:sz w:val="23"/>
          <w:szCs w:val="23"/>
          <w:highlight w:val="none"/>
        </w:rPr>
        <w:t>类区标准</w:t>
      </w:r>
      <w:r>
        <w:rPr>
          <w:rFonts w:hint="default" w:ascii="Times New Roman" w:hAnsi="Times New Roman" w:eastAsia="宋体" w:cs="Times New Roman"/>
          <w:spacing w:val="4"/>
          <w:sz w:val="23"/>
          <w:szCs w:val="23"/>
          <w:highlight w:val="none"/>
        </w:rPr>
        <w:t>。</w:t>
      </w:r>
    </w:p>
    <w:p>
      <w:pPr>
        <w:tabs>
          <w:tab w:val="left" w:pos="696"/>
        </w:tabs>
        <w:bidi w:val="0"/>
        <w:jc w:val="left"/>
        <w:rPr>
          <w:rFonts w:hint="default" w:ascii="Times New Roman" w:hAnsi="Times New Roman" w:eastAsia="宋体" w:cs="Times New Roman"/>
          <w:spacing w:val="-1"/>
          <w:sz w:val="23"/>
          <w:szCs w:val="23"/>
          <w:highlight w:val="none"/>
        </w:rPr>
      </w:pPr>
      <w:r>
        <w:rPr>
          <w:rFonts w:hint="eastAsia" w:eastAsia="宋体"/>
          <w:highlight w:val="none"/>
          <w:lang w:eastAsia="zh-CN"/>
        </w:rPr>
        <w:tab/>
      </w:r>
      <w:r>
        <w:rPr>
          <w:rFonts w:hint="default" w:ascii="Times New Roman" w:hAnsi="Times New Roman" w:cs="Times New Roman"/>
          <w:highlight w:val="none"/>
        </w:rPr>
        <w:pict>
          <v:shape id="_x0000_s1072" o:spid="_x0000_s1072" style="position:absolute;left:0pt;margin-left:89.85pt;margin-top:60.75pt;height:0.75pt;width:415.65pt;mso-position-horizontal-relative:page;mso-position-vertical-relative:page;z-index:251679744;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2"/>
          <w:sz w:val="23"/>
          <w:szCs w:val="23"/>
          <w:highlight w:val="none"/>
        </w:rPr>
        <w:t>环境质量标准</w:t>
      </w:r>
      <w:r>
        <w:rPr>
          <w:rFonts w:hint="default" w:ascii="Times New Roman" w:hAnsi="Times New Roman" w:eastAsia="宋体" w:cs="Times New Roman"/>
          <w:spacing w:val="-1"/>
          <w:sz w:val="23"/>
          <w:szCs w:val="23"/>
          <w:highlight w:val="none"/>
        </w:rPr>
        <w:t xml:space="preserve">见表 </w:t>
      </w:r>
      <w:r>
        <w:rPr>
          <w:rFonts w:hint="default" w:ascii="Times New Roman" w:hAnsi="Times New Roman" w:eastAsia="Times New Roman" w:cs="Times New Roman"/>
          <w:spacing w:val="-1"/>
          <w:sz w:val="23"/>
          <w:szCs w:val="23"/>
          <w:highlight w:val="none"/>
        </w:rPr>
        <w:t>2.7- 1</w:t>
      </w:r>
      <w:r>
        <w:rPr>
          <w:rFonts w:hint="default" w:ascii="Times New Roman" w:hAnsi="Times New Roman" w:eastAsia="宋体" w:cs="Times New Roman"/>
          <w:spacing w:val="-1"/>
          <w:sz w:val="23"/>
          <w:szCs w:val="23"/>
          <w:highlight w:val="none"/>
        </w:rPr>
        <w:t>。</w:t>
      </w:r>
    </w:p>
    <w:p>
      <w:pPr>
        <w:spacing w:before="44" w:line="228" w:lineRule="auto"/>
        <w:ind w:left="2131"/>
        <w:rPr>
          <w:rFonts w:hint="default" w:ascii="Times New Roman" w:hAnsi="Times New Roman" w:eastAsia="宋体" w:cs="Times New Roman"/>
          <w:b/>
          <w:bCs/>
          <w:sz w:val="23"/>
          <w:szCs w:val="23"/>
          <w:highlight w:val="none"/>
        </w:rPr>
      </w:pP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表</w:t>
      </w:r>
      <w:r>
        <w:rPr>
          <w:rFonts w:hint="eastAsia" w:ascii="Times New Roman" w:hAnsi="Times New Roman" w:eastAsia="宋体" w:cs="Times New Roman"/>
          <w:spacing w:val="2"/>
          <w:sz w:val="23"/>
          <w:szCs w:val="23"/>
          <w:highlight w:val="none"/>
          <w:lang w:val="en-US" w:eastAsia="zh-CN"/>
        </w:rPr>
        <w:t>2.7</w:t>
      </w:r>
      <w:r>
        <w:rPr>
          <w:rFonts w:hint="default" w:ascii="Times New Roman" w:hAnsi="Times New Roman" w:eastAsia="Times New Roman" w:cs="Times New Roman"/>
          <w:b/>
          <w:bCs/>
          <w:spacing w:val="2"/>
          <w:sz w:val="23"/>
          <w:szCs w:val="23"/>
          <w:highlight w:val="none"/>
        </w:rPr>
        <w:t>-1</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b/>
          <w:bCs/>
          <w:spacing w:val="2"/>
          <w:sz w:val="23"/>
          <w:szCs w:val="23"/>
          <w:highlight w:val="none"/>
          <w:lang w:val="en-US" w:eastAsia="zh-CN"/>
        </w:rPr>
        <w:t>环境质量标准一览表</w:t>
      </w:r>
      <w:r>
        <w:rPr>
          <w:rFonts w:hint="eastAsia" w:ascii="Times New Roman" w:hAnsi="Times New Roman" w:eastAsia="宋体" w:cs="Times New Roman"/>
          <w:b/>
          <w:bCs/>
          <w:spacing w:val="2"/>
          <w:sz w:val="23"/>
          <w:szCs w:val="23"/>
          <w:highlight w:val="none"/>
          <w:lang w:val="en-US" w:eastAsia="zh-CN"/>
        </w:rPr>
        <w:t>（空气、地下水、声）</w:t>
      </w:r>
    </w:p>
    <w:tbl>
      <w:tblPr>
        <w:tblStyle w:val="19"/>
        <w:tblW w:w="83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578"/>
        <w:gridCol w:w="2072"/>
        <w:gridCol w:w="574"/>
        <w:gridCol w:w="958"/>
        <w:gridCol w:w="22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962" w:type="dxa"/>
            <w:tcBorders>
              <w:tl2br w:val="nil"/>
              <w:tr2bl w:val="nil"/>
            </w:tcBorders>
            <w:vAlign w:val="top"/>
          </w:tcPr>
          <w:p>
            <w:pPr>
              <w:spacing w:before="100" w:line="228" w:lineRule="auto"/>
              <w:ind w:left="5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环</w:t>
            </w:r>
            <w:r>
              <w:rPr>
                <w:rFonts w:hint="default" w:ascii="Times New Roman" w:hAnsi="Times New Roman" w:eastAsia="宋体" w:cs="Times New Roman"/>
                <w:spacing w:val="7"/>
                <w:sz w:val="20"/>
                <w:szCs w:val="20"/>
                <w:highlight w:val="none"/>
              </w:rPr>
              <w:t>境要素</w:t>
            </w:r>
          </w:p>
        </w:tc>
        <w:tc>
          <w:tcPr>
            <w:tcW w:w="1578" w:type="dxa"/>
            <w:tcBorders>
              <w:tl2br w:val="nil"/>
              <w:tr2bl w:val="nil"/>
            </w:tcBorders>
            <w:vAlign w:val="top"/>
          </w:tcPr>
          <w:p>
            <w:pPr>
              <w:spacing w:before="100" w:line="228" w:lineRule="auto"/>
              <w:ind w:left="57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项目</w:t>
            </w:r>
          </w:p>
        </w:tc>
        <w:tc>
          <w:tcPr>
            <w:tcW w:w="2646" w:type="dxa"/>
            <w:gridSpan w:val="2"/>
            <w:tcBorders>
              <w:tl2br w:val="nil"/>
              <w:tr2bl w:val="nil"/>
            </w:tcBorders>
            <w:vAlign w:val="top"/>
          </w:tcPr>
          <w:p>
            <w:pPr>
              <w:spacing w:before="100" w:line="228" w:lineRule="auto"/>
              <w:ind w:left="101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标</w:t>
            </w:r>
            <w:r>
              <w:rPr>
                <w:rFonts w:hint="default" w:ascii="Times New Roman" w:hAnsi="Times New Roman" w:eastAsia="宋体" w:cs="Times New Roman"/>
                <w:spacing w:val="6"/>
                <w:sz w:val="20"/>
                <w:szCs w:val="20"/>
                <w:highlight w:val="none"/>
              </w:rPr>
              <w:t>准值</w:t>
            </w:r>
          </w:p>
        </w:tc>
        <w:tc>
          <w:tcPr>
            <w:tcW w:w="958" w:type="dxa"/>
            <w:tcBorders>
              <w:tl2br w:val="nil"/>
              <w:tr2bl w:val="nil"/>
            </w:tcBorders>
            <w:vAlign w:val="top"/>
          </w:tcPr>
          <w:p>
            <w:pPr>
              <w:spacing w:before="100" w:line="229" w:lineRule="auto"/>
              <w:ind w:left="27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单</w:t>
            </w:r>
            <w:r>
              <w:rPr>
                <w:rFonts w:hint="default" w:ascii="Times New Roman" w:hAnsi="Times New Roman" w:eastAsia="宋体" w:cs="Times New Roman"/>
                <w:spacing w:val="3"/>
                <w:sz w:val="20"/>
                <w:szCs w:val="20"/>
                <w:highlight w:val="none"/>
              </w:rPr>
              <w:t>位</w:t>
            </w:r>
          </w:p>
        </w:tc>
        <w:tc>
          <w:tcPr>
            <w:tcW w:w="2227" w:type="dxa"/>
            <w:tcBorders>
              <w:tl2br w:val="nil"/>
              <w:tr2bl w:val="nil"/>
            </w:tcBorders>
            <w:vAlign w:val="top"/>
          </w:tcPr>
          <w:p>
            <w:pPr>
              <w:spacing w:before="100" w:line="228" w:lineRule="auto"/>
              <w:ind w:left="5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标</w:t>
            </w:r>
            <w:r>
              <w:rPr>
                <w:rFonts w:hint="default" w:ascii="Times New Roman" w:hAnsi="Times New Roman" w:eastAsia="宋体" w:cs="Times New Roman"/>
                <w:spacing w:val="6"/>
                <w:sz w:val="20"/>
                <w:szCs w:val="20"/>
                <w:highlight w:val="none"/>
              </w:rPr>
              <w:t xml:space="preserve"> 准 来 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restart"/>
            <w:tcBorders>
              <w:tl2br w:val="nil"/>
              <w:tr2bl w:val="nil"/>
            </w:tcBorders>
            <w:vAlign w:val="top"/>
          </w:tcPr>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1" w:lineRule="auto"/>
              <w:rPr>
                <w:rFonts w:hint="default" w:ascii="Times New Roman" w:hAnsi="Times New Roman" w:cs="Times New Roman"/>
                <w:sz w:val="21"/>
                <w:highlight w:val="none"/>
              </w:rPr>
            </w:pPr>
          </w:p>
          <w:p>
            <w:pPr>
              <w:spacing w:line="252" w:lineRule="auto"/>
              <w:rPr>
                <w:rFonts w:hint="default" w:ascii="Times New Roman" w:hAnsi="Times New Roman" w:cs="Times New Roman"/>
                <w:sz w:val="21"/>
                <w:highlight w:val="none"/>
              </w:rPr>
            </w:pPr>
          </w:p>
          <w:p>
            <w:pPr>
              <w:spacing w:before="65" w:line="228" w:lineRule="auto"/>
              <w:ind w:left="5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大</w:t>
            </w:r>
            <w:r>
              <w:rPr>
                <w:rFonts w:hint="default" w:ascii="Times New Roman" w:hAnsi="Times New Roman" w:eastAsia="宋体" w:cs="Times New Roman"/>
                <w:spacing w:val="6"/>
                <w:sz w:val="20"/>
                <w:szCs w:val="20"/>
                <w:highlight w:val="none"/>
              </w:rPr>
              <w:t>气环境</w:t>
            </w:r>
          </w:p>
        </w:tc>
        <w:tc>
          <w:tcPr>
            <w:tcW w:w="1578" w:type="dxa"/>
            <w:vMerge w:val="restart"/>
            <w:tcBorders>
              <w:tl2br w:val="nil"/>
              <w:tr2bl w:val="nil"/>
            </w:tcBorders>
            <w:vAlign w:val="top"/>
          </w:tcPr>
          <w:p>
            <w:pPr>
              <w:spacing w:before="283" w:line="195" w:lineRule="auto"/>
              <w:ind w:left="60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T</w:t>
            </w:r>
            <w:r>
              <w:rPr>
                <w:rFonts w:hint="default" w:ascii="Times New Roman" w:hAnsi="Times New Roman" w:eastAsia="Times New Roman" w:cs="Times New Roman"/>
                <w:spacing w:val="3"/>
                <w:sz w:val="20"/>
                <w:szCs w:val="20"/>
                <w:highlight w:val="none"/>
              </w:rPr>
              <w:t>SP</w:t>
            </w:r>
          </w:p>
        </w:tc>
        <w:tc>
          <w:tcPr>
            <w:tcW w:w="2072" w:type="dxa"/>
            <w:tcBorders>
              <w:tl2br w:val="nil"/>
              <w:tr2bl w:val="nil"/>
            </w:tcBorders>
            <w:vAlign w:val="top"/>
          </w:tcPr>
          <w:p>
            <w:pPr>
              <w:spacing w:before="79" w:line="229" w:lineRule="auto"/>
              <w:ind w:left="482"/>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6"/>
                <w:sz w:val="20"/>
                <w:szCs w:val="20"/>
                <w:highlight w:val="none"/>
              </w:rPr>
              <w:t xml:space="preserve">4 </w:t>
            </w:r>
            <w:r>
              <w:rPr>
                <w:rFonts w:hint="default" w:ascii="Times New Roman" w:hAnsi="Times New Roman" w:eastAsia="宋体" w:cs="Times New Roman"/>
                <w:spacing w:val="6"/>
                <w:sz w:val="20"/>
                <w:szCs w:val="20"/>
                <w:highlight w:val="none"/>
              </w:rPr>
              <w:t>小时平均</w:t>
            </w:r>
          </w:p>
        </w:tc>
        <w:tc>
          <w:tcPr>
            <w:tcW w:w="574" w:type="dxa"/>
            <w:tcBorders>
              <w:tl2br w:val="nil"/>
              <w:tr2bl w:val="nil"/>
            </w:tcBorders>
            <w:vAlign w:val="top"/>
          </w:tcPr>
          <w:p>
            <w:pPr>
              <w:spacing w:before="115" w:line="195" w:lineRule="auto"/>
              <w:ind w:left="13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3</w:t>
            </w:r>
            <w:r>
              <w:rPr>
                <w:rFonts w:hint="default" w:ascii="Times New Roman" w:hAnsi="Times New Roman" w:eastAsia="Times New Roman" w:cs="Times New Roman"/>
                <w:spacing w:val="1"/>
                <w:sz w:val="20"/>
                <w:szCs w:val="20"/>
                <w:highlight w:val="none"/>
              </w:rPr>
              <w:t>00</w:t>
            </w:r>
          </w:p>
        </w:tc>
        <w:tc>
          <w:tcPr>
            <w:tcW w:w="958" w:type="dxa"/>
            <w:vMerge w:val="restart"/>
            <w:tcBorders>
              <w:tl2br w:val="nil"/>
              <w:tr2bl w:val="nil"/>
            </w:tcBorders>
            <w:vAlign w:val="top"/>
          </w:tcPr>
          <w:p>
            <w:pPr>
              <w:spacing w:line="269" w:lineRule="auto"/>
              <w:rPr>
                <w:rFonts w:hint="default" w:ascii="Times New Roman" w:hAnsi="Times New Roman" w:cs="Times New Roman"/>
                <w:sz w:val="21"/>
                <w:highlight w:val="none"/>
              </w:rPr>
            </w:pPr>
          </w:p>
          <w:p>
            <w:pPr>
              <w:spacing w:line="269" w:lineRule="auto"/>
              <w:rPr>
                <w:rFonts w:hint="default" w:ascii="Times New Roman" w:hAnsi="Times New Roman" w:cs="Times New Roman"/>
                <w:sz w:val="21"/>
                <w:highlight w:val="none"/>
              </w:rPr>
            </w:pPr>
          </w:p>
          <w:p>
            <w:pPr>
              <w:spacing w:line="269" w:lineRule="auto"/>
              <w:rPr>
                <w:rFonts w:hint="default" w:ascii="Times New Roman" w:hAnsi="Times New Roman" w:cs="Times New Roman"/>
                <w:sz w:val="21"/>
                <w:highlight w:val="none"/>
              </w:rPr>
            </w:pPr>
          </w:p>
          <w:p>
            <w:pPr>
              <w:spacing w:line="269" w:lineRule="auto"/>
              <w:rPr>
                <w:rFonts w:hint="default" w:ascii="Times New Roman" w:hAnsi="Times New Roman" w:cs="Times New Roman"/>
                <w:sz w:val="21"/>
                <w:highlight w:val="none"/>
              </w:rPr>
            </w:pPr>
          </w:p>
          <w:p>
            <w:pPr>
              <w:spacing w:line="269" w:lineRule="auto"/>
              <w:rPr>
                <w:rFonts w:hint="default" w:ascii="Times New Roman" w:hAnsi="Times New Roman" w:cs="Times New Roman"/>
                <w:sz w:val="21"/>
                <w:highlight w:val="none"/>
              </w:rPr>
            </w:pPr>
          </w:p>
          <w:p>
            <w:pPr>
              <w:spacing w:line="269" w:lineRule="auto"/>
              <w:rPr>
                <w:rFonts w:hint="default" w:ascii="Times New Roman" w:hAnsi="Times New Roman" w:cs="Times New Roman"/>
                <w:sz w:val="21"/>
                <w:highlight w:val="none"/>
              </w:rPr>
            </w:pPr>
          </w:p>
          <w:p>
            <w:pPr>
              <w:spacing w:line="270" w:lineRule="auto"/>
              <w:rPr>
                <w:rFonts w:hint="default" w:ascii="Times New Roman" w:hAnsi="Times New Roman" w:cs="Times New Roman"/>
                <w:sz w:val="21"/>
                <w:highlight w:val="none"/>
              </w:rPr>
            </w:pPr>
          </w:p>
          <w:p>
            <w:pPr>
              <w:spacing w:line="270" w:lineRule="auto"/>
              <w:rPr>
                <w:rFonts w:hint="default" w:ascii="Times New Roman" w:hAnsi="Times New Roman" w:cs="Times New Roman"/>
                <w:sz w:val="21"/>
                <w:highlight w:val="none"/>
              </w:rPr>
            </w:pPr>
          </w:p>
          <w:p>
            <w:pPr>
              <w:spacing w:before="58" w:line="274" w:lineRule="exact"/>
              <w:ind w:left="236"/>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pacing w:val="3"/>
                <w:position w:val="3"/>
                <w:sz w:val="20"/>
                <w:szCs w:val="20"/>
                <w:highlight w:val="none"/>
              </w:rPr>
              <w:t>µ</w:t>
            </w:r>
            <w:r>
              <w:rPr>
                <w:rFonts w:hint="default" w:ascii="Times New Roman" w:hAnsi="Times New Roman" w:eastAsia="Times New Roman" w:cs="Times New Roman"/>
                <w:position w:val="3"/>
                <w:sz w:val="20"/>
                <w:szCs w:val="20"/>
                <w:highlight w:val="none"/>
              </w:rPr>
              <w:t>g</w:t>
            </w:r>
            <w:r>
              <w:rPr>
                <w:rFonts w:hint="default" w:ascii="Times New Roman" w:hAnsi="Times New Roman" w:eastAsia="Times New Roman" w:cs="Times New Roman"/>
                <w:spacing w:val="3"/>
                <w:position w:val="3"/>
                <w:sz w:val="20"/>
                <w:szCs w:val="20"/>
                <w:highlight w:val="none"/>
              </w:rPr>
              <w:t>/</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3"/>
                <w:position w:val="9"/>
                <w:sz w:val="13"/>
                <w:szCs w:val="13"/>
                <w:highlight w:val="none"/>
              </w:rPr>
              <w:t>3</w:t>
            </w:r>
          </w:p>
        </w:tc>
        <w:tc>
          <w:tcPr>
            <w:tcW w:w="2227" w:type="dxa"/>
            <w:vMerge w:val="restart"/>
            <w:tcBorders>
              <w:tl2br w:val="nil"/>
              <w:tr2bl w:val="nil"/>
            </w:tcBorders>
            <w:vAlign w:val="top"/>
          </w:tcPr>
          <w:p>
            <w:pPr>
              <w:spacing w:line="261"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line="262" w:lineRule="auto"/>
              <w:rPr>
                <w:rFonts w:hint="default" w:ascii="Times New Roman" w:hAnsi="Times New Roman" w:cs="Times New Roman"/>
                <w:sz w:val="21"/>
                <w:highlight w:val="none"/>
              </w:rPr>
            </w:pPr>
          </w:p>
          <w:p>
            <w:pPr>
              <w:spacing w:line="262" w:lineRule="auto"/>
              <w:rPr>
                <w:rFonts w:hint="default" w:ascii="Times New Roman" w:hAnsi="Times New Roman" w:cs="Times New Roman"/>
                <w:sz w:val="21"/>
                <w:highlight w:val="none"/>
              </w:rPr>
            </w:pPr>
          </w:p>
          <w:p>
            <w:pPr>
              <w:spacing w:before="65" w:line="228" w:lineRule="auto"/>
              <w:ind w:left="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w:t>
            </w:r>
            <w:r>
              <w:rPr>
                <w:rFonts w:hint="default" w:ascii="Times New Roman" w:hAnsi="Times New Roman" w:eastAsia="宋体" w:cs="Times New Roman"/>
                <w:spacing w:val="7"/>
                <w:sz w:val="20"/>
                <w:szCs w:val="20"/>
                <w:highlight w:val="none"/>
              </w:rPr>
              <w:t>环境空气质量标准》</w:t>
            </w:r>
          </w:p>
          <w:p>
            <w:pPr>
              <w:spacing w:before="41" w:line="275" w:lineRule="exact"/>
              <w:ind w:left="44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3"/>
                <w:sz w:val="20"/>
                <w:szCs w:val="20"/>
                <w:highlight w:val="none"/>
              </w:rPr>
              <w:t>(</w:t>
            </w:r>
            <w:r>
              <w:rPr>
                <w:rFonts w:hint="default" w:ascii="Times New Roman" w:hAnsi="Times New Roman" w:eastAsia="Times New Roman" w:cs="Times New Roman"/>
                <w:position w:val="3"/>
                <w:sz w:val="20"/>
                <w:szCs w:val="20"/>
                <w:highlight w:val="none"/>
              </w:rPr>
              <w:t>GB</w:t>
            </w:r>
            <w:r>
              <w:rPr>
                <w:rFonts w:hint="default" w:ascii="Times New Roman" w:hAnsi="Times New Roman" w:eastAsia="Times New Roman" w:cs="Times New Roman"/>
                <w:spacing w:val="5"/>
                <w:position w:val="3"/>
                <w:sz w:val="20"/>
                <w:szCs w:val="20"/>
                <w:highlight w:val="none"/>
              </w:rPr>
              <w:t>3095-2012)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continue"/>
            <w:tcBorders>
              <w:tl2br w:val="nil"/>
              <w:tr2bl w:val="nil"/>
            </w:tcBorders>
            <w:vAlign w:val="top"/>
          </w:tcPr>
          <w:p>
            <w:pPr>
              <w:rPr>
                <w:rFonts w:hint="default" w:ascii="Times New Roman" w:hAnsi="Times New Roman" w:cs="Times New Roman"/>
                <w:sz w:val="21"/>
                <w:highlight w:val="none"/>
              </w:rPr>
            </w:pPr>
          </w:p>
        </w:tc>
        <w:tc>
          <w:tcPr>
            <w:tcW w:w="2072" w:type="dxa"/>
            <w:tcBorders>
              <w:tl2br w:val="nil"/>
              <w:tr2bl w:val="nil"/>
            </w:tcBorders>
            <w:vAlign w:val="top"/>
          </w:tcPr>
          <w:p>
            <w:pPr>
              <w:spacing w:before="80" w:line="228" w:lineRule="auto"/>
              <w:ind w:left="6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年均浓度</w:t>
            </w:r>
          </w:p>
        </w:tc>
        <w:tc>
          <w:tcPr>
            <w:tcW w:w="574" w:type="dxa"/>
            <w:tcBorders>
              <w:tl2br w:val="nil"/>
              <w:tr2bl w:val="nil"/>
            </w:tcBorders>
            <w:vAlign w:val="top"/>
          </w:tcPr>
          <w:p>
            <w:pPr>
              <w:spacing w:before="116" w:line="195" w:lineRule="auto"/>
              <w:ind w:left="13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00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restart"/>
            <w:tcBorders>
              <w:tl2br w:val="nil"/>
              <w:tr2bl w:val="nil"/>
            </w:tcBorders>
            <w:vAlign w:val="top"/>
          </w:tcPr>
          <w:p>
            <w:pPr>
              <w:spacing w:before="286" w:line="199" w:lineRule="auto"/>
              <w:ind w:left="562"/>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z w:val="20"/>
                <w:szCs w:val="20"/>
                <w:highlight w:val="none"/>
              </w:rPr>
              <w:t>PM</w:t>
            </w:r>
            <w:r>
              <w:rPr>
                <w:rFonts w:hint="default" w:ascii="Times New Roman" w:hAnsi="Times New Roman" w:eastAsia="Times New Roman" w:cs="Times New Roman"/>
                <w:spacing w:val="9"/>
                <w:position w:val="-1"/>
                <w:sz w:val="13"/>
                <w:szCs w:val="13"/>
                <w:highlight w:val="none"/>
              </w:rPr>
              <w:t>1</w:t>
            </w:r>
            <w:r>
              <w:rPr>
                <w:rFonts w:hint="default" w:ascii="Times New Roman" w:hAnsi="Times New Roman" w:eastAsia="Times New Roman" w:cs="Times New Roman"/>
                <w:spacing w:val="8"/>
                <w:position w:val="-1"/>
                <w:sz w:val="13"/>
                <w:szCs w:val="13"/>
                <w:highlight w:val="none"/>
              </w:rPr>
              <w:t>0</w:t>
            </w:r>
          </w:p>
        </w:tc>
        <w:tc>
          <w:tcPr>
            <w:tcW w:w="2072" w:type="dxa"/>
            <w:tcBorders>
              <w:tl2br w:val="nil"/>
              <w:tr2bl w:val="nil"/>
            </w:tcBorders>
            <w:vAlign w:val="top"/>
          </w:tcPr>
          <w:p>
            <w:pPr>
              <w:spacing w:before="80" w:line="229" w:lineRule="auto"/>
              <w:ind w:left="482"/>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6"/>
                <w:sz w:val="20"/>
                <w:szCs w:val="20"/>
                <w:highlight w:val="none"/>
              </w:rPr>
              <w:t xml:space="preserve">4 </w:t>
            </w:r>
            <w:r>
              <w:rPr>
                <w:rFonts w:hint="default" w:ascii="Times New Roman" w:hAnsi="Times New Roman" w:eastAsia="宋体" w:cs="Times New Roman"/>
                <w:spacing w:val="6"/>
                <w:sz w:val="20"/>
                <w:szCs w:val="20"/>
                <w:highlight w:val="none"/>
              </w:rPr>
              <w:t>小时平均</w:t>
            </w:r>
          </w:p>
        </w:tc>
        <w:tc>
          <w:tcPr>
            <w:tcW w:w="574" w:type="dxa"/>
            <w:tcBorders>
              <w:tl2br w:val="nil"/>
              <w:tr2bl w:val="nil"/>
            </w:tcBorders>
            <w:vAlign w:val="top"/>
          </w:tcPr>
          <w:p>
            <w:pPr>
              <w:spacing w:before="115" w:line="195" w:lineRule="auto"/>
              <w:ind w:left="15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150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continue"/>
            <w:tcBorders>
              <w:tl2br w:val="nil"/>
              <w:tr2bl w:val="nil"/>
            </w:tcBorders>
            <w:vAlign w:val="top"/>
          </w:tcPr>
          <w:p>
            <w:pPr>
              <w:rPr>
                <w:rFonts w:hint="default" w:ascii="Times New Roman" w:hAnsi="Times New Roman" w:cs="Times New Roman"/>
                <w:sz w:val="21"/>
                <w:highlight w:val="none"/>
              </w:rPr>
            </w:pPr>
          </w:p>
        </w:tc>
        <w:tc>
          <w:tcPr>
            <w:tcW w:w="2072" w:type="dxa"/>
            <w:tcBorders>
              <w:tl2br w:val="nil"/>
              <w:tr2bl w:val="nil"/>
            </w:tcBorders>
            <w:vAlign w:val="top"/>
          </w:tcPr>
          <w:p>
            <w:pPr>
              <w:spacing w:before="81" w:line="228" w:lineRule="auto"/>
              <w:ind w:left="6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年均浓度</w:t>
            </w:r>
          </w:p>
        </w:tc>
        <w:tc>
          <w:tcPr>
            <w:tcW w:w="574" w:type="dxa"/>
            <w:tcBorders>
              <w:tl2br w:val="nil"/>
              <w:tr2bl w:val="nil"/>
            </w:tcBorders>
            <w:vAlign w:val="top"/>
          </w:tcPr>
          <w:p>
            <w:pPr>
              <w:spacing w:before="116" w:line="195" w:lineRule="auto"/>
              <w:ind w:left="1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restart"/>
            <w:tcBorders>
              <w:tl2br w:val="nil"/>
              <w:tr2bl w:val="nil"/>
            </w:tcBorders>
            <w:vAlign w:val="top"/>
          </w:tcPr>
          <w:p>
            <w:pPr>
              <w:spacing w:before="286" w:line="199" w:lineRule="auto"/>
              <w:ind w:left="569"/>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pacing w:val="-2"/>
                <w:sz w:val="20"/>
                <w:szCs w:val="20"/>
                <w:highlight w:val="none"/>
              </w:rPr>
              <w:t>PM</w:t>
            </w:r>
            <w:r>
              <w:rPr>
                <w:rFonts w:hint="default" w:ascii="Times New Roman" w:hAnsi="Times New Roman" w:eastAsia="Times New Roman" w:cs="Times New Roman"/>
                <w:spacing w:val="-3"/>
                <w:position w:val="-1"/>
                <w:sz w:val="13"/>
                <w:szCs w:val="13"/>
                <w:highlight w:val="none"/>
              </w:rPr>
              <w:t>2</w:t>
            </w:r>
            <w:r>
              <w:rPr>
                <w:rFonts w:hint="default" w:ascii="Times New Roman" w:hAnsi="Times New Roman" w:eastAsia="Times New Roman" w:cs="Times New Roman"/>
                <w:spacing w:val="-2"/>
                <w:position w:val="-1"/>
                <w:sz w:val="13"/>
                <w:szCs w:val="13"/>
                <w:highlight w:val="none"/>
              </w:rPr>
              <w:t>.5</w:t>
            </w:r>
          </w:p>
        </w:tc>
        <w:tc>
          <w:tcPr>
            <w:tcW w:w="2072" w:type="dxa"/>
            <w:tcBorders>
              <w:tl2br w:val="nil"/>
              <w:tr2bl w:val="nil"/>
            </w:tcBorders>
            <w:vAlign w:val="top"/>
          </w:tcPr>
          <w:p>
            <w:pPr>
              <w:spacing w:before="79" w:line="229" w:lineRule="auto"/>
              <w:ind w:left="482"/>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6"/>
                <w:sz w:val="20"/>
                <w:szCs w:val="20"/>
                <w:highlight w:val="none"/>
              </w:rPr>
              <w:t xml:space="preserve">4 </w:t>
            </w:r>
            <w:r>
              <w:rPr>
                <w:rFonts w:hint="default" w:ascii="Times New Roman" w:hAnsi="Times New Roman" w:eastAsia="宋体" w:cs="Times New Roman"/>
                <w:spacing w:val="6"/>
                <w:sz w:val="20"/>
                <w:szCs w:val="20"/>
                <w:highlight w:val="none"/>
              </w:rPr>
              <w:t>小时平均</w:t>
            </w:r>
          </w:p>
        </w:tc>
        <w:tc>
          <w:tcPr>
            <w:tcW w:w="574" w:type="dxa"/>
            <w:tcBorders>
              <w:tl2br w:val="nil"/>
              <w:tr2bl w:val="nil"/>
            </w:tcBorders>
            <w:vAlign w:val="top"/>
          </w:tcPr>
          <w:p>
            <w:pPr>
              <w:spacing w:before="118" w:line="192" w:lineRule="auto"/>
              <w:ind w:left="1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75</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continue"/>
            <w:tcBorders>
              <w:tl2br w:val="nil"/>
              <w:tr2bl w:val="nil"/>
            </w:tcBorders>
            <w:vAlign w:val="top"/>
          </w:tcPr>
          <w:p>
            <w:pPr>
              <w:rPr>
                <w:rFonts w:hint="default" w:ascii="Times New Roman" w:hAnsi="Times New Roman" w:cs="Times New Roman"/>
                <w:sz w:val="21"/>
                <w:highlight w:val="none"/>
              </w:rPr>
            </w:pPr>
          </w:p>
        </w:tc>
        <w:tc>
          <w:tcPr>
            <w:tcW w:w="2072" w:type="dxa"/>
            <w:tcBorders>
              <w:tl2br w:val="nil"/>
              <w:tr2bl w:val="nil"/>
            </w:tcBorders>
            <w:vAlign w:val="top"/>
          </w:tcPr>
          <w:p>
            <w:pPr>
              <w:spacing w:before="81" w:line="228" w:lineRule="auto"/>
              <w:ind w:left="6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年均浓度</w:t>
            </w:r>
          </w:p>
        </w:tc>
        <w:tc>
          <w:tcPr>
            <w:tcW w:w="574" w:type="dxa"/>
            <w:tcBorders>
              <w:tl2br w:val="nil"/>
              <w:tr2bl w:val="nil"/>
            </w:tcBorders>
            <w:vAlign w:val="top"/>
          </w:tcPr>
          <w:p>
            <w:pPr>
              <w:spacing w:before="116" w:line="195" w:lineRule="auto"/>
              <w:ind w:left="1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3</w:t>
            </w:r>
            <w:r>
              <w:rPr>
                <w:rFonts w:hint="default" w:ascii="Times New Roman" w:hAnsi="Times New Roman" w:eastAsia="Times New Roman" w:cs="Times New Roman"/>
                <w:sz w:val="20"/>
                <w:szCs w:val="20"/>
                <w:highlight w:val="none"/>
              </w:rPr>
              <w:t>5</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restart"/>
            <w:tcBorders>
              <w:tl2br w:val="nil"/>
              <w:tr2bl w:val="nil"/>
            </w:tcBorders>
            <w:vAlign w:val="top"/>
          </w:tcPr>
          <w:p>
            <w:pPr>
              <w:spacing w:line="391" w:lineRule="auto"/>
              <w:rPr>
                <w:rFonts w:hint="default" w:ascii="Times New Roman" w:hAnsi="Times New Roman" w:cs="Times New Roman"/>
                <w:sz w:val="21"/>
                <w:highlight w:val="none"/>
              </w:rPr>
            </w:pPr>
          </w:p>
          <w:p>
            <w:pPr>
              <w:spacing w:before="57" w:line="202" w:lineRule="auto"/>
              <w:ind w:left="589"/>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z w:val="20"/>
                <w:szCs w:val="20"/>
                <w:highlight w:val="none"/>
              </w:rPr>
              <w:t>NO</w:t>
            </w:r>
            <w:r>
              <w:rPr>
                <w:rFonts w:hint="default" w:ascii="Times New Roman" w:hAnsi="Times New Roman" w:eastAsia="Times New Roman" w:cs="Times New Roman"/>
                <w:spacing w:val="19"/>
                <w:position w:val="-1"/>
                <w:sz w:val="13"/>
                <w:szCs w:val="13"/>
                <w:highlight w:val="none"/>
              </w:rPr>
              <w:t>2</w:t>
            </w:r>
          </w:p>
        </w:tc>
        <w:tc>
          <w:tcPr>
            <w:tcW w:w="2072" w:type="dxa"/>
            <w:tcBorders>
              <w:tl2br w:val="nil"/>
              <w:tr2bl w:val="nil"/>
            </w:tcBorders>
            <w:vAlign w:val="top"/>
          </w:tcPr>
          <w:p>
            <w:pPr>
              <w:spacing w:before="79" w:line="229" w:lineRule="auto"/>
              <w:ind w:left="482"/>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6"/>
                <w:sz w:val="20"/>
                <w:szCs w:val="20"/>
                <w:highlight w:val="none"/>
              </w:rPr>
              <w:t xml:space="preserve">4 </w:t>
            </w:r>
            <w:r>
              <w:rPr>
                <w:rFonts w:hint="default" w:ascii="Times New Roman" w:hAnsi="Times New Roman" w:eastAsia="宋体" w:cs="Times New Roman"/>
                <w:spacing w:val="6"/>
                <w:sz w:val="20"/>
                <w:szCs w:val="20"/>
                <w:highlight w:val="none"/>
              </w:rPr>
              <w:t>小时平均</w:t>
            </w:r>
          </w:p>
        </w:tc>
        <w:tc>
          <w:tcPr>
            <w:tcW w:w="574" w:type="dxa"/>
            <w:tcBorders>
              <w:tl2br w:val="nil"/>
              <w:tr2bl w:val="nil"/>
            </w:tcBorders>
            <w:vAlign w:val="top"/>
          </w:tcPr>
          <w:p>
            <w:pPr>
              <w:spacing w:before="115" w:line="195" w:lineRule="auto"/>
              <w:ind w:left="1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8</w:t>
            </w:r>
            <w:r>
              <w:rPr>
                <w:rFonts w:hint="default" w:ascii="Times New Roman" w:hAnsi="Times New Roman" w:eastAsia="Times New Roman" w:cs="Times New Roman"/>
                <w:spacing w:val="-1"/>
                <w:sz w:val="20"/>
                <w:szCs w:val="20"/>
                <w:highlight w:val="none"/>
              </w:rPr>
              <w:t>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continue"/>
            <w:tcBorders>
              <w:tl2br w:val="nil"/>
              <w:tr2bl w:val="nil"/>
            </w:tcBorders>
            <w:vAlign w:val="top"/>
          </w:tcPr>
          <w:p>
            <w:pPr>
              <w:rPr>
                <w:rFonts w:hint="default" w:ascii="Times New Roman" w:hAnsi="Times New Roman" w:cs="Times New Roman"/>
                <w:sz w:val="21"/>
                <w:highlight w:val="none"/>
              </w:rPr>
            </w:pPr>
          </w:p>
        </w:tc>
        <w:tc>
          <w:tcPr>
            <w:tcW w:w="2072" w:type="dxa"/>
            <w:tcBorders>
              <w:tl2br w:val="nil"/>
              <w:tr2bl w:val="nil"/>
            </w:tcBorders>
            <w:vAlign w:val="top"/>
          </w:tcPr>
          <w:p>
            <w:pPr>
              <w:spacing w:before="80" w:line="229" w:lineRule="auto"/>
              <w:ind w:left="555"/>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4"/>
                <w:sz w:val="20"/>
                <w:szCs w:val="20"/>
                <w:highlight w:val="none"/>
              </w:rPr>
              <w:t>1</w:t>
            </w:r>
            <w:r>
              <w:rPr>
                <w:rFonts w:hint="default" w:ascii="Times New Roman" w:hAnsi="Times New Roman" w:eastAsia="Times New Roman" w:cs="Times New Roman"/>
                <w:spacing w:val="3"/>
                <w:sz w:val="20"/>
                <w:szCs w:val="20"/>
                <w:highlight w:val="none"/>
              </w:rPr>
              <w:t xml:space="preserve"> </w:t>
            </w:r>
            <w:r>
              <w:rPr>
                <w:rFonts w:hint="default" w:ascii="Times New Roman" w:hAnsi="Times New Roman" w:eastAsia="宋体" w:cs="Times New Roman"/>
                <w:spacing w:val="3"/>
                <w:sz w:val="20"/>
                <w:szCs w:val="20"/>
                <w:highlight w:val="none"/>
              </w:rPr>
              <w:t>小时平均</w:t>
            </w:r>
          </w:p>
        </w:tc>
        <w:tc>
          <w:tcPr>
            <w:tcW w:w="574" w:type="dxa"/>
            <w:tcBorders>
              <w:tl2br w:val="nil"/>
              <w:tr2bl w:val="nil"/>
            </w:tcBorders>
            <w:vAlign w:val="top"/>
          </w:tcPr>
          <w:p>
            <w:pPr>
              <w:spacing w:before="116" w:line="195" w:lineRule="auto"/>
              <w:ind w:left="13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00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continue"/>
            <w:tcBorders>
              <w:tl2br w:val="nil"/>
              <w:tr2bl w:val="nil"/>
            </w:tcBorders>
            <w:vAlign w:val="top"/>
          </w:tcPr>
          <w:p>
            <w:pPr>
              <w:rPr>
                <w:rFonts w:hint="default" w:ascii="Times New Roman" w:hAnsi="Times New Roman" w:cs="Times New Roman"/>
                <w:sz w:val="21"/>
                <w:highlight w:val="none"/>
              </w:rPr>
            </w:pPr>
          </w:p>
        </w:tc>
        <w:tc>
          <w:tcPr>
            <w:tcW w:w="2072" w:type="dxa"/>
            <w:tcBorders>
              <w:tl2br w:val="nil"/>
              <w:tr2bl w:val="nil"/>
            </w:tcBorders>
            <w:vAlign w:val="top"/>
          </w:tcPr>
          <w:p>
            <w:pPr>
              <w:spacing w:before="81" w:line="228" w:lineRule="auto"/>
              <w:ind w:left="6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年均浓度</w:t>
            </w:r>
          </w:p>
        </w:tc>
        <w:tc>
          <w:tcPr>
            <w:tcW w:w="574" w:type="dxa"/>
            <w:tcBorders>
              <w:tl2br w:val="nil"/>
              <w:tr2bl w:val="nil"/>
            </w:tcBorders>
            <w:vAlign w:val="top"/>
          </w:tcPr>
          <w:p>
            <w:pPr>
              <w:spacing w:before="117" w:line="195" w:lineRule="auto"/>
              <w:ind w:left="18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40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restart"/>
            <w:tcBorders>
              <w:tl2br w:val="nil"/>
              <w:tr2bl w:val="nil"/>
            </w:tcBorders>
            <w:vAlign w:val="top"/>
          </w:tcPr>
          <w:p>
            <w:pPr>
              <w:spacing w:line="391" w:lineRule="auto"/>
              <w:rPr>
                <w:rFonts w:hint="default" w:ascii="Times New Roman" w:hAnsi="Times New Roman" w:cs="Times New Roman"/>
                <w:sz w:val="21"/>
                <w:highlight w:val="none"/>
              </w:rPr>
            </w:pPr>
          </w:p>
          <w:p>
            <w:pPr>
              <w:spacing w:before="58" w:line="202" w:lineRule="auto"/>
              <w:ind w:left="622"/>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z w:val="20"/>
                <w:szCs w:val="20"/>
                <w:highlight w:val="none"/>
              </w:rPr>
              <w:t>SO</w:t>
            </w:r>
            <w:r>
              <w:rPr>
                <w:rFonts w:hint="default" w:ascii="Times New Roman" w:hAnsi="Times New Roman" w:eastAsia="Times New Roman" w:cs="Times New Roman"/>
                <w:spacing w:val="3"/>
                <w:position w:val="-1"/>
                <w:sz w:val="13"/>
                <w:szCs w:val="13"/>
                <w:highlight w:val="none"/>
              </w:rPr>
              <w:t>2</w:t>
            </w:r>
          </w:p>
        </w:tc>
        <w:tc>
          <w:tcPr>
            <w:tcW w:w="2072" w:type="dxa"/>
            <w:tcBorders>
              <w:tl2br w:val="nil"/>
              <w:tr2bl w:val="nil"/>
            </w:tcBorders>
            <w:vAlign w:val="top"/>
          </w:tcPr>
          <w:p>
            <w:pPr>
              <w:spacing w:before="80" w:line="229" w:lineRule="auto"/>
              <w:ind w:left="482"/>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6"/>
                <w:sz w:val="20"/>
                <w:szCs w:val="20"/>
                <w:highlight w:val="none"/>
              </w:rPr>
              <w:t xml:space="preserve">4 </w:t>
            </w:r>
            <w:r>
              <w:rPr>
                <w:rFonts w:hint="default" w:ascii="Times New Roman" w:hAnsi="Times New Roman" w:eastAsia="宋体" w:cs="Times New Roman"/>
                <w:spacing w:val="6"/>
                <w:sz w:val="20"/>
                <w:szCs w:val="20"/>
                <w:highlight w:val="none"/>
              </w:rPr>
              <w:t>小时平均</w:t>
            </w:r>
          </w:p>
        </w:tc>
        <w:tc>
          <w:tcPr>
            <w:tcW w:w="574" w:type="dxa"/>
            <w:tcBorders>
              <w:tl2br w:val="nil"/>
              <w:tr2bl w:val="nil"/>
            </w:tcBorders>
            <w:vAlign w:val="top"/>
          </w:tcPr>
          <w:p>
            <w:pPr>
              <w:spacing w:before="115" w:line="195" w:lineRule="auto"/>
              <w:ind w:left="15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150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continue"/>
            <w:tcBorders>
              <w:tl2br w:val="nil"/>
              <w:tr2bl w:val="nil"/>
            </w:tcBorders>
            <w:vAlign w:val="top"/>
          </w:tcPr>
          <w:p>
            <w:pPr>
              <w:rPr>
                <w:rFonts w:hint="default" w:ascii="Times New Roman" w:hAnsi="Times New Roman" w:cs="Times New Roman"/>
                <w:sz w:val="21"/>
                <w:highlight w:val="none"/>
              </w:rPr>
            </w:pPr>
          </w:p>
        </w:tc>
        <w:tc>
          <w:tcPr>
            <w:tcW w:w="2072" w:type="dxa"/>
            <w:tcBorders>
              <w:tl2br w:val="nil"/>
              <w:tr2bl w:val="nil"/>
            </w:tcBorders>
            <w:vAlign w:val="top"/>
          </w:tcPr>
          <w:p>
            <w:pPr>
              <w:spacing w:before="80" w:line="229" w:lineRule="auto"/>
              <w:ind w:left="555"/>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4"/>
                <w:sz w:val="20"/>
                <w:szCs w:val="20"/>
                <w:highlight w:val="none"/>
              </w:rPr>
              <w:t>1</w:t>
            </w:r>
            <w:r>
              <w:rPr>
                <w:rFonts w:hint="default" w:ascii="Times New Roman" w:hAnsi="Times New Roman" w:eastAsia="Times New Roman" w:cs="Times New Roman"/>
                <w:spacing w:val="3"/>
                <w:sz w:val="20"/>
                <w:szCs w:val="20"/>
                <w:highlight w:val="none"/>
              </w:rPr>
              <w:t xml:space="preserve"> </w:t>
            </w:r>
            <w:r>
              <w:rPr>
                <w:rFonts w:hint="default" w:ascii="Times New Roman" w:hAnsi="Times New Roman" w:eastAsia="宋体" w:cs="Times New Roman"/>
                <w:spacing w:val="3"/>
                <w:sz w:val="20"/>
                <w:szCs w:val="20"/>
                <w:highlight w:val="none"/>
              </w:rPr>
              <w:t>小时浓度</w:t>
            </w:r>
          </w:p>
        </w:tc>
        <w:tc>
          <w:tcPr>
            <w:tcW w:w="574" w:type="dxa"/>
            <w:tcBorders>
              <w:tl2br w:val="nil"/>
              <w:tr2bl w:val="nil"/>
            </w:tcBorders>
            <w:vAlign w:val="top"/>
          </w:tcPr>
          <w:p>
            <w:pPr>
              <w:spacing w:before="116" w:line="195" w:lineRule="auto"/>
              <w:ind w:left="13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50</w:t>
            </w:r>
            <w:r>
              <w:rPr>
                <w:rFonts w:hint="default" w:ascii="Times New Roman" w:hAnsi="Times New Roman" w:eastAsia="Times New Roman" w:cs="Times New Roman"/>
                <w:spacing w:val="1"/>
                <w:sz w:val="20"/>
                <w:szCs w:val="20"/>
                <w:highlight w:val="none"/>
              </w:rPr>
              <w:t>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continue"/>
            <w:tcBorders>
              <w:tl2br w:val="nil"/>
              <w:tr2bl w:val="nil"/>
            </w:tcBorders>
            <w:vAlign w:val="top"/>
          </w:tcPr>
          <w:p>
            <w:pPr>
              <w:rPr>
                <w:rFonts w:hint="default" w:ascii="Times New Roman" w:hAnsi="Times New Roman" w:cs="Times New Roman"/>
                <w:sz w:val="21"/>
                <w:highlight w:val="none"/>
              </w:rPr>
            </w:pPr>
          </w:p>
        </w:tc>
        <w:tc>
          <w:tcPr>
            <w:tcW w:w="2072" w:type="dxa"/>
            <w:tcBorders>
              <w:tl2br w:val="nil"/>
              <w:tr2bl w:val="nil"/>
            </w:tcBorders>
            <w:vAlign w:val="top"/>
          </w:tcPr>
          <w:p>
            <w:pPr>
              <w:spacing w:before="79" w:line="228" w:lineRule="auto"/>
              <w:ind w:left="6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年均浓度</w:t>
            </w:r>
          </w:p>
        </w:tc>
        <w:tc>
          <w:tcPr>
            <w:tcW w:w="574" w:type="dxa"/>
            <w:tcBorders>
              <w:tl2br w:val="nil"/>
              <w:tr2bl w:val="nil"/>
            </w:tcBorders>
            <w:vAlign w:val="top"/>
          </w:tcPr>
          <w:p>
            <w:pPr>
              <w:spacing w:before="115" w:line="195" w:lineRule="auto"/>
              <w:ind w:left="1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restart"/>
            <w:tcBorders>
              <w:tl2br w:val="nil"/>
              <w:tr2bl w:val="nil"/>
            </w:tcBorders>
            <w:vAlign w:val="top"/>
          </w:tcPr>
          <w:p>
            <w:pPr>
              <w:spacing w:before="284" w:line="202" w:lineRule="auto"/>
              <w:ind w:left="674"/>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z w:val="20"/>
                <w:szCs w:val="20"/>
                <w:highlight w:val="none"/>
              </w:rPr>
              <w:t>O</w:t>
            </w:r>
            <w:r>
              <w:rPr>
                <w:rFonts w:hint="default" w:ascii="Times New Roman" w:hAnsi="Times New Roman" w:eastAsia="Times New Roman" w:cs="Times New Roman"/>
                <w:spacing w:val="2"/>
                <w:position w:val="-1"/>
                <w:sz w:val="13"/>
                <w:szCs w:val="13"/>
                <w:highlight w:val="none"/>
              </w:rPr>
              <w:t>3</w:t>
            </w:r>
          </w:p>
        </w:tc>
        <w:tc>
          <w:tcPr>
            <w:tcW w:w="2072" w:type="dxa"/>
            <w:tcBorders>
              <w:tl2br w:val="nil"/>
              <w:tr2bl w:val="nil"/>
            </w:tcBorders>
            <w:vAlign w:val="top"/>
          </w:tcPr>
          <w:p>
            <w:pPr>
              <w:spacing w:before="80" w:line="228" w:lineRule="auto"/>
              <w:ind w:left="23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 xml:space="preserve">日最大 </w:t>
            </w:r>
            <w:r>
              <w:rPr>
                <w:rFonts w:hint="default" w:ascii="Times New Roman" w:hAnsi="Times New Roman" w:eastAsia="Times New Roman" w:cs="Times New Roman"/>
                <w:spacing w:val="-2"/>
                <w:sz w:val="20"/>
                <w:szCs w:val="20"/>
                <w:highlight w:val="none"/>
              </w:rPr>
              <w:t xml:space="preserve">8 </w:t>
            </w:r>
            <w:r>
              <w:rPr>
                <w:rFonts w:hint="default" w:ascii="Times New Roman" w:hAnsi="Times New Roman" w:eastAsia="宋体" w:cs="Times New Roman"/>
                <w:spacing w:val="-2"/>
                <w:sz w:val="20"/>
                <w:szCs w:val="20"/>
                <w:highlight w:val="none"/>
              </w:rPr>
              <w:t>小</w:t>
            </w:r>
            <w:r>
              <w:rPr>
                <w:rFonts w:hint="default" w:ascii="Times New Roman" w:hAnsi="Times New Roman" w:eastAsia="宋体" w:cs="Times New Roman"/>
                <w:spacing w:val="-1"/>
                <w:sz w:val="20"/>
                <w:szCs w:val="20"/>
                <w:highlight w:val="none"/>
              </w:rPr>
              <w:t>时平均</w:t>
            </w:r>
          </w:p>
        </w:tc>
        <w:tc>
          <w:tcPr>
            <w:tcW w:w="574" w:type="dxa"/>
            <w:tcBorders>
              <w:tl2br w:val="nil"/>
              <w:tr2bl w:val="nil"/>
            </w:tcBorders>
            <w:vAlign w:val="top"/>
          </w:tcPr>
          <w:p>
            <w:pPr>
              <w:spacing w:before="116" w:line="195" w:lineRule="auto"/>
              <w:ind w:left="15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160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continue"/>
            <w:tcBorders>
              <w:tl2br w:val="nil"/>
              <w:tr2bl w:val="nil"/>
            </w:tcBorders>
            <w:vAlign w:val="top"/>
          </w:tcPr>
          <w:p>
            <w:pPr>
              <w:rPr>
                <w:rFonts w:hint="default" w:ascii="Times New Roman" w:hAnsi="Times New Roman" w:cs="Times New Roman"/>
                <w:sz w:val="21"/>
                <w:highlight w:val="none"/>
              </w:rPr>
            </w:pPr>
          </w:p>
        </w:tc>
        <w:tc>
          <w:tcPr>
            <w:tcW w:w="2072" w:type="dxa"/>
            <w:tcBorders>
              <w:tl2br w:val="nil"/>
              <w:tr2bl w:val="nil"/>
            </w:tcBorders>
            <w:vAlign w:val="top"/>
          </w:tcPr>
          <w:p>
            <w:pPr>
              <w:spacing w:before="82" w:line="228" w:lineRule="auto"/>
              <w:ind w:left="555"/>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4"/>
                <w:sz w:val="20"/>
                <w:szCs w:val="20"/>
                <w:highlight w:val="none"/>
              </w:rPr>
              <w:t>1</w:t>
            </w:r>
            <w:r>
              <w:rPr>
                <w:rFonts w:hint="default" w:ascii="Times New Roman" w:hAnsi="Times New Roman" w:eastAsia="Times New Roman" w:cs="Times New Roman"/>
                <w:spacing w:val="3"/>
                <w:sz w:val="20"/>
                <w:szCs w:val="20"/>
                <w:highlight w:val="none"/>
              </w:rPr>
              <w:t xml:space="preserve"> </w:t>
            </w:r>
            <w:r>
              <w:rPr>
                <w:rFonts w:hint="default" w:ascii="Times New Roman" w:hAnsi="Times New Roman" w:eastAsia="宋体" w:cs="Times New Roman"/>
                <w:spacing w:val="3"/>
                <w:sz w:val="20"/>
                <w:szCs w:val="20"/>
                <w:highlight w:val="none"/>
              </w:rPr>
              <w:t>小时浓度</w:t>
            </w:r>
          </w:p>
        </w:tc>
        <w:tc>
          <w:tcPr>
            <w:tcW w:w="574" w:type="dxa"/>
            <w:tcBorders>
              <w:tl2br w:val="nil"/>
              <w:tr2bl w:val="nil"/>
            </w:tcBorders>
            <w:vAlign w:val="top"/>
          </w:tcPr>
          <w:p>
            <w:pPr>
              <w:spacing w:before="117" w:line="195" w:lineRule="auto"/>
              <w:ind w:left="13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00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restart"/>
            <w:tcBorders>
              <w:tl2br w:val="nil"/>
              <w:tr2bl w:val="nil"/>
            </w:tcBorders>
            <w:vAlign w:val="top"/>
          </w:tcPr>
          <w:p>
            <w:pPr>
              <w:spacing w:before="284" w:line="195" w:lineRule="auto"/>
              <w:ind w:left="63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CO</w:t>
            </w:r>
          </w:p>
        </w:tc>
        <w:tc>
          <w:tcPr>
            <w:tcW w:w="2072" w:type="dxa"/>
            <w:tcBorders>
              <w:tl2br w:val="nil"/>
              <w:tr2bl w:val="nil"/>
            </w:tcBorders>
            <w:vAlign w:val="top"/>
          </w:tcPr>
          <w:p>
            <w:pPr>
              <w:spacing w:before="81" w:line="229" w:lineRule="auto"/>
              <w:ind w:left="482"/>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6"/>
                <w:sz w:val="20"/>
                <w:szCs w:val="20"/>
                <w:highlight w:val="none"/>
              </w:rPr>
              <w:t xml:space="preserve">4 </w:t>
            </w:r>
            <w:r>
              <w:rPr>
                <w:rFonts w:hint="default" w:ascii="Times New Roman" w:hAnsi="Times New Roman" w:eastAsia="宋体" w:cs="Times New Roman"/>
                <w:spacing w:val="6"/>
                <w:sz w:val="20"/>
                <w:szCs w:val="20"/>
                <w:highlight w:val="none"/>
              </w:rPr>
              <w:t>小时平均</w:t>
            </w:r>
          </w:p>
        </w:tc>
        <w:tc>
          <w:tcPr>
            <w:tcW w:w="574" w:type="dxa"/>
            <w:tcBorders>
              <w:tl2br w:val="nil"/>
              <w:tr2bl w:val="nil"/>
            </w:tcBorders>
            <w:vAlign w:val="top"/>
          </w:tcPr>
          <w:p>
            <w:pPr>
              <w:spacing w:before="117" w:line="195" w:lineRule="auto"/>
              <w:ind w:left="23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4</w:t>
            </w:r>
          </w:p>
        </w:tc>
        <w:tc>
          <w:tcPr>
            <w:tcW w:w="958" w:type="dxa"/>
            <w:vMerge w:val="restart"/>
            <w:tcBorders>
              <w:tl2br w:val="nil"/>
              <w:tr2bl w:val="nil"/>
            </w:tcBorders>
            <w:vAlign w:val="top"/>
          </w:tcPr>
          <w:p>
            <w:pPr>
              <w:spacing w:before="218" w:line="274" w:lineRule="exact"/>
              <w:ind w:left="202"/>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position w:val="3"/>
                <w:sz w:val="20"/>
                <w:szCs w:val="20"/>
                <w:highlight w:val="none"/>
              </w:rPr>
              <w:t>mg</w:t>
            </w:r>
            <w:r>
              <w:rPr>
                <w:rFonts w:hint="default" w:ascii="Times New Roman" w:hAnsi="Times New Roman" w:eastAsia="Times New Roman" w:cs="Times New Roman"/>
                <w:spacing w:val="12"/>
                <w:position w:val="3"/>
                <w:sz w:val="20"/>
                <w:szCs w:val="20"/>
                <w:highlight w:val="none"/>
              </w:rPr>
              <w:t>/</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12"/>
                <w:position w:val="9"/>
                <w:sz w:val="13"/>
                <w:szCs w:val="13"/>
                <w:highlight w:val="none"/>
              </w:rPr>
              <w:t>3</w:t>
            </w: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vMerge w:val="continue"/>
            <w:tcBorders>
              <w:tl2br w:val="nil"/>
              <w:tr2bl w:val="nil"/>
            </w:tcBorders>
            <w:vAlign w:val="top"/>
          </w:tcPr>
          <w:p>
            <w:pPr>
              <w:rPr>
                <w:rFonts w:hint="default" w:ascii="Times New Roman" w:hAnsi="Times New Roman" w:cs="Times New Roman"/>
                <w:sz w:val="21"/>
                <w:highlight w:val="none"/>
              </w:rPr>
            </w:pPr>
          </w:p>
        </w:tc>
        <w:tc>
          <w:tcPr>
            <w:tcW w:w="2072" w:type="dxa"/>
            <w:tcBorders>
              <w:tl2br w:val="nil"/>
              <w:tr2bl w:val="nil"/>
            </w:tcBorders>
            <w:vAlign w:val="top"/>
          </w:tcPr>
          <w:p>
            <w:pPr>
              <w:spacing w:before="82" w:line="228" w:lineRule="auto"/>
              <w:ind w:left="555"/>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4"/>
                <w:sz w:val="20"/>
                <w:szCs w:val="20"/>
                <w:highlight w:val="none"/>
              </w:rPr>
              <w:t>1</w:t>
            </w:r>
            <w:r>
              <w:rPr>
                <w:rFonts w:hint="default" w:ascii="Times New Roman" w:hAnsi="Times New Roman" w:eastAsia="Times New Roman" w:cs="Times New Roman"/>
                <w:spacing w:val="3"/>
                <w:sz w:val="20"/>
                <w:szCs w:val="20"/>
                <w:highlight w:val="none"/>
              </w:rPr>
              <w:t xml:space="preserve"> </w:t>
            </w:r>
            <w:r>
              <w:rPr>
                <w:rFonts w:hint="default" w:ascii="Times New Roman" w:hAnsi="Times New Roman" w:eastAsia="宋体" w:cs="Times New Roman"/>
                <w:spacing w:val="3"/>
                <w:sz w:val="20"/>
                <w:szCs w:val="20"/>
                <w:highlight w:val="none"/>
              </w:rPr>
              <w:t>小时浓度</w:t>
            </w:r>
          </w:p>
        </w:tc>
        <w:tc>
          <w:tcPr>
            <w:tcW w:w="574" w:type="dxa"/>
            <w:tcBorders>
              <w:tl2br w:val="nil"/>
              <w:tr2bl w:val="nil"/>
            </w:tcBorders>
            <w:vAlign w:val="top"/>
          </w:tcPr>
          <w:p>
            <w:pPr>
              <w:spacing w:before="117" w:line="195" w:lineRule="auto"/>
              <w:ind w:left="20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7"/>
                <w:sz w:val="20"/>
                <w:szCs w:val="20"/>
                <w:highlight w:val="none"/>
              </w:rPr>
              <w:t>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restart"/>
            <w:tcBorders>
              <w:tl2br w:val="nil"/>
              <w:tr2bl w:val="nil"/>
            </w:tcBorders>
            <w:vAlign w:val="top"/>
          </w:tcPr>
          <w:p>
            <w:pPr>
              <w:spacing w:line="256" w:lineRule="auto"/>
              <w:rPr>
                <w:rFonts w:hint="default" w:ascii="Times New Roman" w:hAnsi="Times New Roman" w:cs="Times New Roman"/>
                <w:sz w:val="21"/>
                <w:highlight w:val="none"/>
              </w:rPr>
            </w:pPr>
          </w:p>
          <w:p>
            <w:pPr>
              <w:spacing w:line="256"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line="257" w:lineRule="auto"/>
              <w:rPr>
                <w:rFonts w:hint="default" w:ascii="Times New Roman" w:hAnsi="Times New Roman" w:cs="Times New Roman"/>
                <w:sz w:val="21"/>
                <w:highlight w:val="none"/>
              </w:rPr>
            </w:pPr>
          </w:p>
          <w:p>
            <w:pPr>
              <w:spacing w:before="65" w:line="228" w:lineRule="auto"/>
              <w:ind w:left="15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地下</w:t>
            </w:r>
            <w:r>
              <w:rPr>
                <w:rFonts w:hint="default" w:ascii="Times New Roman" w:hAnsi="Times New Roman" w:eastAsia="宋体" w:cs="Times New Roman"/>
                <w:spacing w:val="6"/>
                <w:sz w:val="20"/>
                <w:szCs w:val="20"/>
                <w:highlight w:val="none"/>
              </w:rPr>
              <w:t>水</w:t>
            </w:r>
          </w:p>
        </w:tc>
        <w:tc>
          <w:tcPr>
            <w:tcW w:w="1578" w:type="dxa"/>
            <w:tcBorders>
              <w:tl2br w:val="nil"/>
              <w:tr2bl w:val="nil"/>
            </w:tcBorders>
            <w:vAlign w:val="top"/>
          </w:tcPr>
          <w:p>
            <w:pPr>
              <w:spacing w:before="120" w:line="194" w:lineRule="auto"/>
              <w:ind w:left="64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pH</w:t>
            </w:r>
          </w:p>
        </w:tc>
        <w:tc>
          <w:tcPr>
            <w:tcW w:w="2646" w:type="dxa"/>
            <w:gridSpan w:val="2"/>
            <w:tcBorders>
              <w:tl2br w:val="nil"/>
              <w:tr2bl w:val="nil"/>
            </w:tcBorders>
            <w:vAlign w:val="top"/>
          </w:tcPr>
          <w:p>
            <w:pPr>
              <w:spacing w:before="81" w:line="229" w:lineRule="auto"/>
              <w:ind w:left="96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9"/>
                <w:sz w:val="20"/>
                <w:szCs w:val="20"/>
                <w:highlight w:val="none"/>
              </w:rPr>
              <w:t>6.5</w:t>
            </w:r>
            <w:r>
              <w:rPr>
                <w:rFonts w:hint="default" w:ascii="Times New Roman" w:hAnsi="Times New Roman" w:eastAsia="宋体" w:cs="Times New Roman"/>
                <w:spacing w:val="19"/>
                <w:sz w:val="20"/>
                <w:szCs w:val="20"/>
                <w:highlight w:val="none"/>
              </w:rPr>
              <w:t>~</w:t>
            </w:r>
            <w:r>
              <w:rPr>
                <w:rFonts w:hint="default" w:ascii="Times New Roman" w:hAnsi="Times New Roman" w:eastAsia="Times New Roman" w:cs="Times New Roman"/>
                <w:spacing w:val="19"/>
                <w:sz w:val="20"/>
                <w:szCs w:val="20"/>
                <w:highlight w:val="none"/>
              </w:rPr>
              <w:t>8.</w:t>
            </w:r>
            <w:r>
              <w:rPr>
                <w:rFonts w:hint="default" w:ascii="Times New Roman" w:hAnsi="Times New Roman" w:eastAsia="Times New Roman" w:cs="Times New Roman"/>
                <w:spacing w:val="18"/>
                <w:sz w:val="20"/>
                <w:szCs w:val="20"/>
                <w:highlight w:val="none"/>
              </w:rPr>
              <w:t>5</w:t>
            </w:r>
          </w:p>
        </w:tc>
        <w:tc>
          <w:tcPr>
            <w:tcW w:w="958" w:type="dxa"/>
            <w:tcBorders>
              <w:tl2br w:val="nil"/>
              <w:tr2bl w:val="nil"/>
            </w:tcBorders>
            <w:vAlign w:val="top"/>
          </w:tcPr>
          <w:p>
            <w:pPr>
              <w:spacing w:before="205" w:line="125" w:lineRule="exact"/>
              <w:ind w:left="41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r>
              <w:rPr>
                <w:rFonts w:hint="default" w:ascii="Times New Roman" w:hAnsi="Times New Roman" w:eastAsia="Times New Roman" w:cs="Times New Roman"/>
                <w:spacing w:val="-1"/>
                <w:position w:val="-1"/>
                <w:sz w:val="20"/>
                <w:szCs w:val="20"/>
                <w:highlight w:val="none"/>
              </w:rPr>
              <w:t>-</w:t>
            </w:r>
          </w:p>
        </w:tc>
        <w:tc>
          <w:tcPr>
            <w:tcW w:w="2227" w:type="dxa"/>
            <w:vMerge w:val="restart"/>
            <w:tcBorders>
              <w:tl2br w:val="nil"/>
              <w:tr2bl w:val="nil"/>
            </w:tcBorders>
            <w:vAlign w:val="top"/>
          </w:tcPr>
          <w:p>
            <w:pPr>
              <w:spacing w:line="260" w:lineRule="auto"/>
              <w:rPr>
                <w:rFonts w:hint="default" w:ascii="Times New Roman" w:hAnsi="Times New Roman" w:cs="Times New Roman"/>
                <w:sz w:val="21"/>
                <w:highlight w:val="none"/>
              </w:rPr>
            </w:pPr>
          </w:p>
          <w:p>
            <w:pPr>
              <w:spacing w:line="260" w:lineRule="auto"/>
              <w:rPr>
                <w:rFonts w:hint="default" w:ascii="Times New Roman" w:hAnsi="Times New Roman" w:cs="Times New Roman"/>
                <w:sz w:val="21"/>
                <w:highlight w:val="none"/>
              </w:rPr>
            </w:pPr>
          </w:p>
          <w:p>
            <w:pPr>
              <w:spacing w:line="260" w:lineRule="auto"/>
              <w:rPr>
                <w:rFonts w:hint="default" w:ascii="Times New Roman" w:hAnsi="Times New Roman" w:cs="Times New Roman"/>
                <w:sz w:val="21"/>
                <w:highlight w:val="none"/>
              </w:rPr>
            </w:pPr>
          </w:p>
          <w:p>
            <w:pPr>
              <w:spacing w:line="260" w:lineRule="auto"/>
              <w:rPr>
                <w:rFonts w:hint="default" w:ascii="Times New Roman" w:hAnsi="Times New Roman" w:cs="Times New Roman"/>
                <w:sz w:val="21"/>
                <w:highlight w:val="none"/>
              </w:rPr>
            </w:pPr>
          </w:p>
          <w:p>
            <w:pPr>
              <w:spacing w:line="260" w:lineRule="auto"/>
              <w:rPr>
                <w:rFonts w:hint="default" w:ascii="Times New Roman" w:hAnsi="Times New Roman" w:cs="Times New Roman"/>
                <w:sz w:val="21"/>
                <w:highlight w:val="none"/>
              </w:rPr>
            </w:pPr>
          </w:p>
          <w:p>
            <w:pPr>
              <w:spacing w:line="260" w:lineRule="auto"/>
              <w:rPr>
                <w:rFonts w:hint="default" w:ascii="Times New Roman" w:hAnsi="Times New Roman" w:cs="Times New Roman"/>
                <w:sz w:val="21"/>
                <w:highlight w:val="none"/>
              </w:rPr>
            </w:pPr>
          </w:p>
          <w:p>
            <w:pPr>
              <w:spacing w:line="260" w:lineRule="auto"/>
              <w:rPr>
                <w:rFonts w:hint="default" w:ascii="Times New Roman" w:hAnsi="Times New Roman" w:cs="Times New Roman"/>
                <w:sz w:val="21"/>
                <w:highlight w:val="none"/>
              </w:rPr>
            </w:pPr>
          </w:p>
          <w:p>
            <w:pPr>
              <w:spacing w:line="260" w:lineRule="auto"/>
              <w:rPr>
                <w:rFonts w:hint="default" w:ascii="Times New Roman" w:hAnsi="Times New Roman" w:cs="Times New Roman"/>
                <w:sz w:val="21"/>
                <w:highlight w:val="none"/>
              </w:rPr>
            </w:pPr>
          </w:p>
          <w:p>
            <w:pPr>
              <w:spacing w:line="260"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before="65" w:line="228" w:lineRule="auto"/>
              <w:ind w:left="17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w:t>
            </w:r>
            <w:r>
              <w:rPr>
                <w:rFonts w:hint="default" w:ascii="Times New Roman" w:hAnsi="Times New Roman" w:eastAsia="宋体" w:cs="Times New Roman"/>
                <w:spacing w:val="7"/>
                <w:sz w:val="20"/>
                <w:szCs w:val="20"/>
                <w:highlight w:val="none"/>
              </w:rPr>
              <w:t>地下水质量标准》</w:t>
            </w:r>
          </w:p>
          <w:p>
            <w:pPr>
              <w:spacing w:before="41" w:line="274" w:lineRule="exact"/>
              <w:ind w:left="3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position w:val="3"/>
                <w:sz w:val="20"/>
                <w:szCs w:val="20"/>
                <w:highlight w:val="none"/>
              </w:rPr>
              <w:t>(</w:t>
            </w:r>
            <w:r>
              <w:rPr>
                <w:rFonts w:hint="default" w:ascii="Times New Roman" w:hAnsi="Times New Roman" w:eastAsia="Times New Roman" w:cs="Times New Roman"/>
                <w:position w:val="3"/>
                <w:sz w:val="20"/>
                <w:szCs w:val="20"/>
                <w:highlight w:val="none"/>
              </w:rPr>
              <w:t>GB</w:t>
            </w:r>
            <w:r>
              <w:rPr>
                <w:rFonts w:hint="default" w:ascii="Times New Roman" w:hAnsi="Times New Roman" w:eastAsia="Times New Roman" w:cs="Times New Roman"/>
                <w:spacing w:val="5"/>
                <w:position w:val="3"/>
                <w:sz w:val="20"/>
                <w:szCs w:val="20"/>
                <w:highlight w:val="none"/>
              </w:rPr>
              <w:t>/</w:t>
            </w:r>
            <w:r>
              <w:rPr>
                <w:rFonts w:hint="default" w:ascii="Times New Roman" w:hAnsi="Times New Roman" w:eastAsia="Times New Roman" w:cs="Times New Roman"/>
                <w:position w:val="3"/>
                <w:sz w:val="20"/>
                <w:szCs w:val="20"/>
                <w:highlight w:val="none"/>
              </w:rPr>
              <w:t>T</w:t>
            </w:r>
            <w:r>
              <w:rPr>
                <w:rFonts w:hint="default" w:ascii="Times New Roman" w:hAnsi="Times New Roman" w:eastAsia="Times New Roman" w:cs="Times New Roman"/>
                <w:spacing w:val="5"/>
                <w:position w:val="3"/>
                <w:sz w:val="20"/>
                <w:szCs w:val="20"/>
                <w:highlight w:val="none"/>
              </w:rPr>
              <w:t>14848-2017)</w:t>
            </w:r>
          </w:p>
          <w:p>
            <w:pPr>
              <w:spacing w:before="76" w:line="228" w:lineRule="auto"/>
              <w:ind w:left="69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Ⅲ类标准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3" w:line="227" w:lineRule="auto"/>
              <w:ind w:left="47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总硬度</w:t>
            </w:r>
          </w:p>
        </w:tc>
        <w:tc>
          <w:tcPr>
            <w:tcW w:w="2646" w:type="dxa"/>
            <w:gridSpan w:val="2"/>
            <w:tcBorders>
              <w:tl2br w:val="nil"/>
              <w:tr2bl w:val="nil"/>
            </w:tcBorders>
            <w:vAlign w:val="top"/>
          </w:tcPr>
          <w:p>
            <w:pPr>
              <w:spacing w:before="51" w:line="275" w:lineRule="exact"/>
              <w:ind w:left="110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position w:val="2"/>
                <w:sz w:val="20"/>
                <w:szCs w:val="20"/>
                <w:highlight w:val="none"/>
              </w:rPr>
              <w:t>≤</w:t>
            </w:r>
            <w:r>
              <w:rPr>
                <w:rFonts w:hint="default" w:ascii="Times New Roman" w:hAnsi="Times New Roman" w:eastAsia="Times New Roman" w:cs="Times New Roman"/>
                <w:spacing w:val="4"/>
                <w:position w:val="2"/>
                <w:sz w:val="20"/>
                <w:szCs w:val="20"/>
                <w:highlight w:val="none"/>
              </w:rPr>
              <w:t>450</w:t>
            </w:r>
          </w:p>
        </w:tc>
        <w:tc>
          <w:tcPr>
            <w:tcW w:w="958" w:type="dxa"/>
            <w:vMerge w:val="restart"/>
            <w:tcBorders>
              <w:tl2br w:val="nil"/>
              <w:tr2bl w:val="nil"/>
            </w:tcBorders>
            <w:vAlign w:val="top"/>
          </w:tcPr>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before="57" w:line="274" w:lineRule="exact"/>
              <w:ind w:left="25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position w:val="3"/>
                <w:sz w:val="20"/>
                <w:szCs w:val="20"/>
                <w:highlight w:val="none"/>
              </w:rPr>
              <w:t>mg</w:t>
            </w:r>
            <w:r>
              <w:rPr>
                <w:rFonts w:hint="default" w:ascii="Times New Roman" w:hAnsi="Times New Roman" w:eastAsia="Times New Roman" w:cs="Times New Roman"/>
                <w:spacing w:val="18"/>
                <w:position w:val="3"/>
                <w:sz w:val="20"/>
                <w:szCs w:val="20"/>
                <w:highlight w:val="none"/>
              </w:rPr>
              <w:t>/</w:t>
            </w:r>
            <w:r>
              <w:rPr>
                <w:rFonts w:hint="default" w:ascii="Times New Roman" w:hAnsi="Times New Roman" w:eastAsia="Times New Roman" w:cs="Times New Roman"/>
                <w:position w:val="3"/>
                <w:sz w:val="20"/>
                <w:szCs w:val="20"/>
                <w:highlight w:val="none"/>
              </w:rPr>
              <w:t>L</w:t>
            </w: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1" w:line="229" w:lineRule="auto"/>
              <w:ind w:left="1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溶解性总固</w:t>
            </w:r>
            <w:r>
              <w:rPr>
                <w:rFonts w:hint="default" w:ascii="Times New Roman" w:hAnsi="Times New Roman" w:eastAsia="宋体" w:cs="Times New Roman"/>
                <w:spacing w:val="7"/>
                <w:sz w:val="20"/>
                <w:szCs w:val="20"/>
                <w:highlight w:val="none"/>
              </w:rPr>
              <w:t>体</w:t>
            </w:r>
          </w:p>
        </w:tc>
        <w:tc>
          <w:tcPr>
            <w:tcW w:w="2646" w:type="dxa"/>
            <w:gridSpan w:val="2"/>
            <w:tcBorders>
              <w:tl2br w:val="nil"/>
              <w:tr2bl w:val="nil"/>
            </w:tcBorders>
            <w:vAlign w:val="top"/>
          </w:tcPr>
          <w:p>
            <w:pPr>
              <w:spacing w:before="51" w:line="274" w:lineRule="exact"/>
              <w:ind w:left="105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position w:val="2"/>
                <w:sz w:val="20"/>
                <w:szCs w:val="20"/>
                <w:highlight w:val="none"/>
              </w:rPr>
              <w:t>≤</w:t>
            </w:r>
            <w:r>
              <w:rPr>
                <w:rFonts w:hint="default" w:ascii="Times New Roman" w:hAnsi="Times New Roman" w:eastAsia="Times New Roman" w:cs="Times New Roman"/>
                <w:spacing w:val="-4"/>
                <w:position w:val="2"/>
                <w:sz w:val="20"/>
                <w:szCs w:val="20"/>
                <w:highlight w:val="none"/>
              </w:rPr>
              <w:t xml:space="preserve"> 1000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3" w:line="225" w:lineRule="auto"/>
              <w:ind w:left="5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氨</w:t>
            </w:r>
            <w:r>
              <w:rPr>
                <w:rFonts w:hint="default" w:ascii="Times New Roman" w:hAnsi="Times New Roman" w:eastAsia="宋体" w:cs="Times New Roman"/>
                <w:spacing w:val="4"/>
                <w:sz w:val="20"/>
                <w:szCs w:val="20"/>
                <w:highlight w:val="none"/>
              </w:rPr>
              <w:t>氮</w:t>
            </w:r>
          </w:p>
        </w:tc>
        <w:tc>
          <w:tcPr>
            <w:tcW w:w="2646" w:type="dxa"/>
            <w:gridSpan w:val="2"/>
            <w:tcBorders>
              <w:tl2br w:val="nil"/>
              <w:tr2bl w:val="nil"/>
            </w:tcBorders>
            <w:vAlign w:val="top"/>
          </w:tcPr>
          <w:p>
            <w:pPr>
              <w:spacing w:before="52" w:line="274" w:lineRule="exact"/>
              <w:ind w:left="113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position w:val="2"/>
                <w:sz w:val="20"/>
                <w:szCs w:val="20"/>
                <w:highlight w:val="none"/>
              </w:rPr>
              <w:t>≤</w:t>
            </w:r>
            <w:r>
              <w:rPr>
                <w:rFonts w:hint="default" w:ascii="Times New Roman" w:hAnsi="Times New Roman" w:eastAsia="Times New Roman" w:cs="Times New Roman"/>
                <w:spacing w:val="4"/>
                <w:position w:val="2"/>
                <w:sz w:val="20"/>
                <w:szCs w:val="20"/>
                <w:highlight w:val="none"/>
              </w:rPr>
              <w:t>0.5</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54" w:line="274" w:lineRule="exact"/>
              <w:ind w:left="64"/>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
                <w:position w:val="2"/>
                <w:sz w:val="20"/>
                <w:szCs w:val="20"/>
                <w:highlight w:val="none"/>
              </w:rPr>
              <w:t>硝酸盐</w:t>
            </w:r>
            <w:r>
              <w:rPr>
                <w:rFonts w:hint="default" w:ascii="Times New Roman" w:hAnsi="Times New Roman" w:eastAsia="Times New Roman" w:cs="Times New Roman"/>
                <w:spacing w:val="1"/>
                <w:position w:val="2"/>
                <w:sz w:val="20"/>
                <w:szCs w:val="20"/>
                <w:highlight w:val="none"/>
              </w:rPr>
              <w:t>(</w:t>
            </w:r>
            <w:r>
              <w:rPr>
                <w:rFonts w:hint="default" w:ascii="Times New Roman" w:hAnsi="Times New Roman" w:eastAsia="宋体" w:cs="Times New Roman"/>
                <w:spacing w:val="1"/>
                <w:position w:val="2"/>
                <w:sz w:val="20"/>
                <w:szCs w:val="20"/>
                <w:highlight w:val="none"/>
              </w:rPr>
              <w:t xml:space="preserve">以 </w:t>
            </w:r>
            <w:r>
              <w:rPr>
                <w:rFonts w:hint="default" w:ascii="Times New Roman" w:hAnsi="Times New Roman" w:eastAsia="Times New Roman" w:cs="Times New Roman"/>
                <w:position w:val="2"/>
                <w:sz w:val="20"/>
                <w:szCs w:val="20"/>
                <w:highlight w:val="none"/>
              </w:rPr>
              <w:t>N</w:t>
            </w:r>
            <w:r>
              <w:rPr>
                <w:rFonts w:hint="default" w:ascii="Times New Roman" w:hAnsi="Times New Roman" w:eastAsia="Times New Roman" w:cs="Times New Roman"/>
                <w:spacing w:val="1"/>
                <w:position w:val="2"/>
                <w:sz w:val="20"/>
                <w:szCs w:val="20"/>
                <w:highlight w:val="none"/>
              </w:rPr>
              <w:t xml:space="preserve"> </w:t>
            </w:r>
            <w:r>
              <w:rPr>
                <w:rFonts w:hint="default" w:ascii="Times New Roman" w:hAnsi="Times New Roman" w:eastAsia="宋体" w:cs="Times New Roman"/>
                <w:position w:val="2"/>
                <w:sz w:val="20"/>
                <w:szCs w:val="20"/>
                <w:highlight w:val="none"/>
              </w:rPr>
              <w:t>计</w:t>
            </w:r>
            <w:r>
              <w:rPr>
                <w:rFonts w:hint="default" w:ascii="Times New Roman" w:hAnsi="Times New Roman" w:eastAsia="Times New Roman" w:cs="Times New Roman"/>
                <w:position w:val="2"/>
                <w:sz w:val="20"/>
                <w:szCs w:val="20"/>
                <w:highlight w:val="none"/>
              </w:rPr>
              <w:t>)</w:t>
            </w:r>
          </w:p>
        </w:tc>
        <w:tc>
          <w:tcPr>
            <w:tcW w:w="2646" w:type="dxa"/>
            <w:gridSpan w:val="2"/>
            <w:tcBorders>
              <w:tl2br w:val="nil"/>
              <w:tr2bl w:val="nil"/>
            </w:tcBorders>
            <w:vAlign w:val="top"/>
          </w:tcPr>
          <w:p>
            <w:pPr>
              <w:spacing w:before="54" w:line="274" w:lineRule="exact"/>
              <w:ind w:left="115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20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53" w:line="274" w:lineRule="exact"/>
              <w:ind w:left="124"/>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
                <w:position w:val="2"/>
                <w:sz w:val="20"/>
                <w:szCs w:val="20"/>
                <w:highlight w:val="none"/>
              </w:rPr>
              <w:t>亚硝酸</w:t>
            </w:r>
            <w:r>
              <w:rPr>
                <w:rFonts w:hint="default" w:ascii="Times New Roman" w:hAnsi="Times New Roman" w:eastAsia="宋体" w:cs="Times New Roman"/>
                <w:position w:val="2"/>
                <w:sz w:val="20"/>
                <w:szCs w:val="20"/>
                <w:highlight w:val="none"/>
              </w:rPr>
              <w:t>盐</w:t>
            </w:r>
            <w:r>
              <w:rPr>
                <w:rFonts w:hint="default" w:ascii="Times New Roman" w:hAnsi="Times New Roman" w:eastAsia="Times New Roman" w:cs="Times New Roman"/>
                <w:position w:val="2"/>
                <w:sz w:val="20"/>
                <w:szCs w:val="20"/>
                <w:highlight w:val="none"/>
              </w:rPr>
              <w:t>(</w:t>
            </w:r>
            <w:r>
              <w:rPr>
                <w:rFonts w:hint="default" w:ascii="Times New Roman" w:hAnsi="Times New Roman" w:eastAsia="宋体" w:cs="Times New Roman"/>
                <w:position w:val="2"/>
                <w:sz w:val="20"/>
                <w:szCs w:val="20"/>
                <w:highlight w:val="none"/>
              </w:rPr>
              <w:t xml:space="preserve">以 </w:t>
            </w:r>
            <w:r>
              <w:rPr>
                <w:rFonts w:hint="default" w:ascii="Times New Roman" w:hAnsi="Times New Roman" w:eastAsia="Times New Roman" w:cs="Times New Roman"/>
                <w:position w:val="2"/>
                <w:sz w:val="20"/>
                <w:szCs w:val="20"/>
                <w:highlight w:val="none"/>
              </w:rPr>
              <w:t>N</w:t>
            </w:r>
          </w:p>
          <w:p>
            <w:pPr>
              <w:spacing w:before="47" w:line="274" w:lineRule="exact"/>
              <w:ind w:left="646"/>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2"/>
                <w:position w:val="2"/>
                <w:sz w:val="20"/>
                <w:szCs w:val="20"/>
                <w:highlight w:val="none"/>
              </w:rPr>
              <w:t>计</w:t>
            </w:r>
            <w:r>
              <w:rPr>
                <w:rFonts w:hint="default" w:ascii="Times New Roman" w:hAnsi="Times New Roman" w:eastAsia="Times New Roman" w:cs="Times New Roman"/>
                <w:spacing w:val="1"/>
                <w:position w:val="2"/>
                <w:sz w:val="20"/>
                <w:szCs w:val="20"/>
                <w:highlight w:val="none"/>
              </w:rPr>
              <w:t>)</w:t>
            </w:r>
          </w:p>
        </w:tc>
        <w:tc>
          <w:tcPr>
            <w:tcW w:w="2646" w:type="dxa"/>
            <w:gridSpan w:val="2"/>
            <w:tcBorders>
              <w:tl2br w:val="nil"/>
              <w:tr2bl w:val="nil"/>
            </w:tcBorders>
            <w:vAlign w:val="top"/>
          </w:tcPr>
          <w:p>
            <w:pPr>
              <w:spacing w:before="213" w:line="275" w:lineRule="exact"/>
              <w:ind w:left="10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position w:val="2"/>
                <w:sz w:val="20"/>
                <w:szCs w:val="20"/>
                <w:highlight w:val="none"/>
              </w:rPr>
              <w:t>≤</w:t>
            </w:r>
            <w:r>
              <w:rPr>
                <w:rFonts w:hint="default" w:ascii="Times New Roman" w:hAnsi="Times New Roman" w:eastAsia="Times New Roman" w:cs="Times New Roman"/>
                <w:spacing w:val="-5"/>
                <w:position w:val="2"/>
                <w:sz w:val="20"/>
                <w:szCs w:val="20"/>
                <w:highlight w:val="none"/>
              </w:rPr>
              <w:t xml:space="preserve"> </w:t>
            </w:r>
            <w:r>
              <w:rPr>
                <w:rFonts w:hint="default" w:ascii="Times New Roman" w:hAnsi="Times New Roman" w:eastAsia="Times New Roman" w:cs="Times New Roman"/>
                <w:spacing w:val="-4"/>
                <w:position w:val="2"/>
                <w:sz w:val="20"/>
                <w:szCs w:val="20"/>
                <w:highlight w:val="none"/>
              </w:rPr>
              <w:t>1.00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5" w:line="226" w:lineRule="auto"/>
              <w:ind w:left="47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硫酸盐</w:t>
            </w:r>
          </w:p>
        </w:tc>
        <w:tc>
          <w:tcPr>
            <w:tcW w:w="2646" w:type="dxa"/>
            <w:gridSpan w:val="2"/>
            <w:tcBorders>
              <w:tl2br w:val="nil"/>
              <w:tr2bl w:val="nil"/>
            </w:tcBorders>
            <w:vAlign w:val="top"/>
          </w:tcPr>
          <w:p>
            <w:pPr>
              <w:spacing w:before="54" w:line="274" w:lineRule="exact"/>
              <w:ind w:left="110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position w:val="2"/>
                <w:sz w:val="20"/>
                <w:szCs w:val="20"/>
                <w:highlight w:val="none"/>
              </w:rPr>
              <w:t>≤</w:t>
            </w:r>
            <w:r>
              <w:rPr>
                <w:rFonts w:hint="default" w:ascii="Times New Roman" w:hAnsi="Times New Roman" w:eastAsia="Times New Roman" w:cs="Times New Roman"/>
                <w:spacing w:val="4"/>
                <w:position w:val="2"/>
                <w:sz w:val="20"/>
                <w:szCs w:val="20"/>
                <w:highlight w:val="none"/>
              </w:rPr>
              <w:t>250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6" w:line="225" w:lineRule="auto"/>
              <w:ind w:left="47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耗</w:t>
            </w:r>
            <w:r>
              <w:rPr>
                <w:rFonts w:hint="default" w:ascii="Times New Roman" w:hAnsi="Times New Roman" w:eastAsia="宋体" w:cs="Times New Roman"/>
                <w:spacing w:val="6"/>
                <w:sz w:val="20"/>
                <w:szCs w:val="20"/>
                <w:highlight w:val="none"/>
              </w:rPr>
              <w:t>氧量</w:t>
            </w:r>
          </w:p>
        </w:tc>
        <w:tc>
          <w:tcPr>
            <w:tcW w:w="2646" w:type="dxa"/>
            <w:gridSpan w:val="2"/>
            <w:tcBorders>
              <w:tl2br w:val="nil"/>
              <w:tr2bl w:val="nil"/>
            </w:tcBorders>
            <w:vAlign w:val="top"/>
          </w:tcPr>
          <w:p>
            <w:pPr>
              <w:spacing w:before="55" w:line="274" w:lineRule="exact"/>
              <w:ind w:left="113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position w:val="2"/>
                <w:sz w:val="20"/>
                <w:szCs w:val="20"/>
                <w:highlight w:val="none"/>
              </w:rPr>
              <w:t>≤</w:t>
            </w:r>
            <w:r>
              <w:rPr>
                <w:rFonts w:hint="default" w:ascii="Times New Roman" w:hAnsi="Times New Roman" w:eastAsia="Times New Roman" w:cs="Times New Roman"/>
                <w:spacing w:val="4"/>
                <w:position w:val="2"/>
                <w:sz w:val="20"/>
                <w:szCs w:val="20"/>
                <w:highlight w:val="none"/>
              </w:rPr>
              <w:t>3.0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5" w:line="226" w:lineRule="auto"/>
              <w:ind w:left="4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氯化</w:t>
            </w:r>
            <w:r>
              <w:rPr>
                <w:rFonts w:hint="default" w:ascii="Times New Roman" w:hAnsi="Times New Roman" w:eastAsia="宋体" w:cs="Times New Roman"/>
                <w:spacing w:val="5"/>
                <w:sz w:val="20"/>
                <w:szCs w:val="20"/>
                <w:highlight w:val="none"/>
              </w:rPr>
              <w:t>物</w:t>
            </w:r>
          </w:p>
        </w:tc>
        <w:tc>
          <w:tcPr>
            <w:tcW w:w="2646" w:type="dxa"/>
            <w:gridSpan w:val="2"/>
            <w:tcBorders>
              <w:tl2br w:val="nil"/>
              <w:tr2bl w:val="nil"/>
            </w:tcBorders>
            <w:vAlign w:val="top"/>
          </w:tcPr>
          <w:p>
            <w:pPr>
              <w:spacing w:before="53" w:line="275" w:lineRule="exact"/>
              <w:ind w:left="110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position w:val="2"/>
                <w:sz w:val="20"/>
                <w:szCs w:val="20"/>
                <w:highlight w:val="none"/>
              </w:rPr>
              <w:t>≤</w:t>
            </w:r>
            <w:r>
              <w:rPr>
                <w:rFonts w:hint="default" w:ascii="Times New Roman" w:hAnsi="Times New Roman" w:eastAsia="Times New Roman" w:cs="Times New Roman"/>
                <w:spacing w:val="4"/>
                <w:position w:val="2"/>
                <w:sz w:val="20"/>
                <w:szCs w:val="20"/>
                <w:highlight w:val="none"/>
              </w:rPr>
              <w:t>250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5" w:line="226" w:lineRule="auto"/>
              <w:ind w:left="47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氟</w:t>
            </w:r>
            <w:r>
              <w:rPr>
                <w:rFonts w:hint="default" w:ascii="Times New Roman" w:hAnsi="Times New Roman" w:eastAsia="宋体" w:cs="Times New Roman"/>
                <w:spacing w:val="6"/>
                <w:sz w:val="20"/>
                <w:szCs w:val="20"/>
                <w:highlight w:val="none"/>
              </w:rPr>
              <w:t>化物</w:t>
            </w:r>
          </w:p>
        </w:tc>
        <w:tc>
          <w:tcPr>
            <w:tcW w:w="2646" w:type="dxa"/>
            <w:gridSpan w:val="2"/>
            <w:tcBorders>
              <w:tl2br w:val="nil"/>
              <w:tr2bl w:val="nil"/>
            </w:tcBorders>
            <w:vAlign w:val="top"/>
          </w:tcPr>
          <w:p>
            <w:pPr>
              <w:spacing w:before="54" w:line="275" w:lineRule="exact"/>
              <w:ind w:left="113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position w:val="2"/>
                <w:sz w:val="20"/>
                <w:szCs w:val="20"/>
                <w:highlight w:val="none"/>
              </w:rPr>
              <w:t>≤</w:t>
            </w:r>
            <w:r>
              <w:rPr>
                <w:rFonts w:hint="default" w:ascii="Times New Roman" w:hAnsi="Times New Roman" w:eastAsia="Times New Roman" w:cs="Times New Roman"/>
                <w:spacing w:val="-6"/>
                <w:position w:val="2"/>
                <w:sz w:val="20"/>
                <w:szCs w:val="20"/>
                <w:highlight w:val="none"/>
              </w:rPr>
              <w:t xml:space="preserve"> 1.0</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4" w:line="227" w:lineRule="auto"/>
              <w:ind w:left="67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rPr>
              <w:t>砷</w:t>
            </w:r>
          </w:p>
        </w:tc>
        <w:tc>
          <w:tcPr>
            <w:tcW w:w="2646" w:type="dxa"/>
            <w:gridSpan w:val="2"/>
            <w:tcBorders>
              <w:tl2br w:val="nil"/>
              <w:tr2bl w:val="nil"/>
            </w:tcBorders>
            <w:vAlign w:val="top"/>
          </w:tcPr>
          <w:p>
            <w:pPr>
              <w:spacing w:before="53" w:line="274" w:lineRule="exact"/>
              <w:ind w:left="10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position w:val="2"/>
                <w:sz w:val="20"/>
                <w:szCs w:val="20"/>
                <w:highlight w:val="none"/>
              </w:rPr>
              <w:t>≤0.0</w:t>
            </w:r>
            <w:r>
              <w:rPr>
                <w:rFonts w:hint="default" w:ascii="Times New Roman" w:hAnsi="Times New Roman" w:eastAsia="Times New Roman" w:cs="Times New Roman"/>
                <w:spacing w:val="3"/>
                <w:position w:val="2"/>
                <w:sz w:val="20"/>
                <w:szCs w:val="20"/>
                <w:highlight w:val="none"/>
              </w:rPr>
              <w:t>1</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5" w:line="226" w:lineRule="auto"/>
              <w:ind w:left="697"/>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汞</w:t>
            </w:r>
          </w:p>
        </w:tc>
        <w:tc>
          <w:tcPr>
            <w:tcW w:w="2646" w:type="dxa"/>
            <w:gridSpan w:val="2"/>
            <w:tcBorders>
              <w:tl2br w:val="nil"/>
              <w:tr2bl w:val="nil"/>
            </w:tcBorders>
            <w:vAlign w:val="top"/>
          </w:tcPr>
          <w:p>
            <w:pPr>
              <w:spacing w:before="54" w:line="274" w:lineRule="exact"/>
              <w:ind w:left="102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spacing w:val="4"/>
                <w:position w:val="2"/>
                <w:sz w:val="20"/>
                <w:szCs w:val="20"/>
                <w:highlight w:val="none"/>
              </w:rPr>
              <w:t>0.001</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6" w:line="225" w:lineRule="auto"/>
              <w:ind w:left="679"/>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铅</w:t>
            </w:r>
          </w:p>
        </w:tc>
        <w:tc>
          <w:tcPr>
            <w:tcW w:w="2646" w:type="dxa"/>
            <w:gridSpan w:val="2"/>
            <w:tcBorders>
              <w:tl2br w:val="nil"/>
              <w:tr2bl w:val="nil"/>
            </w:tcBorders>
            <w:vAlign w:val="top"/>
          </w:tcPr>
          <w:p>
            <w:pPr>
              <w:spacing w:before="55" w:line="274" w:lineRule="exact"/>
              <w:ind w:left="10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0.05</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5" w:line="226" w:lineRule="auto"/>
              <w:ind w:left="69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镉</w:t>
            </w:r>
          </w:p>
        </w:tc>
        <w:tc>
          <w:tcPr>
            <w:tcW w:w="2646" w:type="dxa"/>
            <w:gridSpan w:val="2"/>
            <w:tcBorders>
              <w:tl2br w:val="nil"/>
              <w:tr2bl w:val="nil"/>
            </w:tcBorders>
            <w:vAlign w:val="top"/>
          </w:tcPr>
          <w:p>
            <w:pPr>
              <w:spacing w:before="54" w:line="274" w:lineRule="exact"/>
              <w:ind w:left="10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0.01</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6" w:line="225" w:lineRule="auto"/>
              <w:ind w:left="69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rPr>
              <w:t>铁</w:t>
            </w:r>
          </w:p>
        </w:tc>
        <w:tc>
          <w:tcPr>
            <w:tcW w:w="2646" w:type="dxa"/>
            <w:gridSpan w:val="2"/>
            <w:tcBorders>
              <w:tl2br w:val="nil"/>
              <w:tr2bl w:val="nil"/>
            </w:tcBorders>
            <w:vAlign w:val="top"/>
          </w:tcPr>
          <w:p>
            <w:pPr>
              <w:spacing w:before="55" w:line="274" w:lineRule="exact"/>
              <w:ind w:left="113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≤0.</w:t>
            </w:r>
            <w:r>
              <w:rPr>
                <w:rFonts w:hint="default" w:ascii="Times New Roman" w:hAnsi="Times New Roman" w:eastAsia="Times New Roman" w:cs="Times New Roman"/>
                <w:spacing w:val="4"/>
                <w:position w:val="2"/>
                <w:sz w:val="20"/>
                <w:szCs w:val="20"/>
                <w:highlight w:val="none"/>
              </w:rPr>
              <w:t>3</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4" w:line="227" w:lineRule="auto"/>
              <w:ind w:left="679"/>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锰</w:t>
            </w:r>
          </w:p>
        </w:tc>
        <w:tc>
          <w:tcPr>
            <w:tcW w:w="2646" w:type="dxa"/>
            <w:gridSpan w:val="2"/>
            <w:tcBorders>
              <w:tl2br w:val="nil"/>
              <w:tr2bl w:val="nil"/>
            </w:tcBorders>
            <w:vAlign w:val="top"/>
          </w:tcPr>
          <w:p>
            <w:pPr>
              <w:spacing w:before="53" w:line="274" w:lineRule="exact"/>
              <w:ind w:left="10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0.01</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5" w:line="226" w:lineRule="auto"/>
              <w:ind w:left="5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六</w:t>
            </w:r>
            <w:r>
              <w:rPr>
                <w:rFonts w:hint="default" w:ascii="Times New Roman" w:hAnsi="Times New Roman" w:eastAsia="宋体" w:cs="Times New Roman"/>
                <w:spacing w:val="-7"/>
                <w:sz w:val="20"/>
                <w:szCs w:val="20"/>
                <w:highlight w:val="none"/>
              </w:rPr>
              <w:t>价铬</w:t>
            </w:r>
          </w:p>
        </w:tc>
        <w:tc>
          <w:tcPr>
            <w:tcW w:w="2646" w:type="dxa"/>
            <w:gridSpan w:val="2"/>
            <w:tcBorders>
              <w:tl2br w:val="nil"/>
              <w:tr2bl w:val="nil"/>
            </w:tcBorders>
            <w:vAlign w:val="top"/>
          </w:tcPr>
          <w:p>
            <w:pPr>
              <w:spacing w:before="54" w:line="274" w:lineRule="exact"/>
              <w:ind w:left="10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0.05</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6" w:line="225" w:lineRule="auto"/>
              <w:ind w:left="51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挥发酚</w:t>
            </w:r>
          </w:p>
        </w:tc>
        <w:tc>
          <w:tcPr>
            <w:tcW w:w="2646" w:type="dxa"/>
            <w:gridSpan w:val="2"/>
            <w:tcBorders>
              <w:tl2br w:val="nil"/>
              <w:tr2bl w:val="nil"/>
            </w:tcBorders>
            <w:vAlign w:val="top"/>
          </w:tcPr>
          <w:p>
            <w:pPr>
              <w:spacing w:before="55" w:line="274" w:lineRule="exact"/>
              <w:ind w:left="102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spacing w:val="4"/>
                <w:position w:val="2"/>
                <w:sz w:val="20"/>
                <w:szCs w:val="20"/>
                <w:highlight w:val="none"/>
              </w:rPr>
              <w:t>0.002</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5" w:line="226" w:lineRule="auto"/>
              <w:ind w:left="47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氰化物</w:t>
            </w:r>
          </w:p>
        </w:tc>
        <w:tc>
          <w:tcPr>
            <w:tcW w:w="2646" w:type="dxa"/>
            <w:gridSpan w:val="2"/>
            <w:tcBorders>
              <w:tl2br w:val="nil"/>
              <w:tr2bl w:val="nil"/>
            </w:tcBorders>
            <w:vAlign w:val="top"/>
          </w:tcPr>
          <w:p>
            <w:pPr>
              <w:spacing w:before="54" w:line="274" w:lineRule="exact"/>
              <w:ind w:left="107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0.05</w:t>
            </w:r>
          </w:p>
        </w:tc>
        <w:tc>
          <w:tcPr>
            <w:tcW w:w="958" w:type="dxa"/>
            <w:vMerge w:val="continue"/>
            <w:tcBorders>
              <w:tl2br w:val="nil"/>
              <w:tr2bl w:val="nil"/>
            </w:tcBorders>
            <w:vAlign w:val="top"/>
          </w:tcPr>
          <w:p>
            <w:pPr>
              <w:rPr>
                <w:rFonts w:hint="default" w:ascii="Times New Roman" w:hAnsi="Times New Roman" w:cs="Times New Roman"/>
                <w:sz w:val="21"/>
                <w:highlight w:val="none"/>
              </w:rPr>
            </w:pP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62" w:type="dxa"/>
            <w:vMerge w:val="continue"/>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6" w:line="228" w:lineRule="auto"/>
              <w:ind w:left="26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总</w:t>
            </w:r>
            <w:r>
              <w:rPr>
                <w:rFonts w:hint="default" w:ascii="Times New Roman" w:hAnsi="Times New Roman" w:eastAsia="宋体" w:cs="Times New Roman"/>
                <w:spacing w:val="7"/>
                <w:sz w:val="20"/>
                <w:szCs w:val="20"/>
                <w:highlight w:val="none"/>
              </w:rPr>
              <w:t>大肠菌群</w:t>
            </w:r>
          </w:p>
        </w:tc>
        <w:tc>
          <w:tcPr>
            <w:tcW w:w="2646" w:type="dxa"/>
            <w:gridSpan w:val="2"/>
            <w:tcBorders>
              <w:tl2br w:val="nil"/>
              <w:tr2bl w:val="nil"/>
            </w:tcBorders>
            <w:vAlign w:val="top"/>
          </w:tcPr>
          <w:p>
            <w:pPr>
              <w:spacing w:before="55" w:line="274" w:lineRule="exact"/>
              <w:ind w:left="113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position w:val="2"/>
                <w:sz w:val="20"/>
                <w:szCs w:val="20"/>
                <w:highlight w:val="none"/>
              </w:rPr>
              <w:t>≤</w:t>
            </w:r>
            <w:r>
              <w:rPr>
                <w:rFonts w:hint="default" w:ascii="Times New Roman" w:hAnsi="Times New Roman" w:eastAsia="Times New Roman" w:cs="Times New Roman"/>
                <w:spacing w:val="4"/>
                <w:position w:val="2"/>
                <w:sz w:val="20"/>
                <w:szCs w:val="20"/>
                <w:highlight w:val="none"/>
              </w:rPr>
              <w:t>3.0</w:t>
            </w:r>
          </w:p>
        </w:tc>
        <w:tc>
          <w:tcPr>
            <w:tcW w:w="958" w:type="dxa"/>
            <w:tcBorders>
              <w:tl2br w:val="nil"/>
              <w:tr2bl w:val="nil"/>
            </w:tcBorders>
            <w:vAlign w:val="top"/>
          </w:tcPr>
          <w:p>
            <w:pPr>
              <w:spacing w:before="55" w:line="274" w:lineRule="exact"/>
              <w:ind w:left="4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9"/>
                <w:position w:val="1"/>
                <w:sz w:val="20"/>
                <w:szCs w:val="20"/>
                <w:highlight w:val="none"/>
              </w:rPr>
              <w:t>(</w:t>
            </w:r>
            <w:r>
              <w:rPr>
                <w:rFonts w:hint="default" w:ascii="Times New Roman" w:hAnsi="Times New Roman" w:eastAsia="宋体" w:cs="Times New Roman"/>
                <w:spacing w:val="28"/>
                <w:position w:val="1"/>
                <w:sz w:val="20"/>
                <w:szCs w:val="20"/>
                <w:highlight w:val="none"/>
              </w:rPr>
              <w:t>个</w:t>
            </w:r>
            <w:r>
              <w:rPr>
                <w:rFonts w:hint="default" w:ascii="Times New Roman" w:hAnsi="Times New Roman" w:eastAsia="Times New Roman" w:cs="Times New Roman"/>
                <w:spacing w:val="28"/>
                <w:position w:val="1"/>
                <w:sz w:val="20"/>
                <w:szCs w:val="20"/>
                <w:highlight w:val="none"/>
              </w:rPr>
              <w:t>/</w:t>
            </w:r>
            <w:r>
              <w:rPr>
                <w:rFonts w:hint="default" w:ascii="Times New Roman" w:hAnsi="Times New Roman" w:eastAsia="Times New Roman" w:cs="Times New Roman"/>
                <w:position w:val="1"/>
                <w:sz w:val="20"/>
                <w:szCs w:val="20"/>
                <w:highlight w:val="none"/>
              </w:rPr>
              <w:t>ml</w:t>
            </w:r>
            <w:r>
              <w:rPr>
                <w:rFonts w:hint="default" w:ascii="Times New Roman" w:hAnsi="Times New Roman" w:eastAsia="宋体" w:cs="Times New Roman"/>
                <w:spacing w:val="28"/>
                <w:position w:val="1"/>
                <w:sz w:val="20"/>
                <w:szCs w:val="20"/>
                <w:highlight w:val="none"/>
              </w:rPr>
              <w:t>)</w:t>
            </w:r>
          </w:p>
        </w:tc>
        <w:tc>
          <w:tcPr>
            <w:tcW w:w="2227" w:type="dxa"/>
            <w:vMerge w:val="continue"/>
            <w:tcBorders>
              <w:tl2br w:val="nil"/>
              <w:tr2bl w:val="nil"/>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62" w:type="dxa"/>
            <w:tcBorders>
              <w:tl2br w:val="nil"/>
              <w:tr2bl w:val="nil"/>
            </w:tcBorders>
            <w:vAlign w:val="top"/>
          </w:tcPr>
          <w:p>
            <w:pPr>
              <w:rPr>
                <w:rFonts w:hint="default" w:ascii="Times New Roman" w:hAnsi="Times New Roman" w:cs="Times New Roman"/>
                <w:sz w:val="21"/>
                <w:highlight w:val="none"/>
              </w:rPr>
            </w:pPr>
          </w:p>
        </w:tc>
        <w:tc>
          <w:tcPr>
            <w:tcW w:w="1578" w:type="dxa"/>
            <w:tcBorders>
              <w:tl2br w:val="nil"/>
              <w:tr2bl w:val="nil"/>
            </w:tcBorders>
            <w:vAlign w:val="top"/>
          </w:tcPr>
          <w:p>
            <w:pPr>
              <w:spacing w:before="80" w:line="228" w:lineRule="auto"/>
              <w:ind w:left="366"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7"/>
                <w:sz w:val="20"/>
                <w:szCs w:val="20"/>
                <w:highlight w:val="none"/>
              </w:rPr>
              <w:t>细菌总数</w:t>
            </w:r>
          </w:p>
        </w:tc>
        <w:tc>
          <w:tcPr>
            <w:tcW w:w="2646" w:type="dxa"/>
            <w:gridSpan w:val="2"/>
            <w:tcBorders>
              <w:tl2br w:val="nil"/>
              <w:tr2bl w:val="nil"/>
            </w:tcBorders>
            <w:vAlign w:val="top"/>
          </w:tcPr>
          <w:p>
            <w:pPr>
              <w:spacing w:before="48" w:line="275" w:lineRule="exact"/>
              <w:ind w:left="1104"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spacing w:val="-8"/>
                <w:position w:val="2"/>
                <w:sz w:val="20"/>
                <w:szCs w:val="20"/>
                <w:highlight w:val="none"/>
              </w:rPr>
              <w:t>≤</w:t>
            </w:r>
            <w:r>
              <w:rPr>
                <w:rFonts w:hint="default" w:ascii="Times New Roman" w:hAnsi="Times New Roman" w:eastAsia="Times New Roman" w:cs="Times New Roman"/>
                <w:spacing w:val="-6"/>
                <w:position w:val="2"/>
                <w:sz w:val="20"/>
                <w:szCs w:val="20"/>
                <w:highlight w:val="none"/>
              </w:rPr>
              <w:t xml:space="preserve"> 100</w:t>
            </w:r>
          </w:p>
        </w:tc>
        <w:tc>
          <w:tcPr>
            <w:tcW w:w="958" w:type="dxa"/>
            <w:tcBorders>
              <w:tl2br w:val="nil"/>
              <w:tr2bl w:val="nil"/>
            </w:tcBorders>
            <w:vAlign w:val="top"/>
          </w:tcPr>
          <w:p>
            <w:pPr>
              <w:spacing w:before="48" w:line="275" w:lineRule="exact"/>
              <w:ind w:left="46"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29"/>
                <w:position w:val="1"/>
                <w:sz w:val="20"/>
                <w:szCs w:val="20"/>
                <w:highlight w:val="none"/>
              </w:rPr>
              <w:t>(</w:t>
            </w:r>
            <w:r>
              <w:rPr>
                <w:rFonts w:hint="default" w:ascii="Times New Roman" w:hAnsi="Times New Roman" w:eastAsia="宋体" w:cs="Times New Roman"/>
                <w:spacing w:val="28"/>
                <w:position w:val="1"/>
                <w:sz w:val="20"/>
                <w:szCs w:val="20"/>
                <w:highlight w:val="none"/>
              </w:rPr>
              <w:t>个</w:t>
            </w:r>
            <w:r>
              <w:rPr>
                <w:rFonts w:hint="default" w:ascii="Times New Roman" w:hAnsi="Times New Roman" w:eastAsia="Times New Roman" w:cs="Times New Roman"/>
                <w:spacing w:val="28"/>
                <w:position w:val="1"/>
                <w:sz w:val="20"/>
                <w:szCs w:val="20"/>
                <w:highlight w:val="none"/>
              </w:rPr>
              <w:t>/</w:t>
            </w:r>
            <w:r>
              <w:rPr>
                <w:rFonts w:hint="default" w:ascii="Times New Roman" w:hAnsi="Times New Roman" w:eastAsia="Times New Roman" w:cs="Times New Roman"/>
                <w:position w:val="1"/>
                <w:sz w:val="20"/>
                <w:szCs w:val="20"/>
                <w:highlight w:val="none"/>
              </w:rPr>
              <w:t>ml</w:t>
            </w:r>
            <w:r>
              <w:rPr>
                <w:rFonts w:hint="default" w:ascii="Times New Roman" w:hAnsi="Times New Roman" w:eastAsia="宋体" w:cs="Times New Roman"/>
                <w:spacing w:val="28"/>
                <w:position w:val="1"/>
                <w:sz w:val="20"/>
                <w:szCs w:val="20"/>
                <w:highlight w:val="none"/>
              </w:rPr>
              <w:t>)</w:t>
            </w:r>
          </w:p>
        </w:tc>
        <w:tc>
          <w:tcPr>
            <w:tcW w:w="2227" w:type="dxa"/>
            <w:tcBorders>
              <w:tl2br w:val="nil"/>
              <w:tr2bl w:val="nil"/>
            </w:tcBorders>
            <w:vAlign w:val="top"/>
          </w:tcPr>
          <w:p>
            <w:pPr>
              <w:rPr>
                <w:rFonts w:hint="default" w:ascii="Times New Roman" w:hAnsi="Times New Roman" w:cs="Times New Roman"/>
                <w:sz w:val="21"/>
                <w:highlight w:val="none"/>
              </w:rPr>
            </w:pPr>
          </w:p>
        </w:tc>
      </w:tr>
    </w:tbl>
    <w:p>
      <w:pPr>
        <w:spacing w:line="14" w:lineRule="auto"/>
        <w:rPr>
          <w:rFonts w:hint="default" w:ascii="Times New Roman" w:hAnsi="Times New Roman" w:cs="Times New Roman"/>
          <w:sz w:val="2"/>
          <w:highlight w:val="none"/>
        </w:rPr>
      </w:pPr>
    </w:p>
    <w:tbl>
      <w:tblPr>
        <w:tblStyle w:val="19"/>
        <w:tblW w:w="83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578"/>
        <w:gridCol w:w="797"/>
        <w:gridCol w:w="1131"/>
        <w:gridCol w:w="718"/>
        <w:gridCol w:w="958"/>
        <w:gridCol w:w="22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962" w:type="dxa"/>
            <w:vMerge w:val="restart"/>
            <w:tcBorders>
              <w:left w:val="single" w:color="000000" w:sz="10" w:space="0"/>
              <w:bottom w:val="nil"/>
              <w:right w:val="single" w:color="000000" w:sz="4" w:space="0"/>
            </w:tcBorders>
            <w:vAlign w:val="top"/>
          </w:tcPr>
          <w:p>
            <w:pPr>
              <w:spacing w:line="287" w:lineRule="auto"/>
              <w:rPr>
                <w:rFonts w:hint="default" w:ascii="Times New Roman" w:hAnsi="Times New Roman" w:cs="Times New Roman"/>
                <w:sz w:val="21"/>
                <w:highlight w:val="none"/>
              </w:rPr>
            </w:pPr>
          </w:p>
          <w:p>
            <w:pPr>
              <w:spacing w:before="65" w:line="229" w:lineRule="auto"/>
              <w:ind w:left="162"/>
              <w:rPr>
                <w:rFonts w:hint="default" w:ascii="Times New Roman" w:hAnsi="Times New Roman" w:eastAsia="宋体" w:cs="Times New Roman"/>
                <w:spacing w:val="6"/>
                <w:sz w:val="20"/>
                <w:szCs w:val="20"/>
                <w:highlight w:val="none"/>
              </w:rPr>
            </w:pPr>
          </w:p>
          <w:p>
            <w:pPr>
              <w:spacing w:before="65" w:line="229" w:lineRule="auto"/>
              <w:ind w:left="16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声</w:t>
            </w:r>
            <w:r>
              <w:rPr>
                <w:rFonts w:hint="default" w:ascii="Times New Roman" w:hAnsi="Times New Roman" w:eastAsia="宋体" w:cs="Times New Roman"/>
                <w:spacing w:val="5"/>
                <w:sz w:val="20"/>
                <w:szCs w:val="20"/>
                <w:highlight w:val="none"/>
              </w:rPr>
              <w:t>环境</w:t>
            </w:r>
          </w:p>
        </w:tc>
        <w:tc>
          <w:tcPr>
            <w:tcW w:w="1578" w:type="dxa"/>
            <w:vMerge w:val="restart"/>
            <w:tcBorders>
              <w:left w:val="single" w:color="000000" w:sz="4" w:space="0"/>
              <w:bottom w:val="nil"/>
              <w:right w:val="single" w:color="000000" w:sz="4" w:space="0"/>
            </w:tcBorders>
            <w:vAlign w:val="top"/>
          </w:tcPr>
          <w:p>
            <w:pPr>
              <w:spacing w:line="303" w:lineRule="auto"/>
              <w:rPr>
                <w:rFonts w:hint="default" w:ascii="Times New Roman" w:hAnsi="Times New Roman" w:cs="Times New Roman"/>
                <w:sz w:val="21"/>
                <w:highlight w:val="none"/>
              </w:rPr>
            </w:pPr>
          </w:p>
          <w:p>
            <w:pPr>
              <w:spacing w:before="58" w:line="200" w:lineRule="auto"/>
              <w:ind w:left="654"/>
              <w:rPr>
                <w:rFonts w:hint="default" w:ascii="Times New Roman" w:hAnsi="Times New Roman" w:eastAsia="Times New Roman" w:cs="Times New Roman"/>
                <w:spacing w:val="2"/>
                <w:sz w:val="20"/>
                <w:szCs w:val="20"/>
                <w:highlight w:val="none"/>
              </w:rPr>
            </w:pPr>
          </w:p>
          <w:p>
            <w:pPr>
              <w:spacing w:before="58" w:line="200" w:lineRule="auto"/>
              <w:ind w:left="654"/>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pacing w:val="2"/>
                <w:sz w:val="20"/>
                <w:szCs w:val="20"/>
                <w:highlight w:val="none"/>
              </w:rPr>
              <w:t>L</w:t>
            </w:r>
            <w:r>
              <w:rPr>
                <w:rFonts w:hint="default" w:ascii="Times New Roman" w:hAnsi="Times New Roman" w:eastAsia="Times New Roman" w:cs="Times New Roman"/>
                <w:spacing w:val="2"/>
                <w:position w:val="-1"/>
                <w:sz w:val="13"/>
                <w:szCs w:val="13"/>
                <w:highlight w:val="none"/>
              </w:rPr>
              <w:t>eq</w:t>
            </w:r>
          </w:p>
        </w:tc>
        <w:tc>
          <w:tcPr>
            <w:tcW w:w="797" w:type="dxa"/>
            <w:vMerge w:val="restart"/>
            <w:tcBorders>
              <w:left w:val="single" w:color="000000" w:sz="4" w:space="0"/>
              <w:bottom w:val="nil"/>
            </w:tcBorders>
            <w:vAlign w:val="center"/>
          </w:tcPr>
          <w:p>
            <w:pPr>
              <w:spacing w:before="305" w:line="228" w:lineRule="auto"/>
              <w:ind w:left="231"/>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4"/>
                <w:sz w:val="20"/>
                <w:szCs w:val="20"/>
                <w:highlight w:val="none"/>
                <w:lang w:val="en-US" w:eastAsia="zh-CN"/>
              </w:rPr>
              <w:t>2</w:t>
            </w:r>
            <w:r>
              <w:rPr>
                <w:rFonts w:hint="default" w:ascii="Times New Roman" w:hAnsi="Times New Roman" w:eastAsia="Times New Roman" w:cs="Times New Roman"/>
                <w:spacing w:val="-3"/>
                <w:sz w:val="20"/>
                <w:szCs w:val="20"/>
                <w:highlight w:val="none"/>
              </w:rPr>
              <w:t xml:space="preserve"> </w:t>
            </w:r>
            <w:r>
              <w:rPr>
                <w:rFonts w:hint="default" w:ascii="Times New Roman" w:hAnsi="Times New Roman" w:eastAsia="宋体" w:cs="Times New Roman"/>
                <w:spacing w:val="-3"/>
                <w:sz w:val="20"/>
                <w:szCs w:val="20"/>
                <w:highlight w:val="none"/>
              </w:rPr>
              <w:t>类</w:t>
            </w:r>
          </w:p>
        </w:tc>
        <w:tc>
          <w:tcPr>
            <w:tcW w:w="1131" w:type="dxa"/>
            <w:tcBorders>
              <w:right w:val="single" w:color="000000" w:sz="4" w:space="0"/>
            </w:tcBorders>
            <w:vAlign w:val="center"/>
          </w:tcPr>
          <w:p>
            <w:pPr>
              <w:spacing w:before="82" w:line="228" w:lineRule="auto"/>
              <w:ind w:left="360"/>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昼间</w:t>
            </w:r>
          </w:p>
        </w:tc>
        <w:tc>
          <w:tcPr>
            <w:tcW w:w="718" w:type="dxa"/>
            <w:tcBorders>
              <w:left w:val="single" w:color="000000" w:sz="4" w:space="0"/>
              <w:right w:val="single" w:color="000000" w:sz="4" w:space="0"/>
            </w:tcBorders>
            <w:vAlign w:val="center"/>
          </w:tcPr>
          <w:p>
            <w:pPr>
              <w:spacing w:before="272" w:line="195" w:lineRule="auto"/>
              <w:ind w:left="260" w:leftChars="0"/>
              <w:jc w:val="center"/>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958" w:type="dxa"/>
            <w:vMerge w:val="restart"/>
            <w:tcBorders>
              <w:left w:val="single" w:color="000000" w:sz="4" w:space="0"/>
              <w:bottom w:val="nil"/>
              <w:right w:val="single" w:color="000000" w:sz="4" w:space="0"/>
            </w:tcBorders>
            <w:vAlign w:val="top"/>
          </w:tcPr>
          <w:p>
            <w:pPr>
              <w:spacing w:line="280" w:lineRule="auto"/>
              <w:rPr>
                <w:rFonts w:hint="default" w:ascii="Times New Roman" w:hAnsi="Times New Roman" w:cs="Times New Roman"/>
                <w:sz w:val="21"/>
                <w:highlight w:val="none"/>
              </w:rPr>
            </w:pPr>
          </w:p>
          <w:p>
            <w:pPr>
              <w:spacing w:line="280" w:lineRule="auto"/>
              <w:rPr>
                <w:rFonts w:hint="default" w:ascii="Times New Roman" w:hAnsi="Times New Roman" w:cs="Times New Roman"/>
                <w:sz w:val="21"/>
                <w:highlight w:val="none"/>
              </w:rPr>
            </w:pPr>
          </w:p>
          <w:p>
            <w:pPr>
              <w:spacing w:before="57" w:line="274" w:lineRule="exact"/>
              <w:ind w:left="21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position w:val="3"/>
                <w:sz w:val="20"/>
                <w:szCs w:val="20"/>
                <w:highlight w:val="none"/>
              </w:rPr>
              <w:t>dB</w:t>
            </w:r>
            <w:r>
              <w:rPr>
                <w:rFonts w:hint="default" w:ascii="Times New Roman" w:hAnsi="Times New Roman" w:eastAsia="Times New Roman" w:cs="Times New Roman"/>
                <w:spacing w:val="9"/>
                <w:position w:val="3"/>
                <w:sz w:val="20"/>
                <w:szCs w:val="20"/>
                <w:highlight w:val="none"/>
              </w:rPr>
              <w:t>(</w:t>
            </w:r>
            <w:r>
              <w:rPr>
                <w:rFonts w:hint="default" w:ascii="Times New Roman" w:hAnsi="Times New Roman" w:eastAsia="Times New Roman" w:cs="Times New Roman"/>
                <w:position w:val="3"/>
                <w:sz w:val="20"/>
                <w:szCs w:val="20"/>
                <w:highlight w:val="none"/>
              </w:rPr>
              <w:t>A</w:t>
            </w:r>
            <w:r>
              <w:rPr>
                <w:rFonts w:hint="default" w:ascii="Times New Roman" w:hAnsi="Times New Roman" w:eastAsia="Times New Roman" w:cs="Times New Roman"/>
                <w:spacing w:val="8"/>
                <w:position w:val="3"/>
                <w:sz w:val="20"/>
                <w:szCs w:val="20"/>
                <w:highlight w:val="none"/>
              </w:rPr>
              <w:t>)</w:t>
            </w:r>
          </w:p>
        </w:tc>
        <w:tc>
          <w:tcPr>
            <w:tcW w:w="2227" w:type="dxa"/>
            <w:vMerge w:val="restart"/>
            <w:tcBorders>
              <w:left w:val="single" w:color="000000" w:sz="4" w:space="0"/>
              <w:bottom w:val="nil"/>
              <w:right w:val="single" w:color="000000" w:sz="10" w:space="0"/>
            </w:tcBorders>
            <w:vAlign w:val="top"/>
          </w:tcPr>
          <w:p>
            <w:pPr>
              <w:spacing w:before="295" w:line="229" w:lineRule="auto"/>
              <w:ind w:left="17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w:t>
            </w:r>
            <w:r>
              <w:rPr>
                <w:rFonts w:hint="default" w:ascii="Times New Roman" w:hAnsi="Times New Roman" w:eastAsia="宋体" w:cs="Times New Roman"/>
                <w:spacing w:val="7"/>
                <w:sz w:val="20"/>
                <w:szCs w:val="20"/>
                <w:highlight w:val="none"/>
              </w:rPr>
              <w:t>声环境质量标准》</w:t>
            </w:r>
          </w:p>
          <w:p>
            <w:pPr>
              <w:spacing w:before="40" w:line="274" w:lineRule="exact"/>
              <w:ind w:left="44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3"/>
                <w:sz w:val="20"/>
                <w:szCs w:val="20"/>
                <w:highlight w:val="none"/>
              </w:rPr>
              <w:t>(</w:t>
            </w:r>
            <w:r>
              <w:rPr>
                <w:rFonts w:hint="default" w:ascii="Times New Roman" w:hAnsi="Times New Roman" w:eastAsia="Times New Roman" w:cs="Times New Roman"/>
                <w:position w:val="3"/>
                <w:sz w:val="20"/>
                <w:szCs w:val="20"/>
                <w:highlight w:val="none"/>
              </w:rPr>
              <w:t>GB</w:t>
            </w:r>
            <w:r>
              <w:rPr>
                <w:rFonts w:hint="default" w:ascii="Times New Roman" w:hAnsi="Times New Roman" w:eastAsia="Times New Roman" w:cs="Times New Roman"/>
                <w:spacing w:val="5"/>
                <w:position w:val="3"/>
                <w:sz w:val="20"/>
                <w:szCs w:val="20"/>
                <w:highlight w:val="none"/>
              </w:rPr>
              <w:t>3096-2008)</w:t>
            </w:r>
          </w:p>
          <w:p>
            <w:pPr>
              <w:spacing w:before="72" w:line="228" w:lineRule="auto"/>
              <w:ind w:left="595"/>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2"/>
                <w:sz w:val="20"/>
                <w:szCs w:val="20"/>
                <w:highlight w:val="none"/>
              </w:rPr>
              <w:t xml:space="preserve">2 </w:t>
            </w:r>
            <w:r>
              <w:rPr>
                <w:rFonts w:hint="default" w:ascii="Times New Roman" w:hAnsi="Times New Roman" w:eastAsia="宋体" w:cs="Times New Roman"/>
                <w:spacing w:val="2"/>
                <w:sz w:val="20"/>
                <w:szCs w:val="20"/>
                <w:highlight w:val="none"/>
              </w:rPr>
              <w:t xml:space="preserve">类区标准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962" w:type="dxa"/>
            <w:vMerge w:val="continue"/>
            <w:tcBorders>
              <w:top w:val="nil"/>
              <w:left w:val="single" w:color="000000" w:sz="10" w:space="0"/>
              <w:bottom w:val="single" w:color="auto" w:sz="4" w:space="0"/>
              <w:right w:val="single" w:color="000000" w:sz="4" w:space="0"/>
            </w:tcBorders>
            <w:vAlign w:val="top"/>
          </w:tcPr>
          <w:p>
            <w:pPr>
              <w:rPr>
                <w:rFonts w:hint="default" w:ascii="Times New Roman" w:hAnsi="Times New Roman" w:cs="Times New Roman"/>
                <w:sz w:val="21"/>
                <w:highlight w:val="none"/>
              </w:rPr>
            </w:pPr>
          </w:p>
        </w:tc>
        <w:tc>
          <w:tcPr>
            <w:tcW w:w="1578" w:type="dxa"/>
            <w:vMerge w:val="continue"/>
            <w:tcBorders>
              <w:top w:val="nil"/>
              <w:left w:val="single" w:color="000000" w:sz="4" w:space="0"/>
              <w:bottom w:val="single" w:color="auto" w:sz="4" w:space="0"/>
              <w:right w:val="single" w:color="000000" w:sz="4" w:space="0"/>
            </w:tcBorders>
            <w:vAlign w:val="top"/>
          </w:tcPr>
          <w:p>
            <w:pPr>
              <w:rPr>
                <w:rFonts w:hint="default" w:ascii="Times New Roman" w:hAnsi="Times New Roman" w:cs="Times New Roman"/>
                <w:sz w:val="21"/>
                <w:highlight w:val="none"/>
              </w:rPr>
            </w:pPr>
          </w:p>
        </w:tc>
        <w:tc>
          <w:tcPr>
            <w:tcW w:w="797" w:type="dxa"/>
            <w:vMerge w:val="continue"/>
            <w:tcBorders>
              <w:top w:val="nil"/>
              <w:left w:val="single" w:color="000000" w:sz="4" w:space="0"/>
              <w:bottom w:val="single" w:color="auto" w:sz="4" w:space="0"/>
            </w:tcBorders>
            <w:vAlign w:val="center"/>
          </w:tcPr>
          <w:p>
            <w:pPr>
              <w:jc w:val="center"/>
              <w:rPr>
                <w:rFonts w:hint="default" w:ascii="Times New Roman" w:hAnsi="Times New Roman" w:cs="Times New Roman"/>
                <w:sz w:val="21"/>
                <w:highlight w:val="none"/>
              </w:rPr>
            </w:pPr>
          </w:p>
        </w:tc>
        <w:tc>
          <w:tcPr>
            <w:tcW w:w="1131" w:type="dxa"/>
            <w:tcBorders>
              <w:bottom w:val="single" w:color="auto" w:sz="4" w:space="0"/>
              <w:right w:val="single" w:color="000000" w:sz="4" w:space="0"/>
            </w:tcBorders>
            <w:vAlign w:val="center"/>
          </w:tcPr>
          <w:p>
            <w:pPr>
              <w:spacing w:before="139" w:line="228" w:lineRule="auto"/>
              <w:ind w:left="364"/>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夜间</w:t>
            </w:r>
          </w:p>
        </w:tc>
        <w:tc>
          <w:tcPr>
            <w:tcW w:w="718" w:type="dxa"/>
            <w:tcBorders>
              <w:left w:val="single" w:color="000000" w:sz="4" w:space="0"/>
              <w:bottom w:val="single" w:color="auto" w:sz="4" w:space="0"/>
              <w:right w:val="single" w:color="000000" w:sz="4" w:space="0"/>
            </w:tcBorders>
            <w:vAlign w:val="center"/>
          </w:tcPr>
          <w:p>
            <w:pPr>
              <w:spacing w:before="264" w:line="195" w:lineRule="auto"/>
              <w:ind w:left="261" w:leftChars="0"/>
              <w:jc w:val="center"/>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50</w:t>
            </w:r>
          </w:p>
        </w:tc>
        <w:tc>
          <w:tcPr>
            <w:tcW w:w="958" w:type="dxa"/>
            <w:vMerge w:val="continue"/>
            <w:tcBorders>
              <w:top w:val="nil"/>
              <w:left w:val="single" w:color="000000" w:sz="4" w:space="0"/>
              <w:bottom w:val="single" w:color="auto" w:sz="4" w:space="0"/>
              <w:right w:val="single" w:color="000000" w:sz="4" w:space="0"/>
            </w:tcBorders>
            <w:vAlign w:val="top"/>
          </w:tcPr>
          <w:p>
            <w:pPr>
              <w:rPr>
                <w:rFonts w:hint="default" w:ascii="Times New Roman" w:hAnsi="Times New Roman" w:cs="Times New Roman"/>
                <w:sz w:val="21"/>
                <w:highlight w:val="none"/>
              </w:rPr>
            </w:pPr>
          </w:p>
        </w:tc>
        <w:tc>
          <w:tcPr>
            <w:tcW w:w="2227" w:type="dxa"/>
            <w:vMerge w:val="continue"/>
            <w:tcBorders>
              <w:top w:val="nil"/>
              <w:left w:val="single" w:color="000000" w:sz="4" w:space="0"/>
              <w:bottom w:val="single" w:color="auto" w:sz="4" w:space="0"/>
              <w:right w:val="single" w:color="000000" w:sz="10" w:space="0"/>
            </w:tcBorders>
            <w:vAlign w:val="top"/>
          </w:tcPr>
          <w:p>
            <w:pPr>
              <w:rPr>
                <w:rFonts w:hint="default" w:ascii="Times New Roman" w:hAnsi="Times New Roman" w:cs="Times New Roman"/>
                <w:sz w:val="21"/>
                <w:highlight w:val="none"/>
              </w:rPr>
            </w:pPr>
          </w:p>
        </w:tc>
      </w:tr>
    </w:tbl>
    <w:p>
      <w:pPr>
        <w:keepNext w:val="0"/>
        <w:keepLines w:val="0"/>
        <w:pageBreakBefore w:val="0"/>
        <w:widowControl/>
        <w:kinsoku w:val="0"/>
        <w:wordWrap/>
        <w:overflowPunct/>
        <w:topLinePunct w:val="0"/>
        <w:autoSpaceDE w:val="0"/>
        <w:autoSpaceDN w:val="0"/>
        <w:bidi w:val="0"/>
        <w:adjustRightInd w:val="0"/>
        <w:snapToGrid w:val="0"/>
        <w:spacing w:line="460" w:lineRule="exact"/>
        <w:ind w:firstLine="532" w:firstLineChars="200"/>
        <w:jc w:val="both"/>
        <w:textAlignment w:val="baseline"/>
        <w:rPr>
          <w:rFonts w:hint="eastAsia" w:ascii="Times New Roman" w:hAnsi="Times New Roman" w:eastAsia="宋体" w:cs="Times New Roman"/>
          <w:spacing w:val="7"/>
          <w:position w:val="1"/>
          <w:sz w:val="23"/>
          <w:szCs w:val="23"/>
          <w:highlight w:val="none"/>
        </w:rPr>
      </w:pPr>
      <w:bookmarkStart w:id="116" w:name="_Toc7207"/>
      <w:bookmarkStart w:id="117" w:name="_Toc3849"/>
      <w:bookmarkStart w:id="118" w:name="_Toc27287"/>
      <w:r>
        <w:rPr>
          <w:rFonts w:hint="default" w:ascii="Times New Roman" w:hAnsi="Times New Roman" w:eastAsia="宋体" w:cs="Times New Roman"/>
          <w:spacing w:val="18"/>
          <w:position w:val="2"/>
          <w:sz w:val="23"/>
          <w:szCs w:val="23"/>
          <w:highlight w:val="none"/>
        </w:rPr>
        <w:t>(</w:t>
      </w:r>
      <w:r>
        <w:rPr>
          <w:rFonts w:hint="eastAsia" w:ascii="Times New Roman" w:hAnsi="Times New Roman" w:eastAsia="宋体" w:cs="Times New Roman"/>
          <w:spacing w:val="18"/>
          <w:position w:val="2"/>
          <w:sz w:val="23"/>
          <w:szCs w:val="23"/>
          <w:highlight w:val="none"/>
          <w:lang w:val="en-US" w:eastAsia="zh-CN"/>
        </w:rPr>
        <w:t>4</w:t>
      </w:r>
      <w:r>
        <w:rPr>
          <w:rFonts w:hint="default" w:ascii="Times New Roman" w:hAnsi="Times New Roman" w:eastAsia="宋体" w:cs="Times New Roman"/>
          <w:spacing w:val="18"/>
          <w:position w:val="2"/>
          <w:sz w:val="23"/>
          <w:szCs w:val="23"/>
          <w:highlight w:val="none"/>
        </w:rPr>
        <w:t>)</w:t>
      </w:r>
      <w:r>
        <w:rPr>
          <w:rFonts w:hint="eastAsia" w:ascii="Times New Roman" w:hAnsi="Times New Roman" w:eastAsia="宋体" w:cs="Times New Roman"/>
          <w:spacing w:val="15"/>
          <w:position w:val="2"/>
          <w:sz w:val="23"/>
          <w:szCs w:val="23"/>
          <w:highlight w:val="none"/>
          <w:lang w:val="en-US" w:eastAsia="zh-CN"/>
        </w:rPr>
        <w:t>土壤</w:t>
      </w:r>
      <w:r>
        <w:rPr>
          <w:rFonts w:hint="default" w:ascii="Times New Roman" w:hAnsi="Times New Roman" w:eastAsia="宋体" w:cs="Times New Roman"/>
          <w:spacing w:val="9"/>
          <w:position w:val="2"/>
          <w:sz w:val="23"/>
          <w:szCs w:val="23"/>
          <w:highlight w:val="none"/>
        </w:rPr>
        <w:t>环境：</w:t>
      </w:r>
      <w:r>
        <w:rPr>
          <w:rFonts w:hint="eastAsia" w:ascii="Times New Roman" w:hAnsi="Times New Roman" w:eastAsia="宋体" w:cs="Times New Roman"/>
          <w:spacing w:val="7"/>
          <w:position w:val="1"/>
          <w:sz w:val="23"/>
          <w:szCs w:val="23"/>
          <w:highlight w:val="none"/>
        </w:rPr>
        <w:t>项目场地监测点执行《土壤环境质量 建设用地土壤污染风险管控标准（试行）》(GB36600-2018)表1第二类用地筛选值和《土壤环境质量 农用地土壤污染风险管控标准（试行）》（GB15618-2018），详见表2.7-</w:t>
      </w:r>
      <w:r>
        <w:rPr>
          <w:rFonts w:hint="eastAsia" w:ascii="Times New Roman" w:hAnsi="Times New Roman" w:eastAsia="宋体" w:cs="Times New Roman"/>
          <w:spacing w:val="7"/>
          <w:position w:val="1"/>
          <w:sz w:val="23"/>
          <w:szCs w:val="23"/>
          <w:highlight w:val="none"/>
          <w:lang w:val="en-US" w:eastAsia="zh-CN"/>
        </w:rPr>
        <w:t>2</w:t>
      </w:r>
      <w:r>
        <w:rPr>
          <w:rFonts w:hint="eastAsia" w:ascii="Times New Roman" w:hAnsi="Times New Roman" w:eastAsia="宋体" w:cs="Times New Roman"/>
          <w:spacing w:val="7"/>
          <w:position w:val="1"/>
          <w:sz w:val="23"/>
          <w:szCs w:val="23"/>
          <w:highlight w:val="none"/>
        </w:rPr>
        <w:t>和表2.7-</w:t>
      </w:r>
      <w:r>
        <w:rPr>
          <w:rFonts w:hint="eastAsia" w:ascii="Times New Roman" w:hAnsi="Times New Roman" w:eastAsia="宋体" w:cs="Times New Roman"/>
          <w:spacing w:val="7"/>
          <w:position w:val="1"/>
          <w:sz w:val="23"/>
          <w:szCs w:val="23"/>
          <w:highlight w:val="none"/>
          <w:lang w:val="en-US" w:eastAsia="zh-CN"/>
        </w:rPr>
        <w:t>3</w:t>
      </w:r>
      <w:r>
        <w:rPr>
          <w:rFonts w:hint="eastAsia" w:ascii="Times New Roman" w:hAnsi="Times New Roman" w:eastAsia="宋体" w:cs="Times New Roman"/>
          <w:spacing w:val="7"/>
          <w:position w:val="1"/>
          <w:sz w:val="23"/>
          <w:szCs w:val="23"/>
          <w:highlight w:val="none"/>
        </w:rPr>
        <w:t>。</w:t>
      </w:r>
    </w:p>
    <w:p>
      <w:pPr>
        <w:spacing w:before="44" w:line="228" w:lineRule="auto"/>
        <w:ind w:left="2131"/>
        <w:rPr>
          <w:rFonts w:hint="default" w:ascii="Times New Roman" w:hAnsi="Times New Roman" w:eastAsia="宋体" w:cs="Times New Roman"/>
          <w:b/>
          <w:bCs/>
          <w:spacing w:val="2"/>
          <w:sz w:val="23"/>
          <w:szCs w:val="23"/>
          <w:highlight w:val="none"/>
          <w:lang w:val="en-US" w:eastAsia="zh-CN"/>
        </w:rPr>
      </w:pPr>
      <w:bookmarkStart w:id="119" w:name="_Ref14077803"/>
      <w:r>
        <w:rPr>
          <w:rFonts w:hint="eastAsia" w:ascii="Times New Roman" w:hAnsi="Times New Roman" w:eastAsia="宋体" w:cs="Times New Roman"/>
          <w:b/>
          <w:bCs/>
          <w:spacing w:val="2"/>
          <w:sz w:val="23"/>
          <w:szCs w:val="23"/>
          <w:highlight w:val="none"/>
          <w:lang w:val="en-US" w:eastAsia="zh-CN"/>
        </w:rPr>
        <w:t xml:space="preserve">表2.7-2 </w:t>
      </w:r>
      <w:bookmarkEnd w:id="119"/>
      <w:r>
        <w:rPr>
          <w:rFonts w:hint="default" w:ascii="Times New Roman" w:hAnsi="Times New Roman" w:eastAsia="宋体" w:cs="Times New Roman"/>
          <w:b/>
          <w:bCs/>
          <w:spacing w:val="2"/>
          <w:sz w:val="23"/>
          <w:szCs w:val="23"/>
          <w:highlight w:val="none"/>
          <w:lang w:val="en-US" w:eastAsia="zh-CN"/>
        </w:rPr>
        <w:t xml:space="preserve">   </w:t>
      </w:r>
      <w:r>
        <w:rPr>
          <w:rFonts w:hint="eastAsia" w:ascii="Times New Roman" w:hAnsi="Times New Roman" w:eastAsia="宋体" w:cs="Times New Roman"/>
          <w:b/>
          <w:bCs/>
          <w:spacing w:val="2"/>
          <w:sz w:val="23"/>
          <w:szCs w:val="23"/>
          <w:highlight w:val="none"/>
          <w:lang w:val="en-US" w:eastAsia="zh-CN"/>
        </w:rPr>
        <w:t>土壤环境质量标准</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940"/>
        <w:gridCol w:w="1585"/>
        <w:gridCol w:w="1588"/>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shd w:val="clear" w:color="auto" w:fill="auto"/>
          </w:tcPr>
          <w:p>
            <w:pPr>
              <w:pStyle w:val="33"/>
              <w:rPr>
                <w:sz w:val="20"/>
                <w:highlight w:val="none"/>
                <w:lang w:bidi="zh-CN"/>
              </w:rPr>
            </w:pPr>
            <w:r>
              <w:rPr>
                <w:sz w:val="20"/>
                <w:highlight w:val="none"/>
                <w:lang w:bidi="zh-CN"/>
              </w:rPr>
              <w:t>标准号</w:t>
            </w:r>
          </w:p>
        </w:tc>
        <w:tc>
          <w:tcPr>
            <w:tcW w:w="1940" w:type="dxa"/>
            <w:shd w:val="clear" w:color="auto" w:fill="auto"/>
          </w:tcPr>
          <w:p>
            <w:pPr>
              <w:pStyle w:val="33"/>
              <w:rPr>
                <w:sz w:val="20"/>
                <w:highlight w:val="none"/>
                <w:lang w:bidi="zh-CN"/>
              </w:rPr>
            </w:pPr>
            <w:r>
              <w:rPr>
                <w:sz w:val="20"/>
                <w:highlight w:val="none"/>
                <w:lang w:bidi="zh-CN"/>
              </w:rPr>
              <w:t>污染物名称</w:t>
            </w:r>
          </w:p>
        </w:tc>
        <w:tc>
          <w:tcPr>
            <w:tcW w:w="1585" w:type="dxa"/>
            <w:shd w:val="clear" w:color="auto" w:fill="auto"/>
          </w:tcPr>
          <w:p>
            <w:pPr>
              <w:pStyle w:val="33"/>
              <w:rPr>
                <w:sz w:val="20"/>
                <w:highlight w:val="none"/>
                <w:lang w:bidi="zh-CN"/>
              </w:rPr>
            </w:pPr>
            <w:r>
              <w:rPr>
                <w:sz w:val="20"/>
                <w:highlight w:val="none"/>
                <w:lang w:bidi="zh-CN"/>
              </w:rPr>
              <w:t>筛选值</w:t>
            </w:r>
          </w:p>
        </w:tc>
        <w:tc>
          <w:tcPr>
            <w:tcW w:w="1588" w:type="dxa"/>
            <w:shd w:val="clear" w:color="auto" w:fill="auto"/>
          </w:tcPr>
          <w:p>
            <w:pPr>
              <w:pStyle w:val="33"/>
              <w:rPr>
                <w:sz w:val="20"/>
                <w:highlight w:val="none"/>
                <w:lang w:bidi="zh-CN"/>
              </w:rPr>
            </w:pPr>
            <w:r>
              <w:rPr>
                <w:sz w:val="20"/>
                <w:highlight w:val="none"/>
                <w:lang w:bidi="zh-CN"/>
              </w:rPr>
              <w:t>单位</w:t>
            </w:r>
          </w:p>
        </w:tc>
        <w:tc>
          <w:tcPr>
            <w:tcW w:w="1876" w:type="dxa"/>
            <w:shd w:val="clear" w:color="auto" w:fill="auto"/>
          </w:tcPr>
          <w:p>
            <w:pPr>
              <w:pStyle w:val="33"/>
              <w:rPr>
                <w:sz w:val="20"/>
                <w:highlight w:val="none"/>
                <w:lang w:bidi="zh-CN"/>
              </w:rPr>
            </w:pPr>
            <w:r>
              <w:rPr>
                <w:sz w:val="20"/>
                <w:highlight w:val="none"/>
                <w:lang w:bidi="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539" w:type="dxa"/>
            <w:vMerge w:val="restart"/>
            <w:shd w:val="clear" w:color="auto" w:fill="auto"/>
            <w:vAlign w:val="center"/>
          </w:tcPr>
          <w:p>
            <w:pPr>
              <w:pStyle w:val="33"/>
              <w:rPr>
                <w:sz w:val="20"/>
                <w:highlight w:val="none"/>
                <w:lang w:bidi="zh-CN"/>
              </w:rPr>
            </w:pPr>
            <w:r>
              <w:rPr>
                <w:sz w:val="20"/>
                <w:highlight w:val="none"/>
                <w:lang w:bidi="zh-CN"/>
              </w:rPr>
              <w:t>GB36600-2018</w:t>
            </w:r>
          </w:p>
        </w:tc>
        <w:tc>
          <w:tcPr>
            <w:tcW w:w="1940" w:type="dxa"/>
            <w:shd w:val="clear" w:color="auto" w:fill="auto"/>
            <w:vAlign w:val="center"/>
          </w:tcPr>
          <w:p>
            <w:pPr>
              <w:pStyle w:val="33"/>
              <w:rPr>
                <w:sz w:val="20"/>
                <w:highlight w:val="none"/>
                <w:lang w:bidi="zh-CN"/>
              </w:rPr>
            </w:pPr>
            <w:r>
              <w:rPr>
                <w:rFonts w:hint="eastAsia"/>
                <w:sz w:val="20"/>
                <w:highlight w:val="none"/>
                <w:lang w:bidi="zh-CN"/>
              </w:rPr>
              <w:t>砷</w:t>
            </w:r>
          </w:p>
        </w:tc>
        <w:tc>
          <w:tcPr>
            <w:tcW w:w="1585" w:type="dxa"/>
            <w:shd w:val="clear" w:color="auto" w:fill="auto"/>
            <w:vAlign w:val="center"/>
          </w:tcPr>
          <w:p>
            <w:pPr>
              <w:pStyle w:val="33"/>
              <w:rPr>
                <w:sz w:val="20"/>
                <w:highlight w:val="none"/>
                <w:lang w:bidi="zh-CN"/>
              </w:rPr>
            </w:pPr>
            <w:r>
              <w:rPr>
                <w:rFonts w:hint="eastAsia"/>
                <w:sz w:val="20"/>
                <w:highlight w:val="none"/>
                <w:lang w:bidi="zh-CN"/>
              </w:rPr>
              <w:t>6</w:t>
            </w:r>
            <w:r>
              <w:rPr>
                <w:sz w:val="20"/>
                <w:highlight w:val="none"/>
                <w:lang w:bidi="zh-CN"/>
              </w:rPr>
              <w:t>0</w:t>
            </w:r>
          </w:p>
        </w:tc>
        <w:tc>
          <w:tcPr>
            <w:tcW w:w="1588" w:type="dxa"/>
            <w:vMerge w:val="restart"/>
            <w:shd w:val="clear" w:color="auto" w:fill="auto"/>
            <w:vAlign w:val="center"/>
          </w:tcPr>
          <w:p>
            <w:pPr>
              <w:pStyle w:val="33"/>
              <w:rPr>
                <w:sz w:val="20"/>
                <w:highlight w:val="none"/>
                <w:lang w:bidi="zh-CN"/>
              </w:rPr>
            </w:pPr>
            <w:r>
              <w:rPr>
                <w:sz w:val="20"/>
                <w:highlight w:val="none"/>
                <w:lang w:bidi="zh-CN"/>
              </w:rPr>
              <w:t>mg/kg</w:t>
            </w:r>
          </w:p>
        </w:tc>
        <w:tc>
          <w:tcPr>
            <w:tcW w:w="1876" w:type="dxa"/>
            <w:vMerge w:val="restart"/>
            <w:shd w:val="clear" w:color="auto" w:fill="auto"/>
            <w:vAlign w:val="center"/>
          </w:tcPr>
          <w:p>
            <w:pPr>
              <w:pStyle w:val="33"/>
              <w:rPr>
                <w:sz w:val="20"/>
                <w:highlight w:val="none"/>
                <w:lang w:bidi="zh-CN"/>
              </w:rPr>
            </w:pPr>
            <w:r>
              <w:rPr>
                <w:sz w:val="20"/>
                <w:highlight w:val="none"/>
                <w:lang w:bidi="zh-CN"/>
              </w:rPr>
              <w:t>《土壤环境质量</w:t>
            </w:r>
            <w:r>
              <w:rPr>
                <w:rFonts w:hint="eastAsia"/>
                <w:sz w:val="20"/>
                <w:highlight w:val="none"/>
                <w:lang w:bidi="zh-CN"/>
              </w:rPr>
              <w:t xml:space="preserve"> </w:t>
            </w:r>
            <w:r>
              <w:rPr>
                <w:sz w:val="20"/>
                <w:highlight w:val="none"/>
                <w:lang w:bidi="zh-CN"/>
              </w:rPr>
              <w:t>建设用地土壤污染风险管控标准（试行）》(GB36600-2018)表1及第二类用地筛选值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rFonts w:hint="eastAsia"/>
                <w:sz w:val="20"/>
                <w:highlight w:val="none"/>
                <w:lang w:bidi="zh-CN"/>
              </w:rPr>
              <w:t>镉</w:t>
            </w:r>
          </w:p>
        </w:tc>
        <w:tc>
          <w:tcPr>
            <w:tcW w:w="1585" w:type="dxa"/>
            <w:shd w:val="clear" w:color="auto" w:fill="auto"/>
          </w:tcPr>
          <w:p>
            <w:pPr>
              <w:pStyle w:val="33"/>
              <w:rPr>
                <w:sz w:val="20"/>
                <w:highlight w:val="none"/>
                <w:lang w:bidi="zh-CN"/>
              </w:rPr>
            </w:pPr>
            <w:r>
              <w:rPr>
                <w:rFonts w:hint="eastAsia"/>
                <w:sz w:val="20"/>
                <w:highlight w:val="none"/>
                <w:lang w:bidi="zh-CN"/>
              </w:rPr>
              <w:t>6</w:t>
            </w:r>
            <w:r>
              <w:rPr>
                <w:sz w:val="20"/>
                <w:highlight w:val="none"/>
                <w:lang w:bidi="zh-CN"/>
              </w:rPr>
              <w:t>5</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rFonts w:hint="eastAsia"/>
                <w:sz w:val="20"/>
                <w:highlight w:val="none"/>
                <w:lang w:bidi="zh-CN"/>
              </w:rPr>
              <w:t>铬（六价）</w:t>
            </w:r>
          </w:p>
        </w:tc>
        <w:tc>
          <w:tcPr>
            <w:tcW w:w="1585" w:type="dxa"/>
            <w:shd w:val="clear" w:color="auto" w:fill="auto"/>
          </w:tcPr>
          <w:p>
            <w:pPr>
              <w:pStyle w:val="33"/>
              <w:rPr>
                <w:sz w:val="20"/>
                <w:highlight w:val="none"/>
                <w:lang w:bidi="zh-CN"/>
              </w:rPr>
            </w:pPr>
            <w:r>
              <w:rPr>
                <w:rFonts w:hint="eastAsia"/>
                <w:sz w:val="20"/>
                <w:highlight w:val="none"/>
                <w:lang w:bidi="zh-CN"/>
              </w:rPr>
              <w:t>5</w:t>
            </w:r>
            <w:r>
              <w:rPr>
                <w:sz w:val="20"/>
                <w:highlight w:val="none"/>
                <w:lang w:bidi="zh-CN"/>
              </w:rPr>
              <w:t>.7</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vAlign w:val="center"/>
          </w:tcPr>
          <w:p>
            <w:pPr>
              <w:pStyle w:val="33"/>
              <w:rPr>
                <w:sz w:val="20"/>
                <w:highlight w:val="none"/>
                <w:lang w:bidi="zh-CN"/>
              </w:rPr>
            </w:pPr>
          </w:p>
        </w:tc>
        <w:tc>
          <w:tcPr>
            <w:tcW w:w="1940" w:type="dxa"/>
            <w:shd w:val="clear" w:color="auto" w:fill="auto"/>
            <w:vAlign w:val="center"/>
          </w:tcPr>
          <w:p>
            <w:pPr>
              <w:pStyle w:val="33"/>
              <w:rPr>
                <w:sz w:val="20"/>
                <w:highlight w:val="none"/>
                <w:lang w:bidi="zh-CN"/>
              </w:rPr>
            </w:pPr>
            <w:r>
              <w:rPr>
                <w:sz w:val="20"/>
                <w:highlight w:val="none"/>
                <w:lang w:bidi="zh-CN"/>
              </w:rPr>
              <w:t>铜</w:t>
            </w:r>
          </w:p>
        </w:tc>
        <w:tc>
          <w:tcPr>
            <w:tcW w:w="1585" w:type="dxa"/>
            <w:shd w:val="clear" w:color="auto" w:fill="auto"/>
            <w:vAlign w:val="center"/>
          </w:tcPr>
          <w:p>
            <w:pPr>
              <w:pStyle w:val="33"/>
              <w:rPr>
                <w:sz w:val="20"/>
                <w:highlight w:val="none"/>
                <w:lang w:bidi="zh-CN"/>
              </w:rPr>
            </w:pPr>
            <w:r>
              <w:rPr>
                <w:sz w:val="20"/>
                <w:highlight w:val="none"/>
                <w:lang w:bidi="zh-CN"/>
              </w:rPr>
              <w:t>18000</w:t>
            </w:r>
          </w:p>
        </w:tc>
        <w:tc>
          <w:tcPr>
            <w:tcW w:w="1588" w:type="dxa"/>
            <w:vMerge w:val="continue"/>
            <w:shd w:val="clear" w:color="auto" w:fill="auto"/>
            <w:vAlign w:val="center"/>
          </w:tcPr>
          <w:p>
            <w:pPr>
              <w:pStyle w:val="33"/>
              <w:rPr>
                <w:sz w:val="20"/>
                <w:highlight w:val="none"/>
                <w:lang w:bidi="zh-CN"/>
              </w:rPr>
            </w:pPr>
          </w:p>
        </w:tc>
        <w:tc>
          <w:tcPr>
            <w:tcW w:w="1876" w:type="dxa"/>
            <w:vMerge w:val="continue"/>
            <w:shd w:val="clear" w:color="auto" w:fill="auto"/>
            <w:vAlign w:val="center"/>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铅</w:t>
            </w:r>
          </w:p>
        </w:tc>
        <w:tc>
          <w:tcPr>
            <w:tcW w:w="1585" w:type="dxa"/>
            <w:shd w:val="clear" w:color="auto" w:fill="auto"/>
          </w:tcPr>
          <w:p>
            <w:pPr>
              <w:pStyle w:val="33"/>
              <w:rPr>
                <w:sz w:val="20"/>
                <w:highlight w:val="none"/>
                <w:lang w:bidi="zh-CN"/>
              </w:rPr>
            </w:pPr>
            <w:r>
              <w:rPr>
                <w:sz w:val="20"/>
                <w:highlight w:val="none"/>
                <w:lang w:bidi="zh-CN"/>
              </w:rPr>
              <w:t>800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汞</w:t>
            </w:r>
          </w:p>
        </w:tc>
        <w:tc>
          <w:tcPr>
            <w:tcW w:w="1585" w:type="dxa"/>
            <w:shd w:val="clear" w:color="auto" w:fill="auto"/>
          </w:tcPr>
          <w:p>
            <w:pPr>
              <w:pStyle w:val="33"/>
              <w:rPr>
                <w:sz w:val="20"/>
                <w:highlight w:val="none"/>
                <w:lang w:bidi="zh-CN"/>
              </w:rPr>
            </w:pPr>
            <w:r>
              <w:rPr>
                <w:sz w:val="20"/>
                <w:highlight w:val="none"/>
                <w:lang w:bidi="zh-CN"/>
              </w:rPr>
              <w:t>38</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镍</w:t>
            </w:r>
          </w:p>
        </w:tc>
        <w:tc>
          <w:tcPr>
            <w:tcW w:w="1585" w:type="dxa"/>
            <w:shd w:val="clear" w:color="auto" w:fill="auto"/>
          </w:tcPr>
          <w:p>
            <w:pPr>
              <w:pStyle w:val="33"/>
              <w:rPr>
                <w:sz w:val="20"/>
                <w:highlight w:val="none"/>
                <w:lang w:bidi="zh-CN"/>
              </w:rPr>
            </w:pPr>
            <w:r>
              <w:rPr>
                <w:sz w:val="20"/>
                <w:highlight w:val="none"/>
                <w:lang w:bidi="zh-CN"/>
              </w:rPr>
              <w:t>900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四氯化碳</w:t>
            </w:r>
          </w:p>
        </w:tc>
        <w:tc>
          <w:tcPr>
            <w:tcW w:w="1585" w:type="dxa"/>
            <w:shd w:val="clear" w:color="auto" w:fill="auto"/>
          </w:tcPr>
          <w:p>
            <w:pPr>
              <w:pStyle w:val="33"/>
              <w:rPr>
                <w:sz w:val="20"/>
                <w:highlight w:val="none"/>
                <w:lang w:bidi="zh-CN"/>
              </w:rPr>
            </w:pPr>
            <w:r>
              <w:rPr>
                <w:sz w:val="20"/>
                <w:highlight w:val="none"/>
                <w:lang w:bidi="zh-CN"/>
              </w:rPr>
              <w:t>2.8</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氯仿</w:t>
            </w:r>
          </w:p>
        </w:tc>
        <w:tc>
          <w:tcPr>
            <w:tcW w:w="1585" w:type="dxa"/>
            <w:shd w:val="clear" w:color="auto" w:fill="auto"/>
          </w:tcPr>
          <w:p>
            <w:pPr>
              <w:pStyle w:val="33"/>
              <w:rPr>
                <w:sz w:val="20"/>
                <w:highlight w:val="none"/>
                <w:lang w:bidi="zh-CN"/>
              </w:rPr>
            </w:pPr>
            <w:r>
              <w:rPr>
                <w:sz w:val="20"/>
                <w:highlight w:val="none"/>
                <w:lang w:bidi="zh-CN"/>
              </w:rPr>
              <w:t>0.9</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氯甲烷</w:t>
            </w:r>
          </w:p>
        </w:tc>
        <w:tc>
          <w:tcPr>
            <w:tcW w:w="1585" w:type="dxa"/>
            <w:shd w:val="clear" w:color="auto" w:fill="auto"/>
          </w:tcPr>
          <w:p>
            <w:pPr>
              <w:pStyle w:val="33"/>
              <w:rPr>
                <w:sz w:val="20"/>
                <w:highlight w:val="none"/>
                <w:lang w:bidi="zh-CN"/>
              </w:rPr>
            </w:pPr>
            <w:r>
              <w:rPr>
                <w:sz w:val="20"/>
                <w:highlight w:val="none"/>
                <w:lang w:bidi="zh-CN"/>
              </w:rPr>
              <w:t>37</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1,1-二氯乙烷</w:t>
            </w:r>
          </w:p>
        </w:tc>
        <w:tc>
          <w:tcPr>
            <w:tcW w:w="1585" w:type="dxa"/>
            <w:shd w:val="clear" w:color="auto" w:fill="auto"/>
          </w:tcPr>
          <w:p>
            <w:pPr>
              <w:pStyle w:val="33"/>
              <w:rPr>
                <w:sz w:val="20"/>
                <w:highlight w:val="none"/>
                <w:lang w:bidi="zh-CN"/>
              </w:rPr>
            </w:pPr>
            <w:r>
              <w:rPr>
                <w:sz w:val="20"/>
                <w:highlight w:val="none"/>
                <w:lang w:bidi="zh-CN"/>
              </w:rPr>
              <w:t>9</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1,2-二氯乙烷</w:t>
            </w:r>
          </w:p>
        </w:tc>
        <w:tc>
          <w:tcPr>
            <w:tcW w:w="1585" w:type="dxa"/>
            <w:shd w:val="clear" w:color="auto" w:fill="auto"/>
          </w:tcPr>
          <w:p>
            <w:pPr>
              <w:pStyle w:val="33"/>
              <w:rPr>
                <w:sz w:val="20"/>
                <w:highlight w:val="none"/>
                <w:lang w:bidi="zh-CN"/>
              </w:rPr>
            </w:pPr>
            <w:r>
              <w:rPr>
                <w:sz w:val="20"/>
                <w:highlight w:val="none"/>
                <w:lang w:bidi="zh-CN"/>
              </w:rPr>
              <w:t>5</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1,1-二氯乙烯</w:t>
            </w:r>
          </w:p>
        </w:tc>
        <w:tc>
          <w:tcPr>
            <w:tcW w:w="1585" w:type="dxa"/>
            <w:shd w:val="clear" w:color="auto" w:fill="auto"/>
          </w:tcPr>
          <w:p>
            <w:pPr>
              <w:pStyle w:val="33"/>
              <w:rPr>
                <w:sz w:val="20"/>
                <w:highlight w:val="none"/>
                <w:lang w:bidi="zh-CN"/>
              </w:rPr>
            </w:pPr>
            <w:r>
              <w:rPr>
                <w:sz w:val="20"/>
                <w:highlight w:val="none"/>
                <w:lang w:bidi="zh-CN"/>
              </w:rPr>
              <w:t>66</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顺式-1,2-二氯乙烯</w:t>
            </w:r>
          </w:p>
        </w:tc>
        <w:tc>
          <w:tcPr>
            <w:tcW w:w="1585" w:type="dxa"/>
            <w:shd w:val="clear" w:color="auto" w:fill="auto"/>
          </w:tcPr>
          <w:p>
            <w:pPr>
              <w:pStyle w:val="33"/>
              <w:rPr>
                <w:sz w:val="20"/>
                <w:highlight w:val="none"/>
                <w:lang w:bidi="zh-CN"/>
              </w:rPr>
            </w:pPr>
            <w:r>
              <w:rPr>
                <w:sz w:val="20"/>
                <w:highlight w:val="none"/>
                <w:lang w:bidi="zh-CN"/>
              </w:rPr>
              <w:t>596</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反式-1,2-二氯乙烯</w:t>
            </w:r>
          </w:p>
        </w:tc>
        <w:tc>
          <w:tcPr>
            <w:tcW w:w="1585" w:type="dxa"/>
            <w:shd w:val="clear" w:color="auto" w:fill="auto"/>
          </w:tcPr>
          <w:p>
            <w:pPr>
              <w:pStyle w:val="33"/>
              <w:rPr>
                <w:sz w:val="20"/>
                <w:highlight w:val="none"/>
                <w:lang w:bidi="zh-CN"/>
              </w:rPr>
            </w:pPr>
            <w:r>
              <w:rPr>
                <w:sz w:val="20"/>
                <w:highlight w:val="none"/>
                <w:lang w:bidi="zh-CN"/>
              </w:rPr>
              <w:t>54</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二氯甲烷</w:t>
            </w:r>
          </w:p>
        </w:tc>
        <w:tc>
          <w:tcPr>
            <w:tcW w:w="1585" w:type="dxa"/>
            <w:shd w:val="clear" w:color="auto" w:fill="auto"/>
          </w:tcPr>
          <w:p>
            <w:pPr>
              <w:pStyle w:val="33"/>
              <w:rPr>
                <w:sz w:val="20"/>
                <w:highlight w:val="none"/>
                <w:lang w:bidi="zh-CN"/>
              </w:rPr>
            </w:pPr>
            <w:r>
              <w:rPr>
                <w:sz w:val="20"/>
                <w:highlight w:val="none"/>
                <w:lang w:bidi="zh-CN"/>
              </w:rPr>
              <w:t>616</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1,2-二氯丙烷</w:t>
            </w:r>
          </w:p>
        </w:tc>
        <w:tc>
          <w:tcPr>
            <w:tcW w:w="1585" w:type="dxa"/>
            <w:shd w:val="clear" w:color="auto" w:fill="auto"/>
          </w:tcPr>
          <w:p>
            <w:pPr>
              <w:pStyle w:val="33"/>
              <w:rPr>
                <w:sz w:val="20"/>
                <w:highlight w:val="none"/>
                <w:lang w:bidi="zh-CN"/>
              </w:rPr>
            </w:pPr>
            <w:r>
              <w:rPr>
                <w:sz w:val="20"/>
                <w:highlight w:val="none"/>
                <w:lang w:bidi="zh-CN"/>
              </w:rPr>
              <w:t>5</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1,1,1,2-四氯乙烷</w:t>
            </w:r>
          </w:p>
        </w:tc>
        <w:tc>
          <w:tcPr>
            <w:tcW w:w="1585" w:type="dxa"/>
            <w:shd w:val="clear" w:color="auto" w:fill="auto"/>
          </w:tcPr>
          <w:p>
            <w:pPr>
              <w:pStyle w:val="33"/>
              <w:rPr>
                <w:sz w:val="20"/>
                <w:highlight w:val="none"/>
                <w:lang w:bidi="zh-CN"/>
              </w:rPr>
            </w:pPr>
            <w:r>
              <w:rPr>
                <w:sz w:val="20"/>
                <w:highlight w:val="none"/>
                <w:lang w:bidi="zh-CN"/>
              </w:rPr>
              <w:t>10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1,1,2,2-四氯乙烷</w:t>
            </w:r>
          </w:p>
        </w:tc>
        <w:tc>
          <w:tcPr>
            <w:tcW w:w="1585" w:type="dxa"/>
            <w:shd w:val="clear" w:color="auto" w:fill="auto"/>
          </w:tcPr>
          <w:p>
            <w:pPr>
              <w:pStyle w:val="33"/>
              <w:rPr>
                <w:sz w:val="20"/>
                <w:highlight w:val="none"/>
                <w:lang w:bidi="zh-CN"/>
              </w:rPr>
            </w:pPr>
            <w:r>
              <w:rPr>
                <w:sz w:val="20"/>
                <w:highlight w:val="none"/>
                <w:lang w:bidi="zh-CN"/>
              </w:rPr>
              <w:t>6.8</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四氯乙烯</w:t>
            </w:r>
          </w:p>
        </w:tc>
        <w:tc>
          <w:tcPr>
            <w:tcW w:w="1585" w:type="dxa"/>
            <w:shd w:val="clear" w:color="auto" w:fill="auto"/>
          </w:tcPr>
          <w:p>
            <w:pPr>
              <w:pStyle w:val="33"/>
              <w:rPr>
                <w:sz w:val="20"/>
                <w:highlight w:val="none"/>
                <w:lang w:bidi="zh-CN"/>
              </w:rPr>
            </w:pPr>
            <w:r>
              <w:rPr>
                <w:sz w:val="20"/>
                <w:highlight w:val="none"/>
                <w:lang w:bidi="zh-CN"/>
              </w:rPr>
              <w:t>53</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1,1,1-三氯乙烷</w:t>
            </w:r>
          </w:p>
        </w:tc>
        <w:tc>
          <w:tcPr>
            <w:tcW w:w="1585" w:type="dxa"/>
            <w:shd w:val="clear" w:color="auto" w:fill="auto"/>
          </w:tcPr>
          <w:p>
            <w:pPr>
              <w:pStyle w:val="33"/>
              <w:rPr>
                <w:sz w:val="20"/>
                <w:highlight w:val="none"/>
                <w:lang w:bidi="zh-CN"/>
              </w:rPr>
            </w:pPr>
            <w:r>
              <w:rPr>
                <w:sz w:val="20"/>
                <w:highlight w:val="none"/>
                <w:lang w:bidi="zh-CN"/>
              </w:rPr>
              <w:t>840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1,1,2-三氯乙烷</w:t>
            </w:r>
          </w:p>
        </w:tc>
        <w:tc>
          <w:tcPr>
            <w:tcW w:w="1585" w:type="dxa"/>
            <w:shd w:val="clear" w:color="auto" w:fill="auto"/>
          </w:tcPr>
          <w:p>
            <w:pPr>
              <w:pStyle w:val="33"/>
              <w:rPr>
                <w:sz w:val="20"/>
                <w:highlight w:val="none"/>
                <w:lang w:bidi="zh-CN"/>
              </w:rPr>
            </w:pPr>
            <w:r>
              <w:rPr>
                <w:sz w:val="20"/>
                <w:highlight w:val="none"/>
                <w:lang w:bidi="zh-CN"/>
              </w:rPr>
              <w:t>2.8</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lang w:bidi="zh-CN"/>
              </w:rPr>
            </w:pPr>
          </w:p>
        </w:tc>
        <w:tc>
          <w:tcPr>
            <w:tcW w:w="1940" w:type="dxa"/>
            <w:shd w:val="clear" w:color="auto" w:fill="auto"/>
          </w:tcPr>
          <w:p>
            <w:pPr>
              <w:pStyle w:val="33"/>
              <w:rPr>
                <w:sz w:val="20"/>
                <w:highlight w:val="none"/>
                <w:lang w:bidi="zh-CN"/>
              </w:rPr>
            </w:pPr>
            <w:r>
              <w:rPr>
                <w:sz w:val="20"/>
                <w:highlight w:val="none"/>
                <w:lang w:bidi="zh-CN"/>
              </w:rPr>
              <w:t>三氯乙烯</w:t>
            </w:r>
          </w:p>
        </w:tc>
        <w:tc>
          <w:tcPr>
            <w:tcW w:w="1585" w:type="dxa"/>
            <w:shd w:val="clear" w:color="auto" w:fill="auto"/>
          </w:tcPr>
          <w:p>
            <w:pPr>
              <w:pStyle w:val="33"/>
              <w:rPr>
                <w:sz w:val="20"/>
                <w:highlight w:val="none"/>
                <w:lang w:bidi="zh-CN"/>
              </w:rPr>
            </w:pPr>
            <w:r>
              <w:rPr>
                <w:sz w:val="20"/>
                <w:highlight w:val="none"/>
                <w:lang w:bidi="zh-CN"/>
              </w:rPr>
              <w:t>2.8</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1,2,3-三氯丙烷</w:t>
            </w:r>
          </w:p>
        </w:tc>
        <w:tc>
          <w:tcPr>
            <w:tcW w:w="1585" w:type="dxa"/>
            <w:shd w:val="clear" w:color="auto" w:fill="auto"/>
          </w:tcPr>
          <w:p>
            <w:pPr>
              <w:pStyle w:val="33"/>
              <w:rPr>
                <w:sz w:val="20"/>
                <w:highlight w:val="none"/>
                <w:lang w:bidi="zh-CN"/>
              </w:rPr>
            </w:pPr>
            <w:r>
              <w:rPr>
                <w:sz w:val="20"/>
                <w:highlight w:val="none"/>
                <w:lang w:bidi="zh-CN"/>
              </w:rPr>
              <w:t>0.5</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氯乙烯</w:t>
            </w:r>
          </w:p>
        </w:tc>
        <w:tc>
          <w:tcPr>
            <w:tcW w:w="1585" w:type="dxa"/>
            <w:shd w:val="clear" w:color="auto" w:fill="auto"/>
          </w:tcPr>
          <w:p>
            <w:pPr>
              <w:pStyle w:val="33"/>
              <w:rPr>
                <w:sz w:val="20"/>
                <w:highlight w:val="none"/>
                <w:lang w:bidi="zh-CN"/>
              </w:rPr>
            </w:pPr>
            <w:r>
              <w:rPr>
                <w:sz w:val="20"/>
                <w:highlight w:val="none"/>
                <w:lang w:bidi="zh-CN"/>
              </w:rPr>
              <w:t>0.43</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苯</w:t>
            </w:r>
          </w:p>
        </w:tc>
        <w:tc>
          <w:tcPr>
            <w:tcW w:w="1585" w:type="dxa"/>
            <w:shd w:val="clear" w:color="auto" w:fill="auto"/>
          </w:tcPr>
          <w:p>
            <w:pPr>
              <w:pStyle w:val="33"/>
              <w:rPr>
                <w:sz w:val="20"/>
                <w:highlight w:val="none"/>
                <w:lang w:bidi="zh-CN"/>
              </w:rPr>
            </w:pPr>
            <w:r>
              <w:rPr>
                <w:sz w:val="20"/>
                <w:highlight w:val="none"/>
                <w:lang w:bidi="zh-CN"/>
              </w:rPr>
              <w:t>4</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氯苯</w:t>
            </w:r>
          </w:p>
        </w:tc>
        <w:tc>
          <w:tcPr>
            <w:tcW w:w="1585" w:type="dxa"/>
            <w:shd w:val="clear" w:color="auto" w:fill="auto"/>
          </w:tcPr>
          <w:p>
            <w:pPr>
              <w:pStyle w:val="33"/>
              <w:rPr>
                <w:sz w:val="20"/>
                <w:highlight w:val="none"/>
                <w:lang w:bidi="zh-CN"/>
              </w:rPr>
            </w:pPr>
            <w:r>
              <w:rPr>
                <w:sz w:val="20"/>
                <w:highlight w:val="none"/>
                <w:lang w:bidi="zh-CN"/>
              </w:rPr>
              <w:t>270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1,2-二氯苯</w:t>
            </w:r>
          </w:p>
        </w:tc>
        <w:tc>
          <w:tcPr>
            <w:tcW w:w="1585" w:type="dxa"/>
            <w:shd w:val="clear" w:color="auto" w:fill="auto"/>
          </w:tcPr>
          <w:p>
            <w:pPr>
              <w:pStyle w:val="33"/>
              <w:rPr>
                <w:sz w:val="20"/>
                <w:highlight w:val="none"/>
                <w:lang w:bidi="zh-CN"/>
              </w:rPr>
            </w:pPr>
            <w:r>
              <w:rPr>
                <w:sz w:val="20"/>
                <w:highlight w:val="none"/>
                <w:lang w:bidi="zh-CN"/>
              </w:rPr>
              <w:t>560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1,4-二氯苯</w:t>
            </w:r>
          </w:p>
        </w:tc>
        <w:tc>
          <w:tcPr>
            <w:tcW w:w="1585" w:type="dxa"/>
            <w:shd w:val="clear" w:color="auto" w:fill="auto"/>
          </w:tcPr>
          <w:p>
            <w:pPr>
              <w:pStyle w:val="33"/>
              <w:rPr>
                <w:sz w:val="20"/>
                <w:highlight w:val="none"/>
                <w:lang w:bidi="zh-CN"/>
              </w:rPr>
            </w:pPr>
            <w:r>
              <w:rPr>
                <w:sz w:val="20"/>
                <w:highlight w:val="none"/>
                <w:lang w:bidi="zh-CN"/>
              </w:rPr>
              <w:t>20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乙苯</w:t>
            </w:r>
          </w:p>
        </w:tc>
        <w:tc>
          <w:tcPr>
            <w:tcW w:w="1585" w:type="dxa"/>
            <w:shd w:val="clear" w:color="auto" w:fill="auto"/>
          </w:tcPr>
          <w:p>
            <w:pPr>
              <w:pStyle w:val="33"/>
              <w:rPr>
                <w:sz w:val="20"/>
                <w:highlight w:val="none"/>
                <w:lang w:bidi="zh-CN"/>
              </w:rPr>
            </w:pPr>
            <w:r>
              <w:rPr>
                <w:sz w:val="20"/>
                <w:highlight w:val="none"/>
                <w:lang w:bidi="zh-CN"/>
              </w:rPr>
              <w:t>28</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苯乙烯</w:t>
            </w:r>
          </w:p>
        </w:tc>
        <w:tc>
          <w:tcPr>
            <w:tcW w:w="1585" w:type="dxa"/>
            <w:shd w:val="clear" w:color="auto" w:fill="auto"/>
          </w:tcPr>
          <w:p>
            <w:pPr>
              <w:pStyle w:val="33"/>
              <w:rPr>
                <w:sz w:val="20"/>
                <w:highlight w:val="none"/>
                <w:lang w:bidi="zh-CN"/>
              </w:rPr>
            </w:pPr>
            <w:r>
              <w:rPr>
                <w:sz w:val="20"/>
                <w:highlight w:val="none"/>
                <w:lang w:bidi="zh-CN"/>
              </w:rPr>
              <w:t>1290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甲苯</w:t>
            </w:r>
          </w:p>
        </w:tc>
        <w:tc>
          <w:tcPr>
            <w:tcW w:w="1585" w:type="dxa"/>
            <w:shd w:val="clear" w:color="auto" w:fill="auto"/>
          </w:tcPr>
          <w:p>
            <w:pPr>
              <w:pStyle w:val="33"/>
              <w:rPr>
                <w:sz w:val="20"/>
                <w:highlight w:val="none"/>
                <w:lang w:bidi="zh-CN"/>
              </w:rPr>
            </w:pPr>
            <w:r>
              <w:rPr>
                <w:sz w:val="20"/>
                <w:highlight w:val="none"/>
                <w:lang w:bidi="zh-CN"/>
              </w:rPr>
              <w:t>1200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间,对-二甲苯</w:t>
            </w:r>
          </w:p>
        </w:tc>
        <w:tc>
          <w:tcPr>
            <w:tcW w:w="1585" w:type="dxa"/>
            <w:shd w:val="clear" w:color="auto" w:fill="auto"/>
          </w:tcPr>
          <w:p>
            <w:pPr>
              <w:pStyle w:val="33"/>
              <w:rPr>
                <w:sz w:val="20"/>
                <w:highlight w:val="none"/>
                <w:lang w:bidi="zh-CN"/>
              </w:rPr>
            </w:pPr>
            <w:r>
              <w:rPr>
                <w:sz w:val="20"/>
                <w:highlight w:val="none"/>
                <w:lang w:bidi="zh-CN"/>
              </w:rPr>
              <w:t>570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邻-二甲苯</w:t>
            </w:r>
          </w:p>
        </w:tc>
        <w:tc>
          <w:tcPr>
            <w:tcW w:w="1585" w:type="dxa"/>
            <w:shd w:val="clear" w:color="auto" w:fill="auto"/>
          </w:tcPr>
          <w:p>
            <w:pPr>
              <w:pStyle w:val="33"/>
              <w:rPr>
                <w:sz w:val="20"/>
                <w:highlight w:val="none"/>
                <w:lang w:bidi="zh-CN"/>
              </w:rPr>
            </w:pPr>
            <w:r>
              <w:rPr>
                <w:sz w:val="20"/>
                <w:highlight w:val="none"/>
                <w:lang w:bidi="zh-CN"/>
              </w:rPr>
              <w:t>640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硝基苯</w:t>
            </w:r>
          </w:p>
        </w:tc>
        <w:tc>
          <w:tcPr>
            <w:tcW w:w="1585" w:type="dxa"/>
            <w:shd w:val="clear" w:color="auto" w:fill="auto"/>
          </w:tcPr>
          <w:p>
            <w:pPr>
              <w:pStyle w:val="33"/>
              <w:rPr>
                <w:sz w:val="20"/>
                <w:highlight w:val="none"/>
                <w:lang w:bidi="zh-CN"/>
              </w:rPr>
            </w:pPr>
            <w:r>
              <w:rPr>
                <w:sz w:val="20"/>
                <w:highlight w:val="none"/>
                <w:lang w:bidi="zh-CN"/>
              </w:rPr>
              <w:t>76</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苯胺</w:t>
            </w:r>
          </w:p>
        </w:tc>
        <w:tc>
          <w:tcPr>
            <w:tcW w:w="1585" w:type="dxa"/>
            <w:shd w:val="clear" w:color="auto" w:fill="auto"/>
          </w:tcPr>
          <w:p>
            <w:pPr>
              <w:pStyle w:val="33"/>
              <w:rPr>
                <w:sz w:val="20"/>
                <w:highlight w:val="none"/>
                <w:lang w:bidi="zh-CN"/>
              </w:rPr>
            </w:pPr>
            <w:r>
              <w:rPr>
                <w:sz w:val="20"/>
                <w:highlight w:val="none"/>
                <w:lang w:bidi="zh-CN"/>
              </w:rPr>
              <w:t>260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2-氯酚</w:t>
            </w:r>
          </w:p>
        </w:tc>
        <w:tc>
          <w:tcPr>
            <w:tcW w:w="1585" w:type="dxa"/>
            <w:shd w:val="clear" w:color="auto" w:fill="auto"/>
          </w:tcPr>
          <w:p>
            <w:pPr>
              <w:pStyle w:val="33"/>
              <w:rPr>
                <w:sz w:val="20"/>
                <w:highlight w:val="none"/>
                <w:lang w:bidi="zh-CN"/>
              </w:rPr>
            </w:pPr>
            <w:r>
              <w:rPr>
                <w:sz w:val="20"/>
                <w:highlight w:val="none"/>
                <w:lang w:bidi="zh-CN"/>
              </w:rPr>
              <w:t>2256</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苯并[a]蒽</w:t>
            </w:r>
          </w:p>
        </w:tc>
        <w:tc>
          <w:tcPr>
            <w:tcW w:w="1585" w:type="dxa"/>
            <w:shd w:val="clear" w:color="auto" w:fill="auto"/>
          </w:tcPr>
          <w:p>
            <w:pPr>
              <w:pStyle w:val="33"/>
              <w:rPr>
                <w:sz w:val="20"/>
                <w:highlight w:val="none"/>
                <w:lang w:bidi="zh-CN"/>
              </w:rPr>
            </w:pPr>
            <w:r>
              <w:rPr>
                <w:sz w:val="20"/>
                <w:highlight w:val="none"/>
                <w:lang w:bidi="zh-CN"/>
              </w:rPr>
              <w:t>15</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苯并[a]芘</w:t>
            </w:r>
          </w:p>
        </w:tc>
        <w:tc>
          <w:tcPr>
            <w:tcW w:w="1585" w:type="dxa"/>
            <w:shd w:val="clear" w:color="auto" w:fill="auto"/>
          </w:tcPr>
          <w:p>
            <w:pPr>
              <w:pStyle w:val="33"/>
              <w:rPr>
                <w:sz w:val="20"/>
                <w:highlight w:val="none"/>
                <w:lang w:bidi="zh-CN"/>
              </w:rPr>
            </w:pPr>
            <w:r>
              <w:rPr>
                <w:sz w:val="20"/>
                <w:highlight w:val="none"/>
                <w:lang w:bidi="zh-CN"/>
              </w:rPr>
              <w:t>1.5</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苯并[b]荧蒽</w:t>
            </w:r>
          </w:p>
        </w:tc>
        <w:tc>
          <w:tcPr>
            <w:tcW w:w="1585" w:type="dxa"/>
            <w:shd w:val="clear" w:color="auto" w:fill="auto"/>
          </w:tcPr>
          <w:p>
            <w:pPr>
              <w:pStyle w:val="33"/>
              <w:rPr>
                <w:sz w:val="20"/>
                <w:highlight w:val="none"/>
                <w:lang w:bidi="zh-CN"/>
              </w:rPr>
            </w:pPr>
            <w:r>
              <w:rPr>
                <w:sz w:val="20"/>
                <w:highlight w:val="none"/>
                <w:lang w:bidi="zh-CN"/>
              </w:rPr>
              <w:t>15</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苯并[k]荧蒽</w:t>
            </w:r>
          </w:p>
        </w:tc>
        <w:tc>
          <w:tcPr>
            <w:tcW w:w="1585" w:type="dxa"/>
            <w:shd w:val="clear" w:color="auto" w:fill="auto"/>
          </w:tcPr>
          <w:p>
            <w:pPr>
              <w:pStyle w:val="33"/>
              <w:rPr>
                <w:sz w:val="20"/>
                <w:highlight w:val="none"/>
                <w:lang w:bidi="zh-CN"/>
              </w:rPr>
            </w:pPr>
            <w:r>
              <w:rPr>
                <w:sz w:val="20"/>
                <w:highlight w:val="none"/>
                <w:lang w:bidi="zh-CN"/>
              </w:rPr>
              <w:t>151</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䓛</w:t>
            </w:r>
          </w:p>
        </w:tc>
        <w:tc>
          <w:tcPr>
            <w:tcW w:w="1585" w:type="dxa"/>
            <w:shd w:val="clear" w:color="auto" w:fill="auto"/>
          </w:tcPr>
          <w:p>
            <w:pPr>
              <w:pStyle w:val="33"/>
              <w:rPr>
                <w:sz w:val="20"/>
                <w:highlight w:val="none"/>
                <w:lang w:bidi="zh-CN"/>
              </w:rPr>
            </w:pPr>
            <w:r>
              <w:rPr>
                <w:sz w:val="20"/>
                <w:highlight w:val="none"/>
                <w:lang w:bidi="zh-CN"/>
              </w:rPr>
              <w:t>1293</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二苯并[a，h]蒽</w:t>
            </w:r>
          </w:p>
        </w:tc>
        <w:tc>
          <w:tcPr>
            <w:tcW w:w="1585" w:type="dxa"/>
            <w:shd w:val="clear" w:color="auto" w:fill="auto"/>
          </w:tcPr>
          <w:p>
            <w:pPr>
              <w:pStyle w:val="33"/>
              <w:rPr>
                <w:sz w:val="20"/>
                <w:highlight w:val="none"/>
                <w:lang w:bidi="zh-CN"/>
              </w:rPr>
            </w:pPr>
            <w:r>
              <w:rPr>
                <w:sz w:val="20"/>
                <w:highlight w:val="none"/>
                <w:lang w:bidi="zh-CN"/>
              </w:rPr>
              <w:t>1.5</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Merge w:val="continue"/>
            <w:shd w:val="clear" w:color="auto" w:fill="auto"/>
          </w:tcPr>
          <w:p>
            <w:pPr>
              <w:pStyle w:val="33"/>
              <w:rPr>
                <w:sz w:val="20"/>
                <w:highlight w:val="none"/>
              </w:rPr>
            </w:pPr>
          </w:p>
        </w:tc>
        <w:tc>
          <w:tcPr>
            <w:tcW w:w="1940" w:type="dxa"/>
            <w:shd w:val="clear" w:color="auto" w:fill="auto"/>
          </w:tcPr>
          <w:p>
            <w:pPr>
              <w:pStyle w:val="33"/>
              <w:rPr>
                <w:sz w:val="20"/>
                <w:highlight w:val="none"/>
                <w:lang w:bidi="zh-CN"/>
              </w:rPr>
            </w:pPr>
            <w:r>
              <w:rPr>
                <w:sz w:val="20"/>
                <w:highlight w:val="none"/>
                <w:lang w:bidi="zh-CN"/>
              </w:rPr>
              <w:t>茚并[1,2,3-cd]芘</w:t>
            </w:r>
          </w:p>
        </w:tc>
        <w:tc>
          <w:tcPr>
            <w:tcW w:w="1585" w:type="dxa"/>
            <w:shd w:val="clear" w:color="auto" w:fill="auto"/>
          </w:tcPr>
          <w:p>
            <w:pPr>
              <w:pStyle w:val="33"/>
              <w:rPr>
                <w:sz w:val="20"/>
                <w:highlight w:val="none"/>
                <w:lang w:bidi="zh-CN"/>
              </w:rPr>
            </w:pPr>
            <w:r>
              <w:rPr>
                <w:sz w:val="20"/>
                <w:highlight w:val="none"/>
                <w:lang w:bidi="zh-CN"/>
              </w:rPr>
              <w:t>15</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539" w:type="dxa"/>
            <w:vMerge w:val="continue"/>
            <w:shd w:val="clear" w:color="auto" w:fill="auto"/>
          </w:tcPr>
          <w:p>
            <w:pPr>
              <w:pStyle w:val="33"/>
              <w:rPr>
                <w:sz w:val="20"/>
                <w:highlight w:val="none"/>
              </w:rPr>
            </w:pPr>
          </w:p>
        </w:tc>
        <w:tc>
          <w:tcPr>
            <w:tcW w:w="1940" w:type="dxa"/>
            <w:shd w:val="clear" w:color="auto" w:fill="auto"/>
            <w:vAlign w:val="center"/>
          </w:tcPr>
          <w:p>
            <w:pPr>
              <w:pStyle w:val="33"/>
              <w:rPr>
                <w:sz w:val="20"/>
                <w:highlight w:val="none"/>
                <w:lang w:bidi="zh-CN"/>
              </w:rPr>
            </w:pPr>
            <w:r>
              <w:rPr>
                <w:sz w:val="20"/>
                <w:highlight w:val="none"/>
                <w:lang w:bidi="zh-CN"/>
              </w:rPr>
              <w:t>萘</w:t>
            </w:r>
          </w:p>
        </w:tc>
        <w:tc>
          <w:tcPr>
            <w:tcW w:w="1585" w:type="dxa"/>
            <w:shd w:val="clear" w:color="auto" w:fill="auto"/>
            <w:vAlign w:val="center"/>
          </w:tcPr>
          <w:p>
            <w:pPr>
              <w:pStyle w:val="33"/>
              <w:rPr>
                <w:sz w:val="20"/>
                <w:highlight w:val="none"/>
                <w:lang w:bidi="zh-CN"/>
              </w:rPr>
            </w:pPr>
            <w:r>
              <w:rPr>
                <w:sz w:val="20"/>
                <w:highlight w:val="none"/>
                <w:lang w:bidi="zh-CN"/>
              </w:rPr>
              <w:t>70</w:t>
            </w:r>
          </w:p>
        </w:tc>
        <w:tc>
          <w:tcPr>
            <w:tcW w:w="1588" w:type="dxa"/>
            <w:vMerge w:val="continue"/>
            <w:shd w:val="clear" w:color="auto" w:fill="auto"/>
          </w:tcPr>
          <w:p>
            <w:pPr>
              <w:pStyle w:val="33"/>
              <w:rPr>
                <w:sz w:val="20"/>
                <w:highlight w:val="none"/>
                <w:lang w:bidi="zh-CN"/>
              </w:rPr>
            </w:pPr>
          </w:p>
        </w:tc>
        <w:tc>
          <w:tcPr>
            <w:tcW w:w="1876" w:type="dxa"/>
            <w:vMerge w:val="continue"/>
            <w:shd w:val="clear" w:color="auto" w:fill="auto"/>
          </w:tcPr>
          <w:p>
            <w:pPr>
              <w:pStyle w:val="33"/>
              <w:rPr>
                <w:sz w:val="20"/>
                <w:highlight w:val="none"/>
                <w:lang w:bidi="zh-CN"/>
              </w:rPr>
            </w:pPr>
          </w:p>
        </w:tc>
      </w:tr>
    </w:tbl>
    <w:p>
      <w:pPr>
        <w:spacing w:line="240" w:lineRule="auto"/>
        <w:ind w:firstLineChars="0"/>
        <w:jc w:val="center"/>
        <w:textAlignment w:val="auto"/>
        <w:rPr>
          <w:rFonts w:eastAsia="黑体"/>
          <w:kern w:val="2"/>
          <w:sz w:val="21"/>
          <w:szCs w:val="21"/>
          <w:highlight w:val="none"/>
        </w:rPr>
      </w:pPr>
      <w:r>
        <w:rPr>
          <w:rFonts w:hint="eastAsia" w:ascii="Times New Roman" w:hAnsi="Times New Roman" w:eastAsia="宋体" w:cs="Times New Roman"/>
          <w:b/>
          <w:bCs/>
          <w:spacing w:val="2"/>
          <w:sz w:val="23"/>
          <w:szCs w:val="23"/>
          <w:highlight w:val="none"/>
          <w:lang w:val="en-US" w:eastAsia="zh-CN"/>
        </w:rPr>
        <w:t>表 2.7-3  农用地土壤污染风险筛选值（基本项目）</w:t>
      </w:r>
    </w:p>
    <w:tbl>
      <w:tblPr>
        <w:tblStyle w:val="1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775"/>
        <w:gridCol w:w="1211"/>
        <w:gridCol w:w="1468"/>
        <w:gridCol w:w="1480"/>
        <w:gridCol w:w="1480"/>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21"/>
              <w:spacing w:line="240" w:lineRule="auto"/>
              <w:rPr>
                <w:highlight w:val="none"/>
                <w:lang w:bidi="zh-CN"/>
              </w:rPr>
            </w:pPr>
            <w:r>
              <w:rPr>
                <w:rFonts w:hint="eastAsia"/>
                <w:highlight w:val="none"/>
                <w:lang w:bidi="zh-CN"/>
              </w:rPr>
              <w:t>序号</w:t>
            </w:r>
          </w:p>
        </w:tc>
        <w:tc>
          <w:tcPr>
            <w:tcW w:w="1986" w:type="dxa"/>
            <w:gridSpan w:val="2"/>
            <w:vMerge w:val="restart"/>
            <w:shd w:val="clear" w:color="auto" w:fill="auto"/>
            <w:vAlign w:val="center"/>
          </w:tcPr>
          <w:p>
            <w:pPr>
              <w:pStyle w:val="21"/>
              <w:spacing w:line="240" w:lineRule="auto"/>
              <w:rPr>
                <w:highlight w:val="none"/>
                <w:lang w:bidi="zh-CN"/>
              </w:rPr>
            </w:pPr>
            <w:r>
              <w:rPr>
                <w:rFonts w:hint="eastAsia"/>
                <w:highlight w:val="none"/>
                <w:lang w:bidi="zh-CN"/>
              </w:rPr>
              <w:t>污染物项目</w:t>
            </w:r>
          </w:p>
        </w:tc>
        <w:tc>
          <w:tcPr>
            <w:tcW w:w="5702" w:type="dxa"/>
            <w:gridSpan w:val="4"/>
            <w:shd w:val="clear" w:color="auto" w:fill="auto"/>
            <w:vAlign w:val="center"/>
          </w:tcPr>
          <w:p>
            <w:pPr>
              <w:pStyle w:val="21"/>
              <w:spacing w:line="240" w:lineRule="auto"/>
              <w:rPr>
                <w:highlight w:val="none"/>
                <w:lang w:bidi="zh-CN"/>
              </w:rPr>
            </w:pPr>
            <w:r>
              <w:rPr>
                <w:rFonts w:hint="eastAsia"/>
                <w:highlight w:val="none"/>
                <w:lang w:bidi="zh-CN"/>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21"/>
              <w:spacing w:line="240" w:lineRule="auto"/>
              <w:rPr>
                <w:highlight w:val="none"/>
                <w:lang w:bidi="zh-CN"/>
              </w:rPr>
            </w:pPr>
          </w:p>
        </w:tc>
        <w:tc>
          <w:tcPr>
            <w:tcW w:w="1986" w:type="dxa"/>
            <w:gridSpan w:val="2"/>
            <w:vMerge w:val="continue"/>
            <w:shd w:val="clear" w:color="auto" w:fill="auto"/>
            <w:vAlign w:val="center"/>
          </w:tcPr>
          <w:p>
            <w:pPr>
              <w:pStyle w:val="21"/>
              <w:spacing w:line="240" w:lineRule="auto"/>
              <w:rPr>
                <w:highlight w:val="none"/>
                <w:lang w:bidi="zh-CN"/>
              </w:rPr>
            </w:pP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pH≤5.5</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5.5≤pH≤6.5</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6.5≤pH≤7.5</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21"/>
              <w:spacing w:line="240" w:lineRule="auto"/>
              <w:rPr>
                <w:highlight w:val="none"/>
                <w:lang w:bidi="zh-CN"/>
              </w:rPr>
            </w:pPr>
            <w:r>
              <w:rPr>
                <w:rFonts w:hint="eastAsia"/>
                <w:highlight w:val="none"/>
                <w:lang w:bidi="zh-CN"/>
              </w:rPr>
              <w:t>1</w:t>
            </w:r>
          </w:p>
        </w:tc>
        <w:tc>
          <w:tcPr>
            <w:tcW w:w="775" w:type="dxa"/>
            <w:vMerge w:val="restart"/>
            <w:shd w:val="clear" w:color="auto" w:fill="auto"/>
            <w:vAlign w:val="center"/>
          </w:tcPr>
          <w:p>
            <w:pPr>
              <w:pStyle w:val="21"/>
              <w:spacing w:line="240" w:lineRule="auto"/>
              <w:rPr>
                <w:highlight w:val="none"/>
                <w:lang w:bidi="zh-CN"/>
              </w:rPr>
            </w:pPr>
            <w:r>
              <w:rPr>
                <w:rFonts w:hint="eastAsia"/>
                <w:highlight w:val="none"/>
                <w:lang w:bidi="zh-CN"/>
              </w:rPr>
              <w:t>镉</w:t>
            </w: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0.3</w:t>
            </w:r>
          </w:p>
        </w:tc>
        <w:tc>
          <w:tcPr>
            <w:tcW w:w="1480" w:type="dxa"/>
            <w:shd w:val="clear" w:color="auto" w:fill="auto"/>
            <w:vAlign w:val="center"/>
          </w:tcPr>
          <w:p>
            <w:pPr>
              <w:pStyle w:val="21"/>
              <w:spacing w:line="240" w:lineRule="auto"/>
              <w:jc w:val="left"/>
              <w:rPr>
                <w:highlight w:val="none"/>
                <w:lang w:bidi="zh-CN"/>
              </w:rPr>
            </w:pPr>
            <w:r>
              <w:rPr>
                <w:rFonts w:hint="eastAsia"/>
                <w:highlight w:val="none"/>
                <w:lang w:bidi="zh-CN"/>
              </w:rPr>
              <w:t>0.4</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0.6</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21"/>
              <w:spacing w:line="240" w:lineRule="auto"/>
              <w:rPr>
                <w:highlight w:val="none"/>
                <w:lang w:bidi="zh-CN"/>
              </w:rPr>
            </w:pPr>
          </w:p>
        </w:tc>
        <w:tc>
          <w:tcPr>
            <w:tcW w:w="775" w:type="dxa"/>
            <w:vMerge w:val="continue"/>
            <w:shd w:val="clear" w:color="auto" w:fill="auto"/>
            <w:vAlign w:val="center"/>
          </w:tcPr>
          <w:p>
            <w:pPr>
              <w:pStyle w:val="21"/>
              <w:spacing w:line="240" w:lineRule="auto"/>
              <w:rPr>
                <w:highlight w:val="none"/>
                <w:lang w:bidi="zh-CN"/>
              </w:rPr>
            </w:pP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0.3</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0.3</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0.3</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21"/>
              <w:spacing w:line="240" w:lineRule="auto"/>
              <w:rPr>
                <w:highlight w:val="none"/>
                <w:lang w:bidi="zh-CN"/>
              </w:rPr>
            </w:pPr>
            <w:r>
              <w:rPr>
                <w:rFonts w:hint="eastAsia"/>
                <w:highlight w:val="none"/>
                <w:lang w:bidi="zh-CN"/>
              </w:rPr>
              <w:t>2</w:t>
            </w:r>
          </w:p>
        </w:tc>
        <w:tc>
          <w:tcPr>
            <w:tcW w:w="775" w:type="dxa"/>
            <w:vMerge w:val="restart"/>
            <w:shd w:val="clear" w:color="auto" w:fill="auto"/>
            <w:vAlign w:val="center"/>
          </w:tcPr>
          <w:p>
            <w:pPr>
              <w:pStyle w:val="21"/>
              <w:spacing w:line="240" w:lineRule="auto"/>
              <w:rPr>
                <w:highlight w:val="none"/>
                <w:lang w:bidi="zh-CN"/>
              </w:rPr>
            </w:pPr>
            <w:r>
              <w:rPr>
                <w:rFonts w:hint="eastAsia"/>
                <w:highlight w:val="none"/>
                <w:lang w:bidi="zh-CN"/>
              </w:rPr>
              <w:t>汞</w:t>
            </w: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0.5</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0.5</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0.6</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21"/>
              <w:spacing w:line="240" w:lineRule="auto"/>
              <w:rPr>
                <w:highlight w:val="none"/>
                <w:lang w:bidi="zh-CN"/>
              </w:rPr>
            </w:pPr>
          </w:p>
        </w:tc>
        <w:tc>
          <w:tcPr>
            <w:tcW w:w="775" w:type="dxa"/>
            <w:vMerge w:val="continue"/>
            <w:shd w:val="clear" w:color="auto" w:fill="auto"/>
            <w:vAlign w:val="center"/>
          </w:tcPr>
          <w:p>
            <w:pPr>
              <w:pStyle w:val="21"/>
              <w:spacing w:line="240" w:lineRule="auto"/>
              <w:rPr>
                <w:highlight w:val="none"/>
                <w:lang w:bidi="zh-CN"/>
              </w:rPr>
            </w:pP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1.3</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1.8</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2.4</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21"/>
              <w:spacing w:line="240" w:lineRule="auto"/>
              <w:rPr>
                <w:highlight w:val="none"/>
                <w:lang w:bidi="zh-CN"/>
              </w:rPr>
            </w:pPr>
            <w:r>
              <w:rPr>
                <w:rFonts w:hint="eastAsia"/>
                <w:highlight w:val="none"/>
                <w:lang w:bidi="zh-CN"/>
              </w:rPr>
              <w:t>3</w:t>
            </w:r>
          </w:p>
        </w:tc>
        <w:tc>
          <w:tcPr>
            <w:tcW w:w="775" w:type="dxa"/>
            <w:vMerge w:val="restart"/>
            <w:shd w:val="clear" w:color="auto" w:fill="auto"/>
            <w:vAlign w:val="center"/>
          </w:tcPr>
          <w:p>
            <w:pPr>
              <w:pStyle w:val="21"/>
              <w:spacing w:line="240" w:lineRule="auto"/>
              <w:rPr>
                <w:highlight w:val="none"/>
                <w:lang w:bidi="zh-CN"/>
              </w:rPr>
            </w:pPr>
            <w:r>
              <w:rPr>
                <w:rFonts w:hint="eastAsia"/>
                <w:highlight w:val="none"/>
                <w:lang w:bidi="zh-CN"/>
              </w:rPr>
              <w:t>砷</w:t>
            </w: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30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30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25</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21"/>
              <w:spacing w:line="240" w:lineRule="auto"/>
              <w:rPr>
                <w:highlight w:val="none"/>
                <w:lang w:bidi="zh-CN"/>
              </w:rPr>
            </w:pPr>
          </w:p>
        </w:tc>
        <w:tc>
          <w:tcPr>
            <w:tcW w:w="775" w:type="dxa"/>
            <w:vMerge w:val="continue"/>
            <w:shd w:val="clear" w:color="auto" w:fill="auto"/>
            <w:vAlign w:val="center"/>
          </w:tcPr>
          <w:p>
            <w:pPr>
              <w:pStyle w:val="21"/>
              <w:spacing w:line="240" w:lineRule="auto"/>
              <w:rPr>
                <w:highlight w:val="none"/>
                <w:lang w:bidi="zh-CN"/>
              </w:rPr>
            </w:pP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40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40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30</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21"/>
              <w:spacing w:line="240" w:lineRule="auto"/>
              <w:rPr>
                <w:highlight w:val="none"/>
                <w:lang w:bidi="zh-CN"/>
              </w:rPr>
            </w:pPr>
            <w:r>
              <w:rPr>
                <w:rFonts w:hint="eastAsia"/>
                <w:highlight w:val="none"/>
                <w:lang w:bidi="zh-CN"/>
              </w:rPr>
              <w:t>4</w:t>
            </w:r>
          </w:p>
        </w:tc>
        <w:tc>
          <w:tcPr>
            <w:tcW w:w="775" w:type="dxa"/>
            <w:vMerge w:val="restart"/>
            <w:shd w:val="clear" w:color="auto" w:fill="auto"/>
            <w:vAlign w:val="center"/>
          </w:tcPr>
          <w:p>
            <w:pPr>
              <w:pStyle w:val="21"/>
              <w:spacing w:line="240" w:lineRule="auto"/>
              <w:rPr>
                <w:highlight w:val="none"/>
                <w:lang w:bidi="zh-CN"/>
              </w:rPr>
            </w:pPr>
            <w:r>
              <w:rPr>
                <w:rFonts w:hint="eastAsia"/>
                <w:highlight w:val="none"/>
                <w:lang w:bidi="zh-CN"/>
              </w:rPr>
              <w:t>铅</w:t>
            </w: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80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100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140</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21"/>
              <w:spacing w:line="240" w:lineRule="auto"/>
              <w:rPr>
                <w:highlight w:val="none"/>
                <w:lang w:bidi="zh-CN"/>
              </w:rPr>
            </w:pPr>
          </w:p>
        </w:tc>
        <w:tc>
          <w:tcPr>
            <w:tcW w:w="775" w:type="dxa"/>
            <w:vMerge w:val="continue"/>
            <w:shd w:val="clear" w:color="auto" w:fill="auto"/>
            <w:vAlign w:val="center"/>
          </w:tcPr>
          <w:p>
            <w:pPr>
              <w:pStyle w:val="21"/>
              <w:spacing w:line="240" w:lineRule="auto"/>
              <w:rPr>
                <w:highlight w:val="none"/>
                <w:lang w:bidi="zh-CN"/>
              </w:rPr>
            </w:pP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70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90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120</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21"/>
              <w:spacing w:line="240" w:lineRule="auto"/>
              <w:rPr>
                <w:highlight w:val="none"/>
                <w:lang w:bidi="zh-CN"/>
              </w:rPr>
            </w:pPr>
            <w:r>
              <w:rPr>
                <w:rFonts w:hint="eastAsia"/>
                <w:highlight w:val="none"/>
                <w:lang w:bidi="zh-CN"/>
              </w:rPr>
              <w:t>5</w:t>
            </w:r>
          </w:p>
        </w:tc>
        <w:tc>
          <w:tcPr>
            <w:tcW w:w="775" w:type="dxa"/>
            <w:vMerge w:val="restart"/>
            <w:shd w:val="clear" w:color="auto" w:fill="auto"/>
            <w:vAlign w:val="center"/>
          </w:tcPr>
          <w:p>
            <w:pPr>
              <w:pStyle w:val="21"/>
              <w:spacing w:line="240" w:lineRule="auto"/>
              <w:rPr>
                <w:highlight w:val="none"/>
                <w:lang w:bidi="zh-CN"/>
              </w:rPr>
            </w:pPr>
            <w:r>
              <w:rPr>
                <w:rFonts w:hint="eastAsia"/>
                <w:highlight w:val="none"/>
                <w:lang w:bidi="zh-CN"/>
              </w:rPr>
              <w:t>铬</w:t>
            </w: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水田</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250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250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300</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21"/>
              <w:spacing w:line="240" w:lineRule="auto"/>
              <w:rPr>
                <w:highlight w:val="none"/>
                <w:lang w:bidi="zh-CN"/>
              </w:rPr>
            </w:pPr>
          </w:p>
        </w:tc>
        <w:tc>
          <w:tcPr>
            <w:tcW w:w="775" w:type="dxa"/>
            <w:vMerge w:val="continue"/>
            <w:shd w:val="clear" w:color="auto" w:fill="auto"/>
            <w:vAlign w:val="center"/>
          </w:tcPr>
          <w:p>
            <w:pPr>
              <w:pStyle w:val="21"/>
              <w:spacing w:line="240" w:lineRule="auto"/>
              <w:rPr>
                <w:highlight w:val="none"/>
                <w:lang w:bidi="zh-CN"/>
              </w:rPr>
            </w:pP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200</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shd w:val="clear" w:color="auto" w:fill="auto"/>
            <w:vAlign w:val="center"/>
          </w:tcPr>
          <w:p>
            <w:pPr>
              <w:pStyle w:val="21"/>
              <w:spacing w:line="240" w:lineRule="auto"/>
              <w:rPr>
                <w:highlight w:val="none"/>
                <w:lang w:bidi="zh-CN"/>
              </w:rPr>
            </w:pPr>
            <w:r>
              <w:rPr>
                <w:rFonts w:hint="eastAsia"/>
                <w:highlight w:val="none"/>
                <w:lang w:bidi="zh-CN"/>
              </w:rPr>
              <w:t>6</w:t>
            </w:r>
          </w:p>
        </w:tc>
        <w:tc>
          <w:tcPr>
            <w:tcW w:w="775" w:type="dxa"/>
            <w:vMerge w:val="restart"/>
            <w:shd w:val="clear" w:color="auto" w:fill="auto"/>
            <w:vAlign w:val="center"/>
          </w:tcPr>
          <w:p>
            <w:pPr>
              <w:pStyle w:val="21"/>
              <w:spacing w:line="240" w:lineRule="auto"/>
              <w:rPr>
                <w:highlight w:val="none"/>
                <w:lang w:bidi="zh-CN"/>
              </w:rPr>
            </w:pPr>
            <w:r>
              <w:rPr>
                <w:rFonts w:hint="eastAsia"/>
                <w:highlight w:val="none"/>
                <w:lang w:bidi="zh-CN"/>
              </w:rPr>
              <w:t>铜</w:t>
            </w: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果园</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150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200</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shd w:val="clear" w:color="auto" w:fill="auto"/>
            <w:vAlign w:val="center"/>
          </w:tcPr>
          <w:p>
            <w:pPr>
              <w:pStyle w:val="21"/>
              <w:spacing w:line="240" w:lineRule="auto"/>
              <w:rPr>
                <w:highlight w:val="none"/>
                <w:lang w:bidi="zh-CN"/>
              </w:rPr>
            </w:pPr>
          </w:p>
        </w:tc>
        <w:tc>
          <w:tcPr>
            <w:tcW w:w="775" w:type="dxa"/>
            <w:vMerge w:val="continue"/>
            <w:shd w:val="clear" w:color="auto" w:fill="auto"/>
            <w:vAlign w:val="center"/>
          </w:tcPr>
          <w:p>
            <w:pPr>
              <w:pStyle w:val="21"/>
              <w:spacing w:line="240" w:lineRule="auto"/>
              <w:rPr>
                <w:highlight w:val="none"/>
                <w:lang w:bidi="zh-CN"/>
              </w:rPr>
            </w:pPr>
          </w:p>
        </w:tc>
        <w:tc>
          <w:tcPr>
            <w:tcW w:w="1211" w:type="dxa"/>
            <w:shd w:val="clear" w:color="auto" w:fill="auto"/>
            <w:vAlign w:val="center"/>
          </w:tcPr>
          <w:p>
            <w:pPr>
              <w:pStyle w:val="21"/>
              <w:spacing w:line="240" w:lineRule="auto"/>
              <w:rPr>
                <w:highlight w:val="none"/>
                <w:lang w:bidi="zh-CN"/>
              </w:rPr>
            </w:pPr>
            <w:r>
              <w:rPr>
                <w:rFonts w:hint="eastAsia"/>
                <w:highlight w:val="none"/>
                <w:lang w:bidi="zh-CN"/>
              </w:rPr>
              <w:t>其他</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50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50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100</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pStyle w:val="21"/>
              <w:spacing w:line="240" w:lineRule="auto"/>
              <w:rPr>
                <w:highlight w:val="none"/>
                <w:lang w:bidi="zh-CN"/>
              </w:rPr>
            </w:pPr>
            <w:r>
              <w:rPr>
                <w:rFonts w:hint="eastAsia"/>
                <w:highlight w:val="none"/>
                <w:lang w:bidi="zh-CN"/>
              </w:rPr>
              <w:t>7</w:t>
            </w:r>
          </w:p>
        </w:tc>
        <w:tc>
          <w:tcPr>
            <w:tcW w:w="1986" w:type="dxa"/>
            <w:gridSpan w:val="2"/>
            <w:shd w:val="clear" w:color="auto" w:fill="auto"/>
            <w:vAlign w:val="center"/>
          </w:tcPr>
          <w:p>
            <w:pPr>
              <w:pStyle w:val="21"/>
              <w:spacing w:line="240" w:lineRule="auto"/>
              <w:rPr>
                <w:highlight w:val="none"/>
                <w:lang w:bidi="zh-CN"/>
              </w:rPr>
            </w:pPr>
            <w:r>
              <w:rPr>
                <w:rFonts w:hint="eastAsia"/>
                <w:highlight w:val="none"/>
                <w:lang w:bidi="zh-CN"/>
              </w:rPr>
              <w:t>镍</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60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70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100</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pStyle w:val="21"/>
              <w:spacing w:line="240" w:lineRule="auto"/>
              <w:rPr>
                <w:highlight w:val="none"/>
                <w:lang w:bidi="zh-CN"/>
              </w:rPr>
            </w:pPr>
            <w:r>
              <w:rPr>
                <w:rFonts w:hint="eastAsia"/>
                <w:highlight w:val="none"/>
                <w:lang w:bidi="zh-CN"/>
              </w:rPr>
              <w:t>8</w:t>
            </w:r>
          </w:p>
        </w:tc>
        <w:tc>
          <w:tcPr>
            <w:tcW w:w="1986" w:type="dxa"/>
            <w:gridSpan w:val="2"/>
            <w:shd w:val="clear" w:color="auto" w:fill="auto"/>
            <w:vAlign w:val="center"/>
          </w:tcPr>
          <w:p>
            <w:pPr>
              <w:pStyle w:val="21"/>
              <w:spacing w:line="240" w:lineRule="auto"/>
              <w:rPr>
                <w:highlight w:val="none"/>
                <w:lang w:bidi="zh-CN"/>
              </w:rPr>
            </w:pPr>
            <w:r>
              <w:rPr>
                <w:rFonts w:hint="eastAsia"/>
                <w:highlight w:val="none"/>
                <w:lang w:bidi="zh-CN"/>
              </w:rPr>
              <w:t>锌</w:t>
            </w:r>
          </w:p>
        </w:tc>
        <w:tc>
          <w:tcPr>
            <w:tcW w:w="1468" w:type="dxa"/>
            <w:shd w:val="clear" w:color="auto" w:fill="auto"/>
            <w:vAlign w:val="center"/>
          </w:tcPr>
          <w:p>
            <w:pPr>
              <w:pStyle w:val="21"/>
              <w:spacing w:line="240" w:lineRule="auto"/>
              <w:rPr>
                <w:highlight w:val="none"/>
                <w:lang w:bidi="zh-CN"/>
              </w:rPr>
            </w:pPr>
            <w:r>
              <w:rPr>
                <w:rFonts w:hint="eastAsia"/>
                <w:highlight w:val="none"/>
                <w:lang w:bidi="zh-CN"/>
              </w:rPr>
              <w:t>200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200</w:t>
            </w:r>
          </w:p>
        </w:tc>
        <w:tc>
          <w:tcPr>
            <w:tcW w:w="1480" w:type="dxa"/>
            <w:shd w:val="clear" w:color="auto" w:fill="auto"/>
            <w:vAlign w:val="center"/>
          </w:tcPr>
          <w:p>
            <w:pPr>
              <w:pStyle w:val="21"/>
              <w:spacing w:line="240" w:lineRule="auto"/>
              <w:rPr>
                <w:highlight w:val="none"/>
                <w:lang w:bidi="zh-CN"/>
              </w:rPr>
            </w:pPr>
            <w:r>
              <w:rPr>
                <w:rFonts w:hint="eastAsia"/>
                <w:highlight w:val="none"/>
                <w:lang w:bidi="zh-CN"/>
              </w:rPr>
              <w:t>250</w:t>
            </w:r>
          </w:p>
        </w:tc>
        <w:tc>
          <w:tcPr>
            <w:tcW w:w="1274" w:type="dxa"/>
            <w:shd w:val="clear" w:color="auto" w:fill="auto"/>
            <w:vAlign w:val="center"/>
          </w:tcPr>
          <w:p>
            <w:pPr>
              <w:pStyle w:val="21"/>
              <w:spacing w:line="240" w:lineRule="auto"/>
              <w:rPr>
                <w:highlight w:val="none"/>
                <w:lang w:bidi="zh-CN"/>
              </w:rPr>
            </w:pPr>
            <w:r>
              <w:rPr>
                <w:rFonts w:hint="eastAsia"/>
                <w:highlight w:val="none"/>
                <w:lang w:bidi="zh-CN"/>
              </w:rPr>
              <w:t>300</w:t>
            </w:r>
          </w:p>
        </w:tc>
      </w:tr>
    </w:tbl>
    <w:p>
      <w:pPr>
        <w:spacing w:before="314" w:line="229" w:lineRule="auto"/>
        <w:ind w:left="48"/>
        <w:outlineLvl w:val="2"/>
        <w:rPr>
          <w:rFonts w:hint="default" w:ascii="Times New Roman" w:hAnsi="Times New Roman" w:eastAsia="宋体" w:cs="Times New Roman"/>
          <w:sz w:val="23"/>
          <w:szCs w:val="23"/>
          <w:highlight w:val="none"/>
        </w:rPr>
      </w:pPr>
      <w:r>
        <w:rPr>
          <w:rFonts w:hint="default" w:ascii="Times New Roman" w:hAnsi="Times New Roman" w:eastAsia="Times New Roman" w:cs="Times New Roman"/>
          <w:b/>
          <w:bCs/>
          <w:spacing w:val="12"/>
          <w:sz w:val="23"/>
          <w:szCs w:val="23"/>
          <w:highlight w:val="none"/>
        </w:rPr>
        <w:t>2</w:t>
      </w:r>
      <w:r>
        <w:rPr>
          <w:rFonts w:hint="default" w:ascii="Times New Roman" w:hAnsi="Times New Roman" w:eastAsia="Times New Roman" w:cs="Times New Roman"/>
          <w:b/>
          <w:bCs/>
          <w:spacing w:val="10"/>
          <w:sz w:val="23"/>
          <w:szCs w:val="23"/>
          <w:highlight w:val="none"/>
        </w:rPr>
        <w:t>.</w:t>
      </w:r>
      <w:r>
        <w:rPr>
          <w:rFonts w:hint="default" w:ascii="Times New Roman" w:hAnsi="Times New Roman" w:eastAsia="Times New Roman" w:cs="Times New Roman"/>
          <w:b/>
          <w:bCs/>
          <w:spacing w:val="6"/>
          <w:sz w:val="23"/>
          <w:szCs w:val="23"/>
          <w:highlight w:val="none"/>
        </w:rPr>
        <w:t>7.2</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污染物排放标准</w:t>
      </w:r>
      <w:bookmarkEnd w:id="116"/>
      <w:bookmarkEnd w:id="117"/>
      <w:bookmarkEnd w:id="118"/>
    </w:p>
    <w:p>
      <w:pPr>
        <w:spacing w:line="259" w:lineRule="auto"/>
        <w:rPr>
          <w:rFonts w:hint="default" w:ascii="Times New Roman" w:hAnsi="Times New Roman" w:cs="Times New Roman"/>
          <w:sz w:val="21"/>
          <w:highlight w:val="none"/>
        </w:rPr>
      </w:pPr>
    </w:p>
    <w:p>
      <w:pPr>
        <w:spacing w:before="75" w:line="229" w:lineRule="auto"/>
        <w:ind w:left="54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21"/>
          <w:sz w:val="23"/>
          <w:szCs w:val="23"/>
          <w:highlight w:val="none"/>
        </w:rPr>
        <w:t>1</w:t>
      </w:r>
      <w:r>
        <w:rPr>
          <w:rFonts w:hint="default" w:ascii="Times New Roman" w:hAnsi="Times New Roman" w:eastAsia="宋体" w:cs="Times New Roman"/>
          <w:spacing w:val="21"/>
          <w:sz w:val="23"/>
          <w:szCs w:val="23"/>
          <w:highlight w:val="none"/>
        </w:rPr>
        <w:t>) 施工期</w:t>
      </w:r>
    </w:p>
    <w:p>
      <w:pPr>
        <w:spacing w:before="213" w:line="402" w:lineRule="auto"/>
        <w:ind w:left="51"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①建筑</w:t>
      </w:r>
      <w:r>
        <w:rPr>
          <w:rFonts w:hint="default" w:ascii="Times New Roman" w:hAnsi="Times New Roman" w:eastAsia="宋体" w:cs="Times New Roman"/>
          <w:spacing w:val="4"/>
          <w:sz w:val="23"/>
          <w:szCs w:val="23"/>
          <w:highlight w:val="none"/>
        </w:rPr>
        <w:t>施工噪声执行《建筑施工场界环境噪声排放标准》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4"/>
          <w:sz w:val="23"/>
          <w:szCs w:val="23"/>
          <w:highlight w:val="none"/>
        </w:rPr>
        <w:t>12523-2011</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表 </w:t>
      </w:r>
      <w:r>
        <w:rPr>
          <w:rFonts w:hint="default" w:ascii="Times New Roman" w:hAnsi="Times New Roman" w:eastAsia="Times New Roman" w:cs="Times New Roman"/>
          <w:spacing w:val="2"/>
          <w:sz w:val="23"/>
          <w:szCs w:val="23"/>
          <w:highlight w:val="none"/>
        </w:rPr>
        <w:t xml:space="preserve">1 </w:t>
      </w:r>
      <w:r>
        <w:rPr>
          <w:rFonts w:hint="default" w:ascii="Times New Roman" w:hAnsi="Times New Roman" w:eastAsia="宋体" w:cs="Times New Roman"/>
          <w:spacing w:val="2"/>
          <w:sz w:val="23"/>
          <w:szCs w:val="23"/>
          <w:highlight w:val="none"/>
        </w:rPr>
        <w:t>中的限值：昼</w:t>
      </w:r>
      <w:r>
        <w:rPr>
          <w:rFonts w:hint="default" w:ascii="Times New Roman" w:hAnsi="Times New Roman" w:eastAsia="宋体" w:cs="Times New Roman"/>
          <w:spacing w:val="1"/>
          <w:sz w:val="23"/>
          <w:szCs w:val="23"/>
          <w:highlight w:val="none"/>
        </w:rPr>
        <w:t xml:space="preserve">间 </w:t>
      </w:r>
      <w:r>
        <w:rPr>
          <w:rFonts w:hint="default" w:ascii="Times New Roman" w:hAnsi="Times New Roman" w:eastAsia="Times New Roman" w:cs="Times New Roman"/>
          <w:spacing w:val="1"/>
          <w:sz w:val="23"/>
          <w:szCs w:val="23"/>
          <w:highlight w:val="none"/>
        </w:rPr>
        <w:t>70</w:t>
      </w:r>
      <w:r>
        <w:rPr>
          <w:rFonts w:hint="default" w:ascii="Times New Roman" w:hAnsi="Times New Roman" w:eastAsia="Times New Roman" w:cs="Times New Roman"/>
          <w:sz w:val="23"/>
          <w:szCs w:val="23"/>
          <w:highlight w:val="none"/>
        </w:rPr>
        <w:t>dB</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宋体" w:cs="Times New Roman"/>
          <w:spacing w:val="1"/>
          <w:sz w:val="23"/>
          <w:szCs w:val="23"/>
          <w:highlight w:val="none"/>
        </w:rPr>
        <w:t xml:space="preserve">) 、夜间 </w:t>
      </w:r>
      <w:r>
        <w:rPr>
          <w:rFonts w:hint="default" w:ascii="Times New Roman" w:hAnsi="Times New Roman" w:eastAsia="Times New Roman" w:cs="Times New Roman"/>
          <w:spacing w:val="1"/>
          <w:sz w:val="23"/>
          <w:szCs w:val="23"/>
          <w:highlight w:val="none"/>
        </w:rPr>
        <w:t>55</w:t>
      </w:r>
      <w:r>
        <w:rPr>
          <w:rFonts w:hint="default" w:ascii="Times New Roman" w:hAnsi="Times New Roman" w:eastAsia="Times New Roman" w:cs="Times New Roman"/>
          <w:sz w:val="23"/>
          <w:szCs w:val="23"/>
          <w:highlight w:val="none"/>
        </w:rPr>
        <w:t>dB</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宋体" w:cs="Times New Roman"/>
          <w:spacing w:val="1"/>
          <w:sz w:val="23"/>
          <w:szCs w:val="23"/>
          <w:highlight w:val="none"/>
        </w:rPr>
        <w:t>) 。</w:t>
      </w:r>
    </w:p>
    <w:p>
      <w:pPr>
        <w:spacing w:before="1" w:line="400" w:lineRule="auto"/>
        <w:ind w:left="52" w:right="101" w:firstLine="478"/>
        <w:rPr>
          <w:rFonts w:hint="eastAsia" w:ascii="Times New Roman" w:hAnsi="Times New Roman" w:eastAsia="宋体" w:cs="Times New Roman"/>
          <w:sz w:val="23"/>
          <w:szCs w:val="23"/>
          <w:highlight w:val="none"/>
          <w:lang w:eastAsia="zh-CN"/>
        </w:rPr>
      </w:pPr>
      <w:r>
        <w:rPr>
          <w:rFonts w:hint="default" w:ascii="Times New Roman" w:hAnsi="Times New Roman" w:eastAsia="宋体" w:cs="Times New Roman"/>
          <w:spacing w:val="8"/>
          <w:sz w:val="23"/>
          <w:szCs w:val="23"/>
          <w:highlight w:val="none"/>
        </w:rPr>
        <w:t>②</w:t>
      </w:r>
      <w:r>
        <w:rPr>
          <w:rFonts w:hint="eastAsia"/>
          <w:sz w:val="24"/>
          <w:szCs w:val="24"/>
          <w:highlight w:val="none"/>
        </w:rPr>
        <w:t>施工期扬尘（</w:t>
      </w:r>
      <w:r>
        <w:rPr>
          <w:sz w:val="24"/>
          <w:szCs w:val="24"/>
          <w:highlight w:val="none"/>
        </w:rPr>
        <w:t>颗粒物</w:t>
      </w:r>
      <w:r>
        <w:rPr>
          <w:rFonts w:hint="eastAsia"/>
          <w:sz w:val="24"/>
          <w:szCs w:val="24"/>
          <w:highlight w:val="none"/>
        </w:rPr>
        <w:t>）</w:t>
      </w:r>
      <w:r>
        <w:rPr>
          <w:sz w:val="24"/>
          <w:szCs w:val="24"/>
          <w:highlight w:val="none"/>
        </w:rPr>
        <w:t>执行</w:t>
      </w:r>
      <w:r>
        <w:rPr>
          <w:rFonts w:hint="eastAsia"/>
          <w:sz w:val="24"/>
          <w:szCs w:val="24"/>
          <w:highlight w:val="none"/>
        </w:rPr>
        <w:t>《施工场地扬尘排放标准》（DB 13/ 2934-2019）</w:t>
      </w:r>
      <w:r>
        <w:rPr>
          <w:sz w:val="24"/>
          <w:szCs w:val="24"/>
          <w:highlight w:val="none"/>
        </w:rPr>
        <w:t>表</w:t>
      </w:r>
      <w:r>
        <w:rPr>
          <w:rFonts w:hint="eastAsia"/>
          <w:sz w:val="24"/>
          <w:szCs w:val="24"/>
          <w:highlight w:val="none"/>
        </w:rPr>
        <w:t>1</w:t>
      </w:r>
      <w:r>
        <w:rPr>
          <w:sz w:val="24"/>
          <w:szCs w:val="24"/>
          <w:highlight w:val="none"/>
        </w:rPr>
        <w:t>中</w:t>
      </w:r>
      <w:r>
        <w:rPr>
          <w:rFonts w:hint="eastAsia"/>
          <w:sz w:val="24"/>
          <w:szCs w:val="24"/>
          <w:highlight w:val="none"/>
        </w:rPr>
        <w:t>扬尘</w:t>
      </w:r>
      <w:r>
        <w:rPr>
          <w:sz w:val="24"/>
          <w:szCs w:val="24"/>
          <w:highlight w:val="none"/>
        </w:rPr>
        <w:t>排放浓度</w:t>
      </w:r>
      <w:r>
        <w:rPr>
          <w:rFonts w:hint="eastAsia"/>
          <w:sz w:val="24"/>
          <w:szCs w:val="24"/>
          <w:highlight w:val="none"/>
        </w:rPr>
        <w:t>限值</w:t>
      </w:r>
      <w:r>
        <w:rPr>
          <w:rFonts w:hint="eastAsia" w:eastAsia="宋体"/>
          <w:sz w:val="24"/>
          <w:szCs w:val="24"/>
          <w:highlight w:val="none"/>
          <w:lang w:eastAsia="zh-CN"/>
        </w:rPr>
        <w:t>。</w:t>
      </w:r>
    </w:p>
    <w:p>
      <w:pPr>
        <w:spacing w:before="1" w:line="228" w:lineRule="auto"/>
        <w:ind w:left="54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21"/>
          <w:sz w:val="23"/>
          <w:szCs w:val="23"/>
          <w:highlight w:val="none"/>
        </w:rPr>
        <w:t>2</w:t>
      </w:r>
      <w:r>
        <w:rPr>
          <w:rFonts w:hint="default" w:ascii="Times New Roman" w:hAnsi="Times New Roman" w:eastAsia="宋体" w:cs="Times New Roman"/>
          <w:spacing w:val="21"/>
          <w:sz w:val="23"/>
          <w:szCs w:val="23"/>
          <w:highlight w:val="none"/>
        </w:rPr>
        <w:t>) 运营期</w:t>
      </w:r>
    </w:p>
    <w:p>
      <w:pPr>
        <w:spacing w:before="216" w:line="401" w:lineRule="auto"/>
        <w:ind w:left="51" w:right="122"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①</w:t>
      </w:r>
      <w:r>
        <w:rPr>
          <w:rFonts w:hint="default" w:ascii="Times New Roman" w:hAnsi="Times New Roman" w:eastAsia="宋体" w:cs="Times New Roman"/>
          <w:spacing w:val="9"/>
          <w:sz w:val="23"/>
          <w:szCs w:val="23"/>
          <w:highlight w:val="none"/>
        </w:rPr>
        <w:t>厂</w:t>
      </w:r>
      <w:r>
        <w:rPr>
          <w:rFonts w:hint="default" w:ascii="Times New Roman" w:hAnsi="Times New Roman" w:eastAsia="宋体" w:cs="Times New Roman"/>
          <w:spacing w:val="7"/>
          <w:sz w:val="23"/>
          <w:szCs w:val="23"/>
          <w:highlight w:val="none"/>
        </w:rPr>
        <w:t>界外噪声执行《工业企业厂界环境噪声排放标准》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7"/>
          <w:sz w:val="23"/>
          <w:szCs w:val="23"/>
          <w:highlight w:val="none"/>
        </w:rPr>
        <w:t>12348-2008</w:t>
      </w:r>
      <w:r>
        <w:rPr>
          <w:rFonts w:hint="default" w:ascii="Times New Roman" w:hAnsi="Times New Roman" w:eastAsia="宋体" w:cs="Times New Roman"/>
          <w:spacing w:val="7"/>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表中的 </w:t>
      </w:r>
      <w:r>
        <w:rPr>
          <w:rFonts w:hint="default" w:ascii="Times New Roman" w:hAnsi="Times New Roman" w:eastAsia="Times New Roman" w:cs="Times New Roman"/>
          <w:spacing w:val="2"/>
          <w:sz w:val="23"/>
          <w:szCs w:val="23"/>
          <w:highlight w:val="none"/>
        </w:rPr>
        <w:t xml:space="preserve">2 </w:t>
      </w:r>
      <w:r>
        <w:rPr>
          <w:rFonts w:hint="default" w:ascii="Times New Roman" w:hAnsi="Times New Roman" w:eastAsia="宋体" w:cs="Times New Roman"/>
          <w:spacing w:val="2"/>
          <w:sz w:val="23"/>
          <w:szCs w:val="23"/>
          <w:highlight w:val="none"/>
        </w:rPr>
        <w:t xml:space="preserve">类标准：昼间 </w:t>
      </w:r>
      <w:r>
        <w:rPr>
          <w:rFonts w:hint="default" w:ascii="Times New Roman" w:hAnsi="Times New Roman" w:eastAsia="Times New Roman" w:cs="Times New Roman"/>
          <w:spacing w:val="2"/>
          <w:sz w:val="23"/>
          <w:szCs w:val="23"/>
          <w:highlight w:val="none"/>
        </w:rPr>
        <w:t>60</w:t>
      </w:r>
      <w:r>
        <w:rPr>
          <w:rFonts w:hint="default" w:ascii="Times New Roman" w:hAnsi="Times New Roman" w:eastAsia="Times New Roman" w:cs="Times New Roman"/>
          <w:sz w:val="23"/>
          <w:szCs w:val="23"/>
          <w:highlight w:val="none"/>
        </w:rPr>
        <w:t>dB</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宋体" w:cs="Times New Roman"/>
          <w:spacing w:val="2"/>
          <w:sz w:val="23"/>
          <w:szCs w:val="23"/>
          <w:highlight w:val="none"/>
        </w:rPr>
        <w:t>)</w:t>
      </w:r>
      <w:r>
        <w:rPr>
          <w:rFonts w:hint="default" w:ascii="Times New Roman" w:hAnsi="Times New Roman" w:eastAsia="宋体" w:cs="Times New Roman"/>
          <w:spacing w:val="1"/>
          <w:sz w:val="23"/>
          <w:szCs w:val="23"/>
          <w:highlight w:val="none"/>
        </w:rPr>
        <w:t xml:space="preserve"> 、夜间 </w:t>
      </w:r>
      <w:r>
        <w:rPr>
          <w:rFonts w:hint="default" w:ascii="Times New Roman" w:hAnsi="Times New Roman" w:eastAsia="Times New Roman" w:cs="Times New Roman"/>
          <w:spacing w:val="1"/>
          <w:sz w:val="23"/>
          <w:szCs w:val="23"/>
          <w:highlight w:val="none"/>
        </w:rPr>
        <w:t>50</w:t>
      </w:r>
      <w:r>
        <w:rPr>
          <w:rFonts w:hint="default" w:ascii="Times New Roman" w:hAnsi="Times New Roman" w:eastAsia="Times New Roman" w:cs="Times New Roman"/>
          <w:sz w:val="23"/>
          <w:szCs w:val="23"/>
          <w:highlight w:val="none"/>
        </w:rPr>
        <w:t>dB</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宋体" w:cs="Times New Roman"/>
          <w:spacing w:val="1"/>
          <w:sz w:val="23"/>
          <w:szCs w:val="23"/>
          <w:highlight w:val="none"/>
        </w:rPr>
        <w:t>) 。</w:t>
      </w:r>
    </w:p>
    <w:p>
      <w:pPr>
        <w:spacing w:before="1" w:line="401" w:lineRule="auto"/>
        <w:ind w:left="52" w:right="101"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②颗粒物执行《铁矿采选工业污染物排放标准》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6"/>
          <w:sz w:val="23"/>
          <w:szCs w:val="23"/>
          <w:highlight w:val="none"/>
        </w:rPr>
        <w:t>28661-2012</w:t>
      </w:r>
      <w:r>
        <w:rPr>
          <w:rFonts w:hint="default" w:ascii="Times New Roman" w:hAnsi="Times New Roman" w:eastAsia="宋体" w:cs="Times New Roman"/>
          <w:spacing w:val="6"/>
          <w:sz w:val="23"/>
          <w:szCs w:val="23"/>
          <w:highlight w:val="none"/>
        </w:rPr>
        <w:t>) 表</w:t>
      </w:r>
      <w:r>
        <w:rPr>
          <w:rFonts w:hint="default" w:ascii="Times New Roman" w:hAnsi="Times New Roman" w:eastAsia="Times New Roman" w:cs="Times New Roman"/>
          <w:spacing w:val="6"/>
          <w:sz w:val="23"/>
          <w:szCs w:val="23"/>
          <w:highlight w:val="none"/>
        </w:rPr>
        <w:t>6</w:t>
      </w:r>
      <w:r>
        <w:rPr>
          <w:rFonts w:hint="default" w:ascii="Times New Roman" w:hAnsi="Times New Roman" w:eastAsia="宋体" w:cs="Times New Roman"/>
          <w:sz w:val="23"/>
          <w:szCs w:val="23"/>
          <w:highlight w:val="none"/>
        </w:rPr>
        <w:t>中</w:t>
      </w:r>
      <w:r>
        <w:rPr>
          <w:rFonts w:hint="default" w:ascii="Times New Roman" w:hAnsi="Times New Roman" w:eastAsia="宋体" w:cs="Times New Roman"/>
          <w:spacing w:val="13"/>
          <w:sz w:val="23"/>
          <w:szCs w:val="23"/>
          <w:highlight w:val="none"/>
        </w:rPr>
        <w:t>规</w:t>
      </w:r>
      <w:r>
        <w:rPr>
          <w:rFonts w:hint="default" w:ascii="Times New Roman" w:hAnsi="Times New Roman" w:eastAsia="宋体" w:cs="Times New Roman"/>
          <w:spacing w:val="7"/>
          <w:sz w:val="23"/>
          <w:szCs w:val="23"/>
          <w:highlight w:val="none"/>
        </w:rPr>
        <w:t>定的选矿厂各工艺污染物特别排放限值，破碎生产工序颗粒物最高允许排放限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值为</w:t>
      </w:r>
      <w:r>
        <w:rPr>
          <w:rFonts w:hint="default" w:ascii="Times New Roman" w:hAnsi="Times New Roman" w:eastAsia="Times New Roman" w:cs="Times New Roman"/>
          <w:spacing w:val="3"/>
          <w:sz w:val="23"/>
          <w:szCs w:val="23"/>
          <w:highlight w:val="none"/>
        </w:rPr>
        <w:t>10</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Nm</w:t>
      </w:r>
      <w:r>
        <w:rPr>
          <w:rFonts w:hint="default" w:ascii="Times New Roman" w:hAnsi="Times New Roman" w:eastAsia="Times New Roman" w:cs="Times New Roman"/>
          <w:spacing w:val="3"/>
          <w:position w:val="8"/>
          <w:sz w:val="15"/>
          <w:szCs w:val="15"/>
          <w:highlight w:val="none"/>
        </w:rPr>
        <w:t xml:space="preserve">3 </w:t>
      </w:r>
      <w:r>
        <w:rPr>
          <w:rFonts w:hint="default" w:ascii="Times New Roman" w:hAnsi="Times New Roman" w:eastAsia="宋体" w:cs="Times New Roman"/>
          <w:spacing w:val="3"/>
          <w:sz w:val="23"/>
          <w:szCs w:val="23"/>
          <w:highlight w:val="none"/>
        </w:rPr>
        <w:t xml:space="preserve">；表 </w:t>
      </w:r>
      <w:r>
        <w:rPr>
          <w:rFonts w:hint="default" w:ascii="Times New Roman" w:hAnsi="Times New Roman" w:eastAsia="Times New Roman" w:cs="Times New Roman"/>
          <w:spacing w:val="3"/>
          <w:sz w:val="23"/>
          <w:szCs w:val="23"/>
          <w:highlight w:val="none"/>
        </w:rPr>
        <w:t xml:space="preserve">7 </w:t>
      </w:r>
      <w:r>
        <w:rPr>
          <w:rFonts w:hint="default" w:ascii="Times New Roman" w:hAnsi="Times New Roman" w:eastAsia="宋体" w:cs="Times New Roman"/>
          <w:spacing w:val="3"/>
          <w:sz w:val="23"/>
          <w:szCs w:val="23"/>
          <w:highlight w:val="none"/>
        </w:rPr>
        <w:t>中作业场所边界处颗粒物无组织排放限值为</w:t>
      </w:r>
      <w:r>
        <w:rPr>
          <w:rFonts w:hint="default" w:ascii="Times New Roman" w:hAnsi="Times New Roman" w:eastAsia="Times New Roman" w:cs="Times New Roman"/>
          <w:spacing w:val="3"/>
          <w:sz w:val="23"/>
          <w:szCs w:val="23"/>
          <w:highlight w:val="none"/>
        </w:rPr>
        <w:t>1.0</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Nm</w:t>
      </w:r>
      <w:r>
        <w:rPr>
          <w:rFonts w:hint="default" w:ascii="Times New Roman" w:hAnsi="Times New Roman" w:eastAsia="Times New Roman" w:cs="Times New Roman"/>
          <w:spacing w:val="2"/>
          <w:position w:val="8"/>
          <w:sz w:val="15"/>
          <w:szCs w:val="15"/>
          <w:highlight w:val="none"/>
        </w:rPr>
        <w:t>3</w:t>
      </w:r>
      <w:r>
        <w:rPr>
          <w:rFonts w:hint="default" w:ascii="Times New Roman" w:hAnsi="Times New Roman" w:eastAsia="宋体" w:cs="Times New Roman"/>
          <w:sz w:val="23"/>
          <w:szCs w:val="23"/>
          <w:highlight w:val="none"/>
        </w:rPr>
        <w:t>。</w:t>
      </w:r>
    </w:p>
    <w:p>
      <w:pPr>
        <w:spacing w:before="98" w:line="226" w:lineRule="auto"/>
        <w:ind w:left="48"/>
        <w:outlineLvl w:val="2"/>
        <w:rPr>
          <w:rFonts w:hint="default" w:ascii="Times New Roman" w:hAnsi="Times New Roman" w:eastAsia="宋体" w:cs="Times New Roman"/>
          <w:sz w:val="23"/>
          <w:szCs w:val="23"/>
          <w:highlight w:val="none"/>
        </w:rPr>
      </w:pPr>
      <w:bookmarkStart w:id="120" w:name="_Toc10506"/>
      <w:bookmarkStart w:id="121" w:name="_Toc29234"/>
      <w:bookmarkStart w:id="122" w:name="_Toc13732"/>
      <w:r>
        <w:rPr>
          <w:rFonts w:hint="default" w:ascii="Times New Roman" w:hAnsi="Times New Roman" w:eastAsia="Times New Roman" w:cs="Times New Roman"/>
          <w:b/>
          <w:bCs/>
          <w:spacing w:val="10"/>
          <w:sz w:val="23"/>
          <w:szCs w:val="23"/>
          <w:highlight w:val="none"/>
        </w:rPr>
        <w:t>2</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7.3</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其他标准</w:t>
      </w:r>
      <w:bookmarkEnd w:id="120"/>
      <w:bookmarkEnd w:id="121"/>
      <w:bookmarkEnd w:id="122"/>
    </w:p>
    <w:p>
      <w:pPr>
        <w:spacing w:line="260" w:lineRule="auto"/>
        <w:rPr>
          <w:rFonts w:hint="default" w:ascii="Times New Roman" w:hAnsi="Times New Roman" w:cs="Times New Roman"/>
          <w:sz w:val="21"/>
          <w:highlight w:val="none"/>
        </w:rPr>
      </w:pPr>
    </w:p>
    <w:p>
      <w:pPr>
        <w:spacing w:before="75" w:line="402" w:lineRule="auto"/>
        <w:ind w:left="63" w:right="27" w:firstLine="46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①</w:t>
      </w:r>
      <w:r>
        <w:rPr>
          <w:rFonts w:hint="default" w:ascii="Times New Roman" w:hAnsi="Times New Roman" w:eastAsia="宋体" w:cs="Times New Roman"/>
          <w:spacing w:val="8"/>
          <w:sz w:val="23"/>
          <w:szCs w:val="23"/>
          <w:highlight w:val="none"/>
        </w:rPr>
        <w:t>《危险</w:t>
      </w:r>
      <w:r>
        <w:rPr>
          <w:rFonts w:hint="default" w:ascii="Times New Roman" w:hAnsi="Times New Roman" w:eastAsia="宋体" w:cs="Times New Roman"/>
          <w:spacing w:val="5"/>
          <w:sz w:val="23"/>
          <w:szCs w:val="23"/>
          <w:highlight w:val="none"/>
        </w:rPr>
        <w:t>废</w:t>
      </w:r>
      <w:r>
        <w:rPr>
          <w:rFonts w:hint="default" w:ascii="Times New Roman" w:hAnsi="Times New Roman" w:eastAsia="宋体" w:cs="Times New Roman"/>
          <w:spacing w:val="4"/>
          <w:sz w:val="23"/>
          <w:szCs w:val="23"/>
          <w:highlight w:val="none"/>
        </w:rPr>
        <w:t>物鉴别标准 浸出毒性鉴别》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4"/>
          <w:sz w:val="23"/>
          <w:szCs w:val="23"/>
          <w:highlight w:val="none"/>
        </w:rPr>
        <w:t>5058.3-2007</w:t>
      </w:r>
      <w:r>
        <w:rPr>
          <w:rFonts w:hint="default" w:ascii="Times New Roman" w:hAnsi="Times New Roman" w:eastAsia="宋体" w:cs="Times New Roman"/>
          <w:spacing w:val="4"/>
          <w:sz w:val="23"/>
          <w:szCs w:val="23"/>
          <w:highlight w:val="none"/>
        </w:rPr>
        <w:t xml:space="preserve">) 中表 </w:t>
      </w:r>
      <w:r>
        <w:rPr>
          <w:rFonts w:hint="default" w:ascii="Times New Roman" w:hAnsi="Times New Roman" w:eastAsia="Times New Roman" w:cs="Times New Roman"/>
          <w:spacing w:val="4"/>
          <w:sz w:val="23"/>
          <w:szCs w:val="23"/>
          <w:highlight w:val="none"/>
        </w:rPr>
        <w:t xml:space="preserve">1 </w:t>
      </w:r>
      <w:r>
        <w:rPr>
          <w:rFonts w:hint="default" w:ascii="Times New Roman" w:hAnsi="Times New Roman" w:eastAsia="宋体" w:cs="Times New Roman"/>
          <w:spacing w:val="4"/>
          <w:sz w:val="23"/>
          <w:szCs w:val="23"/>
          <w:highlight w:val="none"/>
        </w:rPr>
        <w:t>中相关标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准值</w:t>
      </w:r>
      <w:r>
        <w:rPr>
          <w:rFonts w:hint="default" w:ascii="Times New Roman" w:hAnsi="Times New Roman" w:eastAsia="宋体" w:cs="Times New Roman"/>
          <w:spacing w:val="2"/>
          <w:sz w:val="23"/>
          <w:szCs w:val="23"/>
          <w:highlight w:val="none"/>
        </w:rPr>
        <w:t>。</w:t>
      </w:r>
    </w:p>
    <w:p>
      <w:pPr>
        <w:spacing w:before="1" w:line="225" w:lineRule="auto"/>
        <w:ind w:left="53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②</w:t>
      </w:r>
      <w:r>
        <w:rPr>
          <w:rFonts w:hint="default" w:ascii="Times New Roman" w:hAnsi="Times New Roman" w:eastAsia="宋体" w:cs="Times New Roman"/>
          <w:spacing w:val="2"/>
          <w:sz w:val="23"/>
          <w:szCs w:val="23"/>
          <w:highlight w:val="none"/>
        </w:rPr>
        <w:t>《危险废物鉴别标准 腐蚀性鉴别》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2"/>
          <w:sz w:val="23"/>
          <w:szCs w:val="23"/>
          <w:highlight w:val="none"/>
        </w:rPr>
        <w:t>5085. 1-2007</w:t>
      </w:r>
      <w:r>
        <w:rPr>
          <w:rFonts w:hint="default" w:ascii="Times New Roman" w:hAnsi="Times New Roman" w:eastAsia="宋体" w:cs="Times New Roman"/>
          <w:spacing w:val="2"/>
          <w:sz w:val="23"/>
          <w:szCs w:val="23"/>
          <w:highlight w:val="none"/>
        </w:rPr>
        <w:t>) 。</w:t>
      </w:r>
    </w:p>
    <w:p>
      <w:pPr>
        <w:spacing w:before="217" w:line="226" w:lineRule="auto"/>
        <w:ind w:left="530"/>
        <w:rPr>
          <w:rFonts w:hint="default" w:ascii="Times New Roman" w:hAnsi="Times New Roman" w:eastAsia="宋体" w:cs="Times New Roman"/>
          <w:spacing w:val="7"/>
          <w:sz w:val="23"/>
          <w:szCs w:val="23"/>
          <w:highlight w:val="none"/>
        </w:rPr>
      </w:pPr>
      <w:r>
        <w:rPr>
          <w:rFonts w:hint="default" w:ascii="Times New Roman" w:hAnsi="Times New Roman" w:eastAsia="宋体" w:cs="Times New Roman"/>
          <w:spacing w:val="2"/>
          <w:sz w:val="23"/>
          <w:szCs w:val="23"/>
          <w:highlight w:val="none"/>
        </w:rPr>
        <w:t>③</w:t>
      </w:r>
      <w:r>
        <w:rPr>
          <w:rFonts w:hint="default" w:ascii="Times New Roman" w:hAnsi="Times New Roman" w:eastAsia="宋体" w:cs="Times New Roman"/>
          <w:spacing w:val="6"/>
          <w:sz w:val="23"/>
          <w:szCs w:val="23"/>
          <w:highlight w:val="none"/>
        </w:rPr>
        <w:t>危险废物执</w:t>
      </w:r>
      <w:r>
        <w:rPr>
          <w:rFonts w:hint="default" w:ascii="Times New Roman" w:hAnsi="Times New Roman" w:eastAsia="宋体" w:cs="Times New Roman"/>
          <w:spacing w:val="5"/>
          <w:sz w:val="23"/>
          <w:szCs w:val="23"/>
          <w:highlight w:val="none"/>
        </w:rPr>
        <w:t>行</w:t>
      </w:r>
      <w:r>
        <w:rPr>
          <w:rFonts w:hint="default" w:ascii="Times New Roman" w:hAnsi="Times New Roman" w:eastAsia="宋体" w:cs="Times New Roman"/>
          <w:spacing w:val="3"/>
          <w:sz w:val="23"/>
          <w:szCs w:val="23"/>
          <w:highlight w:val="none"/>
        </w:rPr>
        <w:t>《危险废物贮存污染控制标准》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3"/>
          <w:sz w:val="23"/>
          <w:szCs w:val="23"/>
          <w:highlight w:val="none"/>
        </w:rPr>
        <w:t>18597-20</w:t>
      </w:r>
      <w:r>
        <w:rPr>
          <w:rFonts w:hint="eastAsia" w:ascii="Times New Roman" w:hAnsi="Times New Roman" w:eastAsia="宋体" w:cs="Times New Roman"/>
          <w:spacing w:val="3"/>
          <w:sz w:val="23"/>
          <w:szCs w:val="23"/>
          <w:highlight w:val="none"/>
          <w:lang w:val="en-US" w:eastAsia="zh-CN"/>
        </w:rPr>
        <w:t>23</w:t>
      </w:r>
      <w:r>
        <w:rPr>
          <w:rFonts w:hint="default" w:ascii="Times New Roman" w:hAnsi="Times New Roman" w:eastAsia="宋体" w:cs="Times New Roman"/>
          <w:spacing w:val="3"/>
          <w:sz w:val="23"/>
          <w:szCs w:val="23"/>
          <w:highlight w:val="none"/>
        </w:rPr>
        <w:t xml:space="preserve">) </w:t>
      </w:r>
      <w:r>
        <w:rPr>
          <w:rFonts w:hint="default" w:ascii="Times New Roman" w:hAnsi="Times New Roman" w:cs="Times New Roman"/>
          <w:highlight w:val="none"/>
        </w:rPr>
        <w:pict>
          <v:shape id="_x0000_s1075" o:spid="_x0000_s1075" style="position:absolute;left:0pt;margin-left:89.85pt;margin-top:60.75pt;height:0.75pt;width:415.65pt;mso-position-horizontal-relative:page;mso-position-vertical-relative:page;z-index:251680768;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7"/>
          <w:sz w:val="23"/>
          <w:szCs w:val="23"/>
          <w:highlight w:val="none"/>
        </w:rPr>
        <w:t>。</w:t>
      </w:r>
    </w:p>
    <w:p>
      <w:pPr>
        <w:spacing w:before="75" w:line="402" w:lineRule="auto"/>
        <w:ind w:left="63" w:right="27" w:firstLine="467"/>
        <w:rPr>
          <w:rFonts w:hint="eastAsia" w:ascii="Times New Roman" w:hAnsi="Times New Roman" w:eastAsia="宋体" w:cs="Times New Roman"/>
          <w:spacing w:val="4"/>
          <w:sz w:val="23"/>
          <w:szCs w:val="23"/>
          <w:highlight w:val="none"/>
          <w:lang w:eastAsia="zh-CN"/>
        </w:rPr>
      </w:pPr>
      <w:r>
        <w:rPr>
          <w:rFonts w:hint="eastAsia" w:ascii="Times New Roman" w:hAnsi="Times New Roman" w:eastAsia="宋体" w:cs="Times New Roman"/>
          <w:spacing w:val="8"/>
          <w:sz w:val="23"/>
          <w:szCs w:val="23"/>
          <w:highlight w:val="none"/>
          <w:lang w:eastAsia="zh-CN"/>
        </w:rPr>
        <w:t>④一</w:t>
      </w:r>
      <w:r>
        <w:rPr>
          <w:rFonts w:hint="eastAsia" w:ascii="Times New Roman" w:hAnsi="Times New Roman" w:eastAsia="宋体" w:cs="Times New Roman"/>
          <w:spacing w:val="4"/>
          <w:sz w:val="23"/>
          <w:szCs w:val="23"/>
          <w:highlight w:val="none"/>
          <w:lang w:eastAsia="zh-CN"/>
        </w:rPr>
        <w:t>般固体废物贮存</w:t>
      </w:r>
      <w:r>
        <w:rPr>
          <w:rFonts w:hint="eastAsia" w:ascii="Times New Roman" w:hAnsi="Times New Roman" w:eastAsia="宋体" w:cs="Times New Roman"/>
          <w:spacing w:val="4"/>
          <w:sz w:val="23"/>
          <w:szCs w:val="23"/>
          <w:highlight w:val="none"/>
          <w:lang w:val="en-US" w:eastAsia="zh-CN"/>
        </w:rPr>
        <w:t>参照</w:t>
      </w:r>
      <w:r>
        <w:rPr>
          <w:rFonts w:hint="eastAsia" w:ascii="Times New Roman" w:hAnsi="Times New Roman" w:eastAsia="宋体" w:cs="Times New Roman"/>
          <w:spacing w:val="4"/>
          <w:sz w:val="23"/>
          <w:szCs w:val="23"/>
          <w:highlight w:val="none"/>
          <w:lang w:eastAsia="zh-CN"/>
        </w:rPr>
        <w:t>执行《一般工业固体废物贮存和填埋污染控制标准》（</w:t>
      </w:r>
      <w:r>
        <w:rPr>
          <w:rFonts w:hint="default" w:ascii="Times New Roman" w:hAnsi="Times New Roman" w:eastAsia="宋体" w:cs="Times New Roman"/>
          <w:spacing w:val="4"/>
          <w:sz w:val="23"/>
          <w:szCs w:val="23"/>
          <w:highlight w:val="none"/>
        </w:rPr>
        <w:t>GB18599-2020</w:t>
      </w:r>
      <w:r>
        <w:rPr>
          <w:rFonts w:hint="eastAsia" w:ascii="Times New Roman" w:hAnsi="Times New Roman" w:eastAsia="宋体" w:cs="Times New Roman"/>
          <w:spacing w:val="4"/>
          <w:sz w:val="23"/>
          <w:szCs w:val="23"/>
          <w:highlight w:val="none"/>
          <w:lang w:eastAsia="zh-CN"/>
        </w:rPr>
        <w:t>）</w:t>
      </w:r>
      <w:r>
        <w:rPr>
          <w:rFonts w:hint="eastAsia" w:ascii="Times New Roman" w:hAnsi="Times New Roman" w:eastAsia="宋体" w:cs="Times New Roman"/>
          <w:spacing w:val="4"/>
          <w:sz w:val="23"/>
          <w:szCs w:val="23"/>
          <w:highlight w:val="none"/>
          <w:lang w:val="en-US" w:eastAsia="zh-CN"/>
        </w:rPr>
        <w:t>关于</w:t>
      </w:r>
      <w:r>
        <w:rPr>
          <w:rFonts w:hint="eastAsia" w:ascii="Times New Roman" w:hAnsi="Times New Roman" w:eastAsia="宋体" w:cs="Times New Roman"/>
          <w:spacing w:val="4"/>
          <w:sz w:val="23"/>
          <w:szCs w:val="23"/>
          <w:highlight w:val="none"/>
          <w:lang w:eastAsia="zh-CN"/>
        </w:rPr>
        <w:t>固体废物贮存</w:t>
      </w:r>
      <w:r>
        <w:rPr>
          <w:rFonts w:hint="eastAsia" w:ascii="Times New Roman" w:hAnsi="Times New Roman" w:eastAsia="宋体" w:cs="Times New Roman"/>
          <w:spacing w:val="4"/>
          <w:sz w:val="23"/>
          <w:szCs w:val="23"/>
          <w:highlight w:val="none"/>
          <w:lang w:val="en-US" w:eastAsia="zh-CN"/>
        </w:rPr>
        <w:t>的</w:t>
      </w:r>
      <w:r>
        <w:rPr>
          <w:rFonts w:hint="eastAsia" w:ascii="Times New Roman" w:hAnsi="Times New Roman" w:eastAsia="宋体" w:cs="Times New Roman"/>
          <w:spacing w:val="4"/>
          <w:sz w:val="23"/>
          <w:szCs w:val="23"/>
          <w:highlight w:val="none"/>
          <w:lang w:eastAsia="zh-CN"/>
        </w:rPr>
        <w:t>防风、防雨、防渗等相关要求。</w:t>
      </w:r>
    </w:p>
    <w:p>
      <w:pPr>
        <w:pStyle w:val="2"/>
        <w:rPr>
          <w:rFonts w:hint="default"/>
          <w:highlight w:val="none"/>
        </w:rPr>
      </w:pPr>
    </w:p>
    <w:p>
      <w:pPr>
        <w:rPr>
          <w:rFonts w:hint="default" w:ascii="Times New Roman" w:hAnsi="Times New Roman" w:cs="Times New Roman"/>
          <w:highlight w:val="none"/>
        </w:rPr>
        <w:sectPr>
          <w:headerReference r:id="rId17" w:type="default"/>
          <w:footerReference r:id="rId18" w:type="default"/>
          <w:pgSz w:w="11906" w:h="16839"/>
          <w:pgMar w:top="1200" w:right="1785" w:bottom="1339" w:left="1785" w:header="882" w:footer="1027" w:gutter="0"/>
          <w:pgBorders>
            <w:top w:val="none" w:sz="0" w:space="0"/>
            <w:left w:val="none" w:sz="0" w:space="0"/>
            <w:bottom w:val="none" w:sz="0" w:space="0"/>
            <w:right w:val="none" w:sz="0" w:space="0"/>
          </w:pgBorders>
          <w:pgNumType w:fmt="decimal"/>
          <w:cols w:space="720" w:num="1"/>
        </w:sectPr>
      </w:pPr>
    </w:p>
    <w:p>
      <w:pPr>
        <w:spacing w:line="407"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076" o:spid="_x0000_s1076" style="position:absolute;left:0pt;margin-left:89.85pt;margin-top:60.75pt;height:0.75pt;width:415.65pt;mso-position-horizontal-relative:page;mso-position-vertical-relative:page;z-index:251681792;mso-width-relative:page;mso-height-relative:page;" fillcolor="#000000" filled="t" stroked="f" coordsize="8312,15" o:allowincell="f" path="m0,0l8312,0,8312,14,0,14,0,0xe">
            <v:path/>
            <v:fill on="t" focussize="0,0"/>
            <v:stroke on="f"/>
            <v:imagedata o:title=""/>
            <o:lock v:ext="edit"/>
          </v:shape>
        </w:pict>
      </w:r>
    </w:p>
    <w:p>
      <w:pPr>
        <w:spacing w:before="94" w:line="227" w:lineRule="auto"/>
        <w:outlineLvl w:val="0"/>
        <w:rPr>
          <w:rFonts w:hint="default" w:ascii="Times New Roman" w:hAnsi="Times New Roman" w:eastAsia="黑体" w:cs="Times New Roman"/>
          <w:spacing w:val="8"/>
          <w:sz w:val="29"/>
          <w:szCs w:val="29"/>
          <w:highlight w:val="none"/>
          <w14:textOutline w14:w="5448" w14:cap="sq" w14:cmpd="sng">
            <w14:solidFill>
              <w14:srgbClr w14:val="000000"/>
            </w14:solidFill>
            <w14:prstDash w14:val="solid"/>
            <w14:bevel/>
          </w14:textOutline>
        </w:rPr>
      </w:pPr>
      <w:bookmarkStart w:id="123" w:name="_Toc20631"/>
      <w:bookmarkStart w:id="124" w:name="_Toc8637"/>
      <w:bookmarkStart w:id="125" w:name="_Toc13558"/>
      <w:r>
        <w:rPr>
          <w:rFonts w:hint="default" w:ascii="Times New Roman" w:hAnsi="Times New Roman" w:eastAsia="Times New Roman" w:cs="Times New Roman"/>
          <w:b/>
          <w:bCs/>
          <w:spacing w:val="9"/>
          <w:sz w:val="29"/>
          <w:szCs w:val="29"/>
          <w:highlight w:val="none"/>
        </w:rPr>
        <w:t>3</w:t>
      </w:r>
      <w:r>
        <w:rPr>
          <w:rFonts w:hint="default" w:ascii="Times New Roman" w:hAnsi="Times New Roman" w:eastAsia="Times New Roman" w:cs="Times New Roman"/>
          <w:spacing w:val="8"/>
          <w:sz w:val="29"/>
          <w:szCs w:val="29"/>
          <w:highlight w:val="none"/>
        </w:rPr>
        <w:t xml:space="preserve">  </w:t>
      </w:r>
      <w:r>
        <w:rPr>
          <w:rFonts w:hint="default" w:ascii="Times New Roman" w:hAnsi="Times New Roman" w:eastAsia="黑体" w:cs="Times New Roman"/>
          <w:spacing w:val="8"/>
          <w:sz w:val="29"/>
          <w:szCs w:val="29"/>
          <w:highlight w:val="none"/>
          <w14:textOutline w14:w="5448" w14:cap="sq" w14:cmpd="sng">
            <w14:solidFill>
              <w14:srgbClr w14:val="000000"/>
            </w14:solidFill>
            <w14:prstDash w14:val="solid"/>
            <w14:bevel/>
          </w14:textOutline>
        </w:rPr>
        <w:t>建设项目工程分析</w:t>
      </w:r>
      <w:bookmarkEnd w:id="123"/>
      <w:bookmarkEnd w:id="124"/>
      <w:bookmarkEnd w:id="125"/>
    </w:p>
    <w:p>
      <w:pPr>
        <w:keepNext w:val="0"/>
        <w:keepLines w:val="0"/>
        <w:pageBreakBefore w:val="0"/>
        <w:widowControl/>
        <w:kinsoku w:val="0"/>
        <w:wordWrap/>
        <w:overflowPunct/>
        <w:topLinePunct w:val="0"/>
        <w:autoSpaceDE w:val="0"/>
        <w:autoSpaceDN w:val="0"/>
        <w:bidi w:val="0"/>
        <w:adjustRightInd w:val="0"/>
        <w:snapToGrid w:val="0"/>
        <w:spacing w:before="0" w:beforeLines="50" w:line="404" w:lineRule="auto"/>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9"/>
          <w:sz w:val="23"/>
          <w:szCs w:val="23"/>
          <w:highlight w:val="none"/>
        </w:rPr>
        <w:t>遵化市势竹矿业有限公司</w:t>
      </w:r>
      <w:r>
        <w:rPr>
          <w:rFonts w:hint="default" w:ascii="Times New Roman" w:hAnsi="Times New Roman" w:eastAsia="宋体" w:cs="Times New Roman"/>
          <w:spacing w:val="4"/>
          <w:sz w:val="23"/>
          <w:szCs w:val="23"/>
          <w:highlight w:val="none"/>
          <w:lang w:val="en-US" w:eastAsia="zh-CN"/>
        </w:rPr>
        <w:t>位于</w:t>
      </w:r>
      <w:r>
        <w:rPr>
          <w:rFonts w:hint="default" w:ascii="Times New Roman" w:hAnsi="Times New Roman" w:eastAsia="宋体" w:cs="Times New Roman"/>
          <w:spacing w:val="4"/>
          <w:sz w:val="23"/>
          <w:szCs w:val="23"/>
          <w:highlight w:val="none"/>
        </w:rPr>
        <w:t>遵化市苏家洼镇张家坟村村南</w:t>
      </w:r>
      <w:r>
        <w:rPr>
          <w:rFonts w:hint="default" w:ascii="Times New Roman" w:hAnsi="Times New Roman" w:eastAsia="宋体" w:cs="Times New Roman"/>
          <w:spacing w:val="4"/>
          <w:sz w:val="23"/>
          <w:szCs w:val="23"/>
          <w:highlight w:val="none"/>
          <w:lang w:eastAsia="zh-CN"/>
        </w:rPr>
        <w:t>，</w:t>
      </w:r>
      <w:r>
        <w:rPr>
          <w:rFonts w:hint="default" w:ascii="Times New Roman" w:hAnsi="Times New Roman" w:eastAsia="宋体" w:cs="Times New Roman"/>
          <w:spacing w:val="4"/>
          <w:sz w:val="23"/>
          <w:szCs w:val="23"/>
          <w:highlight w:val="none"/>
          <w:lang w:val="en-US" w:eastAsia="zh-CN"/>
        </w:rPr>
        <w:t>于2018年实施了</w:t>
      </w:r>
      <w:r>
        <w:rPr>
          <w:rFonts w:hint="eastAsia"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7"/>
          <w:sz w:val="23"/>
          <w:szCs w:val="23"/>
          <w:highlight w:val="none"/>
        </w:rPr>
        <w:t>遵化市势竹矿业有</w:t>
      </w:r>
      <w:r>
        <w:rPr>
          <w:rFonts w:hint="default" w:ascii="Times New Roman" w:hAnsi="Times New Roman" w:eastAsia="宋体" w:cs="Times New Roman"/>
          <w:spacing w:val="16"/>
          <w:sz w:val="23"/>
          <w:szCs w:val="23"/>
          <w:highlight w:val="none"/>
        </w:rPr>
        <w:t>限</w:t>
      </w:r>
      <w:r>
        <w:rPr>
          <w:rFonts w:hint="default" w:ascii="Times New Roman" w:hAnsi="Times New Roman" w:eastAsia="宋体" w:cs="Times New Roman"/>
          <w:spacing w:val="13"/>
          <w:sz w:val="23"/>
          <w:szCs w:val="23"/>
          <w:highlight w:val="none"/>
        </w:rPr>
        <w:t>公</w:t>
      </w:r>
      <w:r>
        <w:rPr>
          <w:rFonts w:hint="default" w:ascii="Times New Roman" w:hAnsi="Times New Roman" w:eastAsia="宋体" w:cs="Times New Roman"/>
          <w:spacing w:val="8"/>
          <w:sz w:val="23"/>
          <w:szCs w:val="23"/>
          <w:highlight w:val="none"/>
        </w:rPr>
        <w:t>司年处理</w:t>
      </w:r>
      <w:r>
        <w:rPr>
          <w:rFonts w:hint="default" w:ascii="Times New Roman" w:hAnsi="Times New Roman" w:eastAsia="Times New Roman" w:cs="Times New Roman"/>
          <w:spacing w:val="8"/>
          <w:sz w:val="23"/>
          <w:szCs w:val="23"/>
          <w:highlight w:val="none"/>
        </w:rPr>
        <w:t>50</w:t>
      </w:r>
      <w:r>
        <w:rPr>
          <w:rFonts w:hint="default" w:ascii="Times New Roman" w:hAnsi="Times New Roman" w:eastAsia="宋体" w:cs="Times New Roman"/>
          <w:spacing w:val="8"/>
          <w:sz w:val="23"/>
          <w:szCs w:val="23"/>
          <w:highlight w:val="none"/>
        </w:rPr>
        <w:t>万吨铁矿石破碎技改项目</w:t>
      </w:r>
      <w:r>
        <w:rPr>
          <w:rFonts w:hint="eastAsia"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4"/>
          <w:sz w:val="23"/>
          <w:szCs w:val="23"/>
          <w:highlight w:val="none"/>
          <w:lang w:val="en-US" w:eastAsia="zh-CN"/>
        </w:rPr>
        <w:t>，并于2018年9月13日取得了唐山市行政审批局出具的《</w:t>
      </w:r>
      <w:r>
        <w:rPr>
          <w:rFonts w:hint="default" w:ascii="Times New Roman" w:hAnsi="Times New Roman" w:eastAsia="宋体" w:cs="Times New Roman"/>
          <w:spacing w:val="7"/>
          <w:sz w:val="23"/>
          <w:szCs w:val="23"/>
          <w:highlight w:val="none"/>
        </w:rPr>
        <w:t>遵化市势竹矿业有</w:t>
      </w:r>
      <w:r>
        <w:rPr>
          <w:rFonts w:hint="default" w:ascii="Times New Roman" w:hAnsi="Times New Roman" w:eastAsia="宋体" w:cs="Times New Roman"/>
          <w:spacing w:val="16"/>
          <w:sz w:val="23"/>
          <w:szCs w:val="23"/>
          <w:highlight w:val="none"/>
        </w:rPr>
        <w:t>限</w:t>
      </w:r>
      <w:r>
        <w:rPr>
          <w:rFonts w:hint="default" w:ascii="Times New Roman" w:hAnsi="Times New Roman" w:eastAsia="宋体" w:cs="Times New Roman"/>
          <w:spacing w:val="13"/>
          <w:sz w:val="23"/>
          <w:szCs w:val="23"/>
          <w:highlight w:val="none"/>
        </w:rPr>
        <w:t>公</w:t>
      </w:r>
      <w:r>
        <w:rPr>
          <w:rFonts w:hint="default" w:ascii="Times New Roman" w:hAnsi="Times New Roman" w:eastAsia="宋体" w:cs="Times New Roman"/>
          <w:spacing w:val="8"/>
          <w:sz w:val="23"/>
          <w:szCs w:val="23"/>
          <w:highlight w:val="none"/>
        </w:rPr>
        <w:t>司年处理</w:t>
      </w:r>
      <w:r>
        <w:rPr>
          <w:rFonts w:hint="default" w:ascii="Times New Roman" w:hAnsi="Times New Roman" w:eastAsia="Times New Roman" w:cs="Times New Roman"/>
          <w:spacing w:val="8"/>
          <w:sz w:val="23"/>
          <w:szCs w:val="23"/>
          <w:highlight w:val="none"/>
        </w:rPr>
        <w:t>50</w:t>
      </w:r>
      <w:r>
        <w:rPr>
          <w:rFonts w:hint="default" w:ascii="Times New Roman" w:hAnsi="Times New Roman" w:eastAsia="宋体" w:cs="Times New Roman"/>
          <w:spacing w:val="8"/>
          <w:sz w:val="23"/>
          <w:szCs w:val="23"/>
          <w:highlight w:val="none"/>
        </w:rPr>
        <w:t>万吨铁矿石破碎技改项目</w:t>
      </w:r>
      <w:r>
        <w:rPr>
          <w:rFonts w:hint="default" w:ascii="Times New Roman" w:hAnsi="Times New Roman" w:eastAsia="宋体" w:cs="Times New Roman"/>
          <w:spacing w:val="4"/>
          <w:sz w:val="23"/>
          <w:szCs w:val="23"/>
          <w:highlight w:val="none"/>
          <w:lang w:val="en-US" w:eastAsia="zh-CN"/>
        </w:rPr>
        <w:t>环境影响报告书》批复文件（唐审投资环字[2018]24号），于2020年10月建设完成进行了排污登记并通过了竣工环境保护验收。</w:t>
      </w:r>
    </w:p>
    <w:p>
      <w:pPr>
        <w:spacing w:before="75" w:line="403" w:lineRule="auto"/>
        <w:ind w:left="21" w:firstLine="481"/>
        <w:jc w:val="both"/>
        <w:rPr>
          <w:rFonts w:hint="default" w:ascii="Times New Roman" w:hAnsi="Times New Roman" w:eastAsia="宋体" w:cs="Times New Roman"/>
          <w:spacing w:val="4"/>
          <w:sz w:val="23"/>
          <w:szCs w:val="23"/>
          <w:highlight w:val="none"/>
          <w:lang w:val="en-US" w:eastAsia="zh-CN"/>
        </w:rPr>
      </w:pPr>
      <w:bookmarkStart w:id="126" w:name="_Toc11639"/>
      <w:bookmarkStart w:id="127" w:name="_Toc26962"/>
      <w:bookmarkStart w:id="128" w:name="_Toc9969"/>
      <w:r>
        <w:rPr>
          <w:rFonts w:hint="default" w:ascii="Times New Roman" w:hAnsi="Times New Roman" w:eastAsia="宋体" w:cs="Times New Roman"/>
          <w:spacing w:val="4"/>
          <w:sz w:val="23"/>
          <w:szCs w:val="23"/>
          <w:highlight w:val="none"/>
          <w:lang w:val="en-US" w:eastAsia="zh-CN"/>
        </w:rPr>
        <w:t>目前，</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9"/>
          <w:sz w:val="23"/>
          <w:szCs w:val="23"/>
          <w:highlight w:val="none"/>
          <w:lang w:val="en-US" w:eastAsia="zh-CN"/>
        </w:rPr>
        <w:t>厂区</w:t>
      </w:r>
      <w:r>
        <w:rPr>
          <w:rFonts w:hint="default" w:ascii="Times New Roman" w:hAnsi="Times New Roman" w:eastAsia="宋体" w:cs="Times New Roman"/>
          <w:spacing w:val="4"/>
          <w:sz w:val="23"/>
          <w:szCs w:val="23"/>
          <w:highlight w:val="none"/>
          <w:lang w:val="en-US" w:eastAsia="zh-CN"/>
        </w:rPr>
        <w:t>分为</w:t>
      </w:r>
      <w:r>
        <w:rPr>
          <w:rFonts w:hint="eastAsia" w:ascii="Times New Roman" w:hAnsi="Times New Roman" w:eastAsia="宋体" w:cs="Times New Roman"/>
          <w:spacing w:val="4"/>
          <w:sz w:val="23"/>
          <w:szCs w:val="23"/>
          <w:highlight w:val="none"/>
          <w:lang w:val="en-US" w:eastAsia="zh-CN"/>
        </w:rPr>
        <w:t>东、西两个生产装置</w:t>
      </w:r>
      <w:r>
        <w:rPr>
          <w:rFonts w:hint="default" w:ascii="Times New Roman" w:hAnsi="Times New Roman" w:eastAsia="宋体" w:cs="Times New Roman"/>
          <w:spacing w:val="4"/>
          <w:sz w:val="23"/>
          <w:szCs w:val="23"/>
          <w:highlight w:val="none"/>
          <w:lang w:val="en-US" w:eastAsia="zh-CN"/>
        </w:rPr>
        <w:t>区，</w:t>
      </w:r>
      <w:r>
        <w:rPr>
          <w:rFonts w:hint="eastAsia" w:ascii="Times New Roman" w:hAnsi="Times New Roman" w:eastAsia="宋体" w:cs="Times New Roman"/>
          <w:spacing w:val="4"/>
          <w:sz w:val="23"/>
          <w:szCs w:val="23"/>
          <w:highlight w:val="none"/>
          <w:lang w:val="en-US" w:eastAsia="zh-CN"/>
        </w:rPr>
        <w:t>每个生产装置区各设3条生产线，其中西部生产装置区设1#、2#、3#生产线，东部生产装置区设4#、5#、6#生产线，每个生产装置区各设3套破碎设备、1套粗选设备，公司年处理铁矿石50万吨，年产品位60%铁精粉18万吨</w:t>
      </w:r>
      <w:r>
        <w:rPr>
          <w:rFonts w:hint="default" w:ascii="Times New Roman" w:hAnsi="Times New Roman" w:eastAsia="宋体" w:cs="Times New Roman"/>
          <w:spacing w:val="4"/>
          <w:sz w:val="23"/>
          <w:szCs w:val="23"/>
          <w:highlight w:val="none"/>
          <w:lang w:val="en-US" w:eastAsia="zh-CN"/>
        </w:rPr>
        <w:t>。</w:t>
      </w:r>
    </w:p>
    <w:p>
      <w:pPr>
        <w:spacing w:before="72" w:line="221" w:lineRule="auto"/>
        <w:ind w:left="16"/>
        <w:outlineLvl w:val="1"/>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pPr>
      <w:r>
        <w:rPr>
          <w:rFonts w:hint="default" w:ascii="Times New Roman" w:hAnsi="Times New Roman" w:eastAsia="Times New Roman" w:cs="Times New Roman"/>
          <w:b/>
          <w:bCs/>
          <w:sz w:val="28"/>
          <w:szCs w:val="28"/>
          <w:highlight w:val="none"/>
        </w:rPr>
        <w:t>3.</w:t>
      </w:r>
      <w:r>
        <w:rPr>
          <w:rFonts w:hint="eastAsia" w:ascii="Times New Roman" w:hAnsi="Times New Roman" w:eastAsia="宋体" w:cs="Times New Roman"/>
          <w:b/>
          <w:bCs/>
          <w:sz w:val="28"/>
          <w:szCs w:val="28"/>
          <w:highlight w:val="none"/>
          <w:lang w:val="en-US" w:eastAsia="zh-CN"/>
        </w:rPr>
        <w:t>1</w:t>
      </w:r>
      <w:r>
        <w:rPr>
          <w:rFonts w:hint="default" w:ascii="Times New Roman" w:hAnsi="Times New Roman" w:eastAsia="Times New Roman" w:cs="Times New Roman"/>
          <w:sz w:val="28"/>
          <w:szCs w:val="28"/>
          <w:highlight w:val="none"/>
        </w:rPr>
        <w:t xml:space="preserve"> </w:t>
      </w:r>
      <w:r>
        <w:rPr>
          <w:rFonts w:hint="eastAsia" w:ascii="Times New Roman" w:hAnsi="Times New Roman" w:eastAsia="宋体" w:cs="Times New Roman"/>
          <w:sz w:val="28"/>
          <w:szCs w:val="28"/>
          <w:highlight w:val="none"/>
          <w:lang w:val="en-US" w:eastAsia="zh-CN"/>
          <w14:textOutline w14:w="5103" w14:cap="sq" w14:cmpd="sng">
            <w14:solidFill>
              <w14:srgbClr w14:val="000000"/>
            </w14:solidFill>
            <w14:prstDash w14:val="solid"/>
            <w14:bevel/>
          </w14:textOutline>
        </w:rPr>
        <w:t>现有工程</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概况</w:t>
      </w:r>
      <w:bookmarkEnd w:id="126"/>
      <w:bookmarkEnd w:id="127"/>
      <w:bookmarkEnd w:id="128"/>
    </w:p>
    <w:p>
      <w:pPr>
        <w:spacing w:before="75" w:line="403" w:lineRule="auto"/>
        <w:ind w:left="21" w:firstLine="481"/>
        <w:jc w:val="both"/>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工作制度</w:t>
      </w:r>
      <w:r>
        <w:rPr>
          <w:rFonts w:hint="eastAsia"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4"/>
          <w:sz w:val="23"/>
          <w:szCs w:val="23"/>
          <w:highlight w:val="none"/>
          <w:lang w:val="en-US" w:eastAsia="zh-CN"/>
        </w:rPr>
        <w:t>年工作 300 天</w:t>
      </w:r>
      <w:r>
        <w:rPr>
          <w:rFonts w:hint="eastAsia"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4"/>
          <w:sz w:val="23"/>
          <w:szCs w:val="23"/>
          <w:highlight w:val="none"/>
          <w:lang w:val="en-US" w:eastAsia="zh-CN"/>
        </w:rPr>
        <w:t>1# 3#生产线每天 3 班</w:t>
      </w:r>
      <w:r>
        <w:rPr>
          <w:rFonts w:hint="eastAsia"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4"/>
          <w:sz w:val="23"/>
          <w:szCs w:val="23"/>
          <w:highlight w:val="none"/>
          <w:lang w:val="en-US" w:eastAsia="zh-CN"/>
        </w:rPr>
        <w:t>每班8 小时工作制</w:t>
      </w:r>
      <w:r>
        <w:rPr>
          <w:rFonts w:hint="eastAsia"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4"/>
          <w:sz w:val="23"/>
          <w:szCs w:val="23"/>
          <w:highlight w:val="none"/>
          <w:lang w:val="en-US" w:eastAsia="zh-CN"/>
        </w:rPr>
        <w:t>4#~6#生产线每天 1班，每班 8 小时工作制，仅白天生产</w:t>
      </w:r>
      <w:r>
        <w:rPr>
          <w:rFonts w:hint="eastAsia" w:ascii="Times New Roman" w:hAnsi="Times New Roman" w:eastAsia="宋体" w:cs="Times New Roman"/>
          <w:spacing w:val="4"/>
          <w:sz w:val="23"/>
          <w:szCs w:val="23"/>
          <w:highlight w:val="none"/>
          <w:lang w:val="en-US" w:eastAsia="zh-CN"/>
        </w:rPr>
        <w:t>。</w:t>
      </w:r>
    </w:p>
    <w:p>
      <w:pPr>
        <w:spacing w:before="82" w:line="228" w:lineRule="auto"/>
        <w:outlineLvl w:val="2"/>
        <w:rPr>
          <w:rFonts w:hint="default" w:ascii="Times New Roman" w:hAnsi="Times New Roman" w:eastAsia="宋体" w:cs="Times New Roman"/>
          <w:sz w:val="23"/>
          <w:szCs w:val="23"/>
          <w:highlight w:val="none"/>
        </w:rPr>
      </w:pPr>
      <w:bookmarkStart w:id="129" w:name="_Toc13033"/>
      <w:bookmarkStart w:id="130" w:name="_Toc13364"/>
      <w:bookmarkStart w:id="131" w:name="_Toc29648"/>
      <w:r>
        <w:rPr>
          <w:rFonts w:hint="default" w:ascii="Times New Roman" w:hAnsi="Times New Roman" w:eastAsia="Times New Roman" w:cs="Times New Roman"/>
          <w:b/>
          <w:bCs/>
          <w:spacing w:val="9"/>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1</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1</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现有工程</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建设内容</w:t>
      </w:r>
      <w:bookmarkEnd w:id="129"/>
      <w:bookmarkEnd w:id="130"/>
      <w:bookmarkEnd w:id="131"/>
    </w:p>
    <w:p>
      <w:pPr>
        <w:tabs>
          <w:tab w:val="left" w:pos="242"/>
        </w:tabs>
        <w:spacing w:before="288" w:line="386" w:lineRule="auto"/>
        <w:ind w:left="115" w:right="106" w:firstLine="481"/>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3"/>
          <w:sz w:val="23"/>
          <w:szCs w:val="23"/>
          <w:highlight w:val="none"/>
          <w:lang w:val="en-US" w:eastAsia="zh-CN"/>
        </w:rPr>
        <w:t>现有工程</w:t>
      </w:r>
      <w:r>
        <w:rPr>
          <w:rFonts w:hint="default" w:ascii="Times New Roman" w:hAnsi="Times New Roman" w:eastAsia="宋体" w:cs="Times New Roman"/>
          <w:spacing w:val="3"/>
          <w:sz w:val="23"/>
          <w:szCs w:val="23"/>
          <w:highlight w:val="none"/>
        </w:rPr>
        <w:t xml:space="preserve">组成及内容详见表 </w:t>
      </w:r>
      <w:r>
        <w:rPr>
          <w:rFonts w:hint="default" w:ascii="Times New Roman" w:hAnsi="Times New Roman" w:eastAsia="Times New Roman" w:cs="Times New Roman"/>
          <w:spacing w:val="3"/>
          <w:sz w:val="23"/>
          <w:szCs w:val="23"/>
          <w:highlight w:val="none"/>
        </w:rPr>
        <w:t>3.</w:t>
      </w:r>
      <w:r>
        <w:rPr>
          <w:rFonts w:hint="eastAsia" w:ascii="Times New Roman" w:hAnsi="Times New Roman" w:eastAsia="宋体" w:cs="Times New Roman"/>
          <w:spacing w:val="3"/>
          <w:sz w:val="23"/>
          <w:szCs w:val="23"/>
          <w:highlight w:val="none"/>
          <w:lang w:val="en-US" w:eastAsia="zh-CN"/>
        </w:rPr>
        <w:t>1</w:t>
      </w:r>
      <w:r>
        <w:rPr>
          <w:rFonts w:hint="default" w:ascii="Times New Roman" w:hAnsi="Times New Roman" w:eastAsia="Times New Roman" w:cs="Times New Roman"/>
          <w:spacing w:val="3"/>
          <w:sz w:val="23"/>
          <w:szCs w:val="23"/>
          <w:highlight w:val="none"/>
        </w:rPr>
        <w:t>- 1</w:t>
      </w:r>
      <w:r>
        <w:rPr>
          <w:rFonts w:hint="default" w:ascii="Times New Roman" w:hAnsi="Times New Roman" w:eastAsia="宋体" w:cs="Times New Roman"/>
          <w:spacing w:val="3"/>
          <w:sz w:val="23"/>
          <w:szCs w:val="23"/>
          <w:highlight w:val="none"/>
        </w:rPr>
        <w:t>。</w:t>
      </w:r>
    </w:p>
    <w:p>
      <w:pPr>
        <w:spacing w:before="44" w:line="228" w:lineRule="auto"/>
        <w:ind w:left="213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2"/>
          <w:sz w:val="23"/>
          <w:szCs w:val="23"/>
          <w:highlight w:val="none"/>
        </w:rPr>
        <w:t xml:space="preserve"> </w:t>
      </w:r>
      <w:r>
        <w:rPr>
          <w:rFonts w:hint="default" w:ascii="Times New Roman" w:hAnsi="Times New Roman" w:eastAsia="Times New Roman" w:cs="Times New Roman"/>
          <w:b/>
          <w:bCs/>
          <w:spacing w:val="2"/>
          <w:sz w:val="23"/>
          <w:szCs w:val="23"/>
          <w:highlight w:val="none"/>
        </w:rPr>
        <w:t>3.</w:t>
      </w:r>
      <w:r>
        <w:rPr>
          <w:rFonts w:hint="eastAsia" w:ascii="Times New Roman" w:hAnsi="Times New Roman" w:eastAsia="宋体" w:cs="Times New Roman"/>
          <w:b/>
          <w:bCs/>
          <w:spacing w:val="2"/>
          <w:sz w:val="23"/>
          <w:szCs w:val="23"/>
          <w:highlight w:val="none"/>
          <w:lang w:val="en-US" w:eastAsia="zh-CN"/>
        </w:rPr>
        <w:t>1</w:t>
      </w:r>
      <w:r>
        <w:rPr>
          <w:rFonts w:hint="default" w:ascii="Times New Roman" w:hAnsi="Times New Roman" w:eastAsia="Times New Roman" w:cs="Times New Roman"/>
          <w:b/>
          <w:bCs/>
          <w:spacing w:val="2"/>
          <w:sz w:val="23"/>
          <w:szCs w:val="23"/>
          <w:highlight w:val="none"/>
        </w:rPr>
        <w:t>-1</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Times New Roman" w:cs="Times New Roman"/>
          <w:spacing w:val="1"/>
          <w:sz w:val="23"/>
          <w:szCs w:val="23"/>
          <w:highlight w:val="none"/>
        </w:rPr>
        <w:t xml:space="preserve"> </w:t>
      </w:r>
      <w:r>
        <w:rPr>
          <w:rFonts w:hint="eastAsia" w:ascii="Times New Roman" w:hAnsi="Times New Roman" w:eastAsia="宋体" w:cs="Times New Roman"/>
          <w:spacing w:val="1"/>
          <w:sz w:val="23"/>
          <w:szCs w:val="23"/>
          <w:highlight w:val="none"/>
          <w:lang w:val="en-US" w:eastAsia="zh-CN"/>
          <w14:textOutline w14:w="4358" w14:cap="sq" w14:cmpd="sng">
            <w14:solidFill>
              <w14:srgbClr w14:val="000000"/>
            </w14:solidFill>
            <w14:prstDash w14:val="solid"/>
            <w14:bevel/>
          </w14:textOutline>
        </w:rPr>
        <w:t>现有</w:t>
      </w:r>
      <w:r>
        <w:rPr>
          <w:rFonts w:hint="default" w:ascii="Times New Roman" w:hAnsi="Times New Roman" w:eastAsia="宋体" w:cs="Times New Roman"/>
          <w:spacing w:val="1"/>
          <w:sz w:val="23"/>
          <w:szCs w:val="23"/>
          <w:highlight w:val="none"/>
          <w14:textOutline w14:w="4358" w14:cap="sq" w14:cmpd="sng">
            <w14:solidFill>
              <w14:srgbClr w14:val="000000"/>
            </w14:solidFill>
            <w14:prstDash w14:val="solid"/>
            <w14:bevel/>
          </w14:textOutline>
        </w:rPr>
        <w:t>工程</w:t>
      </w:r>
      <w:r>
        <w:rPr>
          <w:rFonts w:hint="eastAsia" w:ascii="Times New Roman" w:hAnsi="Times New Roman" w:eastAsia="宋体" w:cs="Times New Roman"/>
          <w:spacing w:val="1"/>
          <w:sz w:val="23"/>
          <w:szCs w:val="23"/>
          <w:highlight w:val="none"/>
          <w:lang w:val="en-US" w:eastAsia="zh-CN"/>
          <w14:textOutline w14:w="4358" w14:cap="sq" w14:cmpd="sng">
            <w14:solidFill>
              <w14:srgbClr w14:val="000000"/>
            </w14:solidFill>
            <w14:prstDash w14:val="solid"/>
            <w14:bevel/>
          </w14:textOutline>
        </w:rPr>
        <w:t>项目</w:t>
      </w:r>
      <w:r>
        <w:rPr>
          <w:rFonts w:hint="default" w:ascii="Times New Roman" w:hAnsi="Times New Roman" w:eastAsia="宋体" w:cs="Times New Roman"/>
          <w:spacing w:val="1"/>
          <w:sz w:val="23"/>
          <w:szCs w:val="23"/>
          <w:highlight w:val="none"/>
          <w14:textOutline w14:w="4358" w14:cap="sq" w14:cmpd="sng">
            <w14:solidFill>
              <w14:srgbClr w14:val="000000"/>
            </w14:solidFill>
            <w14:prstDash w14:val="solid"/>
            <w14:bevel/>
          </w14:textOutline>
        </w:rPr>
        <w:t>组成一览表</w:t>
      </w:r>
    </w:p>
    <w:p>
      <w:pPr>
        <w:spacing w:line="21" w:lineRule="exact"/>
        <w:rPr>
          <w:rFonts w:hint="default" w:ascii="Times New Roman" w:hAnsi="Times New Roman" w:cs="Times New Roman"/>
          <w:highlight w:val="none"/>
        </w:rPr>
      </w:pPr>
    </w:p>
    <w:tbl>
      <w:tblPr>
        <w:tblStyle w:val="19"/>
        <w:tblW w:w="849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730"/>
        <w:gridCol w:w="847"/>
        <w:gridCol w:w="62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691" w:type="dxa"/>
            <w:tcBorders>
              <w:left w:val="single" w:color="000000" w:sz="10" w:space="0"/>
              <w:right w:val="single" w:color="000000" w:sz="4" w:space="0"/>
            </w:tcBorders>
            <w:vAlign w:val="top"/>
          </w:tcPr>
          <w:p>
            <w:pPr>
              <w:spacing w:before="101" w:line="319" w:lineRule="exact"/>
              <w:ind w:left="1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t>工</w:t>
            </w:r>
            <w:r>
              <w:rPr>
                <w:rFonts w:hint="default" w:ascii="Times New Roman" w:hAnsi="Times New Roman" w:eastAsia="宋体" w:cs="Times New Roman"/>
                <w:spacing w:val="4"/>
                <w:position w:val="8"/>
                <w:sz w:val="20"/>
                <w:szCs w:val="20"/>
                <w:highlight w:val="none"/>
                <w14:textOutline w14:w="3795" w14:cap="sq" w14:cmpd="sng">
                  <w14:solidFill>
                    <w14:srgbClr w14:val="000000"/>
                  </w14:solidFill>
                  <w14:prstDash w14:val="solid"/>
                  <w14:bevel/>
                </w14:textOutline>
              </w:rPr>
              <w:t>程</w:t>
            </w:r>
          </w:p>
          <w:p>
            <w:pPr>
              <w:spacing w:line="228" w:lineRule="auto"/>
              <w:ind w:left="1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类别</w:t>
            </w:r>
          </w:p>
        </w:tc>
        <w:tc>
          <w:tcPr>
            <w:tcW w:w="1577" w:type="dxa"/>
            <w:gridSpan w:val="2"/>
            <w:tcBorders>
              <w:left w:val="single" w:color="000000" w:sz="4" w:space="0"/>
              <w:right w:val="single" w:color="000000" w:sz="4" w:space="0"/>
            </w:tcBorders>
            <w:vAlign w:val="top"/>
          </w:tcPr>
          <w:p>
            <w:pPr>
              <w:spacing w:before="262" w:line="229" w:lineRule="auto"/>
              <w:ind w:left="3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工程名</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称</w:t>
            </w:r>
          </w:p>
        </w:tc>
        <w:tc>
          <w:tcPr>
            <w:tcW w:w="6231" w:type="dxa"/>
            <w:tcBorders>
              <w:left w:val="single" w:color="000000" w:sz="4" w:space="0"/>
              <w:right w:val="single" w:color="000000" w:sz="10" w:space="0"/>
            </w:tcBorders>
            <w:vAlign w:val="top"/>
          </w:tcPr>
          <w:p>
            <w:pPr>
              <w:spacing w:before="262" w:line="228" w:lineRule="auto"/>
              <w:ind w:left="269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工程内</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691" w:type="dxa"/>
            <w:vMerge w:val="restart"/>
            <w:tcBorders>
              <w:left w:val="single" w:color="000000" w:sz="10" w:space="0"/>
              <w:right w:val="single" w:color="000000" w:sz="4" w:space="0"/>
            </w:tcBorders>
            <w:vAlign w:val="center"/>
          </w:tcPr>
          <w:p>
            <w:pPr>
              <w:spacing w:before="95" w:line="322" w:lineRule="exact"/>
              <w:ind w:left="127"/>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t>主体</w:t>
            </w:r>
          </w:p>
          <w:p>
            <w:pPr>
              <w:spacing w:line="229" w:lineRule="auto"/>
              <w:ind w:left="128"/>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工</w:t>
            </w: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程</w:t>
            </w:r>
          </w:p>
        </w:tc>
        <w:tc>
          <w:tcPr>
            <w:tcW w:w="1577" w:type="dxa"/>
            <w:gridSpan w:val="2"/>
            <w:tcBorders>
              <w:left w:val="single" w:color="000000" w:sz="4" w:space="0"/>
              <w:right w:val="single" w:color="000000" w:sz="4" w:space="0"/>
            </w:tcBorders>
            <w:vAlign w:val="center"/>
          </w:tcPr>
          <w:p>
            <w:pPr>
              <w:spacing w:before="94" w:line="263" w:lineRule="auto"/>
              <w:ind w:left="470" w:right="265" w:hanging="213"/>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铁矿石处</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理</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生产线</w:t>
            </w:r>
          </w:p>
        </w:tc>
        <w:tc>
          <w:tcPr>
            <w:tcW w:w="6231" w:type="dxa"/>
            <w:tcBorders>
              <w:left w:val="single" w:color="000000" w:sz="4" w:space="0"/>
              <w:right w:val="single" w:color="000000" w:sz="10" w:space="0"/>
            </w:tcBorders>
            <w:vAlign w:val="center"/>
          </w:tcPr>
          <w:p>
            <w:pPr>
              <w:spacing w:before="94" w:line="263" w:lineRule="auto"/>
              <w:ind w:left="106" w:right="26"/>
              <w:jc w:val="both"/>
              <w:rPr>
                <w:rFonts w:hint="default"/>
                <w:sz w:val="20"/>
                <w:szCs w:val="20"/>
                <w:highlight w:val="none"/>
                <w:lang w:val="en-US"/>
              </w:rPr>
            </w:pPr>
            <w:r>
              <w:rPr>
                <w:rFonts w:hint="default" w:ascii="Times New Roman" w:hAnsi="Times New Roman" w:cs="Times New Roman"/>
                <w:sz w:val="20"/>
                <w:szCs w:val="20"/>
                <w:highlight w:val="none"/>
              </w:rPr>
              <w:t>公司</w:t>
            </w:r>
            <w:r>
              <w:rPr>
                <w:rFonts w:hint="default" w:ascii="Times New Roman" w:hAnsi="Times New Roman" w:cs="Times New Roman"/>
                <w:sz w:val="20"/>
                <w:szCs w:val="20"/>
                <w:highlight w:val="none"/>
                <w:lang w:val="en-US" w:eastAsia="zh-CN"/>
              </w:rPr>
              <w:t>厂区分为东、西两个生产装置区，每个生产装置区各设3条生产线，其中西部生产区设1#、2#、3#生产线，1#、2#生产线主要对矿石进行破碎、干选，3#生产线主要进行破碎、粗选；东部生产区设4#、5#、6#生产线，4#、5#生产线主要对矿石进行破碎、干选，6#生产线主要进行破碎、粗选。</w:t>
            </w:r>
            <w:r>
              <w:rPr>
                <w:rFonts w:hint="default" w:ascii="Times New Roman" w:hAnsi="Times New Roman" w:eastAsia="宋体" w:cs="Times New Roman"/>
                <w:spacing w:val="6"/>
                <w:sz w:val="20"/>
                <w:szCs w:val="20"/>
                <w:highlight w:val="none"/>
                <w:lang w:val="en-US" w:eastAsia="zh-CN"/>
              </w:rPr>
              <w:t>共设有4座生产车间，其中</w:t>
            </w:r>
            <w:r>
              <w:rPr>
                <w:rFonts w:hint="default" w:ascii="Times New Roman" w:hAnsi="Times New Roman" w:eastAsia="宋体" w:cs="Times New Roman"/>
                <w:spacing w:val="6"/>
                <w:sz w:val="20"/>
                <w:szCs w:val="20"/>
                <w:highlight w:val="none"/>
                <w:lang w:val="en-US"/>
              </w:rPr>
              <w:t>1号生产车间</w:t>
            </w:r>
            <w:r>
              <w:rPr>
                <w:rFonts w:hint="default" w:ascii="Times New Roman" w:hAnsi="Times New Roman" w:eastAsia="宋体" w:cs="Times New Roman"/>
                <w:spacing w:val="6"/>
                <w:sz w:val="20"/>
                <w:szCs w:val="20"/>
                <w:highlight w:val="none"/>
                <w:lang w:val="en-US" w:eastAsia="zh-CN"/>
              </w:rPr>
              <w:t>：</w:t>
            </w:r>
            <w:r>
              <w:rPr>
                <w:rFonts w:hint="default" w:ascii="Times New Roman" w:hAnsi="Times New Roman" w:eastAsia="宋体" w:cs="Times New Roman"/>
                <w:spacing w:val="6"/>
                <w:sz w:val="20"/>
                <w:szCs w:val="20"/>
                <w:highlight w:val="none"/>
                <w:lang w:val="en-US"/>
              </w:rPr>
              <w:t xml:space="preserve"> 规格为</w:t>
            </w:r>
            <w:r>
              <w:rPr>
                <w:rFonts w:hint="eastAsia" w:ascii="Times New Roman" w:hAnsi="Times New Roman" w:eastAsia="宋体" w:cs="Times New Roman"/>
                <w:spacing w:val="6"/>
                <w:sz w:val="20"/>
                <w:szCs w:val="20"/>
                <w:highlight w:val="none"/>
                <w:lang w:val="en-US" w:eastAsia="zh-CN"/>
              </w:rPr>
              <w:t>80</w:t>
            </w:r>
            <w:r>
              <w:rPr>
                <w:rFonts w:hint="default" w:ascii="Times New Roman" w:hAnsi="Times New Roman" w:eastAsia="宋体" w:cs="Times New Roman"/>
                <w:spacing w:val="6"/>
                <w:sz w:val="20"/>
                <w:szCs w:val="20"/>
                <w:highlight w:val="none"/>
                <w:lang w:val="en-US"/>
              </w:rPr>
              <w:t>m*</w:t>
            </w:r>
            <w:r>
              <w:rPr>
                <w:rFonts w:hint="eastAsia" w:ascii="Times New Roman" w:hAnsi="Times New Roman" w:eastAsia="宋体" w:cs="Times New Roman"/>
                <w:spacing w:val="6"/>
                <w:sz w:val="20"/>
                <w:szCs w:val="20"/>
                <w:highlight w:val="none"/>
                <w:lang w:val="en-US" w:eastAsia="zh-CN"/>
              </w:rPr>
              <w:t>60</w:t>
            </w:r>
            <w:r>
              <w:rPr>
                <w:rFonts w:hint="default" w:ascii="Times New Roman" w:hAnsi="Times New Roman" w:eastAsia="宋体" w:cs="Times New Roman"/>
                <w:spacing w:val="6"/>
                <w:sz w:val="20"/>
                <w:szCs w:val="20"/>
                <w:highlight w:val="none"/>
                <w:lang w:val="en-US"/>
              </w:rPr>
              <w:t>m*1</w:t>
            </w:r>
            <w:r>
              <w:rPr>
                <w:rFonts w:hint="eastAsia" w:ascii="Times New Roman" w:hAnsi="Times New Roman" w:eastAsia="宋体" w:cs="Times New Roman"/>
                <w:spacing w:val="6"/>
                <w:sz w:val="20"/>
                <w:szCs w:val="20"/>
                <w:highlight w:val="none"/>
                <w:lang w:val="en-US" w:eastAsia="zh-CN"/>
              </w:rPr>
              <w:t>2.4</w:t>
            </w:r>
            <w:r>
              <w:rPr>
                <w:rFonts w:hint="default" w:ascii="Times New Roman" w:hAnsi="Times New Roman" w:eastAsia="宋体" w:cs="Times New Roman"/>
                <w:spacing w:val="6"/>
                <w:sz w:val="20"/>
                <w:szCs w:val="20"/>
                <w:highlight w:val="none"/>
                <w:lang w:val="en-US"/>
              </w:rPr>
              <w:t>m，2号生产车间</w:t>
            </w:r>
            <w:r>
              <w:rPr>
                <w:rFonts w:hint="default" w:ascii="Times New Roman" w:hAnsi="Times New Roman" w:eastAsia="宋体" w:cs="Times New Roman"/>
                <w:spacing w:val="6"/>
                <w:sz w:val="20"/>
                <w:szCs w:val="20"/>
                <w:highlight w:val="none"/>
                <w:lang w:val="en-US" w:eastAsia="zh-CN"/>
              </w:rPr>
              <w:t>：</w:t>
            </w:r>
            <w:r>
              <w:rPr>
                <w:rFonts w:hint="default" w:ascii="Times New Roman" w:hAnsi="Times New Roman" w:eastAsia="宋体" w:cs="Times New Roman"/>
                <w:spacing w:val="6"/>
                <w:sz w:val="20"/>
                <w:szCs w:val="20"/>
                <w:highlight w:val="none"/>
                <w:lang w:val="en-US"/>
              </w:rPr>
              <w:t>规格为20m*15m*</w:t>
            </w:r>
            <w:r>
              <w:rPr>
                <w:rFonts w:hint="eastAsia" w:ascii="Times New Roman" w:hAnsi="Times New Roman" w:eastAsia="宋体" w:cs="Times New Roman"/>
                <w:spacing w:val="6"/>
                <w:sz w:val="20"/>
                <w:szCs w:val="20"/>
                <w:highlight w:val="none"/>
                <w:lang w:val="en-US" w:eastAsia="zh-CN"/>
              </w:rPr>
              <w:t>12.4</w:t>
            </w:r>
            <w:r>
              <w:rPr>
                <w:rFonts w:hint="default" w:ascii="Times New Roman" w:hAnsi="Times New Roman" w:eastAsia="宋体" w:cs="Times New Roman"/>
                <w:spacing w:val="6"/>
                <w:sz w:val="20"/>
                <w:szCs w:val="20"/>
                <w:highlight w:val="none"/>
                <w:lang w:val="en-US"/>
              </w:rPr>
              <w:t>m，3号生产车间</w:t>
            </w:r>
            <w:r>
              <w:rPr>
                <w:rFonts w:hint="default" w:ascii="Times New Roman" w:hAnsi="Times New Roman" w:eastAsia="宋体" w:cs="Times New Roman"/>
                <w:spacing w:val="6"/>
                <w:sz w:val="20"/>
                <w:szCs w:val="20"/>
                <w:highlight w:val="none"/>
                <w:lang w:val="en-US" w:eastAsia="zh-CN"/>
              </w:rPr>
              <w:t>：</w:t>
            </w:r>
            <w:r>
              <w:rPr>
                <w:rFonts w:hint="default" w:ascii="Times New Roman" w:hAnsi="Times New Roman" w:eastAsia="宋体" w:cs="Times New Roman"/>
                <w:spacing w:val="6"/>
                <w:sz w:val="20"/>
                <w:szCs w:val="20"/>
                <w:highlight w:val="none"/>
                <w:lang w:val="en-US"/>
              </w:rPr>
              <w:t>规格为60m*14.6m*12.4m，4号生产车间</w:t>
            </w:r>
            <w:r>
              <w:rPr>
                <w:rFonts w:hint="default" w:ascii="Times New Roman" w:hAnsi="Times New Roman" w:eastAsia="宋体" w:cs="Times New Roman"/>
                <w:spacing w:val="6"/>
                <w:sz w:val="20"/>
                <w:szCs w:val="20"/>
                <w:highlight w:val="none"/>
                <w:lang w:val="en-US" w:eastAsia="zh-CN"/>
              </w:rPr>
              <w:t>：</w:t>
            </w:r>
            <w:r>
              <w:rPr>
                <w:rFonts w:hint="default" w:ascii="Times New Roman" w:hAnsi="Times New Roman" w:eastAsia="宋体" w:cs="Times New Roman"/>
                <w:spacing w:val="6"/>
                <w:sz w:val="20"/>
                <w:szCs w:val="20"/>
                <w:highlight w:val="none"/>
                <w:lang w:val="en-US"/>
              </w:rPr>
              <w:t>规格为60m*14.6m*12.4</w:t>
            </w:r>
            <w:r>
              <w:rPr>
                <w:rFonts w:hint="eastAsia" w:ascii="Times New Roman" w:hAnsi="Times New Roman" w:eastAsia="宋体" w:cs="Times New Roman"/>
                <w:spacing w:val="6"/>
                <w:sz w:val="20"/>
                <w:szCs w:val="20"/>
                <w:highlight w:val="none"/>
                <w:lang w:val="en-US" w:eastAsia="zh-CN"/>
              </w:rPr>
              <w:t>m</w:t>
            </w:r>
            <w:r>
              <w:rPr>
                <w:rFonts w:hint="default" w:ascii="Times New Roman" w:hAnsi="Times New Roman" w:eastAsia="宋体" w:cs="Times New Roman"/>
                <w:spacing w:val="6"/>
                <w:sz w:val="20"/>
                <w:szCs w:val="20"/>
                <w:highlight w:val="none"/>
                <w:lang w:val="en-US"/>
              </w:rPr>
              <w:t>，</w:t>
            </w:r>
            <w:r>
              <w:rPr>
                <w:rFonts w:hint="eastAsia" w:ascii="Times New Roman" w:hAnsi="Times New Roman" w:eastAsia="宋体" w:cs="Times New Roman"/>
                <w:spacing w:val="6"/>
                <w:sz w:val="20"/>
                <w:szCs w:val="20"/>
                <w:highlight w:val="none"/>
                <w:lang w:val="en-US" w:eastAsia="zh-CN"/>
              </w:rPr>
              <w:t>均为</w:t>
            </w:r>
            <w:r>
              <w:rPr>
                <w:rFonts w:hint="default" w:ascii="Times New Roman" w:hAnsi="Times New Roman" w:eastAsia="宋体" w:cs="Times New Roman"/>
                <w:spacing w:val="6"/>
                <w:sz w:val="20"/>
                <w:szCs w:val="20"/>
                <w:highlight w:val="none"/>
                <w:lang w:val="en-US"/>
              </w:rPr>
              <w:t>双层夹芯彩钢结构。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1" w:type="dxa"/>
            <w:vMerge w:val="restart"/>
            <w:tcBorders>
              <w:left w:val="single" w:color="000000" w:sz="10" w:space="0"/>
              <w:bottom w:val="nil"/>
              <w:right w:val="single" w:color="000000" w:sz="4" w:space="0"/>
            </w:tcBorders>
            <w:vAlign w:val="top"/>
          </w:tcPr>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250" w:lineRule="auto"/>
              <w:rPr>
                <w:rFonts w:hint="default" w:ascii="Times New Roman" w:hAnsi="Times New Roman" w:cs="Times New Roman"/>
                <w:sz w:val="21"/>
                <w:highlight w:val="none"/>
              </w:rPr>
            </w:pPr>
          </w:p>
          <w:p>
            <w:pPr>
              <w:spacing w:line="250" w:lineRule="auto"/>
              <w:rPr>
                <w:rFonts w:hint="default" w:ascii="Times New Roman" w:hAnsi="Times New Roman" w:cs="Times New Roman"/>
                <w:sz w:val="21"/>
                <w:highlight w:val="none"/>
              </w:rPr>
            </w:pPr>
          </w:p>
          <w:p>
            <w:pPr>
              <w:spacing w:before="65" w:line="321" w:lineRule="exact"/>
              <w:ind w:left="12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t>辅助</w:t>
            </w:r>
          </w:p>
          <w:p>
            <w:pPr>
              <w:spacing w:line="229" w:lineRule="auto"/>
              <w:ind w:left="1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工</w:t>
            </w: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程</w:t>
            </w:r>
          </w:p>
        </w:tc>
        <w:tc>
          <w:tcPr>
            <w:tcW w:w="1577" w:type="dxa"/>
            <w:gridSpan w:val="2"/>
            <w:tcBorders>
              <w:left w:val="single" w:color="000000" w:sz="4" w:space="0"/>
              <w:right w:val="single" w:color="000000" w:sz="4" w:space="0"/>
            </w:tcBorders>
            <w:vAlign w:val="center"/>
          </w:tcPr>
          <w:p>
            <w:pPr>
              <w:spacing w:before="256" w:line="228" w:lineRule="auto"/>
              <w:ind w:left="368"/>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办公用房</w:t>
            </w:r>
          </w:p>
        </w:tc>
        <w:tc>
          <w:tcPr>
            <w:tcW w:w="6231" w:type="dxa"/>
            <w:tcBorders>
              <w:left w:val="single" w:color="000000" w:sz="4" w:space="0"/>
              <w:right w:val="single" w:color="000000" w:sz="10" w:space="0"/>
            </w:tcBorders>
            <w:vAlign w:val="center"/>
          </w:tcPr>
          <w:p>
            <w:pPr>
              <w:spacing w:before="94" w:line="263" w:lineRule="auto"/>
              <w:ind w:left="106" w:right="26"/>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办公辅助设施：规格为</w:t>
            </w:r>
            <w:r>
              <w:rPr>
                <w:rFonts w:hint="default" w:ascii="Times New Roman" w:hAnsi="Times New Roman" w:eastAsia="Times New Roman" w:cs="Times New Roman"/>
                <w:spacing w:val="5"/>
                <w:sz w:val="20"/>
                <w:szCs w:val="20"/>
                <w:highlight w:val="none"/>
              </w:rPr>
              <w:t>42</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*3</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 xml:space="preserve"> </w:t>
            </w:r>
            <w:r>
              <w:rPr>
                <w:rFonts w:hint="default" w:ascii="Times New Roman" w:hAnsi="Times New Roman" w:eastAsia="宋体" w:cs="Times New Roman"/>
                <w:spacing w:val="5"/>
                <w:sz w:val="20"/>
                <w:szCs w:val="20"/>
                <w:highlight w:val="none"/>
              </w:rPr>
              <w:t>，砖混结构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691" w:type="dxa"/>
            <w:vMerge w:val="continue"/>
            <w:tcBorders>
              <w:top w:val="nil"/>
              <w:left w:val="single" w:color="000000" w:sz="10" w:space="0"/>
              <w:bottom w:val="nil"/>
              <w:right w:val="single" w:color="000000" w:sz="4" w:space="0"/>
            </w:tcBorders>
            <w:vAlign w:val="top"/>
          </w:tcPr>
          <w:p>
            <w:pPr>
              <w:rPr>
                <w:rFonts w:hint="default" w:ascii="Times New Roman" w:hAnsi="Times New Roman" w:cs="Times New Roman"/>
                <w:sz w:val="21"/>
                <w:highlight w:val="none"/>
              </w:rPr>
            </w:pPr>
          </w:p>
        </w:tc>
        <w:tc>
          <w:tcPr>
            <w:tcW w:w="1577" w:type="dxa"/>
            <w:gridSpan w:val="2"/>
            <w:vMerge w:val="restart"/>
            <w:tcBorders>
              <w:left w:val="single" w:color="000000" w:sz="4" w:space="0"/>
              <w:bottom w:val="nil"/>
              <w:right w:val="single" w:color="000000" w:sz="4" w:space="0"/>
            </w:tcBorders>
            <w:vAlign w:val="top"/>
          </w:tcPr>
          <w:p>
            <w:pPr>
              <w:spacing w:line="272" w:lineRule="auto"/>
              <w:rPr>
                <w:rFonts w:hint="default" w:ascii="Times New Roman" w:hAnsi="Times New Roman" w:cs="Times New Roman"/>
                <w:sz w:val="21"/>
                <w:highlight w:val="none"/>
              </w:rPr>
            </w:pPr>
          </w:p>
          <w:p>
            <w:pPr>
              <w:spacing w:line="272" w:lineRule="auto"/>
              <w:rPr>
                <w:rFonts w:hint="default" w:ascii="Times New Roman" w:hAnsi="Times New Roman" w:cs="Times New Roman"/>
                <w:sz w:val="21"/>
                <w:highlight w:val="none"/>
              </w:rPr>
            </w:pPr>
          </w:p>
          <w:p>
            <w:pPr>
              <w:spacing w:line="273" w:lineRule="auto"/>
              <w:rPr>
                <w:rFonts w:hint="default" w:ascii="Times New Roman" w:hAnsi="Times New Roman" w:cs="Times New Roman"/>
                <w:sz w:val="21"/>
                <w:highlight w:val="none"/>
              </w:rPr>
            </w:pPr>
          </w:p>
          <w:p>
            <w:pPr>
              <w:spacing w:before="65" w:line="229" w:lineRule="auto"/>
              <w:ind w:left="36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储运工</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程</w:t>
            </w:r>
          </w:p>
        </w:tc>
        <w:tc>
          <w:tcPr>
            <w:tcW w:w="6231" w:type="dxa"/>
            <w:tcBorders>
              <w:left w:val="single" w:color="000000" w:sz="4" w:space="0"/>
              <w:right w:val="single" w:color="000000" w:sz="10" w:space="0"/>
            </w:tcBorders>
            <w:vAlign w:val="top"/>
          </w:tcPr>
          <w:p>
            <w:pPr>
              <w:spacing w:before="94" w:line="263" w:lineRule="auto"/>
              <w:ind w:left="106" w:right="26"/>
              <w:jc w:val="both"/>
              <w:rPr>
                <w:rFonts w:hint="default" w:ascii="Times New Roman" w:hAnsi="Times New Roman" w:eastAsia="宋体" w:cs="Times New Roman"/>
                <w:sz w:val="20"/>
                <w:szCs w:val="20"/>
                <w:highlight w:val="none"/>
              </w:rPr>
            </w:pPr>
            <w:r>
              <w:rPr>
                <w:rFonts w:hint="eastAsia" w:ascii="Times New Roman" w:eastAsia="宋体" w:cs="Times New Roman"/>
                <w:sz w:val="20"/>
                <w:szCs w:val="20"/>
                <w:highlight w:val="none"/>
                <w:lang w:val="en-US" w:eastAsia="zh-CN"/>
              </w:rPr>
              <w:t>设有三面围挡带顶</w:t>
            </w:r>
            <w:r>
              <w:rPr>
                <w:rFonts w:ascii="Times New Roman" w:eastAsia="宋体" w:cs="Times New Roman"/>
                <w:sz w:val="20"/>
                <w:szCs w:val="20"/>
                <w:highlight w:val="none"/>
              </w:rPr>
              <w:t>，</w:t>
            </w:r>
            <w:r>
              <w:rPr>
                <w:rFonts w:hint="eastAsia" w:ascii="Times New Roman" w:eastAsia="宋体" w:cs="Times New Roman"/>
                <w:sz w:val="20"/>
                <w:szCs w:val="20"/>
                <w:highlight w:val="none"/>
                <w:lang w:val="en-US" w:eastAsia="zh-CN"/>
              </w:rPr>
              <w:t>进深不小于8米的原料棚2座</w:t>
            </w:r>
            <w:r>
              <w:rPr>
                <w:rFonts w:hint="eastAsia" w:ascii="Times New Roman" w:eastAsia="宋体" w:cs="Times New Roman"/>
                <w:sz w:val="20"/>
                <w:szCs w:val="20"/>
                <w:highlight w:val="none"/>
              </w:rPr>
              <w:t>，</w:t>
            </w:r>
            <w:r>
              <w:rPr>
                <w:rFonts w:hint="eastAsia" w:ascii="Times New Roman" w:eastAsia="宋体" w:cs="Times New Roman"/>
                <w:sz w:val="20"/>
                <w:szCs w:val="20"/>
                <w:highlight w:val="none"/>
                <w:lang w:val="en-US" w:eastAsia="zh-CN"/>
              </w:rPr>
              <w:t>受料仓位于原料棚内，受料仓上方设喷雾抑尘装置；</w:t>
            </w:r>
            <w:r>
              <w:rPr>
                <w:rFonts w:hint="default" w:ascii="Times New Roman" w:hAnsi="Times New Roman" w:cs="Times New Roman"/>
                <w:sz w:val="20"/>
                <w:szCs w:val="20"/>
                <w:highlight w:val="none"/>
                <w:lang w:val="en-US" w:eastAsia="zh-CN"/>
              </w:rPr>
              <w:t>砂石料库</w:t>
            </w:r>
            <w:r>
              <w:rPr>
                <w:rFonts w:hint="eastAsia" w:ascii="Times New Roman" w:hAnsi="Times New Roman" w:cs="Times New Roman"/>
                <w:sz w:val="20"/>
                <w:szCs w:val="20"/>
                <w:highlight w:val="none"/>
                <w:lang w:val="en-US" w:eastAsia="zh-CN"/>
              </w:rPr>
              <w:t>：</w:t>
            </w:r>
            <w:r>
              <w:rPr>
                <w:rFonts w:hint="default" w:ascii="Times New Roman" w:hAnsi="Times New Roman" w:cs="Times New Roman"/>
                <w:sz w:val="20"/>
                <w:szCs w:val="20"/>
                <w:highlight w:val="none"/>
                <w:lang w:val="en-US" w:eastAsia="zh-CN"/>
              </w:rPr>
              <w:t>规格为</w:t>
            </w:r>
            <w:r>
              <w:rPr>
                <w:rFonts w:hint="eastAsia" w:ascii="Times New Roman" w:hAnsi="Times New Roman" w:cs="Times New Roman"/>
                <w:sz w:val="20"/>
                <w:szCs w:val="20"/>
                <w:highlight w:val="none"/>
                <w:lang w:val="en-US" w:eastAsia="zh-CN"/>
              </w:rPr>
              <w:t>90</w:t>
            </w:r>
            <w:r>
              <w:rPr>
                <w:rFonts w:hint="default" w:ascii="Times New Roman" w:hAnsi="Times New Roman" w:cs="Times New Roman"/>
                <w:sz w:val="20"/>
                <w:szCs w:val="20"/>
                <w:highlight w:val="none"/>
                <w:lang w:val="en-US" w:eastAsia="zh-CN"/>
              </w:rPr>
              <w:t>m*75m*12m，单层彩钢结构</w:t>
            </w:r>
            <w:r>
              <w:rPr>
                <w:rFonts w:hint="eastAsia" w:ascii="Times New Roman" w:hAnsi="Times New Roman" w:cs="Times New Roman"/>
                <w:sz w:val="20"/>
                <w:szCs w:val="20"/>
                <w:highlight w:val="none"/>
                <w:lang w:val="en-US" w:eastAsia="zh-CN"/>
              </w:rPr>
              <w:t>；</w:t>
            </w:r>
            <w:r>
              <w:rPr>
                <w:rFonts w:hint="default" w:ascii="Times New Roman" w:hAnsi="Times New Roman" w:cs="Times New Roman"/>
                <w:sz w:val="20"/>
                <w:szCs w:val="20"/>
                <w:highlight w:val="none"/>
                <w:lang w:val="en-US" w:eastAsia="zh-CN"/>
              </w:rPr>
              <w:t>成品库</w:t>
            </w:r>
            <w:r>
              <w:rPr>
                <w:rFonts w:hint="eastAsia" w:ascii="Times New Roman" w:hAnsi="Times New Roman" w:cs="Times New Roman"/>
                <w:sz w:val="20"/>
                <w:szCs w:val="20"/>
                <w:highlight w:val="none"/>
                <w:lang w:val="en-US" w:eastAsia="zh-CN"/>
              </w:rPr>
              <w:t>：</w:t>
            </w:r>
            <w:r>
              <w:rPr>
                <w:rFonts w:hint="default" w:ascii="Times New Roman" w:hAnsi="Times New Roman" w:cs="Times New Roman"/>
                <w:sz w:val="20"/>
                <w:szCs w:val="20"/>
                <w:highlight w:val="none"/>
                <w:lang w:val="en-US" w:eastAsia="zh-CN"/>
              </w:rPr>
              <w:t xml:space="preserve">规格为60m* </w:t>
            </w:r>
            <w:r>
              <w:rPr>
                <w:rFonts w:hint="eastAsia" w:ascii="Times New Roman" w:hAnsi="Times New Roman" w:cs="Times New Roman"/>
                <w:sz w:val="20"/>
                <w:szCs w:val="20"/>
                <w:highlight w:val="none"/>
                <w:lang w:val="en-US" w:eastAsia="zh-CN"/>
              </w:rPr>
              <w:t>30</w:t>
            </w:r>
            <w:r>
              <w:rPr>
                <w:rFonts w:hint="default" w:ascii="Times New Roman" w:hAnsi="Times New Roman" w:cs="Times New Roman"/>
                <w:sz w:val="20"/>
                <w:szCs w:val="20"/>
                <w:highlight w:val="none"/>
                <w:lang w:val="en-US" w:eastAsia="zh-CN"/>
              </w:rPr>
              <w:t xml:space="preserve"> m*12m，单层彩钢结构，内设成品区、中转区</w:t>
            </w:r>
            <w:r>
              <w:rPr>
                <w:rFonts w:hint="eastAsia" w:ascii="Times New Roman" w:hAnsi="Times New Roman" w:cs="Times New Roman"/>
                <w:sz w:val="20"/>
                <w:szCs w:val="20"/>
                <w:highlight w:val="none"/>
                <w:lang w:val="en-US" w:eastAsia="zh-CN"/>
              </w:rPr>
              <w:t>；</w:t>
            </w:r>
            <w:r>
              <w:rPr>
                <w:rFonts w:hint="default" w:ascii="Times New Roman" w:hAnsi="Times New Roman" w:cs="Times New Roman"/>
                <w:sz w:val="20"/>
                <w:szCs w:val="20"/>
                <w:highlight w:val="none"/>
                <w:lang w:val="en-US" w:eastAsia="zh-CN"/>
              </w:rPr>
              <w:t>中转库</w:t>
            </w:r>
            <w:r>
              <w:rPr>
                <w:rFonts w:hint="eastAsia" w:ascii="Times New Roman" w:hAnsi="Times New Roman" w:cs="Times New Roman"/>
                <w:sz w:val="20"/>
                <w:szCs w:val="20"/>
                <w:highlight w:val="none"/>
                <w:lang w:val="en-US" w:eastAsia="zh-CN"/>
              </w:rPr>
              <w:t>：</w:t>
            </w:r>
            <w:r>
              <w:rPr>
                <w:rFonts w:hint="default" w:ascii="Times New Roman" w:hAnsi="Times New Roman" w:cs="Times New Roman"/>
                <w:sz w:val="20"/>
                <w:szCs w:val="20"/>
                <w:highlight w:val="none"/>
                <w:lang w:val="en-US" w:eastAsia="zh-CN"/>
              </w:rPr>
              <w:t>规格为10m*8m*5m，单层彩钢结构</w:t>
            </w:r>
            <w:r>
              <w:rPr>
                <w:rFonts w:hint="eastAsia" w:ascii="Times New Roman" w:hAnsi="Times New Roman" w:cs="Times New Roman"/>
                <w:sz w:val="20"/>
                <w:szCs w:val="20"/>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691" w:type="dxa"/>
            <w:vMerge w:val="continue"/>
            <w:tcBorders>
              <w:top w:val="nil"/>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1577" w:type="dxa"/>
            <w:gridSpan w:val="2"/>
            <w:vMerge w:val="continue"/>
            <w:tcBorders>
              <w:top w:val="nil"/>
              <w:left w:val="single" w:color="000000" w:sz="4" w:space="0"/>
              <w:right w:val="single" w:color="000000" w:sz="4" w:space="0"/>
            </w:tcBorders>
            <w:vAlign w:val="top"/>
          </w:tcPr>
          <w:p>
            <w:pPr>
              <w:rPr>
                <w:rFonts w:hint="default" w:ascii="Times New Roman" w:hAnsi="Times New Roman" w:cs="Times New Roman"/>
                <w:sz w:val="21"/>
                <w:highlight w:val="none"/>
              </w:rPr>
            </w:pPr>
          </w:p>
        </w:tc>
        <w:tc>
          <w:tcPr>
            <w:tcW w:w="6231" w:type="dxa"/>
            <w:tcBorders>
              <w:left w:val="single" w:color="000000" w:sz="4" w:space="0"/>
              <w:right w:val="single" w:color="000000" w:sz="10" w:space="0"/>
            </w:tcBorders>
            <w:vAlign w:val="top"/>
          </w:tcPr>
          <w:p>
            <w:pPr>
              <w:spacing w:before="53" w:line="275" w:lineRule="auto"/>
              <w:ind w:left="104" w:right="65" w:firstLine="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4"/>
                <w:sz w:val="20"/>
                <w:szCs w:val="20"/>
                <w:highlight w:val="none"/>
              </w:rPr>
              <w:t>危废</w:t>
            </w:r>
            <w:r>
              <w:rPr>
                <w:rFonts w:hint="default" w:ascii="Times New Roman" w:hAnsi="Times New Roman" w:eastAsia="宋体" w:cs="Times New Roman"/>
                <w:spacing w:val="12"/>
                <w:sz w:val="20"/>
                <w:szCs w:val="20"/>
                <w:highlight w:val="none"/>
              </w:rPr>
              <w:t>间</w:t>
            </w:r>
            <w:r>
              <w:rPr>
                <w:rFonts w:hint="default" w:ascii="Times New Roman" w:hAnsi="Times New Roman" w:eastAsia="宋体" w:cs="Times New Roman"/>
                <w:spacing w:val="7"/>
                <w:sz w:val="20"/>
                <w:szCs w:val="20"/>
                <w:highlight w:val="none"/>
              </w:rPr>
              <w:t>：</w:t>
            </w:r>
            <w:r>
              <w:rPr>
                <w:rFonts w:hint="default" w:ascii="Times New Roman" w:hAnsi="Times New Roman" w:eastAsia="Times New Roman" w:cs="Times New Roman"/>
                <w:spacing w:val="7"/>
                <w:sz w:val="20"/>
                <w:szCs w:val="20"/>
                <w:highlight w:val="none"/>
              </w:rPr>
              <w:t>1#</w:t>
            </w:r>
            <w:r>
              <w:rPr>
                <w:rFonts w:hint="eastAsia" w:ascii="Times New Roman" w:hAnsi="Times New Roman" w:eastAsia="宋体" w:cs="Times New Roman"/>
                <w:spacing w:val="7"/>
                <w:sz w:val="20"/>
                <w:szCs w:val="20"/>
                <w:highlight w:val="none"/>
                <w:lang w:val="en-US" w:eastAsia="zh-CN"/>
              </w:rPr>
              <w:t>生产</w:t>
            </w:r>
            <w:r>
              <w:rPr>
                <w:rFonts w:hint="default" w:ascii="Times New Roman" w:hAnsi="Times New Roman" w:eastAsia="宋体" w:cs="Times New Roman"/>
                <w:spacing w:val="7"/>
                <w:sz w:val="20"/>
                <w:szCs w:val="20"/>
                <w:highlight w:val="none"/>
              </w:rPr>
              <w:t>车间内西北角设</w:t>
            </w:r>
            <w:r>
              <w:rPr>
                <w:rFonts w:hint="eastAsia" w:ascii="Times New Roman" w:hAnsi="Times New Roman" w:eastAsia="宋体" w:cs="Times New Roman"/>
                <w:spacing w:val="7"/>
                <w:sz w:val="20"/>
                <w:szCs w:val="20"/>
                <w:highlight w:val="none"/>
                <w:lang w:val="en-US" w:eastAsia="zh-CN"/>
              </w:rPr>
              <w:t>有</w:t>
            </w:r>
            <w:r>
              <w:rPr>
                <w:rFonts w:hint="default" w:ascii="Times New Roman" w:hAnsi="Times New Roman" w:eastAsia="宋体" w:cs="Times New Roman"/>
                <w:spacing w:val="7"/>
                <w:sz w:val="20"/>
                <w:szCs w:val="20"/>
                <w:highlight w:val="none"/>
              </w:rPr>
              <w:t>一座危废间，规格为</w:t>
            </w:r>
            <w:r>
              <w:rPr>
                <w:rFonts w:hint="eastAsia" w:ascii="Times New Roman" w:hAnsi="Times New Roman" w:eastAsia="宋体" w:cs="Times New Roman"/>
                <w:spacing w:val="7"/>
                <w:sz w:val="20"/>
                <w:szCs w:val="20"/>
                <w:highlight w:val="none"/>
                <w:lang w:val="en-US" w:eastAsia="zh-CN"/>
              </w:rPr>
              <w:t>4</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3</w:t>
            </w:r>
            <w:r>
              <w:rPr>
                <w:rFonts w:hint="default" w:ascii="Times New Roman" w:hAnsi="Times New Roman" w:eastAsia="Times New Roman" w:cs="Times New Roman"/>
                <w:sz w:val="20"/>
                <w:szCs w:val="20"/>
                <w:highlight w:val="none"/>
              </w:rPr>
              <w:t>m</w:t>
            </w:r>
            <w:r>
              <w:rPr>
                <w:rFonts w:hint="default" w:ascii="Times New Roman" w:hAnsi="Times New Roman" w:eastAsia="宋体" w:cs="Times New Roman"/>
                <w:spacing w:val="7"/>
                <w:sz w:val="20"/>
                <w:szCs w:val="20"/>
                <w:highlight w:val="none"/>
              </w:rPr>
              <w:t>，</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8"/>
                <w:sz w:val="20"/>
                <w:szCs w:val="20"/>
                <w:highlight w:val="none"/>
              </w:rPr>
              <w:t>砖</w:t>
            </w:r>
            <w:r>
              <w:rPr>
                <w:rFonts w:hint="default" w:ascii="Times New Roman" w:hAnsi="Times New Roman" w:eastAsia="宋体" w:cs="Times New Roman"/>
                <w:spacing w:val="7"/>
                <w:sz w:val="20"/>
                <w:szCs w:val="20"/>
                <w:highlight w:val="none"/>
              </w:rPr>
              <w:t>混结构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91" w:type="dxa"/>
            <w:vMerge w:val="restart"/>
            <w:tcBorders>
              <w:left w:val="single" w:color="000000" w:sz="10" w:space="0"/>
              <w:bottom w:val="nil"/>
              <w:right w:val="single" w:color="000000" w:sz="4" w:space="0"/>
            </w:tcBorders>
            <w:vAlign w:val="top"/>
          </w:tcPr>
          <w:p>
            <w:pPr>
              <w:spacing w:line="349" w:lineRule="auto"/>
              <w:rPr>
                <w:rFonts w:hint="default" w:ascii="Times New Roman" w:hAnsi="Times New Roman" w:cs="Times New Roman"/>
                <w:sz w:val="21"/>
                <w:highlight w:val="none"/>
              </w:rPr>
            </w:pPr>
          </w:p>
          <w:p>
            <w:pPr>
              <w:spacing w:before="65" w:line="322" w:lineRule="exact"/>
              <w:ind w:left="13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position w:val="8"/>
                <w:sz w:val="20"/>
                <w:szCs w:val="20"/>
                <w:highlight w:val="none"/>
                <w14:textOutline w14:w="3795" w14:cap="sq" w14:cmpd="sng">
                  <w14:solidFill>
                    <w14:srgbClr w14:val="000000"/>
                  </w14:solidFill>
                  <w14:prstDash w14:val="solid"/>
                  <w14:bevel/>
                </w14:textOutline>
              </w:rPr>
              <w:t>公</w:t>
            </w:r>
            <w:r>
              <w:rPr>
                <w:rFonts w:hint="default" w:ascii="Times New Roman" w:hAnsi="Times New Roman" w:eastAsia="宋体" w:cs="Times New Roman"/>
                <w:spacing w:val="2"/>
                <w:position w:val="8"/>
                <w:sz w:val="20"/>
                <w:szCs w:val="20"/>
                <w:highlight w:val="none"/>
                <w14:textOutline w14:w="3795" w14:cap="sq" w14:cmpd="sng">
                  <w14:solidFill>
                    <w14:srgbClr w14:val="000000"/>
                  </w14:solidFill>
                  <w14:prstDash w14:val="solid"/>
                  <w14:bevel/>
                </w14:textOutline>
              </w:rPr>
              <w:t>用</w:t>
            </w:r>
          </w:p>
          <w:p>
            <w:pPr>
              <w:spacing w:line="229" w:lineRule="auto"/>
              <w:ind w:left="1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工</w:t>
            </w: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程</w:t>
            </w:r>
          </w:p>
        </w:tc>
        <w:tc>
          <w:tcPr>
            <w:tcW w:w="1577" w:type="dxa"/>
            <w:gridSpan w:val="2"/>
            <w:tcBorders>
              <w:left w:val="single" w:color="000000" w:sz="4" w:space="0"/>
              <w:right w:val="single" w:color="000000" w:sz="4" w:space="0"/>
            </w:tcBorders>
            <w:vAlign w:val="top"/>
          </w:tcPr>
          <w:p>
            <w:pPr>
              <w:spacing w:before="82" w:line="228" w:lineRule="auto"/>
              <w:ind w:left="57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供水</w:t>
            </w:r>
          </w:p>
        </w:tc>
        <w:tc>
          <w:tcPr>
            <w:tcW w:w="6231" w:type="dxa"/>
            <w:tcBorders>
              <w:left w:val="single" w:color="000000" w:sz="4" w:space="0"/>
              <w:right w:val="single" w:color="000000" w:sz="10" w:space="0"/>
            </w:tcBorders>
            <w:vAlign w:val="top"/>
          </w:tcPr>
          <w:p>
            <w:pPr>
              <w:spacing w:before="82" w:line="228" w:lineRule="auto"/>
              <w:ind w:left="10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用水由由厂区现有自备水井提供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91" w:type="dxa"/>
            <w:vMerge w:val="continue"/>
            <w:tcBorders>
              <w:top w:val="nil"/>
              <w:left w:val="single" w:color="000000" w:sz="10" w:space="0"/>
              <w:bottom w:val="nil"/>
              <w:right w:val="single" w:color="000000" w:sz="4" w:space="0"/>
            </w:tcBorders>
            <w:vAlign w:val="top"/>
          </w:tcPr>
          <w:p>
            <w:pPr>
              <w:rPr>
                <w:rFonts w:hint="default" w:ascii="Times New Roman" w:hAnsi="Times New Roman" w:cs="Times New Roman"/>
                <w:sz w:val="21"/>
                <w:highlight w:val="none"/>
              </w:rPr>
            </w:pPr>
          </w:p>
        </w:tc>
        <w:tc>
          <w:tcPr>
            <w:tcW w:w="1577" w:type="dxa"/>
            <w:gridSpan w:val="2"/>
            <w:tcBorders>
              <w:left w:val="single" w:color="000000" w:sz="4" w:space="0"/>
              <w:right w:val="single" w:color="000000"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0" w:beforeLines="50" w:line="228" w:lineRule="auto"/>
              <w:ind w:left="0"/>
              <w:jc w:val="center"/>
              <w:textAlignment w:val="baseline"/>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供电</w:t>
            </w:r>
          </w:p>
        </w:tc>
        <w:tc>
          <w:tcPr>
            <w:tcW w:w="6231" w:type="dxa"/>
            <w:tcBorders>
              <w:left w:val="single" w:color="000000" w:sz="4" w:space="0"/>
              <w:right w:val="single" w:color="000000" w:sz="10" w:space="0"/>
            </w:tcBorders>
            <w:vAlign w:val="top"/>
          </w:tcPr>
          <w:p>
            <w:pPr>
              <w:spacing w:before="52" w:line="276" w:lineRule="auto"/>
              <w:ind w:left="105" w:righ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用</w:t>
            </w:r>
            <w:r>
              <w:rPr>
                <w:rFonts w:hint="default" w:ascii="Times New Roman" w:hAnsi="Times New Roman" w:eastAsia="宋体" w:cs="Times New Roman"/>
                <w:spacing w:val="7"/>
                <w:sz w:val="20"/>
                <w:szCs w:val="20"/>
                <w:highlight w:val="none"/>
              </w:rPr>
              <w:t>电接自本地电网，年用电量为</w:t>
            </w:r>
            <w:r>
              <w:rPr>
                <w:rFonts w:hint="default" w:ascii="Times New Roman" w:hAnsi="Times New Roman" w:eastAsia="Times New Roman" w:cs="Times New Roman"/>
                <w:spacing w:val="7"/>
                <w:sz w:val="20"/>
                <w:szCs w:val="20"/>
                <w:highlight w:val="none"/>
              </w:rPr>
              <w:t>450</w:t>
            </w:r>
            <w:r>
              <w:rPr>
                <w:rFonts w:hint="default" w:ascii="Times New Roman" w:hAnsi="Times New Roman" w:eastAsia="宋体" w:cs="Times New Roman"/>
                <w:spacing w:val="7"/>
                <w:sz w:val="20"/>
                <w:szCs w:val="20"/>
                <w:highlight w:val="none"/>
              </w:rPr>
              <w:t>万</w:t>
            </w:r>
            <w:r>
              <w:rPr>
                <w:rFonts w:hint="default" w:ascii="Times New Roman" w:hAnsi="Times New Roman" w:eastAsia="Times New Roman" w:cs="Times New Roman"/>
                <w:sz w:val="20"/>
                <w:szCs w:val="20"/>
                <w:highlight w:val="none"/>
              </w:rPr>
              <w:t>kWh</w:t>
            </w:r>
            <w:r>
              <w:rPr>
                <w:rFonts w:hint="default" w:ascii="Times New Roman" w:hAnsi="Times New Roman" w:eastAsia="Times New Roman" w:cs="Times New Roman"/>
                <w:spacing w:val="7"/>
                <w:sz w:val="20"/>
                <w:szCs w:val="20"/>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91" w:type="dxa"/>
            <w:vMerge w:val="continue"/>
            <w:tcBorders>
              <w:top w:val="nil"/>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1577" w:type="dxa"/>
            <w:gridSpan w:val="2"/>
            <w:tcBorders>
              <w:left w:val="single" w:color="000000" w:sz="4" w:space="0"/>
              <w:right w:val="single" w:color="000000" w:sz="4" w:space="0"/>
            </w:tcBorders>
            <w:vAlign w:val="top"/>
          </w:tcPr>
          <w:p>
            <w:pPr>
              <w:spacing w:before="81" w:line="228" w:lineRule="auto"/>
              <w:ind w:left="57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供暖</w:t>
            </w:r>
          </w:p>
        </w:tc>
        <w:tc>
          <w:tcPr>
            <w:tcW w:w="6231" w:type="dxa"/>
            <w:tcBorders>
              <w:left w:val="single" w:color="000000" w:sz="4" w:space="0"/>
              <w:right w:val="single" w:color="000000" w:sz="10" w:space="0"/>
            </w:tcBorders>
            <w:vAlign w:val="top"/>
          </w:tcPr>
          <w:p>
            <w:pPr>
              <w:spacing w:before="81" w:line="228" w:lineRule="auto"/>
              <w:ind w:left="10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生产车间不需要供暖，办公室采用空调方式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2" w:hRule="atLeast"/>
        </w:trPr>
        <w:tc>
          <w:tcPr>
            <w:tcW w:w="691" w:type="dxa"/>
            <w:vMerge w:val="restart"/>
            <w:tcBorders>
              <w:left w:val="single" w:color="000000" w:sz="10" w:space="0"/>
              <w:right w:val="single" w:color="000000" w:sz="4" w:space="0"/>
            </w:tcBorders>
            <w:vAlign w:val="top"/>
          </w:tcPr>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before="65" w:line="319" w:lineRule="exact"/>
              <w:ind w:left="1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position w:val="8"/>
                <w:sz w:val="20"/>
                <w:szCs w:val="20"/>
                <w:highlight w:val="none"/>
                <w14:textOutline w14:w="3795" w14:cap="sq" w14:cmpd="sng">
                  <w14:solidFill>
                    <w14:srgbClr w14:val="000000"/>
                  </w14:solidFill>
                  <w14:prstDash w14:val="solid"/>
                  <w14:bevel/>
                </w14:textOutline>
              </w:rPr>
              <w:t>环保</w:t>
            </w:r>
          </w:p>
          <w:p>
            <w:pPr>
              <w:spacing w:line="229" w:lineRule="auto"/>
              <w:ind w:left="1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工</w:t>
            </w: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程</w:t>
            </w:r>
          </w:p>
        </w:tc>
        <w:tc>
          <w:tcPr>
            <w:tcW w:w="730" w:type="dxa"/>
            <w:tcBorders>
              <w:left w:val="single" w:color="000000" w:sz="4" w:space="0"/>
              <w:bottom w:val="single" w:color="auto" w:sz="4" w:space="0"/>
              <w:right w:val="single" w:color="000000" w:sz="4" w:space="0"/>
            </w:tcBorders>
            <w:vAlign w:val="top"/>
          </w:tcPr>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before="65" w:line="319" w:lineRule="exact"/>
              <w:ind w:left="15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t>大</w:t>
            </w:r>
            <w:r>
              <w:rPr>
                <w:rFonts w:hint="default" w:ascii="Times New Roman" w:hAnsi="Times New Roman" w:eastAsia="宋体" w:cs="Times New Roman"/>
                <w:spacing w:val="4"/>
                <w:position w:val="8"/>
                <w:sz w:val="20"/>
                <w:szCs w:val="20"/>
                <w:highlight w:val="none"/>
                <w14:textOutline w14:w="3795" w14:cap="sq" w14:cmpd="sng">
                  <w14:solidFill>
                    <w14:srgbClr w14:val="000000"/>
                  </w14:solidFill>
                  <w14:prstDash w14:val="solid"/>
                  <w14:bevel/>
                </w14:textOutline>
              </w:rPr>
              <w:t>气</w:t>
            </w:r>
          </w:p>
          <w:p>
            <w:pPr>
              <w:spacing w:line="229" w:lineRule="auto"/>
              <w:ind w:left="1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污染</w:t>
            </w:r>
          </w:p>
          <w:p>
            <w:pPr>
              <w:spacing w:before="70" w:line="233" w:lineRule="auto"/>
              <w:ind w:left="15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治</w:t>
            </w:r>
            <w:r>
              <w:rPr>
                <w:rFonts w:hint="default" w:ascii="Times New Roman" w:hAnsi="Times New Roman" w:eastAsia="宋体" w:cs="Times New Roman"/>
                <w:spacing w:val="3"/>
                <w:sz w:val="20"/>
                <w:szCs w:val="20"/>
                <w:highlight w:val="none"/>
                <w14:textOutline w14:w="3795" w14:cap="sq" w14:cmpd="sng">
                  <w14:solidFill>
                    <w14:srgbClr w14:val="000000"/>
                  </w14:solidFill>
                  <w14:prstDash w14:val="solid"/>
                  <w14:bevel/>
                </w14:textOutline>
              </w:rPr>
              <w:t>理</w:t>
            </w:r>
          </w:p>
        </w:tc>
        <w:tc>
          <w:tcPr>
            <w:tcW w:w="847" w:type="dxa"/>
            <w:tcBorders>
              <w:left w:val="single" w:color="000000" w:sz="4" w:space="0"/>
              <w:right w:val="single" w:color="000000" w:sz="4" w:space="0"/>
            </w:tcBorders>
            <w:vAlign w:val="top"/>
          </w:tcPr>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before="65" w:line="229" w:lineRule="auto"/>
              <w:ind w:left="10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运</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营期</w:t>
            </w:r>
          </w:p>
        </w:tc>
        <w:tc>
          <w:tcPr>
            <w:tcW w:w="6231" w:type="dxa"/>
            <w:tcBorders>
              <w:left w:val="single" w:color="000000" w:sz="4" w:space="0"/>
              <w:right w:val="single" w:color="000000" w:sz="10" w:space="0"/>
            </w:tcBorders>
            <w:vAlign w:val="top"/>
          </w:tcPr>
          <w:p>
            <w:pPr>
              <w:spacing w:before="53" w:line="281" w:lineRule="auto"/>
              <w:ind w:left="105" w:right="99" w:hanging="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①</w:t>
            </w:r>
            <w:r>
              <w:rPr>
                <w:rFonts w:hint="default" w:ascii="Times New Roman" w:hAnsi="Times New Roman" w:eastAsia="宋体" w:cs="Times New Roman"/>
                <w:spacing w:val="10"/>
                <w:sz w:val="20"/>
                <w:szCs w:val="20"/>
                <w:highlight w:val="none"/>
              </w:rPr>
              <w:t>物料转运设置封闭的皮带通廊，</w:t>
            </w:r>
            <w:r>
              <w:rPr>
                <w:rFonts w:hint="eastAsia" w:ascii="Times New Roman" w:hAnsi="Times New Roman" w:eastAsia="宋体" w:cs="Times New Roman"/>
                <w:spacing w:val="10"/>
                <w:sz w:val="20"/>
                <w:szCs w:val="20"/>
                <w:highlight w:val="none"/>
                <w:lang w:val="en-US" w:eastAsia="zh-CN"/>
              </w:rPr>
              <w:t>各生产车间、</w:t>
            </w:r>
            <w:r>
              <w:rPr>
                <w:rFonts w:hint="default" w:ascii="Times New Roman" w:hAnsi="Times New Roman" w:eastAsia="宋体" w:cs="Times New Roman"/>
                <w:spacing w:val="9"/>
                <w:sz w:val="20"/>
                <w:szCs w:val="20"/>
                <w:highlight w:val="none"/>
              </w:rPr>
              <w:t>库房</w:t>
            </w:r>
            <w:r>
              <w:rPr>
                <w:rFonts w:hint="eastAsia" w:ascii="Times New Roman" w:hAnsi="Times New Roman" w:eastAsia="宋体" w:cs="Times New Roman"/>
                <w:spacing w:val="9"/>
                <w:sz w:val="20"/>
                <w:szCs w:val="20"/>
                <w:highlight w:val="none"/>
                <w:lang w:val="en-US" w:eastAsia="zh-CN"/>
              </w:rPr>
              <w:t>均为全封闭结构，</w:t>
            </w:r>
            <w:r>
              <w:rPr>
                <w:rFonts w:hint="default" w:ascii="Times New Roman" w:hAnsi="Times New Roman" w:eastAsia="宋体" w:cs="Times New Roman"/>
                <w:spacing w:val="9"/>
                <w:sz w:val="20"/>
                <w:szCs w:val="20"/>
                <w:highlight w:val="none"/>
              </w:rPr>
              <w:t>内均设置喷雾抑尘装置，喷雾面积覆盖整个</w:t>
            </w:r>
            <w:r>
              <w:rPr>
                <w:rFonts w:hint="eastAsia" w:ascii="Times New Roman" w:hAnsi="Times New Roman" w:eastAsia="宋体" w:cs="Times New Roman"/>
                <w:spacing w:val="9"/>
                <w:sz w:val="20"/>
                <w:szCs w:val="20"/>
                <w:highlight w:val="none"/>
                <w:lang w:val="en-US" w:eastAsia="zh-CN"/>
              </w:rPr>
              <w:t>车间</w:t>
            </w:r>
            <w:r>
              <w:rPr>
                <w:rFonts w:hint="default" w:ascii="Times New Roman" w:hAnsi="Times New Roman" w:eastAsia="宋体" w:cs="Times New Roman"/>
                <w:spacing w:val="9"/>
                <w:sz w:val="20"/>
                <w:szCs w:val="20"/>
                <w:highlight w:val="none"/>
              </w:rPr>
              <w:t>；</w:t>
            </w:r>
          </w:p>
          <w:p>
            <w:pPr>
              <w:spacing w:before="47" w:line="293" w:lineRule="auto"/>
              <w:ind w:left="104" w:right="19" w:hanging="1"/>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②1#~3#生产线的所有产尘节点通过集气罩、集尘管方式分别引入1套离线脉冲布袋除尘器进行处理，共计3套，风量分别为</w:t>
            </w:r>
            <w:r>
              <w:rPr>
                <w:rFonts w:hint="eastAsia" w:ascii="Times New Roman" w:hAnsi="Times New Roman" w:eastAsia="宋体" w:cs="Times New Roman"/>
                <w:spacing w:val="12"/>
                <w:sz w:val="20"/>
                <w:szCs w:val="20"/>
                <w:highlight w:val="none"/>
                <w:lang w:eastAsia="zh-CN"/>
              </w:rPr>
              <w:t>：</w:t>
            </w:r>
            <w:r>
              <w:rPr>
                <w:rFonts w:hint="default" w:ascii="Times New Roman" w:hAnsi="Times New Roman" w:eastAsia="宋体" w:cs="Times New Roman"/>
                <w:spacing w:val="12"/>
                <w:sz w:val="20"/>
                <w:szCs w:val="20"/>
                <w:highlight w:val="none"/>
              </w:rPr>
              <w:t>40000m</w:t>
            </w:r>
            <w:r>
              <w:rPr>
                <w:rFonts w:hint="default" w:ascii="Times New Roman" w:hAnsi="Times New Roman" w:eastAsia="宋体" w:cs="Times New Roman"/>
                <w:spacing w:val="12"/>
                <w:sz w:val="20"/>
                <w:szCs w:val="20"/>
                <w:highlight w:val="none"/>
                <w:vertAlign w:val="superscript"/>
              </w:rPr>
              <w:t>3</w:t>
            </w:r>
            <w:r>
              <w:rPr>
                <w:rFonts w:hint="default" w:ascii="Times New Roman" w:hAnsi="Times New Roman" w:eastAsia="宋体" w:cs="Times New Roman"/>
                <w:spacing w:val="12"/>
                <w:sz w:val="20"/>
                <w:szCs w:val="20"/>
                <w:highlight w:val="none"/>
              </w:rPr>
              <w:t>/h、40000m</w:t>
            </w:r>
            <w:r>
              <w:rPr>
                <w:rFonts w:hint="default" w:ascii="Times New Roman" w:hAnsi="Times New Roman" w:eastAsia="宋体" w:cs="Times New Roman"/>
                <w:spacing w:val="12"/>
                <w:sz w:val="20"/>
                <w:szCs w:val="20"/>
                <w:highlight w:val="none"/>
                <w:vertAlign w:val="superscript"/>
              </w:rPr>
              <w:t>3</w:t>
            </w:r>
            <w:r>
              <w:rPr>
                <w:rFonts w:hint="default" w:ascii="Times New Roman" w:hAnsi="Times New Roman" w:eastAsia="宋体" w:cs="Times New Roman"/>
                <w:spacing w:val="12"/>
                <w:sz w:val="20"/>
                <w:szCs w:val="20"/>
                <w:highlight w:val="none"/>
              </w:rPr>
              <w:t>/h、60000m</w:t>
            </w:r>
            <w:r>
              <w:rPr>
                <w:rFonts w:hint="default" w:ascii="Times New Roman" w:hAnsi="Times New Roman" w:eastAsia="宋体" w:cs="Times New Roman"/>
                <w:spacing w:val="12"/>
                <w:sz w:val="20"/>
                <w:szCs w:val="20"/>
                <w:highlight w:val="none"/>
                <w:vertAlign w:val="superscript"/>
              </w:rPr>
              <w:t>3</w:t>
            </w:r>
            <w:r>
              <w:rPr>
                <w:rFonts w:hint="default" w:ascii="Times New Roman" w:hAnsi="Times New Roman" w:eastAsia="宋体" w:cs="Times New Roman"/>
                <w:spacing w:val="12"/>
                <w:sz w:val="20"/>
                <w:szCs w:val="20"/>
                <w:highlight w:val="none"/>
              </w:rPr>
              <w:t>/h，4#~6#生产线的所有产尘节点通过集气罩、集尘管方式分别引入1套离线脉冲布袋除尘器进行处理，共计3套，风量分别为</w:t>
            </w:r>
            <w:r>
              <w:rPr>
                <w:rFonts w:hint="eastAsia" w:ascii="Times New Roman" w:hAnsi="Times New Roman" w:eastAsia="宋体" w:cs="Times New Roman"/>
                <w:spacing w:val="12"/>
                <w:sz w:val="20"/>
                <w:szCs w:val="20"/>
                <w:highlight w:val="none"/>
                <w:lang w:eastAsia="zh-CN"/>
              </w:rPr>
              <w:t>：</w:t>
            </w:r>
            <w:r>
              <w:rPr>
                <w:rFonts w:hint="default" w:ascii="Times New Roman" w:hAnsi="Times New Roman" w:eastAsia="宋体" w:cs="Times New Roman"/>
                <w:spacing w:val="12"/>
                <w:sz w:val="20"/>
                <w:szCs w:val="20"/>
                <w:highlight w:val="none"/>
              </w:rPr>
              <w:t>40000m</w:t>
            </w:r>
            <w:r>
              <w:rPr>
                <w:rFonts w:hint="default" w:ascii="Times New Roman" w:hAnsi="Times New Roman" w:eastAsia="宋体" w:cs="Times New Roman"/>
                <w:spacing w:val="12"/>
                <w:sz w:val="20"/>
                <w:szCs w:val="20"/>
                <w:highlight w:val="none"/>
                <w:vertAlign w:val="superscript"/>
              </w:rPr>
              <w:t>3</w:t>
            </w:r>
            <w:r>
              <w:rPr>
                <w:rFonts w:hint="default" w:ascii="Times New Roman" w:hAnsi="Times New Roman" w:eastAsia="宋体" w:cs="Times New Roman"/>
                <w:spacing w:val="12"/>
                <w:sz w:val="20"/>
                <w:szCs w:val="20"/>
                <w:highlight w:val="none"/>
              </w:rPr>
              <w:t>/h、40000m</w:t>
            </w:r>
            <w:r>
              <w:rPr>
                <w:rFonts w:hint="default" w:ascii="Times New Roman" w:hAnsi="Times New Roman" w:eastAsia="宋体" w:cs="Times New Roman"/>
                <w:spacing w:val="12"/>
                <w:sz w:val="20"/>
                <w:szCs w:val="20"/>
                <w:highlight w:val="none"/>
                <w:vertAlign w:val="superscript"/>
              </w:rPr>
              <w:t>3</w:t>
            </w:r>
            <w:r>
              <w:rPr>
                <w:rFonts w:hint="default" w:ascii="Times New Roman" w:hAnsi="Times New Roman" w:eastAsia="宋体" w:cs="Times New Roman"/>
                <w:spacing w:val="12"/>
                <w:sz w:val="20"/>
                <w:szCs w:val="20"/>
                <w:highlight w:val="none"/>
              </w:rPr>
              <w:t>/h、15000m</w:t>
            </w:r>
            <w:r>
              <w:rPr>
                <w:rFonts w:hint="default" w:ascii="Times New Roman" w:hAnsi="Times New Roman" w:eastAsia="宋体" w:cs="Times New Roman"/>
                <w:spacing w:val="12"/>
                <w:sz w:val="20"/>
                <w:szCs w:val="20"/>
                <w:highlight w:val="none"/>
                <w:vertAlign w:val="superscript"/>
              </w:rPr>
              <w:t>3</w:t>
            </w:r>
            <w:r>
              <w:rPr>
                <w:rFonts w:hint="default" w:ascii="Times New Roman" w:hAnsi="Times New Roman" w:eastAsia="宋体" w:cs="Times New Roman"/>
                <w:spacing w:val="12"/>
                <w:sz w:val="20"/>
                <w:szCs w:val="20"/>
                <w:highlight w:val="none"/>
              </w:rPr>
              <w:t>/h</w:t>
            </w:r>
            <w:r>
              <w:rPr>
                <w:rFonts w:hint="eastAsia" w:ascii="Times New Roman" w:hAnsi="Times New Roman" w:eastAsia="宋体" w:cs="Times New Roman"/>
                <w:spacing w:val="12"/>
                <w:sz w:val="20"/>
                <w:szCs w:val="20"/>
                <w:highlight w:val="none"/>
                <w:lang w:eastAsia="zh-CN"/>
              </w:rPr>
              <w:t>，</w:t>
            </w:r>
            <w:r>
              <w:rPr>
                <w:rFonts w:hint="default" w:ascii="Times New Roman" w:hAnsi="Times New Roman" w:eastAsia="宋体" w:cs="Times New Roman"/>
                <w:spacing w:val="12"/>
                <w:sz w:val="20"/>
                <w:szCs w:val="20"/>
                <w:highlight w:val="none"/>
              </w:rPr>
              <w:t>以上废气处理后分别通过1根19m高排气筒排放，共计6根</w:t>
            </w:r>
            <w:r>
              <w:rPr>
                <w:rFonts w:hint="default" w:ascii="Times New Roman" w:hAnsi="Times New Roman" w:eastAsia="宋体" w:cs="Times New Roman"/>
                <w:spacing w:val="6"/>
                <w:sz w:val="20"/>
                <w:szCs w:val="20"/>
                <w:highlight w:val="none"/>
              </w:rPr>
              <w:t>；</w:t>
            </w:r>
          </w:p>
          <w:p>
            <w:pPr>
              <w:spacing w:before="38" w:line="226" w:lineRule="auto"/>
              <w:ind w:left="10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3"/>
                <w:sz w:val="20"/>
                <w:szCs w:val="20"/>
                <w:highlight w:val="none"/>
              </w:rPr>
              <w:t>③</w:t>
            </w:r>
            <w:r>
              <w:rPr>
                <w:rFonts w:hint="default" w:ascii="Times New Roman" w:hAnsi="Times New Roman" w:eastAsia="宋体" w:cs="Times New Roman"/>
                <w:spacing w:val="9"/>
                <w:sz w:val="20"/>
                <w:szCs w:val="20"/>
                <w:highlight w:val="none"/>
              </w:rPr>
              <w:t>食堂油烟经油烟净化器处理后由</w:t>
            </w:r>
            <w:r>
              <w:rPr>
                <w:rFonts w:hint="eastAsia" w:ascii="Times New Roman" w:hAnsi="Times New Roman" w:eastAsia="宋体" w:cs="Times New Roman"/>
                <w:spacing w:val="9"/>
                <w:sz w:val="20"/>
                <w:szCs w:val="20"/>
                <w:highlight w:val="none"/>
                <w:lang w:val="en-US" w:eastAsia="zh-CN"/>
              </w:rPr>
              <w:t>专用烟道排放</w:t>
            </w:r>
            <w:r>
              <w:rPr>
                <w:rFonts w:hint="default" w:ascii="Times New Roman" w:hAnsi="Times New Roman" w:eastAsia="宋体" w:cs="Times New Roman"/>
                <w:spacing w:val="9"/>
                <w:sz w:val="20"/>
                <w:szCs w:val="20"/>
                <w:highlight w:val="none"/>
              </w:rPr>
              <w:t>排放。</w:t>
            </w:r>
          </w:p>
          <w:p>
            <w:pPr>
              <w:spacing w:before="74" w:line="284" w:lineRule="auto"/>
              <w:ind w:left="103" w:right="9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4"/>
                <w:sz w:val="20"/>
                <w:szCs w:val="20"/>
                <w:highlight w:val="none"/>
              </w:rPr>
              <w:t>④</w:t>
            </w:r>
            <w:r>
              <w:rPr>
                <w:rFonts w:hint="default" w:ascii="Times New Roman" w:hAnsi="Times New Roman" w:eastAsia="宋体" w:cs="Times New Roman"/>
                <w:spacing w:val="9"/>
                <w:sz w:val="20"/>
                <w:szCs w:val="20"/>
                <w:highlight w:val="none"/>
              </w:rPr>
              <w:t>厂</w:t>
            </w:r>
            <w:r>
              <w:rPr>
                <w:rFonts w:hint="default" w:ascii="Times New Roman" w:hAnsi="Times New Roman" w:eastAsia="宋体" w:cs="Times New Roman"/>
                <w:spacing w:val="7"/>
                <w:sz w:val="20"/>
                <w:szCs w:val="20"/>
                <w:highlight w:val="none"/>
              </w:rPr>
              <w:t>区出入口设</w:t>
            </w:r>
            <w:r>
              <w:rPr>
                <w:rFonts w:hint="eastAsia" w:ascii="Times New Roman" w:hAnsi="Times New Roman" w:eastAsia="宋体" w:cs="Times New Roman"/>
                <w:spacing w:val="7"/>
                <w:sz w:val="20"/>
                <w:szCs w:val="20"/>
                <w:highlight w:val="none"/>
                <w:lang w:val="en-US" w:eastAsia="zh-CN"/>
              </w:rPr>
              <w:t>有</w:t>
            </w:r>
            <w:r>
              <w:rPr>
                <w:rFonts w:hint="default" w:ascii="Times New Roman" w:hAnsi="Times New Roman" w:eastAsia="宋体" w:cs="Times New Roman"/>
                <w:spacing w:val="7"/>
                <w:sz w:val="20"/>
                <w:szCs w:val="20"/>
                <w:highlight w:val="none"/>
              </w:rPr>
              <w:t>洗车平台，包括沉淀池、清水池和洗车台。设置</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0"/>
                <w:sz w:val="20"/>
                <w:szCs w:val="20"/>
                <w:highlight w:val="none"/>
              </w:rPr>
              <w:t>红</w:t>
            </w:r>
            <w:r>
              <w:rPr>
                <w:rFonts w:hint="default" w:ascii="Times New Roman" w:hAnsi="Times New Roman" w:eastAsia="宋体" w:cs="Times New Roman"/>
                <w:spacing w:val="9"/>
                <w:sz w:val="20"/>
                <w:szCs w:val="20"/>
                <w:highlight w:val="none"/>
              </w:rPr>
              <w:t>外</w:t>
            </w:r>
            <w:r>
              <w:rPr>
                <w:rFonts w:hint="default" w:ascii="Times New Roman" w:hAnsi="Times New Roman" w:eastAsia="宋体" w:cs="Times New Roman"/>
                <w:spacing w:val="5"/>
                <w:sz w:val="20"/>
                <w:szCs w:val="20"/>
                <w:highlight w:val="none"/>
              </w:rPr>
              <w:t xml:space="preserve">控制全自动洗车台 </w:t>
            </w:r>
            <w:r>
              <w:rPr>
                <w:rFonts w:hint="default" w:ascii="Times New Roman" w:hAnsi="Times New Roman" w:eastAsia="Times New Roman" w:cs="Times New Roman"/>
                <w:spacing w:val="5"/>
                <w:sz w:val="20"/>
                <w:szCs w:val="20"/>
                <w:highlight w:val="none"/>
              </w:rPr>
              <w:t xml:space="preserve">1 </w:t>
            </w:r>
            <w:r>
              <w:rPr>
                <w:rFonts w:hint="default" w:ascii="Times New Roman" w:hAnsi="Times New Roman" w:eastAsia="宋体" w:cs="Times New Roman"/>
                <w:spacing w:val="5"/>
                <w:sz w:val="20"/>
                <w:szCs w:val="20"/>
                <w:highlight w:val="none"/>
              </w:rPr>
              <w:t>座，该洗车台包括清洗区、设置在清洗区</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8"/>
                <w:sz w:val="20"/>
                <w:szCs w:val="20"/>
                <w:highlight w:val="none"/>
              </w:rPr>
              <w:t>两</w:t>
            </w:r>
            <w:r>
              <w:rPr>
                <w:rFonts w:hint="default" w:ascii="Times New Roman" w:hAnsi="Times New Roman" w:eastAsia="宋体" w:cs="Times New Roman"/>
                <w:spacing w:val="17"/>
                <w:sz w:val="20"/>
                <w:szCs w:val="20"/>
                <w:highlight w:val="none"/>
              </w:rPr>
              <w:t>侧</w:t>
            </w:r>
            <w:r>
              <w:rPr>
                <w:rFonts w:hint="default" w:ascii="Times New Roman" w:hAnsi="Times New Roman" w:eastAsia="宋体" w:cs="Times New Roman"/>
                <w:spacing w:val="14"/>
                <w:sz w:val="20"/>
                <w:szCs w:val="20"/>
                <w:highlight w:val="none"/>
              </w:rPr>
              <w:t>的挡墙。排水沟设置在清洗区的中央位置且其底部连通沉淀</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4"/>
                <w:sz w:val="20"/>
                <w:szCs w:val="20"/>
                <w:highlight w:val="none"/>
              </w:rPr>
              <w:t>池</w:t>
            </w:r>
            <w:r>
              <w:rPr>
                <w:rFonts w:hint="default" w:ascii="Times New Roman" w:hAnsi="Times New Roman" w:eastAsia="宋体" w:cs="Times New Roman"/>
                <w:spacing w:val="9"/>
                <w:sz w:val="20"/>
                <w:szCs w:val="20"/>
                <w:highlight w:val="none"/>
              </w:rPr>
              <w:t>，</w:t>
            </w:r>
            <w:r>
              <w:rPr>
                <w:rFonts w:hint="default" w:ascii="Times New Roman" w:hAnsi="Times New Roman" w:eastAsia="宋体" w:cs="Times New Roman"/>
                <w:spacing w:val="7"/>
                <w:sz w:val="20"/>
                <w:szCs w:val="20"/>
                <w:highlight w:val="none"/>
              </w:rPr>
              <w:t>排水沟顶部设置有防护篦，保证水流及时进入排水沟，避免车</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4"/>
                <w:sz w:val="20"/>
                <w:szCs w:val="20"/>
                <w:highlight w:val="none"/>
              </w:rPr>
              <w:t>辆</w:t>
            </w:r>
            <w:r>
              <w:rPr>
                <w:rFonts w:hint="default" w:ascii="Times New Roman" w:hAnsi="Times New Roman" w:eastAsia="宋体" w:cs="Times New Roman"/>
                <w:spacing w:val="9"/>
                <w:sz w:val="20"/>
                <w:szCs w:val="20"/>
                <w:highlight w:val="none"/>
              </w:rPr>
              <w:t>陷</w:t>
            </w:r>
            <w:r>
              <w:rPr>
                <w:rFonts w:hint="default" w:ascii="Times New Roman" w:hAnsi="Times New Roman" w:eastAsia="宋体" w:cs="Times New Roman"/>
                <w:spacing w:val="7"/>
                <w:sz w:val="20"/>
                <w:szCs w:val="20"/>
                <w:highlight w:val="none"/>
              </w:rPr>
              <w:t>入排水沟中无法开出。喷水管通过支撑钢架安装在挡墙上，且</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3"/>
                <w:sz w:val="20"/>
                <w:szCs w:val="20"/>
                <w:highlight w:val="none"/>
              </w:rPr>
              <w:t>该</w:t>
            </w:r>
            <w:r>
              <w:rPr>
                <w:rFonts w:hint="default" w:ascii="Times New Roman" w:hAnsi="Times New Roman" w:eastAsia="宋体" w:cs="Times New Roman"/>
                <w:spacing w:val="7"/>
                <w:sz w:val="20"/>
                <w:szCs w:val="20"/>
                <w:highlight w:val="none"/>
              </w:rPr>
              <w:t>喷水管上安装有朝向清洗区的喷嘴，利用多方位高压水对车轮及</w:t>
            </w:r>
          </w:p>
          <w:p>
            <w:pPr>
              <w:spacing w:before="74" w:line="261" w:lineRule="auto"/>
              <w:ind w:left="106" w:right="9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3"/>
                <w:sz w:val="20"/>
                <w:szCs w:val="20"/>
                <w:highlight w:val="none"/>
              </w:rPr>
              <w:t>车</w:t>
            </w:r>
            <w:r>
              <w:rPr>
                <w:rFonts w:hint="default" w:ascii="Times New Roman" w:hAnsi="Times New Roman" w:eastAsia="宋体" w:cs="Times New Roman"/>
                <w:spacing w:val="7"/>
                <w:sz w:val="20"/>
                <w:szCs w:val="20"/>
                <w:highlight w:val="none"/>
              </w:rPr>
              <w:t>身进行高压冲洗。清洗废水由排水管进入沉淀池，沉淀后进入清</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1"/>
                <w:sz w:val="20"/>
                <w:szCs w:val="20"/>
                <w:highlight w:val="none"/>
              </w:rPr>
              <w:t>水</w:t>
            </w:r>
            <w:r>
              <w:rPr>
                <w:rFonts w:hint="default" w:ascii="Times New Roman" w:hAnsi="Times New Roman" w:eastAsia="宋体" w:cs="Times New Roman"/>
                <w:spacing w:val="6"/>
                <w:sz w:val="20"/>
                <w:szCs w:val="20"/>
                <w:highlight w:val="none"/>
              </w:rPr>
              <w:t>池循环使用。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 w:hRule="atLeast"/>
        </w:trPr>
        <w:tc>
          <w:tcPr>
            <w:tcW w:w="691" w:type="dxa"/>
            <w:vMerge w:val="continue"/>
            <w:tcBorders>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730" w:type="dxa"/>
            <w:vMerge w:val="restart"/>
            <w:tcBorders>
              <w:top w:val="single" w:color="auto" w:sz="4" w:space="0"/>
              <w:left w:val="single" w:color="000000" w:sz="4" w:space="0"/>
              <w:right w:val="single" w:color="000000" w:sz="4" w:space="0"/>
            </w:tcBorders>
            <w:vAlign w:val="top"/>
          </w:tcPr>
          <w:p>
            <w:pPr>
              <w:spacing w:before="232" w:line="322" w:lineRule="exact"/>
              <w:ind w:left="14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position w:val="8"/>
                <w:sz w:val="20"/>
                <w:szCs w:val="20"/>
                <w:highlight w:val="none"/>
                <w14:textOutline w14:w="3795" w14:cap="sq" w14:cmpd="sng">
                  <w14:solidFill>
                    <w14:srgbClr w14:val="000000"/>
                  </w14:solidFill>
                  <w14:prstDash w14:val="solid"/>
                  <w14:bevel/>
                </w14:textOutline>
              </w:rPr>
              <w:t>废水</w:t>
            </w:r>
          </w:p>
          <w:p>
            <w:pPr>
              <w:spacing w:line="229" w:lineRule="auto"/>
              <w:ind w:left="1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污染</w:t>
            </w:r>
          </w:p>
          <w:p>
            <w:pPr>
              <w:spacing w:before="70" w:line="233" w:lineRule="auto"/>
              <w:ind w:left="15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治</w:t>
            </w:r>
            <w:r>
              <w:rPr>
                <w:rFonts w:hint="default" w:ascii="Times New Roman" w:hAnsi="Times New Roman" w:eastAsia="宋体" w:cs="Times New Roman"/>
                <w:spacing w:val="3"/>
                <w:sz w:val="20"/>
                <w:szCs w:val="20"/>
                <w:highlight w:val="none"/>
                <w14:textOutline w14:w="3795" w14:cap="sq" w14:cmpd="sng">
                  <w14:solidFill>
                    <w14:srgbClr w14:val="000000"/>
                  </w14:solidFill>
                  <w14:prstDash w14:val="solid"/>
                  <w14:bevel/>
                </w14:textOutline>
              </w:rPr>
              <w:t>理</w:t>
            </w:r>
          </w:p>
        </w:tc>
        <w:tc>
          <w:tcPr>
            <w:tcW w:w="847" w:type="dxa"/>
            <w:tcBorders>
              <w:left w:val="single" w:color="000000" w:sz="4" w:space="0"/>
              <w:right w:val="single" w:color="000000" w:sz="4" w:space="0"/>
            </w:tcBorders>
            <w:vAlign w:val="center"/>
          </w:tcPr>
          <w:p>
            <w:pPr>
              <w:spacing w:before="225" w:line="229" w:lineRule="auto"/>
              <w:ind w:left="104"/>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运</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营期</w:t>
            </w:r>
          </w:p>
        </w:tc>
        <w:tc>
          <w:tcPr>
            <w:tcW w:w="6231" w:type="dxa"/>
            <w:tcBorders>
              <w:left w:val="single" w:color="000000" w:sz="4" w:space="0"/>
              <w:right w:val="single" w:color="000000" w:sz="10" w:space="0"/>
            </w:tcBorders>
            <w:vAlign w:val="center"/>
          </w:tcPr>
          <w:p>
            <w:pPr>
              <w:pStyle w:val="10"/>
              <w:rPr>
                <w:rFonts w:hint="default"/>
                <w:highlight w:val="none"/>
              </w:rPr>
            </w:pPr>
            <w:r>
              <w:rPr>
                <w:rFonts w:hint="default" w:ascii="Times New Roman" w:hAnsi="Times New Roman" w:eastAsia="宋体" w:cs="Times New Roman"/>
                <w:snapToGrid w:val="0"/>
                <w:color w:val="000000"/>
                <w:spacing w:val="7"/>
                <w:kern w:val="0"/>
                <w:sz w:val="20"/>
                <w:szCs w:val="20"/>
                <w:highlight w:val="none"/>
              </w:rPr>
              <w:t>生产废水通过2座浓密池(东、西生产区各一座，规格分别为</w:t>
            </w:r>
            <w:r>
              <w:rPr>
                <w:rFonts w:hint="eastAsia" w:ascii="Times New Roman" w:hAnsi="Times New Roman" w:eastAsia="宋体" w:cs="Times New Roman"/>
                <w:snapToGrid w:val="0"/>
                <w:color w:val="000000"/>
                <w:spacing w:val="7"/>
                <w:kern w:val="0"/>
                <w:sz w:val="20"/>
                <w:szCs w:val="20"/>
                <w:highlight w:val="none"/>
                <w:lang w:eastAsia="zh-CN"/>
              </w:rPr>
              <w:t>：</w:t>
            </w:r>
            <w:r>
              <w:rPr>
                <w:rFonts w:hint="default" w:ascii="Times New Roman" w:hAnsi="Times New Roman" w:eastAsia="宋体" w:cs="Times New Roman"/>
                <w:snapToGrid w:val="0"/>
                <w:color w:val="000000"/>
                <w:spacing w:val="7"/>
                <w:kern w:val="0"/>
                <w:sz w:val="20"/>
                <w:szCs w:val="20"/>
                <w:highlight w:val="none"/>
              </w:rPr>
              <w:t>西部中</w:t>
            </w:r>
            <w:r>
              <w:rPr>
                <w:rFonts w:hint="eastAsia" w:ascii="Times New Roman" w:hAnsi="Times New Roman" w:eastAsia="宋体" w:cs="Times New Roman"/>
                <w:snapToGrid w:val="0"/>
                <w:color w:val="000000"/>
                <w:spacing w:val="7"/>
                <w:kern w:val="0"/>
                <w:sz w:val="20"/>
                <w:szCs w:val="20"/>
                <w:highlight w:val="none"/>
                <w:lang w:val="en-US" w:eastAsia="zh-CN"/>
              </w:rPr>
              <w:t>48</w:t>
            </w:r>
            <w:r>
              <w:rPr>
                <w:rFonts w:hint="default" w:ascii="Times New Roman" w:hAnsi="Times New Roman" w:eastAsia="宋体" w:cs="Times New Roman"/>
                <w:snapToGrid w:val="0"/>
                <w:color w:val="000000"/>
                <w:spacing w:val="7"/>
                <w:kern w:val="0"/>
                <w:sz w:val="20"/>
                <w:szCs w:val="20"/>
                <w:highlight w:val="none"/>
              </w:rPr>
              <w:t>m*11m</w:t>
            </w:r>
            <w:r>
              <w:rPr>
                <w:rFonts w:hint="eastAsia" w:ascii="Times New Roman" w:hAnsi="Times New Roman" w:eastAsia="宋体" w:cs="Times New Roman"/>
                <w:snapToGrid w:val="0"/>
                <w:color w:val="000000"/>
                <w:spacing w:val="7"/>
                <w:kern w:val="0"/>
                <w:sz w:val="20"/>
                <w:szCs w:val="20"/>
                <w:highlight w:val="none"/>
                <w:lang w:eastAsia="zh-CN"/>
              </w:rPr>
              <w:t>；</w:t>
            </w:r>
            <w:r>
              <w:rPr>
                <w:rFonts w:hint="default" w:ascii="Times New Roman" w:hAnsi="Times New Roman" w:eastAsia="宋体" w:cs="Times New Roman"/>
                <w:snapToGrid w:val="0"/>
                <w:color w:val="000000"/>
                <w:spacing w:val="7"/>
                <w:kern w:val="0"/>
                <w:sz w:val="20"/>
                <w:szCs w:val="20"/>
                <w:highlight w:val="none"/>
              </w:rPr>
              <w:t>东部中34m*5m)处理后，分别溢流进入1座清水池(规格分别为</w:t>
            </w:r>
            <w:r>
              <w:rPr>
                <w:rFonts w:hint="eastAsia" w:ascii="Times New Roman" w:hAnsi="Times New Roman" w:eastAsia="宋体" w:cs="Times New Roman"/>
                <w:snapToGrid w:val="0"/>
                <w:color w:val="000000"/>
                <w:spacing w:val="7"/>
                <w:kern w:val="0"/>
                <w:sz w:val="20"/>
                <w:szCs w:val="20"/>
                <w:highlight w:val="none"/>
                <w:lang w:eastAsia="zh-CN"/>
              </w:rPr>
              <w:t>：</w:t>
            </w:r>
            <w:r>
              <w:rPr>
                <w:rFonts w:hint="default" w:ascii="Times New Roman" w:hAnsi="Times New Roman" w:eastAsia="宋体" w:cs="Times New Roman"/>
                <w:snapToGrid w:val="0"/>
                <w:color w:val="000000"/>
                <w:spacing w:val="7"/>
                <w:kern w:val="0"/>
                <w:sz w:val="20"/>
                <w:szCs w:val="20"/>
                <w:highlight w:val="none"/>
              </w:rPr>
              <w:t>西部20mx6mx6m，东部10mx5mx5m)循环使用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691" w:type="dxa"/>
            <w:vMerge w:val="continue"/>
            <w:tcBorders>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730" w:type="dxa"/>
            <w:tcBorders>
              <w:left w:val="single" w:color="000000" w:sz="4" w:space="0"/>
              <w:bottom w:val="single" w:color="auto" w:sz="4" w:space="0"/>
              <w:right w:val="single" w:color="000000" w:sz="4" w:space="0"/>
            </w:tcBorders>
            <w:vAlign w:val="top"/>
          </w:tcPr>
          <w:p>
            <w:pPr>
              <w:spacing w:before="88" w:line="320" w:lineRule="exact"/>
              <w:ind w:left="15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position w:val="8"/>
                <w:sz w:val="20"/>
                <w:szCs w:val="20"/>
                <w:highlight w:val="none"/>
                <w14:textOutline w14:w="3795" w14:cap="sq" w14:cmpd="sng">
                  <w14:solidFill>
                    <w14:srgbClr w14:val="000000"/>
                  </w14:solidFill>
                  <w14:prstDash w14:val="solid"/>
                  <w14:bevel/>
                </w14:textOutline>
              </w:rPr>
              <w:t>噪声</w:t>
            </w:r>
          </w:p>
          <w:p>
            <w:pPr>
              <w:spacing w:line="229" w:lineRule="auto"/>
              <w:ind w:left="16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14:textOutline w14:w="3795" w14:cap="sq" w14:cmpd="sng">
                  <w14:solidFill>
                    <w14:srgbClr w14:val="000000"/>
                  </w14:solidFill>
                  <w14:prstDash w14:val="solid"/>
                  <w14:bevel/>
                </w14:textOutline>
              </w:rPr>
              <w:t>防治</w:t>
            </w:r>
          </w:p>
        </w:tc>
        <w:tc>
          <w:tcPr>
            <w:tcW w:w="847" w:type="dxa"/>
            <w:tcBorders>
              <w:left w:val="single" w:color="000000" w:sz="4" w:space="0"/>
              <w:right w:val="single" w:color="000000" w:sz="4" w:space="0"/>
            </w:tcBorders>
            <w:vAlign w:val="center"/>
          </w:tcPr>
          <w:p>
            <w:pPr>
              <w:spacing w:before="80" w:line="229" w:lineRule="auto"/>
              <w:ind w:left="104"/>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运</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营期</w:t>
            </w:r>
          </w:p>
        </w:tc>
        <w:tc>
          <w:tcPr>
            <w:tcW w:w="6231" w:type="dxa"/>
            <w:tcBorders>
              <w:left w:val="single" w:color="000000" w:sz="4" w:space="0"/>
              <w:right w:val="single" w:color="000000" w:sz="10" w:space="0"/>
            </w:tcBorders>
            <w:vAlign w:val="center"/>
          </w:tcPr>
          <w:p>
            <w:pPr>
              <w:spacing w:before="80" w:line="228" w:lineRule="auto"/>
              <w:ind w:left="103"/>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8"/>
                <w:sz w:val="20"/>
                <w:szCs w:val="20"/>
                <w:highlight w:val="none"/>
              </w:rPr>
              <w:t>将</w:t>
            </w:r>
            <w:r>
              <w:rPr>
                <w:rFonts w:hint="default" w:ascii="Times New Roman" w:hAnsi="Times New Roman" w:eastAsia="宋体" w:cs="Times New Roman"/>
                <w:spacing w:val="15"/>
                <w:sz w:val="20"/>
                <w:szCs w:val="20"/>
                <w:highlight w:val="none"/>
              </w:rPr>
              <w:t>各</w:t>
            </w:r>
            <w:r>
              <w:rPr>
                <w:rFonts w:hint="default" w:ascii="Times New Roman" w:hAnsi="Times New Roman" w:eastAsia="宋体" w:cs="Times New Roman"/>
                <w:spacing w:val="9"/>
                <w:sz w:val="20"/>
                <w:szCs w:val="20"/>
                <w:highlight w:val="none"/>
              </w:rPr>
              <w:t>生产设备置于封闭的厂房内，设备加装减振基础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0" w:hRule="atLeast"/>
        </w:trPr>
        <w:tc>
          <w:tcPr>
            <w:tcW w:w="691" w:type="dxa"/>
            <w:vMerge w:val="continue"/>
            <w:tcBorders>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730" w:type="dxa"/>
            <w:tcBorders>
              <w:top w:val="single" w:color="auto" w:sz="4" w:space="0"/>
              <w:left w:val="single" w:color="000000" w:sz="4" w:space="0"/>
              <w:bottom w:val="single" w:color="auto" w:sz="4" w:space="0"/>
              <w:right w:val="single" w:color="000000" w:sz="4" w:space="0"/>
            </w:tcBorders>
            <w:vAlign w:val="top"/>
          </w:tcPr>
          <w:p>
            <w:pPr>
              <w:spacing w:line="244" w:lineRule="auto"/>
              <w:rPr>
                <w:rFonts w:hint="default" w:ascii="Times New Roman" w:hAnsi="Times New Roman" w:cs="Times New Roman"/>
                <w:sz w:val="21"/>
                <w:highlight w:val="none"/>
              </w:rPr>
            </w:pPr>
          </w:p>
          <w:p>
            <w:pPr>
              <w:spacing w:line="244" w:lineRule="auto"/>
              <w:rPr>
                <w:rFonts w:hint="default" w:ascii="Times New Roman" w:hAnsi="Times New Roman" w:cs="Times New Roman"/>
                <w:sz w:val="21"/>
                <w:highlight w:val="none"/>
              </w:rPr>
            </w:pPr>
          </w:p>
          <w:p>
            <w:pPr>
              <w:spacing w:before="65" w:line="319" w:lineRule="exact"/>
              <w:ind w:left="1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position w:val="8"/>
                <w:sz w:val="20"/>
                <w:szCs w:val="20"/>
                <w:highlight w:val="none"/>
                <w14:textOutline w14:w="3795" w14:cap="sq" w14:cmpd="sng">
                  <w14:solidFill>
                    <w14:srgbClr w14:val="000000"/>
                  </w14:solidFill>
                  <w14:prstDash w14:val="solid"/>
                  <w14:bevel/>
                </w14:textOutline>
              </w:rPr>
              <w:t>固废</w:t>
            </w:r>
          </w:p>
          <w:p>
            <w:pPr>
              <w:spacing w:line="232" w:lineRule="auto"/>
              <w:ind w:left="15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处</w:t>
            </w:r>
            <w:r>
              <w:rPr>
                <w:rFonts w:hint="default" w:ascii="Times New Roman" w:hAnsi="Times New Roman" w:eastAsia="宋体" w:cs="Times New Roman"/>
                <w:spacing w:val="3"/>
                <w:sz w:val="20"/>
                <w:szCs w:val="20"/>
                <w:highlight w:val="none"/>
                <w14:textOutline w14:w="3795" w14:cap="sq" w14:cmpd="sng">
                  <w14:solidFill>
                    <w14:srgbClr w14:val="000000"/>
                  </w14:solidFill>
                  <w14:prstDash w14:val="solid"/>
                  <w14:bevel/>
                </w14:textOutline>
              </w:rPr>
              <w:t>理</w:t>
            </w:r>
          </w:p>
        </w:tc>
        <w:tc>
          <w:tcPr>
            <w:tcW w:w="847" w:type="dxa"/>
            <w:tcBorders>
              <w:left w:val="single" w:color="000000" w:sz="4" w:space="0"/>
              <w:right w:val="single" w:color="000000" w:sz="4" w:space="0"/>
            </w:tcBorders>
            <w:vAlign w:val="top"/>
          </w:tcPr>
          <w:p>
            <w:pPr>
              <w:spacing w:line="270" w:lineRule="auto"/>
              <w:rPr>
                <w:rFonts w:hint="default" w:ascii="Times New Roman" w:hAnsi="Times New Roman" w:cs="Times New Roman"/>
                <w:sz w:val="21"/>
                <w:highlight w:val="none"/>
              </w:rPr>
            </w:pPr>
          </w:p>
          <w:p>
            <w:pPr>
              <w:spacing w:line="270" w:lineRule="auto"/>
              <w:rPr>
                <w:rFonts w:hint="default" w:ascii="Times New Roman" w:hAnsi="Times New Roman" w:cs="Times New Roman"/>
                <w:sz w:val="21"/>
                <w:highlight w:val="none"/>
              </w:rPr>
            </w:pPr>
          </w:p>
          <w:p>
            <w:pPr>
              <w:spacing w:before="65" w:line="229" w:lineRule="auto"/>
              <w:ind w:left="10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运</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营期</w:t>
            </w:r>
          </w:p>
        </w:tc>
        <w:tc>
          <w:tcPr>
            <w:tcW w:w="6231" w:type="dxa"/>
            <w:tcBorders>
              <w:left w:val="single" w:color="000000" w:sz="4" w:space="0"/>
              <w:right w:val="single" w:color="000000" w:sz="10" w:space="0"/>
            </w:tcBorders>
            <w:vAlign w:val="top"/>
          </w:tcPr>
          <w:p>
            <w:pPr>
              <w:spacing w:before="83" w:line="295" w:lineRule="auto"/>
              <w:ind w:left="107" w:right="7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14:textOutline w14:w="3795" w14:cap="sq" w14:cmpd="sng">
                  <w14:solidFill>
                    <w14:srgbClr w14:val="000000"/>
                  </w14:solidFill>
                  <w14:prstDash w14:val="solid"/>
                  <w14:bevel/>
                </w14:textOutline>
              </w:rPr>
              <w:t>危</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险固废</w:t>
            </w:r>
            <w:r>
              <w:rPr>
                <w:rFonts w:hint="default" w:ascii="Times New Roman" w:hAnsi="Times New Roman" w:eastAsia="宋体" w:cs="Times New Roman"/>
                <w:spacing w:val="8"/>
                <w:sz w:val="20"/>
                <w:szCs w:val="20"/>
                <w:highlight w:val="none"/>
              </w:rPr>
              <w:t>：生产设备在机修过程会产生废矿物油暂存于危废间内，</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2"/>
                <w:sz w:val="20"/>
                <w:szCs w:val="20"/>
                <w:highlight w:val="none"/>
              </w:rPr>
              <w:t>由</w:t>
            </w:r>
            <w:r>
              <w:rPr>
                <w:rFonts w:hint="default" w:ascii="Times New Roman" w:hAnsi="Times New Roman" w:eastAsia="宋体" w:cs="Times New Roman"/>
                <w:spacing w:val="7"/>
                <w:sz w:val="20"/>
                <w:szCs w:val="20"/>
                <w:highlight w:val="none"/>
              </w:rPr>
              <w:t>有资质的单位处理，废油桶暂存于危废间，由厂家定期回收。</w:t>
            </w:r>
            <w:r>
              <w:rPr>
                <w:rFonts w:hint="default" w:ascii="Times New Roman" w:hAnsi="Times New Roman" w:eastAsia="宋体" w:cs="Times New Roman"/>
                <w:spacing w:val="11"/>
                <w:sz w:val="20"/>
                <w:szCs w:val="20"/>
                <w:highlight w:val="none"/>
              </w:rPr>
              <w:t>危废间按照要求进行</w:t>
            </w:r>
            <w:r>
              <w:rPr>
                <w:rFonts w:hint="eastAsia" w:ascii="Times New Roman" w:hAnsi="Times New Roman" w:eastAsia="宋体" w:cs="Times New Roman"/>
                <w:spacing w:val="11"/>
                <w:sz w:val="20"/>
                <w:szCs w:val="20"/>
                <w:highlight w:val="none"/>
                <w:lang w:val="en-US" w:eastAsia="zh-CN"/>
              </w:rPr>
              <w:t>了</w:t>
            </w:r>
            <w:r>
              <w:rPr>
                <w:rFonts w:hint="default" w:ascii="Times New Roman" w:hAnsi="Times New Roman" w:eastAsia="宋体" w:cs="Times New Roman"/>
                <w:spacing w:val="11"/>
                <w:sz w:val="20"/>
                <w:szCs w:val="20"/>
                <w:highlight w:val="none"/>
              </w:rPr>
              <w:t>防渗处</w:t>
            </w:r>
            <w:r>
              <w:rPr>
                <w:rFonts w:hint="default" w:ascii="Times New Roman" w:hAnsi="Times New Roman" w:eastAsia="宋体" w:cs="Times New Roman"/>
                <w:spacing w:val="-1"/>
                <w:sz w:val="20"/>
                <w:szCs w:val="20"/>
                <w:highlight w:val="none"/>
              </w:rPr>
              <w:t>理。</w:t>
            </w:r>
          </w:p>
          <w:p>
            <w:pPr>
              <w:spacing w:line="263" w:lineRule="auto"/>
              <w:ind w:left="108" w:right="9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4"/>
                <w:sz w:val="20"/>
                <w:szCs w:val="20"/>
                <w:highlight w:val="none"/>
                <w14:textOutline w14:w="3795" w14:cap="sq" w14:cmpd="sng">
                  <w14:solidFill>
                    <w14:srgbClr w14:val="000000"/>
                  </w14:solidFill>
                  <w14:prstDash w14:val="solid"/>
                  <w14:bevel/>
                </w14:textOutline>
              </w:rPr>
              <w:t>一</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般固废</w:t>
            </w:r>
            <w:r>
              <w:rPr>
                <w:rFonts w:hint="default" w:ascii="Times New Roman" w:hAnsi="Times New Roman" w:eastAsia="宋体"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尾矿砂</w:t>
            </w:r>
            <w:r>
              <w:rPr>
                <w:rFonts w:hint="default" w:ascii="Times New Roman" w:hAnsi="Times New Roman" w:eastAsia="宋体" w:cs="Times New Roman"/>
                <w:spacing w:val="7"/>
                <w:sz w:val="20"/>
                <w:szCs w:val="20"/>
                <w:highlight w:val="none"/>
              </w:rPr>
              <w:t>作为建筑材料</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
                <w:sz w:val="20"/>
                <w:szCs w:val="20"/>
                <w:highlight w:val="none"/>
              </w:rPr>
              <w:t>外售</w:t>
            </w:r>
            <w:r>
              <w:rPr>
                <w:rFonts w:hint="eastAsia" w:ascii="Times New Roman" w:hAnsi="Times New Roman" w:eastAsia="宋体" w:cs="Times New Roman"/>
                <w:spacing w:val="2"/>
                <w:sz w:val="20"/>
                <w:szCs w:val="20"/>
                <w:highlight w:val="none"/>
                <w:lang w:eastAsia="zh-CN"/>
              </w:rPr>
              <w:t>，</w:t>
            </w:r>
            <w:r>
              <w:rPr>
                <w:rFonts w:hint="eastAsia" w:ascii="Times New Roman" w:hAnsi="Times New Roman" w:eastAsia="宋体" w:cs="Times New Roman"/>
                <w:spacing w:val="2"/>
                <w:sz w:val="20"/>
                <w:szCs w:val="20"/>
                <w:highlight w:val="none"/>
                <w:lang w:val="en-US" w:eastAsia="zh-CN"/>
              </w:rPr>
              <w:t>废钢球外售废品回收单位</w:t>
            </w:r>
            <w:r>
              <w:rPr>
                <w:rFonts w:hint="default" w:ascii="Times New Roman" w:hAnsi="Times New Roman" w:eastAsia="宋体" w:cs="Times New Roman"/>
                <w:spacing w:val="1"/>
                <w:sz w:val="20"/>
                <w:szCs w:val="20"/>
                <w:highlight w:val="none"/>
              </w:rPr>
              <w:t>。</w:t>
            </w:r>
          </w:p>
        </w:tc>
      </w:tr>
    </w:tbl>
    <w:p>
      <w:pPr>
        <w:spacing w:before="179" w:line="228" w:lineRule="auto"/>
        <w:ind w:left="840"/>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5"/>
          <w:sz w:val="23"/>
          <w:szCs w:val="23"/>
          <w:highlight w:val="none"/>
          <w:lang w:val="en-US" w:eastAsia="zh-CN"/>
        </w:rPr>
        <w:t>现有工程</w:t>
      </w:r>
      <w:r>
        <w:rPr>
          <w:rFonts w:hint="default" w:ascii="Times New Roman" w:hAnsi="Times New Roman" w:eastAsia="宋体" w:cs="Times New Roman"/>
          <w:spacing w:val="4"/>
          <w:sz w:val="23"/>
          <w:szCs w:val="23"/>
          <w:highlight w:val="none"/>
        </w:rPr>
        <w:t xml:space="preserve">主要建构筑物一览表见表 </w:t>
      </w:r>
      <w:r>
        <w:rPr>
          <w:rFonts w:hint="default" w:ascii="Times New Roman" w:hAnsi="Times New Roman" w:eastAsia="Times New Roman" w:cs="Times New Roman"/>
          <w:spacing w:val="4"/>
          <w:sz w:val="23"/>
          <w:szCs w:val="23"/>
          <w:highlight w:val="none"/>
        </w:rPr>
        <w:t>3.</w:t>
      </w:r>
      <w:r>
        <w:rPr>
          <w:rFonts w:hint="eastAsia" w:ascii="Times New Roman" w:hAnsi="Times New Roman" w:eastAsia="宋体" w:cs="Times New Roman"/>
          <w:spacing w:val="4"/>
          <w:sz w:val="23"/>
          <w:szCs w:val="23"/>
          <w:highlight w:val="none"/>
          <w:lang w:val="en-US" w:eastAsia="zh-CN"/>
        </w:rPr>
        <w:t>1</w:t>
      </w:r>
      <w:r>
        <w:rPr>
          <w:rFonts w:hint="default" w:ascii="Times New Roman" w:hAnsi="Times New Roman" w:eastAsia="Times New Roman" w:cs="Times New Roman"/>
          <w:spacing w:val="4"/>
          <w:sz w:val="23"/>
          <w:szCs w:val="23"/>
          <w:highlight w:val="none"/>
        </w:rPr>
        <w:t>-2</w:t>
      </w:r>
      <w:r>
        <w:rPr>
          <w:rFonts w:hint="default" w:ascii="Times New Roman" w:hAnsi="Times New Roman" w:eastAsia="宋体" w:cs="Times New Roman"/>
          <w:spacing w:val="4"/>
          <w:sz w:val="23"/>
          <w:szCs w:val="23"/>
          <w:highlight w:val="none"/>
        </w:rPr>
        <w:t>。</w:t>
      </w:r>
    </w:p>
    <w:p>
      <w:pPr>
        <w:spacing w:before="212" w:line="228" w:lineRule="auto"/>
        <w:ind w:left="2431"/>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b/>
          <w:bCs/>
          <w:spacing w:val="6"/>
          <w:sz w:val="23"/>
          <w:szCs w:val="23"/>
          <w:highlight w:val="none"/>
        </w:rPr>
        <w:t>3</w:t>
      </w:r>
      <w:r>
        <w:rPr>
          <w:rFonts w:hint="default" w:ascii="Times New Roman" w:hAnsi="Times New Roman" w:eastAsia="Times New Roman" w:cs="Times New Roman"/>
          <w:b/>
          <w:bCs/>
          <w:spacing w:val="3"/>
          <w:sz w:val="23"/>
          <w:szCs w:val="23"/>
          <w:highlight w:val="none"/>
        </w:rPr>
        <w:t>.</w:t>
      </w:r>
      <w:r>
        <w:rPr>
          <w:rFonts w:hint="eastAsia" w:ascii="Times New Roman" w:hAnsi="Times New Roman" w:eastAsia="宋体" w:cs="Times New Roman"/>
          <w:b/>
          <w:bCs/>
          <w:spacing w:val="3"/>
          <w:sz w:val="23"/>
          <w:szCs w:val="23"/>
          <w:highlight w:val="none"/>
          <w:lang w:val="en-US" w:eastAsia="zh-CN"/>
        </w:rPr>
        <w:t>1</w:t>
      </w:r>
      <w:r>
        <w:rPr>
          <w:rFonts w:hint="default" w:ascii="Times New Roman" w:hAnsi="Times New Roman" w:eastAsia="Times New Roman" w:cs="Times New Roman"/>
          <w:b/>
          <w:bCs/>
          <w:spacing w:val="3"/>
          <w:sz w:val="23"/>
          <w:szCs w:val="23"/>
          <w:highlight w:val="none"/>
        </w:rPr>
        <w:t>-2</w:t>
      </w:r>
      <w:r>
        <w:rPr>
          <w:rFonts w:hint="default" w:ascii="Times New Roman" w:hAnsi="Times New Roman" w:eastAsia="Times New Roman" w:cs="Times New Roman"/>
          <w:spacing w:val="3"/>
          <w:sz w:val="23"/>
          <w:szCs w:val="23"/>
          <w:highlight w:val="none"/>
        </w:rPr>
        <w:t xml:space="preserve">            </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现有工程</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建构筑物一览表</w:t>
      </w:r>
    </w:p>
    <w:p>
      <w:pPr>
        <w:spacing w:line="20" w:lineRule="exact"/>
        <w:rPr>
          <w:rFonts w:hint="default" w:ascii="Times New Roman" w:hAnsi="Times New Roman" w:cs="Times New Roman"/>
          <w:highlight w:val="none"/>
        </w:rPr>
      </w:pPr>
    </w:p>
    <w:tbl>
      <w:tblPr>
        <w:tblStyle w:val="19"/>
        <w:tblW w:w="8417"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2"/>
        <w:gridCol w:w="828"/>
        <w:gridCol w:w="968"/>
        <w:gridCol w:w="16"/>
        <w:gridCol w:w="968"/>
        <w:gridCol w:w="16"/>
        <w:gridCol w:w="3635"/>
        <w:gridCol w:w="15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412" w:type="dxa"/>
            <w:tcBorders>
              <w:left w:val="single" w:color="000000" w:sz="10" w:space="0"/>
              <w:right w:val="single" w:color="000000" w:sz="4" w:space="0"/>
            </w:tcBorders>
            <w:textDirection w:val="tbRlV"/>
            <w:vAlign w:val="top"/>
          </w:tcPr>
          <w:p>
            <w:pPr>
              <w:spacing w:before="100" w:line="218" w:lineRule="auto"/>
              <w:ind w:left="1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序</w:t>
            </w:r>
            <w:r>
              <w:rPr>
                <w:rFonts w:hint="default" w:ascii="Times New Roman" w:hAnsi="Times New Roman" w:eastAsia="宋体" w:cs="Times New Roman"/>
                <w:spacing w:val="10"/>
                <w:sz w:val="20"/>
                <w:szCs w:val="20"/>
                <w:highlight w:val="none"/>
              </w:rPr>
              <w:t xml:space="preserve"> 号</w:t>
            </w:r>
          </w:p>
        </w:tc>
        <w:tc>
          <w:tcPr>
            <w:tcW w:w="828" w:type="dxa"/>
            <w:tcBorders>
              <w:left w:val="single" w:color="000000" w:sz="4" w:space="0"/>
              <w:right w:val="single" w:color="000000" w:sz="4" w:space="0"/>
            </w:tcBorders>
            <w:vAlign w:val="top"/>
          </w:tcPr>
          <w:p>
            <w:pPr>
              <w:spacing w:before="261" w:line="231" w:lineRule="auto"/>
              <w:ind w:left="19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名</w:t>
            </w:r>
            <w:r>
              <w:rPr>
                <w:rFonts w:hint="default" w:ascii="Times New Roman" w:hAnsi="Times New Roman" w:eastAsia="宋体" w:cs="Times New Roman"/>
                <w:spacing w:val="3"/>
                <w:sz w:val="20"/>
                <w:szCs w:val="20"/>
                <w:highlight w:val="none"/>
              </w:rPr>
              <w:t>称</w:t>
            </w:r>
          </w:p>
        </w:tc>
        <w:tc>
          <w:tcPr>
            <w:tcW w:w="968" w:type="dxa"/>
            <w:tcBorders>
              <w:left w:val="single" w:color="000000" w:sz="4" w:space="0"/>
              <w:right w:val="single" w:color="000000" w:sz="4" w:space="0"/>
            </w:tcBorders>
            <w:vAlign w:val="top"/>
          </w:tcPr>
          <w:p>
            <w:pPr>
              <w:spacing w:before="99" w:line="267" w:lineRule="auto"/>
              <w:ind w:left="363" w:right="97" w:hanging="285"/>
              <w:rPr>
                <w:rFonts w:hint="default" w:ascii="Times New Roman" w:hAnsi="Times New Roman" w:eastAsia="Times New Roman" w:cs="Times New Roman"/>
                <w:sz w:val="13"/>
                <w:szCs w:val="13"/>
                <w:highlight w:val="none"/>
              </w:rPr>
            </w:pPr>
            <w:r>
              <w:rPr>
                <w:rFonts w:hint="default" w:ascii="Times New Roman" w:hAnsi="Times New Roman" w:eastAsia="宋体" w:cs="Times New Roman"/>
                <w:spacing w:val="-1"/>
                <w:sz w:val="20"/>
                <w:szCs w:val="20"/>
                <w:highlight w:val="none"/>
              </w:rPr>
              <w:t>占地面</w:t>
            </w:r>
            <w:r>
              <w:rPr>
                <w:rFonts w:hint="default" w:ascii="Times New Roman" w:hAnsi="Times New Roman" w:eastAsia="宋体" w:cs="Times New Roman"/>
                <w:sz w:val="20"/>
                <w:szCs w:val="20"/>
                <w:highlight w:val="none"/>
              </w:rPr>
              <w:t xml:space="preserve">积 </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9"/>
                <w:position w:val="3"/>
                <w:sz w:val="13"/>
                <w:szCs w:val="13"/>
                <w:highlight w:val="none"/>
              </w:rPr>
              <w:t>2</w:t>
            </w:r>
          </w:p>
        </w:tc>
        <w:tc>
          <w:tcPr>
            <w:tcW w:w="984" w:type="dxa"/>
            <w:gridSpan w:val="2"/>
            <w:tcBorders>
              <w:left w:val="single" w:color="000000" w:sz="4" w:space="0"/>
              <w:right w:val="single" w:color="000000" w:sz="4" w:space="0"/>
            </w:tcBorders>
            <w:vAlign w:val="top"/>
          </w:tcPr>
          <w:p>
            <w:pPr>
              <w:spacing w:before="99" w:line="267" w:lineRule="auto"/>
              <w:ind w:left="368" w:right="94" w:hanging="319"/>
              <w:rPr>
                <w:rFonts w:hint="default" w:ascii="Times New Roman" w:hAnsi="Times New Roman" w:eastAsia="Times New Roman" w:cs="Times New Roman"/>
                <w:sz w:val="13"/>
                <w:szCs w:val="13"/>
                <w:highlight w:val="none"/>
              </w:rPr>
            </w:pPr>
            <w:r>
              <w:rPr>
                <w:rFonts w:hint="default" w:ascii="Times New Roman" w:hAnsi="Times New Roman" w:eastAsia="宋体" w:cs="Times New Roman"/>
                <w:spacing w:val="8"/>
                <w:sz w:val="20"/>
                <w:szCs w:val="20"/>
                <w:highlight w:val="none"/>
              </w:rPr>
              <w:t>建</w:t>
            </w:r>
            <w:r>
              <w:rPr>
                <w:rFonts w:hint="default" w:ascii="Times New Roman" w:hAnsi="Times New Roman" w:eastAsia="宋体" w:cs="Times New Roman"/>
                <w:spacing w:val="7"/>
                <w:sz w:val="20"/>
                <w:szCs w:val="20"/>
                <w:highlight w:val="none"/>
              </w:rPr>
              <w:t>筑面积</w:t>
            </w: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9"/>
                <w:position w:val="3"/>
                <w:sz w:val="13"/>
                <w:szCs w:val="13"/>
                <w:highlight w:val="none"/>
              </w:rPr>
              <w:t>2</w:t>
            </w:r>
          </w:p>
        </w:tc>
        <w:tc>
          <w:tcPr>
            <w:tcW w:w="3651" w:type="dxa"/>
            <w:gridSpan w:val="2"/>
            <w:tcBorders>
              <w:left w:val="single" w:color="000000" w:sz="4" w:space="0"/>
              <w:right w:val="single" w:color="000000" w:sz="4" w:space="0"/>
            </w:tcBorders>
            <w:vAlign w:val="top"/>
          </w:tcPr>
          <w:p>
            <w:pPr>
              <w:spacing w:before="261" w:line="228" w:lineRule="auto"/>
              <w:ind w:left="124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结构及层高</w:t>
            </w:r>
          </w:p>
        </w:tc>
        <w:tc>
          <w:tcPr>
            <w:tcW w:w="1574" w:type="dxa"/>
            <w:tcBorders>
              <w:left w:val="single" w:color="000000" w:sz="4" w:space="0"/>
              <w:right w:val="single" w:color="000000" w:sz="10" w:space="0"/>
            </w:tcBorders>
            <w:vAlign w:val="top"/>
          </w:tcPr>
          <w:p>
            <w:pPr>
              <w:spacing w:before="261" w:line="230" w:lineRule="auto"/>
              <w:ind w:left="6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12" w:type="dxa"/>
            <w:tcBorders>
              <w:left w:val="single" w:color="000000" w:sz="10" w:space="0"/>
              <w:right w:val="single" w:color="000000" w:sz="4" w:space="0"/>
            </w:tcBorders>
            <w:vAlign w:val="top"/>
          </w:tcPr>
          <w:p>
            <w:pPr>
              <w:spacing w:before="275" w:line="195" w:lineRule="auto"/>
              <w:ind w:left="16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828" w:type="dxa"/>
            <w:tcBorders>
              <w:left w:val="single" w:color="000000" w:sz="4" w:space="0"/>
              <w:right w:val="single" w:color="000000" w:sz="4" w:space="0"/>
            </w:tcBorders>
            <w:vAlign w:val="top"/>
          </w:tcPr>
          <w:p>
            <w:pPr>
              <w:spacing w:before="47" w:line="277" w:lineRule="auto"/>
              <w:ind w:left="190" w:right="97" w:hanging="90"/>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
                <w:sz w:val="20"/>
                <w:szCs w:val="20"/>
                <w:highlight w:val="none"/>
              </w:rPr>
              <w:t>1#</w:t>
            </w:r>
            <w:r>
              <w:rPr>
                <w:rFonts w:hint="eastAsia" w:ascii="Times New Roman" w:hAnsi="Times New Roman" w:eastAsia="宋体" w:cs="Times New Roman"/>
                <w:spacing w:val="1"/>
                <w:sz w:val="20"/>
                <w:szCs w:val="20"/>
                <w:highlight w:val="none"/>
                <w:lang w:val="en-US" w:eastAsia="zh-CN"/>
              </w:rPr>
              <w:t>生产</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4"/>
                <w:sz w:val="20"/>
                <w:szCs w:val="20"/>
                <w:highlight w:val="none"/>
              </w:rPr>
              <w:t>车</w:t>
            </w:r>
            <w:r>
              <w:rPr>
                <w:rFonts w:hint="default" w:ascii="Times New Roman" w:hAnsi="Times New Roman" w:eastAsia="宋体" w:cs="Times New Roman"/>
                <w:spacing w:val="3"/>
                <w:sz w:val="20"/>
                <w:szCs w:val="20"/>
                <w:highlight w:val="none"/>
              </w:rPr>
              <w:t>间</w:t>
            </w:r>
          </w:p>
        </w:tc>
        <w:tc>
          <w:tcPr>
            <w:tcW w:w="968" w:type="dxa"/>
            <w:tcBorders>
              <w:left w:val="single" w:color="000000" w:sz="4" w:space="0"/>
              <w:right w:val="single" w:color="000000" w:sz="4" w:space="0"/>
            </w:tcBorders>
            <w:vAlign w:val="top"/>
          </w:tcPr>
          <w:p>
            <w:pPr>
              <w:spacing w:before="275" w:line="195" w:lineRule="auto"/>
              <w:ind w:left="329"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4800</w:t>
            </w:r>
          </w:p>
        </w:tc>
        <w:tc>
          <w:tcPr>
            <w:tcW w:w="984" w:type="dxa"/>
            <w:gridSpan w:val="2"/>
            <w:tcBorders>
              <w:left w:val="single" w:color="000000" w:sz="4" w:space="0"/>
              <w:right w:val="single" w:color="000000" w:sz="4" w:space="0"/>
            </w:tcBorders>
            <w:vAlign w:val="top"/>
          </w:tcPr>
          <w:p>
            <w:pPr>
              <w:spacing w:before="275" w:line="195" w:lineRule="auto"/>
              <w:ind w:left="332"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4800</w:t>
            </w:r>
          </w:p>
        </w:tc>
        <w:tc>
          <w:tcPr>
            <w:tcW w:w="3651" w:type="dxa"/>
            <w:gridSpan w:val="2"/>
            <w:tcBorders>
              <w:left w:val="single" w:color="000000" w:sz="4" w:space="0"/>
              <w:right w:val="single" w:color="000000" w:sz="4" w:space="0"/>
            </w:tcBorders>
            <w:vAlign w:val="top"/>
          </w:tcPr>
          <w:p>
            <w:pPr>
              <w:spacing w:before="48" w:line="277" w:lineRule="auto"/>
              <w:ind w:left="882" w:leftChars="0" w:right="40" w:rightChars="0" w:hanging="814" w:firstLineChars="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2"/>
                <w:sz w:val="20"/>
                <w:szCs w:val="20"/>
                <w:highlight w:val="none"/>
              </w:rPr>
              <w:t xml:space="preserve"> </w:t>
            </w:r>
            <w:r>
              <w:rPr>
                <w:rFonts w:hint="default" w:ascii="Times New Roman" w:hAnsi="Times New Roman" w:eastAsia="宋体" w:cs="Times New Roman"/>
                <w:spacing w:val="2"/>
                <w:sz w:val="20"/>
                <w:szCs w:val="20"/>
                <w:highlight w:val="none"/>
              </w:rPr>
              <w:t>混凝土基础</w:t>
            </w:r>
            <w:r>
              <w:rPr>
                <w:rFonts w:hint="default" w:ascii="Times New Roman" w:hAnsi="Times New Roman" w:eastAsia="Times New Roman" w:cs="Times New Roman"/>
                <w:spacing w:val="2"/>
                <w:sz w:val="20"/>
                <w:szCs w:val="20"/>
                <w:highlight w:val="none"/>
              </w:rPr>
              <w:t>+</w:t>
            </w:r>
            <w:r>
              <w:rPr>
                <w:rFonts w:hint="default" w:ascii="Times New Roman" w:hAnsi="Times New Roman" w:eastAsia="宋体" w:cs="Times New Roman"/>
                <w:spacing w:val="2"/>
                <w:sz w:val="20"/>
                <w:szCs w:val="20"/>
                <w:highlight w:val="none"/>
              </w:rPr>
              <w:t>双层夹芯彩钢，规格</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1"/>
                <w:sz w:val="20"/>
                <w:szCs w:val="20"/>
                <w:highlight w:val="none"/>
              </w:rPr>
              <w:t>为</w:t>
            </w:r>
            <w:r>
              <w:rPr>
                <w:rFonts w:hint="default" w:ascii="Times New Roman" w:hAnsi="Times New Roman" w:eastAsia="宋体"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80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60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12.4</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before="78" w:line="267" w:lineRule="auto"/>
              <w:ind w:left="676" w:leftChars="140" w:right="39" w:hanging="382" w:hangingChars="195"/>
              <w:rPr>
                <w:rFonts w:hint="default" w:ascii="Times New Roman" w:hAnsi="Times New Roman" w:eastAsia="Times New Roman" w:cs="Times New Roman"/>
                <w:sz w:val="13"/>
                <w:szCs w:val="13"/>
                <w:highlight w:val="none"/>
              </w:rPr>
            </w:pPr>
            <w:r>
              <w:rPr>
                <w:rFonts w:hint="default" w:ascii="Times New Roman" w:hAnsi="Times New Roman" w:eastAsia="宋体" w:cs="Times New Roman"/>
                <w:spacing w:val="-2"/>
                <w:sz w:val="20"/>
                <w:szCs w:val="20"/>
                <w:highlight w:val="none"/>
              </w:rPr>
              <w:t>内设</w:t>
            </w:r>
            <w:r>
              <w:rPr>
                <w:rFonts w:hint="eastAsia" w:ascii="Times New Roman" w:hAnsi="Times New Roman" w:eastAsia="宋体" w:cs="Times New Roman"/>
                <w:spacing w:val="-2"/>
                <w:sz w:val="20"/>
                <w:szCs w:val="20"/>
                <w:highlight w:val="none"/>
                <w:lang w:val="en-US" w:eastAsia="zh-CN"/>
              </w:rPr>
              <w:t>1座</w:t>
            </w:r>
            <w:r>
              <w:rPr>
                <w:rFonts w:hint="default" w:ascii="Times New Roman" w:hAnsi="Times New Roman" w:eastAsia="宋体" w:cs="Times New Roman"/>
                <w:spacing w:val="-2"/>
                <w:sz w:val="20"/>
                <w:szCs w:val="20"/>
                <w:highlight w:val="none"/>
              </w:rPr>
              <w:t>危废间</w:t>
            </w:r>
            <w:r>
              <w:rPr>
                <w:rFonts w:hint="eastAsia" w:ascii="Times New Roman" w:hAnsi="Times New Roman" w:eastAsia="宋体" w:cs="Times New Roman"/>
                <w:sz w:val="20"/>
                <w:szCs w:val="20"/>
                <w:highlight w:val="none"/>
                <w:lang w:val="en-US" w:eastAsia="zh-CN"/>
              </w:rPr>
              <w:t>12</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6"/>
                <w:position w:val="5"/>
                <w:sz w:val="13"/>
                <w:szCs w:val="13"/>
                <w:highlight w:val="none"/>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12" w:type="dxa"/>
            <w:tcBorders>
              <w:left w:val="single" w:color="000000" w:sz="10" w:space="0"/>
              <w:right w:val="single" w:color="000000" w:sz="4" w:space="0"/>
            </w:tcBorders>
            <w:vAlign w:val="top"/>
          </w:tcPr>
          <w:p>
            <w:pPr>
              <w:spacing w:before="276" w:line="195" w:lineRule="auto"/>
              <w:ind w:left="14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828" w:type="dxa"/>
            <w:tcBorders>
              <w:left w:val="single" w:color="000000" w:sz="4" w:space="0"/>
              <w:right w:val="single" w:color="000000" w:sz="4" w:space="0"/>
            </w:tcBorders>
            <w:vAlign w:val="top"/>
          </w:tcPr>
          <w:p>
            <w:pPr>
              <w:spacing w:before="49" w:line="273" w:lineRule="auto"/>
              <w:ind w:left="191" w:right="97" w:hanging="111"/>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6"/>
                <w:sz w:val="20"/>
                <w:szCs w:val="20"/>
                <w:highlight w:val="none"/>
              </w:rPr>
              <w:t>2#</w:t>
            </w:r>
            <w:r>
              <w:rPr>
                <w:rFonts w:hint="default" w:ascii="Times New Roman" w:hAnsi="Times New Roman" w:eastAsia="宋体" w:cs="Times New Roman"/>
                <w:spacing w:val="6"/>
                <w:sz w:val="20"/>
                <w:szCs w:val="20"/>
                <w:highlight w:val="none"/>
              </w:rPr>
              <w:t>生产</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4"/>
                <w:sz w:val="20"/>
                <w:szCs w:val="20"/>
                <w:highlight w:val="none"/>
              </w:rPr>
              <w:t>车</w:t>
            </w:r>
            <w:r>
              <w:rPr>
                <w:rFonts w:hint="default" w:ascii="Times New Roman" w:hAnsi="Times New Roman" w:eastAsia="宋体" w:cs="Times New Roman"/>
                <w:spacing w:val="3"/>
                <w:sz w:val="20"/>
                <w:szCs w:val="20"/>
                <w:highlight w:val="none"/>
              </w:rPr>
              <w:t>间</w:t>
            </w:r>
          </w:p>
        </w:tc>
        <w:tc>
          <w:tcPr>
            <w:tcW w:w="968" w:type="dxa"/>
            <w:tcBorders>
              <w:left w:val="single" w:color="000000" w:sz="4" w:space="0"/>
              <w:right w:val="single" w:color="000000" w:sz="4" w:space="0"/>
            </w:tcBorders>
            <w:vAlign w:val="top"/>
          </w:tcPr>
          <w:p>
            <w:pPr>
              <w:spacing w:before="276" w:line="195" w:lineRule="auto"/>
              <w:ind w:left="334"/>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300</w:t>
            </w:r>
          </w:p>
        </w:tc>
        <w:tc>
          <w:tcPr>
            <w:tcW w:w="984" w:type="dxa"/>
            <w:gridSpan w:val="2"/>
            <w:tcBorders>
              <w:left w:val="single" w:color="000000" w:sz="4" w:space="0"/>
              <w:right w:val="single" w:color="000000" w:sz="4" w:space="0"/>
            </w:tcBorders>
            <w:vAlign w:val="top"/>
          </w:tcPr>
          <w:p>
            <w:pPr>
              <w:spacing w:before="276" w:line="195" w:lineRule="auto"/>
              <w:ind w:left="337"/>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300</w:t>
            </w:r>
          </w:p>
        </w:tc>
        <w:tc>
          <w:tcPr>
            <w:tcW w:w="3651" w:type="dxa"/>
            <w:gridSpan w:val="2"/>
            <w:tcBorders>
              <w:left w:val="single" w:color="000000" w:sz="4" w:space="0"/>
              <w:right w:val="single" w:color="000000" w:sz="4" w:space="0"/>
            </w:tcBorders>
            <w:vAlign w:val="top"/>
          </w:tcPr>
          <w:p>
            <w:pPr>
              <w:spacing w:before="49" w:line="273" w:lineRule="auto"/>
              <w:ind w:left="726" w:right="40" w:hanging="65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2"/>
                <w:sz w:val="20"/>
                <w:szCs w:val="20"/>
                <w:highlight w:val="none"/>
              </w:rPr>
              <w:t xml:space="preserve"> </w:t>
            </w:r>
            <w:r>
              <w:rPr>
                <w:rFonts w:hint="default" w:ascii="Times New Roman" w:hAnsi="Times New Roman" w:eastAsia="宋体" w:cs="Times New Roman"/>
                <w:spacing w:val="2"/>
                <w:sz w:val="20"/>
                <w:szCs w:val="20"/>
                <w:highlight w:val="none"/>
              </w:rPr>
              <w:t>混凝土基础</w:t>
            </w:r>
            <w:r>
              <w:rPr>
                <w:rFonts w:hint="default" w:ascii="Times New Roman" w:hAnsi="Times New Roman" w:eastAsia="Times New Roman" w:cs="Times New Roman"/>
                <w:spacing w:val="2"/>
                <w:sz w:val="20"/>
                <w:szCs w:val="20"/>
                <w:highlight w:val="none"/>
              </w:rPr>
              <w:t>+</w:t>
            </w:r>
            <w:r>
              <w:rPr>
                <w:rFonts w:hint="default" w:ascii="Times New Roman" w:hAnsi="Times New Roman" w:eastAsia="宋体" w:cs="Times New Roman"/>
                <w:spacing w:val="2"/>
                <w:sz w:val="20"/>
                <w:szCs w:val="20"/>
                <w:highlight w:val="none"/>
              </w:rPr>
              <w:t>双层夹芯彩钢，规格</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1"/>
                <w:sz w:val="20"/>
                <w:szCs w:val="20"/>
                <w:highlight w:val="none"/>
              </w:rPr>
              <w:t>为</w:t>
            </w:r>
            <w:r>
              <w:rPr>
                <w:rFonts w:hint="default" w:ascii="Times New Roman" w:hAnsi="Times New Roman" w:eastAsia="宋体"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20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15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×12 4</w:t>
            </w:r>
            <w:r>
              <w:rPr>
                <w:rFonts w:hint="default" w:ascii="Times New Roman" w:hAnsi="Times New Roman" w:eastAsia="Times New Roman" w:cs="Times New Roman"/>
                <w:sz w:val="20"/>
                <w:szCs w:val="20"/>
                <w:highlight w:val="none"/>
              </w:rPr>
              <w:t>m</w:t>
            </w:r>
          </w:p>
        </w:tc>
        <w:tc>
          <w:tcPr>
            <w:tcW w:w="1574" w:type="dxa"/>
            <w:vMerge w:val="restart"/>
            <w:tcBorders>
              <w:left w:val="single" w:color="000000" w:sz="4" w:space="0"/>
              <w:bottom w:val="nil"/>
              <w:right w:val="single" w:color="000000" w:sz="10" w:space="0"/>
            </w:tcBorders>
            <w:vAlign w:val="top"/>
          </w:tcPr>
          <w:p>
            <w:pPr>
              <w:spacing w:line="338" w:lineRule="auto"/>
              <w:rPr>
                <w:rFonts w:hint="default" w:ascii="Times New Roman" w:hAnsi="Times New Roman" w:cs="Times New Roman"/>
                <w:sz w:val="21"/>
                <w:highlight w:val="none"/>
              </w:rPr>
            </w:pPr>
          </w:p>
          <w:p>
            <w:pPr>
              <w:spacing w:before="65" w:line="310" w:lineRule="auto"/>
              <w:ind w:left="227" w:right="39" w:hanging="165"/>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12" w:type="dxa"/>
            <w:tcBorders>
              <w:left w:val="single" w:color="000000" w:sz="10" w:space="0"/>
              <w:right w:val="single" w:color="000000" w:sz="4" w:space="0"/>
            </w:tcBorders>
            <w:vAlign w:val="top"/>
          </w:tcPr>
          <w:p>
            <w:pPr>
              <w:spacing w:before="285" w:line="195" w:lineRule="auto"/>
              <w:ind w:left="14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828" w:type="dxa"/>
            <w:tcBorders>
              <w:left w:val="single" w:color="000000" w:sz="4" w:space="0"/>
              <w:right w:val="single" w:color="000000" w:sz="4" w:space="0"/>
            </w:tcBorders>
            <w:vAlign w:val="top"/>
          </w:tcPr>
          <w:p>
            <w:pPr>
              <w:spacing w:before="57" w:line="276" w:lineRule="auto"/>
              <w:ind w:left="190" w:right="97" w:hanging="106"/>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5"/>
                <w:sz w:val="20"/>
                <w:szCs w:val="20"/>
                <w:highlight w:val="none"/>
              </w:rPr>
              <w:t>3#</w:t>
            </w:r>
            <w:r>
              <w:rPr>
                <w:rFonts w:hint="default" w:ascii="Times New Roman" w:hAnsi="Times New Roman" w:eastAsia="宋体" w:cs="Times New Roman"/>
                <w:spacing w:val="5"/>
                <w:sz w:val="20"/>
                <w:szCs w:val="20"/>
                <w:highlight w:val="none"/>
              </w:rPr>
              <w:t>生产</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4"/>
                <w:sz w:val="20"/>
                <w:szCs w:val="20"/>
                <w:highlight w:val="none"/>
              </w:rPr>
              <w:t>车</w:t>
            </w:r>
            <w:r>
              <w:rPr>
                <w:rFonts w:hint="default" w:ascii="Times New Roman" w:hAnsi="Times New Roman" w:eastAsia="宋体" w:cs="Times New Roman"/>
                <w:spacing w:val="3"/>
                <w:sz w:val="20"/>
                <w:szCs w:val="20"/>
                <w:highlight w:val="none"/>
              </w:rPr>
              <w:t>间</w:t>
            </w:r>
          </w:p>
        </w:tc>
        <w:tc>
          <w:tcPr>
            <w:tcW w:w="968" w:type="dxa"/>
            <w:tcBorders>
              <w:left w:val="single" w:color="000000" w:sz="4" w:space="0"/>
              <w:right w:val="single" w:color="000000" w:sz="4" w:space="0"/>
            </w:tcBorders>
            <w:vAlign w:val="top"/>
          </w:tcPr>
          <w:p>
            <w:pPr>
              <w:spacing w:before="285" w:line="195" w:lineRule="auto"/>
              <w:ind w:left="33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87</w:t>
            </w:r>
            <w:r>
              <w:rPr>
                <w:rFonts w:hint="default" w:ascii="Times New Roman" w:hAnsi="Times New Roman" w:eastAsia="Times New Roman" w:cs="Times New Roman"/>
                <w:sz w:val="20"/>
                <w:szCs w:val="20"/>
                <w:highlight w:val="none"/>
              </w:rPr>
              <w:t>6</w:t>
            </w:r>
          </w:p>
        </w:tc>
        <w:tc>
          <w:tcPr>
            <w:tcW w:w="984" w:type="dxa"/>
            <w:gridSpan w:val="2"/>
            <w:tcBorders>
              <w:left w:val="single" w:color="000000" w:sz="4" w:space="0"/>
              <w:right w:val="single" w:color="000000" w:sz="4" w:space="0"/>
            </w:tcBorders>
            <w:vAlign w:val="top"/>
          </w:tcPr>
          <w:p>
            <w:pPr>
              <w:spacing w:before="285" w:line="195" w:lineRule="auto"/>
              <w:ind w:left="33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87</w:t>
            </w:r>
            <w:r>
              <w:rPr>
                <w:rFonts w:hint="default" w:ascii="Times New Roman" w:hAnsi="Times New Roman" w:eastAsia="Times New Roman" w:cs="Times New Roman"/>
                <w:sz w:val="20"/>
                <w:szCs w:val="20"/>
                <w:highlight w:val="none"/>
              </w:rPr>
              <w:t>6</w:t>
            </w:r>
          </w:p>
        </w:tc>
        <w:tc>
          <w:tcPr>
            <w:tcW w:w="3651" w:type="dxa"/>
            <w:gridSpan w:val="2"/>
            <w:tcBorders>
              <w:left w:val="single" w:color="000000" w:sz="4" w:space="0"/>
              <w:right w:val="single" w:color="000000" w:sz="4" w:space="0"/>
            </w:tcBorders>
            <w:vAlign w:val="top"/>
          </w:tcPr>
          <w:p>
            <w:pPr>
              <w:spacing w:before="59" w:line="276" w:lineRule="auto"/>
              <w:ind w:left="726" w:right="40" w:hanging="65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2"/>
                <w:sz w:val="20"/>
                <w:szCs w:val="20"/>
                <w:highlight w:val="none"/>
              </w:rPr>
              <w:t xml:space="preserve"> </w:t>
            </w:r>
            <w:r>
              <w:rPr>
                <w:rFonts w:hint="default" w:ascii="Times New Roman" w:hAnsi="Times New Roman" w:eastAsia="宋体" w:cs="Times New Roman"/>
                <w:spacing w:val="2"/>
                <w:sz w:val="20"/>
                <w:szCs w:val="20"/>
                <w:highlight w:val="none"/>
              </w:rPr>
              <w:t>混凝土基础</w:t>
            </w:r>
            <w:r>
              <w:rPr>
                <w:rFonts w:hint="default" w:ascii="Times New Roman" w:hAnsi="Times New Roman" w:eastAsia="Times New Roman" w:cs="Times New Roman"/>
                <w:spacing w:val="2"/>
                <w:sz w:val="20"/>
                <w:szCs w:val="20"/>
                <w:highlight w:val="none"/>
              </w:rPr>
              <w:t>+</w:t>
            </w:r>
            <w:r>
              <w:rPr>
                <w:rFonts w:hint="default" w:ascii="Times New Roman" w:hAnsi="Times New Roman" w:eastAsia="宋体" w:cs="Times New Roman"/>
                <w:spacing w:val="2"/>
                <w:sz w:val="20"/>
                <w:szCs w:val="20"/>
                <w:highlight w:val="none"/>
              </w:rPr>
              <w:t>双层夹芯彩钢，规格</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1"/>
                <w:sz w:val="20"/>
                <w:szCs w:val="20"/>
                <w:highlight w:val="none"/>
              </w:rPr>
              <w:t>为</w:t>
            </w:r>
            <w:r>
              <w:rPr>
                <w:rFonts w:hint="default" w:ascii="Times New Roman" w:hAnsi="Times New Roman" w:eastAsia="宋体" w:cs="Times New Roman"/>
                <w:spacing w:val="6"/>
                <w:sz w:val="20"/>
                <w:szCs w:val="20"/>
                <w:highlight w:val="none"/>
              </w:rPr>
              <w:t>：</w:t>
            </w:r>
            <w:r>
              <w:rPr>
                <w:rFonts w:hint="default" w:ascii="Times New Roman" w:hAnsi="Times New Roman" w:eastAsia="Times New Roman" w:cs="Times New Roman"/>
                <w:spacing w:val="6"/>
                <w:sz w:val="20"/>
                <w:szCs w:val="20"/>
                <w:highlight w:val="none"/>
              </w:rPr>
              <w:t>60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×14.6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×12.4</w:t>
            </w:r>
            <w:r>
              <w:rPr>
                <w:rFonts w:hint="default" w:ascii="Times New Roman" w:hAnsi="Times New Roman" w:eastAsia="Times New Roman" w:cs="Times New Roman"/>
                <w:sz w:val="20"/>
                <w:szCs w:val="20"/>
                <w:highlight w:val="none"/>
              </w:rPr>
              <w:t>m</w:t>
            </w:r>
          </w:p>
        </w:tc>
        <w:tc>
          <w:tcPr>
            <w:tcW w:w="1574" w:type="dxa"/>
            <w:vMerge w:val="continue"/>
            <w:tcBorders>
              <w:top w:val="nil"/>
              <w:left w:val="single" w:color="000000" w:sz="4" w:space="0"/>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12" w:type="dxa"/>
            <w:tcBorders>
              <w:left w:val="single" w:color="000000" w:sz="10" w:space="0"/>
              <w:right w:val="single" w:color="000000" w:sz="4" w:space="0"/>
            </w:tcBorders>
            <w:vAlign w:val="top"/>
          </w:tcPr>
          <w:p>
            <w:pPr>
              <w:spacing w:before="278" w:line="195" w:lineRule="auto"/>
              <w:ind w:left="14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4</w:t>
            </w:r>
          </w:p>
        </w:tc>
        <w:tc>
          <w:tcPr>
            <w:tcW w:w="828" w:type="dxa"/>
            <w:tcBorders>
              <w:left w:val="single" w:color="000000" w:sz="4" w:space="0"/>
              <w:right w:val="single" w:color="000000" w:sz="4" w:space="0"/>
            </w:tcBorders>
            <w:vAlign w:val="top"/>
          </w:tcPr>
          <w:p>
            <w:pPr>
              <w:spacing w:before="81" w:line="262" w:lineRule="auto"/>
              <w:ind w:left="310" w:right="97" w:hanging="227"/>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5"/>
                <w:sz w:val="20"/>
                <w:szCs w:val="20"/>
                <w:highlight w:val="none"/>
                <w:lang w:val="en-US" w:eastAsia="zh-CN"/>
              </w:rPr>
              <w:t>4</w:t>
            </w:r>
            <w:r>
              <w:rPr>
                <w:rFonts w:hint="default" w:ascii="Times New Roman" w:hAnsi="Times New Roman" w:eastAsia="Times New Roman" w:cs="Times New Roman"/>
                <w:spacing w:val="5"/>
                <w:sz w:val="20"/>
                <w:szCs w:val="20"/>
                <w:highlight w:val="none"/>
              </w:rPr>
              <w:t>#</w:t>
            </w:r>
            <w:r>
              <w:rPr>
                <w:rFonts w:hint="default" w:ascii="Times New Roman" w:hAnsi="Times New Roman" w:eastAsia="宋体" w:cs="Times New Roman"/>
                <w:spacing w:val="5"/>
                <w:sz w:val="20"/>
                <w:szCs w:val="20"/>
                <w:highlight w:val="none"/>
              </w:rPr>
              <w:t>生产</w:t>
            </w:r>
            <w:r>
              <w:rPr>
                <w:rFonts w:hint="default" w:ascii="Times New Roman" w:hAnsi="Times New Roman" w:eastAsia="宋体" w:cs="Times New Roman"/>
                <w:sz w:val="20"/>
                <w:szCs w:val="20"/>
                <w:highlight w:val="none"/>
              </w:rPr>
              <w:t xml:space="preserve"> </w:t>
            </w:r>
            <w:r>
              <w:rPr>
                <w:rFonts w:hint="eastAsia" w:ascii="Times New Roman" w:hAnsi="Times New Roman" w:eastAsia="宋体" w:cs="Times New Roman"/>
                <w:sz w:val="20"/>
                <w:szCs w:val="20"/>
                <w:highlight w:val="none"/>
                <w:lang w:val="en-US" w:eastAsia="zh-CN"/>
              </w:rPr>
              <w:t>车</w:t>
            </w:r>
            <w:r>
              <w:rPr>
                <w:rFonts w:hint="default" w:ascii="Times New Roman" w:hAnsi="Times New Roman" w:eastAsia="宋体" w:cs="Times New Roman"/>
                <w:spacing w:val="3"/>
                <w:sz w:val="20"/>
                <w:szCs w:val="20"/>
                <w:highlight w:val="none"/>
              </w:rPr>
              <w:t>间</w:t>
            </w:r>
          </w:p>
        </w:tc>
        <w:tc>
          <w:tcPr>
            <w:tcW w:w="968" w:type="dxa"/>
            <w:tcBorders>
              <w:left w:val="single" w:color="000000" w:sz="4" w:space="0"/>
              <w:right w:val="single" w:color="000000" w:sz="4" w:space="0"/>
            </w:tcBorders>
            <w:vAlign w:val="top"/>
          </w:tcPr>
          <w:p>
            <w:pPr>
              <w:spacing w:before="278" w:line="195" w:lineRule="auto"/>
              <w:ind w:left="252"/>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876</w:t>
            </w:r>
          </w:p>
        </w:tc>
        <w:tc>
          <w:tcPr>
            <w:tcW w:w="984" w:type="dxa"/>
            <w:gridSpan w:val="2"/>
            <w:tcBorders>
              <w:left w:val="single" w:color="000000" w:sz="4" w:space="0"/>
              <w:right w:val="single" w:color="000000" w:sz="4" w:space="0"/>
            </w:tcBorders>
            <w:vAlign w:val="top"/>
          </w:tcPr>
          <w:p>
            <w:pPr>
              <w:spacing w:before="278" w:line="195" w:lineRule="auto"/>
              <w:ind w:left="255"/>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876</w:t>
            </w:r>
          </w:p>
        </w:tc>
        <w:tc>
          <w:tcPr>
            <w:tcW w:w="3651" w:type="dxa"/>
            <w:gridSpan w:val="2"/>
            <w:tcBorders>
              <w:left w:val="single" w:color="000000" w:sz="4" w:space="0"/>
              <w:right w:val="single" w:color="000000" w:sz="4" w:space="0"/>
            </w:tcBorders>
            <w:vAlign w:val="top"/>
          </w:tcPr>
          <w:p>
            <w:pPr>
              <w:spacing w:before="51" w:line="276" w:lineRule="auto"/>
              <w:ind w:left="805" w:right="40" w:hanging="73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2"/>
                <w:sz w:val="20"/>
                <w:szCs w:val="20"/>
                <w:highlight w:val="none"/>
              </w:rPr>
              <w:t xml:space="preserve"> </w:t>
            </w:r>
            <w:r>
              <w:rPr>
                <w:rFonts w:hint="default" w:ascii="Times New Roman" w:hAnsi="Times New Roman" w:eastAsia="宋体" w:cs="Times New Roman"/>
                <w:spacing w:val="2"/>
                <w:sz w:val="20"/>
                <w:szCs w:val="20"/>
                <w:highlight w:val="none"/>
              </w:rPr>
              <w:t>混凝土基础</w:t>
            </w:r>
            <w:r>
              <w:rPr>
                <w:rFonts w:hint="default" w:ascii="Times New Roman" w:hAnsi="Times New Roman" w:eastAsia="Times New Roman" w:cs="Times New Roman"/>
                <w:spacing w:val="2"/>
                <w:sz w:val="20"/>
                <w:szCs w:val="20"/>
                <w:highlight w:val="none"/>
              </w:rPr>
              <w:t>+</w:t>
            </w:r>
            <w:r>
              <w:rPr>
                <w:rFonts w:hint="default" w:ascii="Times New Roman" w:hAnsi="Times New Roman" w:eastAsia="宋体" w:cs="Times New Roman"/>
                <w:spacing w:val="2"/>
                <w:sz w:val="20"/>
                <w:szCs w:val="20"/>
                <w:highlight w:val="none"/>
              </w:rPr>
              <w:t>双层夹芯彩钢，规格</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2"/>
                <w:sz w:val="20"/>
                <w:szCs w:val="20"/>
                <w:highlight w:val="none"/>
              </w:rPr>
              <w:t>为</w:t>
            </w:r>
            <w:r>
              <w:rPr>
                <w:rFonts w:hint="default" w:ascii="Times New Roman" w:hAnsi="Times New Roman" w:eastAsia="宋体" w:cs="Times New Roman"/>
                <w:spacing w:val="8"/>
                <w:sz w:val="20"/>
                <w:szCs w:val="20"/>
                <w:highlight w:val="none"/>
              </w:rPr>
              <w:t>：</w:t>
            </w:r>
            <w:r>
              <w:rPr>
                <w:rFonts w:hint="eastAsia" w:ascii="Times New Roman" w:hAnsi="Times New Roman" w:eastAsia="宋体" w:cs="Times New Roman"/>
                <w:spacing w:val="6"/>
                <w:sz w:val="20"/>
                <w:szCs w:val="20"/>
                <w:highlight w:val="none"/>
                <w:lang w:val="en-US" w:eastAsia="zh-CN"/>
              </w:rPr>
              <w:t>60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14.6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12.4</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before="81" w:line="262" w:lineRule="auto"/>
              <w:ind w:left="639" w:hanging="578"/>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12" w:type="dxa"/>
            <w:tcBorders>
              <w:left w:val="single" w:color="000000" w:sz="10" w:space="0"/>
              <w:right w:val="single" w:color="000000" w:sz="4" w:space="0"/>
            </w:tcBorders>
            <w:vAlign w:val="top"/>
          </w:tcPr>
          <w:p>
            <w:pPr>
              <w:spacing w:before="279" w:line="195" w:lineRule="auto"/>
              <w:ind w:left="1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5</w:t>
            </w:r>
          </w:p>
        </w:tc>
        <w:tc>
          <w:tcPr>
            <w:tcW w:w="828" w:type="dxa"/>
            <w:tcBorders>
              <w:left w:val="single" w:color="000000" w:sz="4" w:space="0"/>
              <w:right w:val="single" w:color="000000" w:sz="4" w:space="0"/>
            </w:tcBorders>
            <w:vAlign w:val="center"/>
          </w:tcPr>
          <w:p>
            <w:pPr>
              <w:spacing w:before="53" w:line="275" w:lineRule="auto"/>
              <w:ind w:left="295" w:right="97" w:hanging="195"/>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1"/>
                <w:sz w:val="20"/>
                <w:szCs w:val="20"/>
                <w:highlight w:val="none"/>
                <w:lang w:val="en-US" w:eastAsia="zh-CN"/>
              </w:rPr>
              <w:t>成品</w:t>
            </w:r>
            <w:r>
              <w:rPr>
                <w:rFonts w:hint="default" w:ascii="Times New Roman" w:hAnsi="Times New Roman" w:eastAsia="宋体" w:cs="Times New Roman"/>
                <w:sz w:val="20"/>
                <w:szCs w:val="20"/>
                <w:highlight w:val="none"/>
              </w:rPr>
              <w:t>库</w:t>
            </w:r>
          </w:p>
        </w:tc>
        <w:tc>
          <w:tcPr>
            <w:tcW w:w="968" w:type="dxa"/>
            <w:tcBorders>
              <w:left w:val="single" w:color="000000" w:sz="4" w:space="0"/>
              <w:right w:val="single" w:color="000000" w:sz="4" w:space="0"/>
            </w:tcBorders>
            <w:vAlign w:val="top"/>
          </w:tcPr>
          <w:p>
            <w:pPr>
              <w:spacing w:before="279" w:line="195" w:lineRule="auto"/>
              <w:ind w:left="277" w:leftChars="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3"/>
                <w:sz w:val="20"/>
                <w:szCs w:val="20"/>
                <w:highlight w:val="none"/>
                <w:lang w:val="en-US" w:eastAsia="zh-CN"/>
              </w:rPr>
              <w:t>18</w:t>
            </w:r>
            <w:r>
              <w:rPr>
                <w:rFonts w:hint="default" w:ascii="Times New Roman" w:hAnsi="Times New Roman" w:eastAsia="Times New Roman" w:cs="Times New Roman"/>
                <w:spacing w:val="3"/>
                <w:sz w:val="20"/>
                <w:szCs w:val="20"/>
                <w:highlight w:val="none"/>
              </w:rPr>
              <w:t>00</w:t>
            </w:r>
          </w:p>
        </w:tc>
        <w:tc>
          <w:tcPr>
            <w:tcW w:w="984" w:type="dxa"/>
            <w:gridSpan w:val="2"/>
            <w:tcBorders>
              <w:left w:val="single" w:color="000000" w:sz="4" w:space="0"/>
              <w:right w:val="single" w:color="000000" w:sz="4" w:space="0"/>
            </w:tcBorders>
            <w:vAlign w:val="top"/>
          </w:tcPr>
          <w:p>
            <w:pPr>
              <w:spacing w:before="279" w:line="195" w:lineRule="auto"/>
              <w:ind w:left="280" w:leftChars="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3"/>
                <w:sz w:val="20"/>
                <w:szCs w:val="20"/>
                <w:highlight w:val="none"/>
                <w:lang w:val="en-US" w:eastAsia="zh-CN"/>
              </w:rPr>
              <w:t>18</w:t>
            </w:r>
            <w:r>
              <w:rPr>
                <w:rFonts w:hint="default" w:ascii="Times New Roman" w:hAnsi="Times New Roman" w:eastAsia="Times New Roman" w:cs="Times New Roman"/>
                <w:spacing w:val="3"/>
                <w:sz w:val="20"/>
                <w:szCs w:val="20"/>
                <w:highlight w:val="none"/>
              </w:rPr>
              <w:t>00</w:t>
            </w:r>
          </w:p>
        </w:tc>
        <w:tc>
          <w:tcPr>
            <w:tcW w:w="3651" w:type="dxa"/>
            <w:gridSpan w:val="2"/>
            <w:tcBorders>
              <w:left w:val="single" w:color="000000" w:sz="4" w:space="0"/>
              <w:right w:val="single" w:color="000000" w:sz="4" w:space="0"/>
            </w:tcBorders>
            <w:vAlign w:val="top"/>
          </w:tcPr>
          <w:p>
            <w:pPr>
              <w:spacing w:before="52" w:line="274" w:lineRule="exact"/>
              <w:ind w:left="48"/>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9"/>
                <w:position w:val="1"/>
                <w:sz w:val="20"/>
                <w:szCs w:val="20"/>
                <w:highlight w:val="none"/>
              </w:rPr>
              <w:t>2</w:t>
            </w:r>
            <w:r>
              <w:rPr>
                <w:rFonts w:hint="default" w:ascii="Times New Roman" w:hAnsi="Times New Roman" w:eastAsia="Times New Roman" w:cs="Times New Roman"/>
                <w:spacing w:val="5"/>
                <w:position w:val="1"/>
                <w:sz w:val="20"/>
                <w:szCs w:val="20"/>
                <w:highlight w:val="none"/>
              </w:rPr>
              <w:t>.0</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5"/>
                <w:position w:val="1"/>
                <w:sz w:val="20"/>
                <w:szCs w:val="20"/>
                <w:highlight w:val="none"/>
              </w:rPr>
              <w:t xml:space="preserve"> </w:t>
            </w:r>
            <w:r>
              <w:rPr>
                <w:rFonts w:hint="default" w:ascii="Times New Roman" w:hAnsi="Times New Roman" w:eastAsia="宋体" w:cs="Times New Roman"/>
                <w:spacing w:val="5"/>
                <w:position w:val="1"/>
                <w:sz w:val="20"/>
                <w:szCs w:val="20"/>
                <w:highlight w:val="none"/>
              </w:rPr>
              <w:t>混凝土基础</w:t>
            </w:r>
            <w:r>
              <w:rPr>
                <w:rFonts w:hint="default" w:ascii="Times New Roman" w:hAnsi="Times New Roman" w:eastAsia="Times New Roman" w:cs="Times New Roman"/>
                <w:spacing w:val="5"/>
                <w:position w:val="1"/>
                <w:sz w:val="20"/>
                <w:szCs w:val="20"/>
                <w:highlight w:val="none"/>
              </w:rPr>
              <w:t>+</w:t>
            </w:r>
            <w:r>
              <w:rPr>
                <w:rFonts w:hint="default" w:ascii="Times New Roman" w:hAnsi="Times New Roman" w:eastAsia="宋体" w:cs="Times New Roman"/>
                <w:spacing w:val="5"/>
                <w:position w:val="1"/>
                <w:sz w:val="20"/>
                <w:szCs w:val="20"/>
                <w:highlight w:val="none"/>
              </w:rPr>
              <w:t>单层彩钢，规格为：</w:t>
            </w:r>
          </w:p>
          <w:p>
            <w:pPr>
              <w:spacing w:before="111" w:line="195" w:lineRule="auto"/>
              <w:ind w:left="1092" w:leftChars="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7"/>
                <w:sz w:val="20"/>
                <w:szCs w:val="20"/>
                <w:highlight w:val="none"/>
                <w:lang w:val="en-US" w:eastAsia="zh-CN"/>
              </w:rPr>
              <w:t>6</w:t>
            </w:r>
            <w:r>
              <w:rPr>
                <w:rFonts w:hint="default" w:ascii="Times New Roman" w:hAnsi="Times New Roman" w:eastAsia="Times New Roman" w:cs="Times New Roman"/>
                <w:spacing w:val="7"/>
                <w:sz w:val="20"/>
                <w:szCs w:val="20"/>
                <w:highlight w:val="none"/>
              </w:rPr>
              <w:t>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×30×1</w:t>
            </w:r>
            <w:r>
              <w:rPr>
                <w:rFonts w:hint="eastAsia" w:ascii="Times New Roman" w:hAnsi="Times New Roman" w:eastAsia="宋体" w:cs="Times New Roman"/>
                <w:spacing w:val="6"/>
                <w:sz w:val="20"/>
                <w:szCs w:val="20"/>
                <w:highlight w:val="none"/>
                <w:lang w:val="en-US" w:eastAsia="zh-CN"/>
              </w:rPr>
              <w:t>2</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before="243" w:line="229"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412" w:type="dxa"/>
            <w:tcBorders>
              <w:left w:val="single" w:color="000000" w:sz="10" w:space="0"/>
              <w:right w:val="single" w:color="000000" w:sz="4" w:space="0"/>
            </w:tcBorders>
            <w:vAlign w:val="top"/>
          </w:tcPr>
          <w:p>
            <w:pPr>
              <w:spacing w:before="281" w:line="195" w:lineRule="auto"/>
              <w:ind w:left="149"/>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6</w:t>
            </w:r>
          </w:p>
        </w:tc>
        <w:tc>
          <w:tcPr>
            <w:tcW w:w="828" w:type="dxa"/>
            <w:tcBorders>
              <w:left w:val="single" w:color="000000" w:sz="4" w:space="0"/>
              <w:right w:val="single" w:color="000000" w:sz="4" w:space="0"/>
            </w:tcBorders>
            <w:vAlign w:val="top"/>
          </w:tcPr>
          <w:p>
            <w:pPr>
              <w:spacing w:before="84" w:line="261" w:lineRule="auto"/>
              <w:ind w:left="295" w:right="97" w:hanging="21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砂石料</w:t>
            </w:r>
            <w:r>
              <w:rPr>
                <w:rFonts w:hint="default" w:ascii="Times New Roman" w:hAnsi="Times New Roman" w:eastAsia="宋体" w:cs="Times New Roman"/>
                <w:sz w:val="20"/>
                <w:szCs w:val="20"/>
                <w:highlight w:val="none"/>
              </w:rPr>
              <w:t xml:space="preserve"> 库</w:t>
            </w:r>
          </w:p>
        </w:tc>
        <w:tc>
          <w:tcPr>
            <w:tcW w:w="968" w:type="dxa"/>
            <w:tcBorders>
              <w:left w:val="single" w:color="000000" w:sz="4" w:space="0"/>
              <w:right w:val="single" w:color="000000" w:sz="4" w:space="0"/>
            </w:tcBorders>
            <w:vAlign w:val="top"/>
          </w:tcPr>
          <w:p>
            <w:pPr>
              <w:spacing w:before="281" w:line="195" w:lineRule="auto"/>
              <w:ind w:left="279"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6750</w:t>
            </w:r>
          </w:p>
        </w:tc>
        <w:tc>
          <w:tcPr>
            <w:tcW w:w="984" w:type="dxa"/>
            <w:gridSpan w:val="2"/>
            <w:tcBorders>
              <w:left w:val="single" w:color="000000" w:sz="4" w:space="0"/>
              <w:right w:val="single" w:color="000000" w:sz="4" w:space="0"/>
            </w:tcBorders>
            <w:vAlign w:val="top"/>
          </w:tcPr>
          <w:p>
            <w:pPr>
              <w:spacing w:before="281" w:line="195" w:lineRule="auto"/>
              <w:ind w:left="281"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6750</w:t>
            </w:r>
          </w:p>
        </w:tc>
        <w:tc>
          <w:tcPr>
            <w:tcW w:w="3651" w:type="dxa"/>
            <w:gridSpan w:val="2"/>
            <w:tcBorders>
              <w:left w:val="single" w:color="000000" w:sz="4" w:space="0"/>
              <w:right w:val="single" w:color="000000" w:sz="4" w:space="0"/>
            </w:tcBorders>
            <w:vAlign w:val="top"/>
          </w:tcPr>
          <w:p>
            <w:pPr>
              <w:spacing w:before="53" w:line="274" w:lineRule="exact"/>
              <w:ind w:left="48"/>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9"/>
                <w:position w:val="1"/>
                <w:sz w:val="20"/>
                <w:szCs w:val="20"/>
                <w:highlight w:val="none"/>
              </w:rPr>
              <w:t>2</w:t>
            </w:r>
            <w:r>
              <w:rPr>
                <w:rFonts w:hint="default" w:ascii="Times New Roman" w:hAnsi="Times New Roman" w:eastAsia="Times New Roman" w:cs="Times New Roman"/>
                <w:spacing w:val="5"/>
                <w:position w:val="1"/>
                <w:sz w:val="20"/>
                <w:szCs w:val="20"/>
                <w:highlight w:val="none"/>
              </w:rPr>
              <w:t>.0</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5"/>
                <w:position w:val="1"/>
                <w:sz w:val="20"/>
                <w:szCs w:val="20"/>
                <w:highlight w:val="none"/>
              </w:rPr>
              <w:t xml:space="preserve"> </w:t>
            </w:r>
            <w:r>
              <w:rPr>
                <w:rFonts w:hint="default" w:ascii="Times New Roman" w:hAnsi="Times New Roman" w:eastAsia="宋体" w:cs="Times New Roman"/>
                <w:spacing w:val="5"/>
                <w:position w:val="1"/>
                <w:sz w:val="20"/>
                <w:szCs w:val="20"/>
                <w:highlight w:val="none"/>
              </w:rPr>
              <w:t>混凝土基础</w:t>
            </w:r>
            <w:r>
              <w:rPr>
                <w:rFonts w:hint="default" w:ascii="Times New Roman" w:hAnsi="Times New Roman" w:eastAsia="Times New Roman" w:cs="Times New Roman"/>
                <w:spacing w:val="5"/>
                <w:position w:val="1"/>
                <w:sz w:val="20"/>
                <w:szCs w:val="20"/>
                <w:highlight w:val="none"/>
              </w:rPr>
              <w:t>+</w:t>
            </w:r>
            <w:r>
              <w:rPr>
                <w:rFonts w:hint="default" w:ascii="Times New Roman" w:hAnsi="Times New Roman" w:eastAsia="宋体" w:cs="Times New Roman"/>
                <w:spacing w:val="5"/>
                <w:position w:val="1"/>
                <w:sz w:val="20"/>
                <w:szCs w:val="20"/>
                <w:highlight w:val="none"/>
              </w:rPr>
              <w:t>单层彩钢，规格为：</w:t>
            </w:r>
          </w:p>
          <w:p>
            <w:pPr>
              <w:spacing w:before="111" w:line="195" w:lineRule="auto"/>
              <w:ind w:left="1054" w:leftChars="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sz w:val="20"/>
                <w:szCs w:val="20"/>
                <w:highlight w:val="none"/>
                <w:lang w:val="en-US" w:eastAsia="zh-CN"/>
              </w:rPr>
              <w:t>90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5"/>
                <w:sz w:val="20"/>
                <w:szCs w:val="20"/>
                <w:highlight w:val="none"/>
                <w:lang w:val="en-US" w:eastAsia="zh-CN"/>
              </w:rPr>
              <w:t>75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×1</w:t>
            </w:r>
            <w:r>
              <w:rPr>
                <w:rFonts w:hint="default" w:ascii="Times New Roman" w:hAnsi="Times New Roman" w:eastAsia="Times New Roman" w:cs="Times New Roman"/>
                <w:spacing w:val="4"/>
                <w:sz w:val="20"/>
                <w:szCs w:val="20"/>
                <w:highlight w:val="none"/>
              </w:rPr>
              <w:t>2</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before="245" w:line="229"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412" w:type="dxa"/>
            <w:tcBorders>
              <w:left w:val="single" w:color="000000" w:sz="10" w:space="0"/>
              <w:right w:val="single" w:color="000000" w:sz="4" w:space="0"/>
            </w:tcBorders>
            <w:vAlign w:val="top"/>
          </w:tcPr>
          <w:p>
            <w:pPr>
              <w:spacing w:before="281" w:line="195" w:lineRule="auto"/>
              <w:ind w:left="1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7</w:t>
            </w:r>
          </w:p>
        </w:tc>
        <w:tc>
          <w:tcPr>
            <w:tcW w:w="828" w:type="dxa"/>
            <w:tcBorders>
              <w:left w:val="single" w:color="000000" w:sz="4" w:space="0"/>
              <w:right w:val="single" w:color="000000" w:sz="4" w:space="0"/>
            </w:tcBorders>
            <w:vAlign w:val="top"/>
          </w:tcPr>
          <w:p>
            <w:pPr>
              <w:spacing w:before="245" w:line="228" w:lineRule="auto"/>
              <w:ind w:left="83"/>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中转</w:t>
            </w:r>
            <w:r>
              <w:rPr>
                <w:rFonts w:hint="default" w:ascii="Times New Roman" w:hAnsi="Times New Roman" w:eastAsia="宋体" w:cs="Times New Roman"/>
                <w:spacing w:val="6"/>
                <w:sz w:val="20"/>
                <w:szCs w:val="20"/>
                <w:highlight w:val="none"/>
              </w:rPr>
              <w:t>库</w:t>
            </w:r>
          </w:p>
        </w:tc>
        <w:tc>
          <w:tcPr>
            <w:tcW w:w="968" w:type="dxa"/>
            <w:tcBorders>
              <w:left w:val="single" w:color="000000" w:sz="4" w:space="0"/>
              <w:right w:val="single" w:color="000000" w:sz="4" w:space="0"/>
            </w:tcBorders>
            <w:vAlign w:val="top"/>
          </w:tcPr>
          <w:p>
            <w:pPr>
              <w:spacing w:before="281" w:line="195" w:lineRule="auto"/>
              <w:ind w:left="293"/>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1"/>
                <w:sz w:val="20"/>
                <w:szCs w:val="20"/>
                <w:highlight w:val="none"/>
                <w:lang w:val="en-US" w:eastAsia="zh-CN"/>
              </w:rPr>
              <w:t>80</w:t>
            </w:r>
          </w:p>
        </w:tc>
        <w:tc>
          <w:tcPr>
            <w:tcW w:w="984" w:type="dxa"/>
            <w:gridSpan w:val="2"/>
            <w:tcBorders>
              <w:left w:val="single" w:color="000000" w:sz="4" w:space="0"/>
              <w:right w:val="single" w:color="000000" w:sz="4" w:space="0"/>
            </w:tcBorders>
            <w:vAlign w:val="top"/>
          </w:tcPr>
          <w:p>
            <w:pPr>
              <w:spacing w:before="281" w:line="195" w:lineRule="auto"/>
              <w:ind w:left="296"/>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1"/>
                <w:sz w:val="20"/>
                <w:szCs w:val="20"/>
                <w:highlight w:val="none"/>
                <w:lang w:val="en-US" w:eastAsia="zh-CN"/>
              </w:rPr>
              <w:t>8</w:t>
            </w:r>
            <w:r>
              <w:rPr>
                <w:rFonts w:hint="default" w:ascii="Times New Roman" w:hAnsi="Times New Roman" w:eastAsia="Times New Roman" w:cs="Times New Roman"/>
                <w:spacing w:val="-1"/>
                <w:sz w:val="20"/>
                <w:szCs w:val="20"/>
                <w:highlight w:val="none"/>
              </w:rPr>
              <w:t>0</w:t>
            </w:r>
          </w:p>
        </w:tc>
        <w:tc>
          <w:tcPr>
            <w:tcW w:w="3651" w:type="dxa"/>
            <w:gridSpan w:val="2"/>
            <w:tcBorders>
              <w:left w:val="single" w:color="000000" w:sz="4" w:space="0"/>
              <w:right w:val="single" w:color="000000" w:sz="4" w:space="0"/>
            </w:tcBorders>
            <w:vAlign w:val="top"/>
          </w:tcPr>
          <w:p>
            <w:pPr>
              <w:spacing w:before="53" w:line="275" w:lineRule="exact"/>
              <w:ind w:left="48"/>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9"/>
                <w:position w:val="1"/>
                <w:sz w:val="20"/>
                <w:szCs w:val="20"/>
                <w:highlight w:val="none"/>
              </w:rPr>
              <w:t>2</w:t>
            </w:r>
            <w:r>
              <w:rPr>
                <w:rFonts w:hint="default" w:ascii="Times New Roman" w:hAnsi="Times New Roman" w:eastAsia="Times New Roman" w:cs="Times New Roman"/>
                <w:spacing w:val="5"/>
                <w:position w:val="1"/>
                <w:sz w:val="20"/>
                <w:szCs w:val="20"/>
                <w:highlight w:val="none"/>
              </w:rPr>
              <w:t>.0</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5"/>
                <w:position w:val="1"/>
                <w:sz w:val="20"/>
                <w:szCs w:val="20"/>
                <w:highlight w:val="none"/>
              </w:rPr>
              <w:t xml:space="preserve"> </w:t>
            </w:r>
            <w:r>
              <w:rPr>
                <w:rFonts w:hint="default" w:ascii="Times New Roman" w:hAnsi="Times New Roman" w:eastAsia="宋体" w:cs="Times New Roman"/>
                <w:spacing w:val="5"/>
                <w:position w:val="1"/>
                <w:sz w:val="20"/>
                <w:szCs w:val="20"/>
                <w:highlight w:val="none"/>
              </w:rPr>
              <w:t>混凝土基础</w:t>
            </w:r>
            <w:r>
              <w:rPr>
                <w:rFonts w:hint="default" w:ascii="Times New Roman" w:hAnsi="Times New Roman" w:eastAsia="Times New Roman" w:cs="Times New Roman"/>
                <w:spacing w:val="5"/>
                <w:position w:val="1"/>
                <w:sz w:val="20"/>
                <w:szCs w:val="20"/>
                <w:highlight w:val="none"/>
              </w:rPr>
              <w:t>+</w:t>
            </w:r>
            <w:r>
              <w:rPr>
                <w:rFonts w:hint="default" w:ascii="Times New Roman" w:hAnsi="Times New Roman" w:eastAsia="宋体" w:cs="Times New Roman"/>
                <w:spacing w:val="5"/>
                <w:position w:val="1"/>
                <w:sz w:val="20"/>
                <w:szCs w:val="20"/>
                <w:highlight w:val="none"/>
              </w:rPr>
              <w:t>单层彩钢，规格为：</w:t>
            </w:r>
          </w:p>
          <w:p>
            <w:pPr>
              <w:spacing w:before="111" w:line="195" w:lineRule="auto"/>
              <w:ind w:left="1092"/>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7"/>
                <w:sz w:val="20"/>
                <w:szCs w:val="20"/>
                <w:highlight w:val="none"/>
                <w:lang w:val="en-US" w:eastAsia="zh-CN"/>
              </w:rPr>
              <w:t>10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8</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before="245" w:line="229"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412" w:type="dxa"/>
            <w:tcBorders>
              <w:left w:val="single" w:color="000000" w:sz="10" w:space="0"/>
              <w:right w:val="single" w:color="000000" w:sz="4" w:space="0"/>
            </w:tcBorders>
            <w:vAlign w:val="top"/>
          </w:tcPr>
          <w:p>
            <w:pPr>
              <w:spacing w:before="279" w:line="195" w:lineRule="auto"/>
              <w:ind w:left="108"/>
              <w:jc w:val="center"/>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8</w:t>
            </w:r>
          </w:p>
        </w:tc>
        <w:tc>
          <w:tcPr>
            <w:tcW w:w="828" w:type="dxa"/>
            <w:tcBorders>
              <w:left w:val="single" w:color="000000" w:sz="4" w:space="0"/>
              <w:right w:val="single" w:color="000000" w:sz="4" w:space="0"/>
            </w:tcBorders>
            <w:vAlign w:val="top"/>
          </w:tcPr>
          <w:p>
            <w:pPr>
              <w:spacing w:before="84" w:line="261" w:lineRule="auto"/>
              <w:ind w:left="83" w:right="97" w:firstLine="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办</w:t>
            </w:r>
            <w:r>
              <w:rPr>
                <w:rFonts w:hint="default" w:ascii="Times New Roman" w:hAnsi="Times New Roman" w:eastAsia="宋体" w:cs="Times New Roman"/>
                <w:spacing w:val="5"/>
                <w:sz w:val="20"/>
                <w:szCs w:val="20"/>
                <w:highlight w:val="none"/>
              </w:rPr>
              <w:t>公辅</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7"/>
                <w:sz w:val="20"/>
                <w:szCs w:val="20"/>
                <w:highlight w:val="none"/>
              </w:rPr>
              <w:t>助用</w:t>
            </w:r>
            <w:r>
              <w:rPr>
                <w:rFonts w:hint="default" w:ascii="Times New Roman" w:hAnsi="Times New Roman" w:eastAsia="宋体" w:cs="Times New Roman"/>
                <w:spacing w:val="6"/>
                <w:sz w:val="20"/>
                <w:szCs w:val="20"/>
                <w:highlight w:val="none"/>
              </w:rPr>
              <w:t>房</w:t>
            </w:r>
          </w:p>
        </w:tc>
        <w:tc>
          <w:tcPr>
            <w:tcW w:w="968" w:type="dxa"/>
            <w:tcBorders>
              <w:left w:val="single" w:color="000000" w:sz="4" w:space="0"/>
              <w:right w:val="single" w:color="000000" w:sz="4" w:space="0"/>
            </w:tcBorders>
            <w:vAlign w:val="top"/>
          </w:tcPr>
          <w:p>
            <w:pPr>
              <w:spacing w:before="279" w:line="195" w:lineRule="auto"/>
              <w:ind w:left="32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10</w:t>
            </w:r>
          </w:p>
        </w:tc>
        <w:tc>
          <w:tcPr>
            <w:tcW w:w="984" w:type="dxa"/>
            <w:gridSpan w:val="2"/>
            <w:tcBorders>
              <w:left w:val="single" w:color="000000" w:sz="4" w:space="0"/>
              <w:right w:val="single" w:color="000000" w:sz="4" w:space="0"/>
            </w:tcBorders>
            <w:vAlign w:val="top"/>
          </w:tcPr>
          <w:p>
            <w:pPr>
              <w:spacing w:before="279" w:line="195" w:lineRule="auto"/>
              <w:ind w:left="32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10</w:t>
            </w:r>
          </w:p>
        </w:tc>
        <w:tc>
          <w:tcPr>
            <w:tcW w:w="3651" w:type="dxa"/>
            <w:gridSpan w:val="2"/>
            <w:tcBorders>
              <w:left w:val="single" w:color="000000" w:sz="4" w:space="0"/>
              <w:right w:val="single" w:color="000000" w:sz="4" w:space="0"/>
            </w:tcBorders>
            <w:vAlign w:val="top"/>
          </w:tcPr>
          <w:p>
            <w:pPr>
              <w:spacing w:before="242" w:line="228" w:lineRule="auto"/>
              <w:ind w:left="134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砖</w:t>
            </w:r>
            <w:r>
              <w:rPr>
                <w:rFonts w:hint="default" w:ascii="Times New Roman" w:hAnsi="Times New Roman" w:eastAsia="宋体" w:cs="Times New Roman"/>
                <w:spacing w:val="7"/>
                <w:sz w:val="20"/>
                <w:szCs w:val="20"/>
                <w:highlight w:val="none"/>
              </w:rPr>
              <w:t>混结构</w:t>
            </w:r>
          </w:p>
        </w:tc>
        <w:tc>
          <w:tcPr>
            <w:tcW w:w="1574" w:type="dxa"/>
            <w:tcBorders>
              <w:left w:val="single" w:color="000000" w:sz="4" w:space="0"/>
              <w:right w:val="single" w:color="000000" w:sz="10" w:space="0"/>
            </w:tcBorders>
            <w:vAlign w:val="center"/>
          </w:tcPr>
          <w:p>
            <w:pPr>
              <w:spacing w:before="84" w:line="261" w:lineRule="auto"/>
              <w:ind w:left="649" w:right="39" w:hanging="588"/>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4"/>
                <w:sz w:val="20"/>
                <w:szCs w:val="20"/>
                <w:highlight w:val="none"/>
                <w:lang w:val="en-US" w:eastAsia="zh-CN"/>
              </w:rPr>
              <w:t>生活</w:t>
            </w:r>
            <w:r>
              <w:rPr>
                <w:rFonts w:hint="default" w:ascii="Times New Roman" w:hAnsi="Times New Roman" w:eastAsia="宋体" w:cs="Times New Roman"/>
                <w:spacing w:val="-4"/>
                <w:sz w:val="20"/>
                <w:szCs w:val="20"/>
                <w:highlight w:val="none"/>
              </w:rPr>
              <w:t>办</w:t>
            </w:r>
            <w:r>
              <w:rPr>
                <w:rFonts w:hint="default" w:ascii="Times New Roman" w:hAnsi="Times New Roman" w:eastAsia="宋体" w:cs="Times New Roman"/>
                <w:spacing w:val="-2"/>
                <w:sz w:val="20"/>
                <w:szCs w:val="20"/>
                <w:highlight w:val="none"/>
              </w:rPr>
              <w:t>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12" w:type="dxa"/>
            <w:tcBorders>
              <w:left w:val="single" w:color="000000" w:sz="10" w:space="0"/>
              <w:right w:val="single" w:color="000000" w:sz="4" w:space="0"/>
            </w:tcBorders>
            <w:vAlign w:val="top"/>
          </w:tcPr>
          <w:p>
            <w:pPr>
              <w:spacing w:before="121" w:line="195" w:lineRule="auto"/>
              <w:ind w:left="111"/>
              <w:jc w:val="center"/>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11"/>
                <w:sz w:val="20"/>
                <w:szCs w:val="20"/>
                <w:highlight w:val="none"/>
                <w:lang w:val="en-US" w:eastAsia="zh-CN"/>
              </w:rPr>
              <w:t>9</w:t>
            </w:r>
          </w:p>
        </w:tc>
        <w:tc>
          <w:tcPr>
            <w:tcW w:w="828" w:type="dxa"/>
            <w:tcBorders>
              <w:left w:val="single" w:color="000000" w:sz="4" w:space="0"/>
              <w:right w:val="single" w:color="000000" w:sz="4" w:space="0"/>
            </w:tcBorders>
            <w:vAlign w:val="top"/>
          </w:tcPr>
          <w:p>
            <w:pPr>
              <w:spacing w:before="85" w:line="232" w:lineRule="auto"/>
              <w:ind w:left="8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配电</w:t>
            </w:r>
            <w:r>
              <w:rPr>
                <w:rFonts w:hint="default" w:ascii="Times New Roman" w:hAnsi="Times New Roman" w:eastAsia="宋体" w:cs="Times New Roman"/>
                <w:spacing w:val="6"/>
                <w:sz w:val="20"/>
                <w:szCs w:val="20"/>
                <w:highlight w:val="none"/>
              </w:rPr>
              <w:t>室</w:t>
            </w:r>
          </w:p>
        </w:tc>
        <w:tc>
          <w:tcPr>
            <w:tcW w:w="968" w:type="dxa"/>
            <w:tcBorders>
              <w:left w:val="single" w:color="000000" w:sz="4" w:space="0"/>
              <w:right w:val="single" w:color="000000" w:sz="4" w:space="0"/>
            </w:tcBorders>
            <w:vAlign w:val="top"/>
          </w:tcPr>
          <w:p>
            <w:pPr>
              <w:spacing w:before="85" w:line="228" w:lineRule="auto"/>
              <w:ind w:left="141"/>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7"/>
                <w:sz w:val="20"/>
                <w:szCs w:val="20"/>
                <w:highlight w:val="none"/>
              </w:rPr>
              <w:t>2</w:t>
            </w:r>
            <w:r>
              <w:rPr>
                <w:rFonts w:hint="default" w:ascii="Times New Roman" w:hAnsi="Times New Roman" w:eastAsia="Times New Roman" w:cs="Times New Roman"/>
                <w:spacing w:val="4"/>
                <w:sz w:val="20"/>
                <w:szCs w:val="20"/>
                <w:highlight w:val="none"/>
              </w:rPr>
              <w:t xml:space="preserve">8*3 </w:t>
            </w:r>
            <w:r>
              <w:rPr>
                <w:rFonts w:hint="default" w:ascii="Times New Roman" w:hAnsi="Times New Roman" w:eastAsia="宋体" w:cs="Times New Roman"/>
                <w:spacing w:val="4"/>
                <w:sz w:val="20"/>
                <w:szCs w:val="20"/>
                <w:highlight w:val="none"/>
              </w:rPr>
              <w:t>个</w:t>
            </w:r>
          </w:p>
        </w:tc>
        <w:tc>
          <w:tcPr>
            <w:tcW w:w="984" w:type="dxa"/>
            <w:gridSpan w:val="2"/>
            <w:tcBorders>
              <w:left w:val="single" w:color="000000" w:sz="4" w:space="0"/>
              <w:right w:val="single" w:color="000000" w:sz="4" w:space="0"/>
            </w:tcBorders>
            <w:vAlign w:val="top"/>
          </w:tcPr>
          <w:p>
            <w:pPr>
              <w:spacing w:before="85" w:line="228" w:lineRule="auto"/>
              <w:ind w:left="144"/>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7"/>
                <w:sz w:val="20"/>
                <w:szCs w:val="20"/>
                <w:highlight w:val="none"/>
              </w:rPr>
              <w:t>2</w:t>
            </w:r>
            <w:r>
              <w:rPr>
                <w:rFonts w:hint="default" w:ascii="Times New Roman" w:hAnsi="Times New Roman" w:eastAsia="Times New Roman" w:cs="Times New Roman"/>
                <w:spacing w:val="4"/>
                <w:sz w:val="20"/>
                <w:szCs w:val="20"/>
                <w:highlight w:val="none"/>
              </w:rPr>
              <w:t xml:space="preserve">8*3 </w:t>
            </w:r>
            <w:r>
              <w:rPr>
                <w:rFonts w:hint="default" w:ascii="Times New Roman" w:hAnsi="Times New Roman" w:eastAsia="宋体" w:cs="Times New Roman"/>
                <w:spacing w:val="4"/>
                <w:sz w:val="20"/>
                <w:szCs w:val="20"/>
                <w:highlight w:val="none"/>
              </w:rPr>
              <w:t>个</w:t>
            </w:r>
          </w:p>
        </w:tc>
        <w:tc>
          <w:tcPr>
            <w:tcW w:w="3651" w:type="dxa"/>
            <w:gridSpan w:val="2"/>
            <w:tcBorders>
              <w:left w:val="single" w:color="000000" w:sz="4" w:space="0"/>
              <w:right w:val="single" w:color="000000" w:sz="4" w:space="0"/>
            </w:tcBorders>
            <w:vAlign w:val="top"/>
          </w:tcPr>
          <w:p>
            <w:pPr>
              <w:spacing w:before="84" w:line="228" w:lineRule="auto"/>
              <w:ind w:left="134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砖</w:t>
            </w:r>
            <w:r>
              <w:rPr>
                <w:rFonts w:hint="default" w:ascii="Times New Roman" w:hAnsi="Times New Roman" w:eastAsia="宋体" w:cs="Times New Roman"/>
                <w:spacing w:val="7"/>
                <w:sz w:val="20"/>
                <w:szCs w:val="20"/>
                <w:highlight w:val="none"/>
              </w:rPr>
              <w:t>混结构</w:t>
            </w:r>
          </w:p>
        </w:tc>
        <w:tc>
          <w:tcPr>
            <w:tcW w:w="1574" w:type="dxa"/>
            <w:tcBorders>
              <w:left w:val="single" w:color="000000" w:sz="4" w:space="0"/>
              <w:right w:val="single" w:color="000000" w:sz="10" w:space="0"/>
            </w:tcBorders>
            <w:vAlign w:val="top"/>
          </w:tcPr>
          <w:p>
            <w:pPr>
              <w:spacing w:before="85" w:line="229" w:lineRule="auto"/>
              <w:ind w:left="648"/>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412" w:type="dxa"/>
            <w:tcBorders>
              <w:left w:val="single" w:color="000000" w:sz="10" w:space="0"/>
              <w:right w:val="single" w:color="000000" w:sz="4" w:space="0"/>
            </w:tcBorders>
            <w:vAlign w:val="top"/>
          </w:tcPr>
          <w:p>
            <w:pPr>
              <w:spacing w:line="376" w:lineRule="auto"/>
              <w:rPr>
                <w:rFonts w:hint="default" w:ascii="Times New Roman" w:hAnsi="Times New Roman" w:cs="Times New Roman"/>
                <w:sz w:val="21"/>
                <w:highlight w:val="none"/>
              </w:rPr>
            </w:pPr>
          </w:p>
          <w:p>
            <w:pPr>
              <w:spacing w:before="58" w:line="195" w:lineRule="auto"/>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10</w:t>
            </w:r>
          </w:p>
        </w:tc>
        <w:tc>
          <w:tcPr>
            <w:tcW w:w="828" w:type="dxa"/>
            <w:tcBorders>
              <w:left w:val="single" w:color="000000" w:sz="4" w:space="0"/>
              <w:right w:val="single" w:color="000000" w:sz="4" w:space="0"/>
            </w:tcBorders>
            <w:vAlign w:val="center"/>
          </w:tcPr>
          <w:p>
            <w:pPr>
              <w:spacing w:before="71" w:line="228" w:lineRule="auto"/>
              <w:ind w:left="85"/>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5"/>
                <w:sz w:val="20"/>
                <w:szCs w:val="20"/>
                <w:highlight w:val="none"/>
                <w:lang w:val="en-US" w:eastAsia="zh-CN"/>
              </w:rPr>
              <w:t>1#干排</w:t>
            </w:r>
            <w:r>
              <w:rPr>
                <w:rFonts w:hint="default" w:ascii="Times New Roman" w:hAnsi="Times New Roman" w:eastAsia="宋体" w:cs="Times New Roman"/>
                <w:spacing w:val="6"/>
                <w:sz w:val="20"/>
                <w:szCs w:val="20"/>
                <w:highlight w:val="none"/>
              </w:rPr>
              <w:t>车</w:t>
            </w:r>
            <w:r>
              <w:rPr>
                <w:rFonts w:hint="default" w:ascii="Times New Roman" w:hAnsi="Times New Roman" w:eastAsia="宋体" w:cs="Times New Roman"/>
                <w:sz w:val="20"/>
                <w:szCs w:val="20"/>
                <w:highlight w:val="none"/>
              </w:rPr>
              <w:t>间</w:t>
            </w:r>
          </w:p>
        </w:tc>
        <w:tc>
          <w:tcPr>
            <w:tcW w:w="984" w:type="dxa"/>
            <w:gridSpan w:val="2"/>
            <w:tcBorders>
              <w:left w:val="single" w:color="000000" w:sz="4" w:space="0"/>
              <w:right w:val="single" w:color="000000" w:sz="4" w:space="0"/>
            </w:tcBorders>
            <w:vAlign w:val="top"/>
          </w:tcPr>
          <w:p>
            <w:pPr>
              <w:spacing w:line="376" w:lineRule="auto"/>
              <w:rPr>
                <w:rFonts w:hint="default" w:ascii="Times New Roman" w:hAnsi="Times New Roman" w:cs="Times New Roman"/>
                <w:sz w:val="21"/>
                <w:highlight w:val="none"/>
              </w:rPr>
            </w:pPr>
          </w:p>
          <w:p>
            <w:pPr>
              <w:spacing w:before="58" w:line="195" w:lineRule="auto"/>
              <w:ind w:left="346"/>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2070</w:t>
            </w:r>
          </w:p>
        </w:tc>
        <w:tc>
          <w:tcPr>
            <w:tcW w:w="984" w:type="dxa"/>
            <w:gridSpan w:val="2"/>
            <w:tcBorders>
              <w:left w:val="single" w:color="000000" w:sz="4" w:space="0"/>
              <w:right w:val="single" w:color="000000" w:sz="4" w:space="0"/>
            </w:tcBorders>
            <w:vAlign w:val="top"/>
          </w:tcPr>
          <w:p>
            <w:pPr>
              <w:spacing w:line="376" w:lineRule="auto"/>
              <w:rPr>
                <w:rFonts w:hint="default" w:ascii="Times New Roman" w:hAnsi="Times New Roman" w:cs="Times New Roman"/>
                <w:sz w:val="21"/>
                <w:highlight w:val="none"/>
              </w:rPr>
            </w:pPr>
          </w:p>
          <w:p>
            <w:pPr>
              <w:spacing w:before="58" w:line="195" w:lineRule="auto"/>
              <w:ind w:left="348"/>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2070</w:t>
            </w:r>
          </w:p>
        </w:tc>
        <w:tc>
          <w:tcPr>
            <w:tcW w:w="3635" w:type="dxa"/>
            <w:tcBorders>
              <w:left w:val="single" w:color="000000" w:sz="4" w:space="0"/>
              <w:right w:val="single" w:color="000000" w:sz="4" w:space="0"/>
            </w:tcBorders>
            <w:vAlign w:val="top"/>
          </w:tcPr>
          <w:p>
            <w:pPr>
              <w:spacing w:before="208" w:line="275" w:lineRule="exact"/>
              <w:ind w:left="123"/>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2"/>
                <w:position w:val="1"/>
                <w:sz w:val="20"/>
                <w:szCs w:val="20"/>
                <w:highlight w:val="none"/>
              </w:rPr>
              <w:t>1.</w:t>
            </w:r>
            <w:r>
              <w:rPr>
                <w:rFonts w:hint="default" w:ascii="Times New Roman" w:hAnsi="Times New Roman" w:eastAsia="Times New Roman" w:cs="Times New Roman"/>
                <w:spacing w:val="6"/>
                <w:position w:val="1"/>
                <w:sz w:val="20"/>
                <w:szCs w:val="20"/>
                <w:highlight w:val="none"/>
              </w:rPr>
              <w:t>5</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6"/>
                <w:position w:val="1"/>
                <w:sz w:val="20"/>
                <w:szCs w:val="20"/>
                <w:highlight w:val="none"/>
              </w:rPr>
              <w:t xml:space="preserve"> </w:t>
            </w:r>
            <w:r>
              <w:rPr>
                <w:rFonts w:hint="default" w:ascii="Times New Roman" w:hAnsi="Times New Roman" w:eastAsia="宋体" w:cs="Times New Roman"/>
                <w:spacing w:val="6"/>
                <w:position w:val="1"/>
                <w:sz w:val="20"/>
                <w:szCs w:val="20"/>
                <w:highlight w:val="none"/>
              </w:rPr>
              <w:t>混凝土基础墙</w:t>
            </w:r>
            <w:r>
              <w:rPr>
                <w:rFonts w:hint="default" w:ascii="Times New Roman" w:hAnsi="Times New Roman" w:eastAsia="Times New Roman" w:cs="Times New Roman"/>
                <w:spacing w:val="6"/>
                <w:position w:val="1"/>
                <w:sz w:val="20"/>
                <w:szCs w:val="20"/>
                <w:highlight w:val="none"/>
              </w:rPr>
              <w:t>+</w:t>
            </w:r>
            <w:r>
              <w:rPr>
                <w:rFonts w:hint="default" w:ascii="Times New Roman" w:hAnsi="Times New Roman" w:eastAsia="宋体" w:cs="Times New Roman"/>
                <w:spacing w:val="6"/>
                <w:position w:val="1"/>
                <w:sz w:val="20"/>
                <w:szCs w:val="20"/>
                <w:highlight w:val="none"/>
              </w:rPr>
              <w:t>双层夹芯彩钢，</w:t>
            </w:r>
          </w:p>
          <w:p>
            <w:pPr>
              <w:spacing w:before="114" w:line="195" w:lineRule="auto"/>
              <w:ind w:left="1107"/>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sz w:val="20"/>
                <w:szCs w:val="20"/>
                <w:highlight w:val="none"/>
                <w:lang w:val="en-US" w:eastAsia="zh-CN"/>
              </w:rPr>
              <w:t>46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5"/>
                <w:sz w:val="20"/>
                <w:szCs w:val="20"/>
                <w:highlight w:val="none"/>
                <w:lang w:val="en-US" w:eastAsia="zh-CN"/>
              </w:rPr>
              <w:t>45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×12</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line="333" w:lineRule="auto"/>
              <w:rPr>
                <w:rFonts w:hint="default" w:ascii="Times New Roman" w:hAnsi="Times New Roman" w:cs="Times New Roman"/>
                <w:sz w:val="21"/>
                <w:highlight w:val="none"/>
              </w:rPr>
            </w:pPr>
          </w:p>
          <w:p>
            <w:pPr>
              <w:spacing w:before="65" w:line="229"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412" w:type="dxa"/>
            <w:tcBorders>
              <w:left w:val="single" w:color="000000" w:sz="10" w:space="0"/>
              <w:right w:val="single" w:color="000000" w:sz="4" w:space="0"/>
            </w:tcBorders>
            <w:vAlign w:val="center"/>
          </w:tcPr>
          <w:p>
            <w:pPr>
              <w:spacing w:before="58" w:line="195" w:lineRule="auto"/>
              <w:ind w:left="108"/>
              <w:jc w:val="both"/>
              <w:rPr>
                <w:rFonts w:hint="default"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11</w:t>
            </w:r>
          </w:p>
        </w:tc>
        <w:tc>
          <w:tcPr>
            <w:tcW w:w="828" w:type="dxa"/>
            <w:tcBorders>
              <w:left w:val="single" w:color="000000" w:sz="4" w:space="0"/>
              <w:right w:val="single" w:color="000000" w:sz="4" w:space="0"/>
            </w:tcBorders>
            <w:vAlign w:val="center"/>
          </w:tcPr>
          <w:p>
            <w:pPr>
              <w:spacing w:before="71" w:line="228" w:lineRule="auto"/>
              <w:ind w:left="85" w:leftChars="0"/>
              <w:jc w:val="center"/>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2#干排</w:t>
            </w:r>
            <w:r>
              <w:rPr>
                <w:rFonts w:hint="default" w:ascii="Times New Roman" w:hAnsi="Times New Roman" w:eastAsia="宋体" w:cs="Times New Roman"/>
                <w:spacing w:val="6"/>
                <w:sz w:val="20"/>
                <w:szCs w:val="20"/>
                <w:highlight w:val="none"/>
              </w:rPr>
              <w:t>车</w:t>
            </w:r>
            <w:r>
              <w:rPr>
                <w:rFonts w:hint="default" w:ascii="Times New Roman" w:hAnsi="Times New Roman" w:eastAsia="宋体" w:cs="Times New Roman"/>
                <w:sz w:val="20"/>
                <w:szCs w:val="20"/>
                <w:highlight w:val="none"/>
              </w:rPr>
              <w:t>间</w:t>
            </w:r>
          </w:p>
        </w:tc>
        <w:tc>
          <w:tcPr>
            <w:tcW w:w="984" w:type="dxa"/>
            <w:gridSpan w:val="2"/>
            <w:tcBorders>
              <w:left w:val="single" w:color="000000" w:sz="4" w:space="0"/>
              <w:right w:val="single" w:color="000000" w:sz="4" w:space="0"/>
            </w:tcBorders>
            <w:vAlign w:val="top"/>
          </w:tcPr>
          <w:p>
            <w:pPr>
              <w:spacing w:line="376" w:lineRule="auto"/>
              <w:rPr>
                <w:rFonts w:hint="default" w:ascii="Times New Roman" w:hAnsi="Times New Roman" w:cs="Times New Roman"/>
                <w:sz w:val="21"/>
                <w:highlight w:val="none"/>
              </w:rPr>
            </w:pPr>
          </w:p>
          <w:p>
            <w:pPr>
              <w:spacing w:before="58" w:line="195" w:lineRule="auto"/>
              <w:ind w:left="346"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260</w:t>
            </w:r>
          </w:p>
        </w:tc>
        <w:tc>
          <w:tcPr>
            <w:tcW w:w="984" w:type="dxa"/>
            <w:gridSpan w:val="2"/>
            <w:tcBorders>
              <w:left w:val="single" w:color="000000" w:sz="4" w:space="0"/>
              <w:right w:val="single" w:color="000000" w:sz="4" w:space="0"/>
            </w:tcBorders>
            <w:vAlign w:val="top"/>
          </w:tcPr>
          <w:p>
            <w:pPr>
              <w:spacing w:line="376" w:lineRule="auto"/>
              <w:rPr>
                <w:rFonts w:hint="default" w:ascii="Times New Roman" w:hAnsi="Times New Roman" w:cs="Times New Roman"/>
                <w:sz w:val="21"/>
                <w:highlight w:val="none"/>
              </w:rPr>
            </w:pPr>
          </w:p>
          <w:p>
            <w:pPr>
              <w:spacing w:before="58" w:line="195" w:lineRule="auto"/>
              <w:ind w:left="348"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260</w:t>
            </w:r>
          </w:p>
        </w:tc>
        <w:tc>
          <w:tcPr>
            <w:tcW w:w="3635" w:type="dxa"/>
            <w:tcBorders>
              <w:left w:val="single" w:color="000000" w:sz="4" w:space="0"/>
              <w:right w:val="single" w:color="000000" w:sz="4" w:space="0"/>
            </w:tcBorders>
            <w:vAlign w:val="top"/>
          </w:tcPr>
          <w:p>
            <w:pPr>
              <w:spacing w:before="208" w:line="275" w:lineRule="exact"/>
              <w:ind w:left="123"/>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2"/>
                <w:position w:val="1"/>
                <w:sz w:val="20"/>
                <w:szCs w:val="20"/>
                <w:highlight w:val="none"/>
              </w:rPr>
              <w:t>1.</w:t>
            </w:r>
            <w:r>
              <w:rPr>
                <w:rFonts w:hint="default" w:ascii="Times New Roman" w:hAnsi="Times New Roman" w:eastAsia="Times New Roman" w:cs="Times New Roman"/>
                <w:spacing w:val="6"/>
                <w:position w:val="1"/>
                <w:sz w:val="20"/>
                <w:szCs w:val="20"/>
                <w:highlight w:val="none"/>
              </w:rPr>
              <w:t>5</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6"/>
                <w:position w:val="1"/>
                <w:sz w:val="20"/>
                <w:szCs w:val="20"/>
                <w:highlight w:val="none"/>
              </w:rPr>
              <w:t xml:space="preserve"> </w:t>
            </w:r>
            <w:r>
              <w:rPr>
                <w:rFonts w:hint="default" w:ascii="Times New Roman" w:hAnsi="Times New Roman" w:eastAsia="宋体" w:cs="Times New Roman"/>
                <w:spacing w:val="6"/>
                <w:position w:val="1"/>
                <w:sz w:val="20"/>
                <w:szCs w:val="20"/>
                <w:highlight w:val="none"/>
              </w:rPr>
              <w:t>混凝土基础墙</w:t>
            </w:r>
            <w:r>
              <w:rPr>
                <w:rFonts w:hint="default" w:ascii="Times New Roman" w:hAnsi="Times New Roman" w:eastAsia="Times New Roman" w:cs="Times New Roman"/>
                <w:spacing w:val="6"/>
                <w:position w:val="1"/>
                <w:sz w:val="20"/>
                <w:szCs w:val="20"/>
                <w:highlight w:val="none"/>
              </w:rPr>
              <w:t>+</w:t>
            </w:r>
            <w:r>
              <w:rPr>
                <w:rFonts w:hint="default" w:ascii="Times New Roman" w:hAnsi="Times New Roman" w:eastAsia="宋体" w:cs="Times New Roman"/>
                <w:spacing w:val="6"/>
                <w:position w:val="1"/>
                <w:sz w:val="20"/>
                <w:szCs w:val="20"/>
                <w:highlight w:val="none"/>
              </w:rPr>
              <w:t>双层夹芯彩钢，</w:t>
            </w:r>
          </w:p>
          <w:p>
            <w:pPr>
              <w:spacing w:before="114" w:line="195" w:lineRule="auto"/>
              <w:ind w:left="1107" w:leftChars="0"/>
              <w:rPr>
                <w:rFonts w:hint="eastAsia" w:ascii="Times New Roman" w:hAnsi="Times New Roman" w:eastAsia="Times New Roman" w:cs="Times New Roman"/>
                <w:snapToGrid w:val="0"/>
                <w:color w:val="000000"/>
                <w:kern w:val="0"/>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26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5"/>
                <w:sz w:val="20"/>
                <w:szCs w:val="20"/>
                <w:highlight w:val="none"/>
                <w:lang w:val="en-US" w:eastAsia="zh-CN"/>
              </w:rPr>
              <w:t>10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×12</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before="65" w:line="229" w:lineRule="auto"/>
              <w:ind w:left="647"/>
              <w:rPr>
                <w:rFonts w:hint="default" w:ascii="Times New Roman" w:hAnsi="Times New Roman" w:eastAsia="宋体" w:cs="Times New Roman"/>
                <w:spacing w:val="4"/>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12" w:type="dxa"/>
            <w:tcBorders>
              <w:left w:val="single" w:color="000000" w:sz="10" w:space="0"/>
              <w:right w:val="single" w:color="000000" w:sz="4" w:space="0"/>
            </w:tcBorders>
            <w:vAlign w:val="top"/>
          </w:tcPr>
          <w:p>
            <w:pPr>
              <w:spacing w:before="117" w:line="195" w:lineRule="auto"/>
              <w:ind w:left="108"/>
              <w:rPr>
                <w:rFonts w:hint="eastAsia" w:ascii="Times New Roman" w:hAnsi="Times New Roman" w:eastAsia="宋体" w:cs="Times New Roman"/>
                <w:sz w:val="20"/>
                <w:szCs w:val="20"/>
                <w:highlight w:val="none"/>
                <w:lang w:eastAsia="zh-CN"/>
              </w:rPr>
            </w:pPr>
            <w:r>
              <w:rPr>
                <w:rFonts w:hint="default" w:ascii="Times New Roman" w:hAnsi="Times New Roman" w:eastAsia="Times New Roman" w:cs="Times New Roman"/>
                <w:spacing w:val="-8"/>
                <w:sz w:val="20"/>
                <w:szCs w:val="20"/>
                <w:highlight w:val="none"/>
              </w:rPr>
              <w:t>1</w:t>
            </w:r>
            <w:r>
              <w:rPr>
                <w:rFonts w:hint="eastAsia" w:ascii="Times New Roman" w:hAnsi="Times New Roman" w:eastAsia="宋体" w:cs="Times New Roman"/>
                <w:spacing w:val="-7"/>
                <w:sz w:val="20"/>
                <w:szCs w:val="20"/>
                <w:highlight w:val="none"/>
                <w:lang w:val="en-US" w:eastAsia="zh-CN"/>
              </w:rPr>
              <w:t>2</w:t>
            </w:r>
          </w:p>
        </w:tc>
        <w:tc>
          <w:tcPr>
            <w:tcW w:w="828" w:type="dxa"/>
            <w:tcBorders>
              <w:left w:val="single" w:color="000000" w:sz="4" w:space="0"/>
              <w:right w:val="single" w:color="000000" w:sz="4" w:space="0"/>
            </w:tcBorders>
            <w:vAlign w:val="top"/>
          </w:tcPr>
          <w:p>
            <w:pPr>
              <w:spacing w:before="80" w:line="229" w:lineRule="auto"/>
              <w:ind w:left="83"/>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1</w:t>
            </w:r>
            <w:r>
              <w:rPr>
                <w:rFonts w:hint="default" w:ascii="Times New Roman" w:hAnsi="Times New Roman" w:eastAsia="宋体" w:cs="Times New Roman"/>
                <w:spacing w:val="7"/>
                <w:sz w:val="20"/>
                <w:szCs w:val="20"/>
                <w:highlight w:val="none"/>
              </w:rPr>
              <w:t>浓密</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17" w:line="195" w:lineRule="auto"/>
              <w:ind w:left="214"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2"/>
                <w:sz w:val="20"/>
                <w:szCs w:val="20"/>
                <w:highlight w:val="none"/>
                <w:lang w:val="en-US" w:eastAsia="zh-CN"/>
              </w:rPr>
              <w:t>1809</w:t>
            </w:r>
          </w:p>
        </w:tc>
        <w:tc>
          <w:tcPr>
            <w:tcW w:w="984" w:type="dxa"/>
            <w:gridSpan w:val="2"/>
            <w:tcBorders>
              <w:left w:val="single" w:color="000000" w:sz="4" w:space="0"/>
              <w:right w:val="single" w:color="000000" w:sz="4" w:space="0"/>
            </w:tcBorders>
            <w:vAlign w:val="top"/>
          </w:tcPr>
          <w:p>
            <w:pPr>
              <w:spacing w:before="205" w:line="124" w:lineRule="exact"/>
              <w:ind w:left="455" w:leftChars="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0" w:line="229" w:lineRule="auto"/>
              <w:ind w:left="65" w:leftChars="0"/>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4"/>
                <w:sz w:val="20"/>
                <w:szCs w:val="20"/>
                <w:highlight w:val="none"/>
              </w:rPr>
              <w:t>防渗混</w:t>
            </w:r>
            <w:r>
              <w:rPr>
                <w:rFonts w:hint="default" w:ascii="Times New Roman" w:hAnsi="Times New Roman" w:eastAsia="宋体" w:cs="Times New Roman"/>
                <w:spacing w:val="-2"/>
                <w:sz w:val="20"/>
                <w:szCs w:val="20"/>
                <w:highlight w:val="none"/>
              </w:rPr>
              <w:t>凝土浇筑，规格：</w:t>
            </w:r>
            <w:r>
              <w:rPr>
                <w:rFonts w:hint="default" w:ascii="Times New Roman" w:hAnsi="Times New Roman" w:eastAsia="Times New Roman" w:cs="Times New Roman"/>
                <w:spacing w:val="-2"/>
                <w:sz w:val="20"/>
                <w:szCs w:val="20"/>
                <w:highlight w:val="none"/>
              </w:rPr>
              <w:t>Φ</w:t>
            </w:r>
            <w:r>
              <w:rPr>
                <w:rFonts w:hint="eastAsia" w:ascii="Times New Roman" w:hAnsi="Times New Roman" w:eastAsia="宋体" w:cs="Times New Roman"/>
                <w:spacing w:val="-2"/>
                <w:sz w:val="20"/>
                <w:szCs w:val="20"/>
                <w:highlight w:val="none"/>
                <w:lang w:val="en-US" w:eastAsia="zh-CN"/>
              </w:rPr>
              <w:t>48</w:t>
            </w:r>
            <w:r>
              <w:rPr>
                <w:rFonts w:hint="default" w:ascii="Times New Roman" w:hAnsi="Times New Roman" w:eastAsia="Times New Roman" w:cs="Times New Roman"/>
                <w:spacing w:val="-2"/>
                <w:sz w:val="20"/>
                <w:szCs w:val="20"/>
                <w:highlight w:val="none"/>
              </w:rPr>
              <w:t>m</w:t>
            </w:r>
            <w:r>
              <w:rPr>
                <w:rFonts w:hint="default" w:ascii="Times New Roman" w:hAnsi="Times New Roman" w:eastAsia="宋体" w:cs="Times New Roman"/>
                <w:spacing w:val="-2"/>
                <w:sz w:val="20"/>
                <w:szCs w:val="20"/>
                <w:highlight w:val="none"/>
              </w:rPr>
              <w:t xml:space="preserve">、深 </w:t>
            </w:r>
            <w:r>
              <w:rPr>
                <w:rFonts w:hint="eastAsia" w:ascii="Times New Roman" w:hAnsi="Times New Roman" w:eastAsia="宋体" w:cs="Times New Roman"/>
                <w:spacing w:val="-2"/>
                <w:sz w:val="20"/>
                <w:szCs w:val="20"/>
                <w:highlight w:val="none"/>
                <w:lang w:val="en-US" w:eastAsia="zh-CN"/>
              </w:rPr>
              <w:t>11</w:t>
            </w:r>
            <w:r>
              <w:rPr>
                <w:rFonts w:hint="default" w:ascii="Times New Roman" w:hAnsi="Times New Roman" w:eastAsia="Times New Roman" w:cs="Times New Roman"/>
                <w:spacing w:val="-2"/>
                <w:sz w:val="20"/>
                <w:szCs w:val="20"/>
                <w:highlight w:val="none"/>
              </w:rPr>
              <w:t>m</w:t>
            </w:r>
          </w:p>
        </w:tc>
        <w:tc>
          <w:tcPr>
            <w:tcW w:w="1574" w:type="dxa"/>
            <w:tcBorders>
              <w:left w:val="single" w:color="000000" w:sz="4" w:space="0"/>
              <w:right w:val="single" w:color="000000" w:sz="10" w:space="0"/>
            </w:tcBorders>
            <w:vAlign w:val="top"/>
          </w:tcPr>
          <w:p>
            <w:pPr>
              <w:spacing w:before="80" w:line="229"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12" w:type="dxa"/>
            <w:tcBorders>
              <w:left w:val="single" w:color="000000" w:sz="10" w:space="0"/>
              <w:right w:val="single" w:color="000000" w:sz="4" w:space="0"/>
            </w:tcBorders>
            <w:vAlign w:val="top"/>
          </w:tcPr>
          <w:p>
            <w:pPr>
              <w:spacing w:before="117" w:line="195" w:lineRule="auto"/>
              <w:ind w:left="108"/>
              <w:rPr>
                <w:rFonts w:hint="default"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13</w:t>
            </w:r>
          </w:p>
        </w:tc>
        <w:tc>
          <w:tcPr>
            <w:tcW w:w="828" w:type="dxa"/>
            <w:tcBorders>
              <w:left w:val="single" w:color="000000" w:sz="4" w:space="0"/>
              <w:right w:val="single" w:color="000000" w:sz="4" w:space="0"/>
            </w:tcBorders>
            <w:vAlign w:val="top"/>
          </w:tcPr>
          <w:p>
            <w:pPr>
              <w:spacing w:before="80" w:line="229" w:lineRule="auto"/>
              <w:ind w:left="83" w:leftChars="0"/>
              <w:rPr>
                <w:rFonts w:hint="default" w:ascii="Times New Roman" w:hAnsi="Times New Roman" w:eastAsia="宋体" w:cs="Times New Roman"/>
                <w:snapToGrid w:val="0"/>
                <w:color w:val="000000"/>
                <w:kern w:val="0"/>
                <w:sz w:val="20"/>
                <w:szCs w:val="20"/>
                <w:highlight w:val="none"/>
              </w:rPr>
            </w:pPr>
            <w:r>
              <w:rPr>
                <w:rFonts w:hint="eastAsia" w:ascii="Times New Roman" w:hAnsi="Times New Roman" w:eastAsia="宋体" w:cs="Times New Roman"/>
                <w:spacing w:val="7"/>
                <w:sz w:val="20"/>
                <w:szCs w:val="20"/>
                <w:highlight w:val="none"/>
                <w:lang w:val="en-US" w:eastAsia="zh-CN"/>
              </w:rPr>
              <w:t>2</w:t>
            </w:r>
            <w:r>
              <w:rPr>
                <w:rFonts w:hint="default" w:ascii="Times New Roman" w:hAnsi="Times New Roman" w:eastAsia="宋体" w:cs="Times New Roman"/>
                <w:spacing w:val="7"/>
                <w:sz w:val="20"/>
                <w:szCs w:val="20"/>
                <w:highlight w:val="none"/>
              </w:rPr>
              <w:t>浓密</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17" w:line="195" w:lineRule="auto"/>
              <w:ind w:left="214"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2"/>
                <w:sz w:val="20"/>
                <w:szCs w:val="20"/>
                <w:highlight w:val="none"/>
                <w:lang w:val="en-US" w:eastAsia="zh-CN"/>
              </w:rPr>
              <w:t>908</w:t>
            </w:r>
          </w:p>
        </w:tc>
        <w:tc>
          <w:tcPr>
            <w:tcW w:w="984" w:type="dxa"/>
            <w:gridSpan w:val="2"/>
            <w:tcBorders>
              <w:left w:val="single" w:color="000000" w:sz="4" w:space="0"/>
              <w:right w:val="single" w:color="000000" w:sz="4" w:space="0"/>
            </w:tcBorders>
            <w:vAlign w:val="top"/>
          </w:tcPr>
          <w:p>
            <w:pPr>
              <w:spacing w:before="205" w:line="124" w:lineRule="exact"/>
              <w:ind w:left="455"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0" w:line="229" w:lineRule="auto"/>
              <w:ind w:left="65"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宋体" w:cs="Times New Roman"/>
                <w:spacing w:val="-4"/>
                <w:sz w:val="20"/>
                <w:szCs w:val="20"/>
                <w:highlight w:val="none"/>
              </w:rPr>
              <w:t>防渗混</w:t>
            </w:r>
            <w:r>
              <w:rPr>
                <w:rFonts w:hint="default" w:ascii="Times New Roman" w:hAnsi="Times New Roman" w:eastAsia="宋体" w:cs="Times New Roman"/>
                <w:spacing w:val="-2"/>
                <w:sz w:val="20"/>
                <w:szCs w:val="20"/>
                <w:highlight w:val="none"/>
              </w:rPr>
              <w:t>凝土浇筑，规格：</w:t>
            </w:r>
            <w:r>
              <w:rPr>
                <w:rFonts w:hint="default" w:ascii="Times New Roman" w:hAnsi="Times New Roman" w:eastAsia="Times New Roman" w:cs="Times New Roman"/>
                <w:spacing w:val="-2"/>
                <w:sz w:val="20"/>
                <w:szCs w:val="20"/>
                <w:highlight w:val="none"/>
              </w:rPr>
              <w:t>Φ</w:t>
            </w:r>
            <w:r>
              <w:rPr>
                <w:rFonts w:hint="eastAsia" w:ascii="Times New Roman" w:hAnsi="Times New Roman" w:eastAsia="宋体" w:cs="Times New Roman"/>
                <w:spacing w:val="-2"/>
                <w:sz w:val="20"/>
                <w:szCs w:val="20"/>
                <w:highlight w:val="none"/>
                <w:lang w:val="en-US" w:eastAsia="zh-CN"/>
              </w:rPr>
              <w:t>34</w:t>
            </w:r>
            <w:r>
              <w:rPr>
                <w:rFonts w:hint="default" w:ascii="Times New Roman" w:hAnsi="Times New Roman" w:eastAsia="Times New Roman" w:cs="Times New Roman"/>
                <w:spacing w:val="-2"/>
                <w:sz w:val="20"/>
                <w:szCs w:val="20"/>
                <w:highlight w:val="none"/>
              </w:rPr>
              <w:t>m</w:t>
            </w:r>
            <w:r>
              <w:rPr>
                <w:rFonts w:hint="default" w:ascii="Times New Roman" w:hAnsi="Times New Roman" w:eastAsia="宋体" w:cs="Times New Roman"/>
                <w:spacing w:val="-2"/>
                <w:sz w:val="20"/>
                <w:szCs w:val="20"/>
                <w:highlight w:val="none"/>
              </w:rPr>
              <w:t xml:space="preserve">、深 </w:t>
            </w:r>
            <w:r>
              <w:rPr>
                <w:rFonts w:hint="eastAsia" w:ascii="Times New Roman" w:hAnsi="Times New Roman" w:eastAsia="宋体" w:cs="Times New Roman"/>
                <w:spacing w:val="-2"/>
                <w:sz w:val="20"/>
                <w:szCs w:val="20"/>
                <w:highlight w:val="none"/>
                <w:lang w:val="en-US" w:eastAsia="zh-CN"/>
              </w:rPr>
              <w:t>5</w:t>
            </w:r>
            <w:r>
              <w:rPr>
                <w:rFonts w:hint="default" w:ascii="Times New Roman" w:hAnsi="Times New Roman" w:eastAsia="Times New Roman" w:cs="Times New Roman"/>
                <w:spacing w:val="-2"/>
                <w:sz w:val="20"/>
                <w:szCs w:val="20"/>
                <w:highlight w:val="none"/>
              </w:rPr>
              <w:t>m</w:t>
            </w:r>
          </w:p>
        </w:tc>
        <w:tc>
          <w:tcPr>
            <w:tcW w:w="1574" w:type="dxa"/>
            <w:tcBorders>
              <w:left w:val="single" w:color="000000" w:sz="4" w:space="0"/>
              <w:right w:val="single" w:color="000000" w:sz="10" w:space="0"/>
            </w:tcBorders>
            <w:vAlign w:val="top"/>
          </w:tcPr>
          <w:p>
            <w:pPr>
              <w:spacing w:before="80" w:line="229" w:lineRule="auto"/>
              <w:ind w:left="647"/>
              <w:rPr>
                <w:rFonts w:hint="default" w:ascii="Times New Roman" w:hAnsi="Times New Roman" w:eastAsia="宋体" w:cs="Times New Roman"/>
                <w:spacing w:val="4"/>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12" w:type="dxa"/>
            <w:tcBorders>
              <w:left w:val="single" w:color="000000" w:sz="10" w:space="0"/>
              <w:right w:val="single" w:color="000000" w:sz="4" w:space="0"/>
            </w:tcBorders>
            <w:vAlign w:val="top"/>
          </w:tcPr>
          <w:p>
            <w:pPr>
              <w:spacing w:before="119" w:line="195" w:lineRule="auto"/>
              <w:ind w:left="108"/>
              <w:rPr>
                <w:rFonts w:hint="eastAsia" w:ascii="Times New Roman" w:hAnsi="Times New Roman" w:eastAsia="宋体" w:cs="Times New Roman"/>
                <w:sz w:val="20"/>
                <w:szCs w:val="20"/>
                <w:highlight w:val="none"/>
                <w:lang w:eastAsia="zh-CN"/>
              </w:rPr>
            </w:pPr>
            <w:r>
              <w:rPr>
                <w:rFonts w:hint="default" w:ascii="Times New Roman" w:hAnsi="Times New Roman" w:eastAsia="Times New Roman" w:cs="Times New Roman"/>
                <w:spacing w:val="-8"/>
                <w:sz w:val="20"/>
                <w:szCs w:val="20"/>
                <w:highlight w:val="none"/>
              </w:rPr>
              <w:t>1</w:t>
            </w:r>
            <w:r>
              <w:rPr>
                <w:rFonts w:hint="eastAsia" w:ascii="Times New Roman" w:hAnsi="Times New Roman" w:eastAsia="宋体" w:cs="Times New Roman"/>
                <w:spacing w:val="-7"/>
                <w:sz w:val="20"/>
                <w:szCs w:val="20"/>
                <w:highlight w:val="none"/>
                <w:lang w:val="en-US" w:eastAsia="zh-CN"/>
              </w:rPr>
              <w:t>4</w:t>
            </w:r>
          </w:p>
        </w:tc>
        <w:tc>
          <w:tcPr>
            <w:tcW w:w="828" w:type="dxa"/>
            <w:tcBorders>
              <w:left w:val="single" w:color="000000" w:sz="4" w:space="0"/>
              <w:right w:val="single" w:color="000000" w:sz="4" w:space="0"/>
            </w:tcBorders>
            <w:vAlign w:val="top"/>
          </w:tcPr>
          <w:p>
            <w:pPr>
              <w:spacing w:before="83" w:line="227" w:lineRule="auto"/>
              <w:ind w:left="83"/>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1</w:t>
            </w:r>
            <w:r>
              <w:rPr>
                <w:rFonts w:hint="default" w:ascii="Times New Roman" w:hAnsi="Times New Roman" w:eastAsia="宋体" w:cs="Times New Roman"/>
                <w:spacing w:val="7"/>
                <w:sz w:val="20"/>
                <w:szCs w:val="20"/>
                <w:highlight w:val="none"/>
              </w:rPr>
              <w:t>清水</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19" w:line="195" w:lineRule="auto"/>
              <w:ind w:left="383"/>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120</w:t>
            </w:r>
          </w:p>
        </w:tc>
        <w:tc>
          <w:tcPr>
            <w:tcW w:w="984" w:type="dxa"/>
            <w:gridSpan w:val="2"/>
            <w:tcBorders>
              <w:left w:val="single" w:color="000000" w:sz="4" w:space="0"/>
              <w:right w:val="single" w:color="000000" w:sz="4" w:space="0"/>
            </w:tcBorders>
            <w:vAlign w:val="top"/>
          </w:tcPr>
          <w:p>
            <w:pPr>
              <w:spacing w:before="207" w:line="122" w:lineRule="exact"/>
              <w:ind w:left="45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3" w:line="227" w:lineRule="auto"/>
              <w:ind w:left="369"/>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8"/>
                <w:sz w:val="20"/>
                <w:szCs w:val="20"/>
                <w:highlight w:val="none"/>
              </w:rPr>
              <w:t>防渗混凝土浇筑，</w:t>
            </w:r>
            <w:r>
              <w:rPr>
                <w:rFonts w:hint="eastAsia" w:ascii="Times New Roman" w:hAnsi="Times New Roman" w:eastAsia="宋体" w:cs="Times New Roman"/>
                <w:spacing w:val="8"/>
                <w:sz w:val="20"/>
                <w:szCs w:val="20"/>
                <w:highlight w:val="none"/>
                <w:lang w:val="en-US" w:eastAsia="zh-CN"/>
              </w:rPr>
              <w:t>20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8"/>
                <w:sz w:val="20"/>
                <w:szCs w:val="20"/>
                <w:highlight w:val="none"/>
              </w:rPr>
              <w:t>×</w:t>
            </w:r>
            <w:r>
              <w:rPr>
                <w:rFonts w:hint="eastAsia" w:ascii="Times New Roman" w:hAnsi="Times New Roman" w:eastAsia="宋体" w:cs="Times New Roman"/>
                <w:spacing w:val="8"/>
                <w:sz w:val="20"/>
                <w:szCs w:val="20"/>
                <w:highlight w:val="none"/>
                <w:lang w:val="en-US" w:eastAsia="zh-CN"/>
              </w:rPr>
              <w:t>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8"/>
                <w:sz w:val="20"/>
                <w:szCs w:val="20"/>
                <w:highlight w:val="none"/>
              </w:rPr>
              <w:t>×</w:t>
            </w:r>
            <w:r>
              <w:rPr>
                <w:rFonts w:hint="eastAsia" w:ascii="Times New Roman" w:hAnsi="Times New Roman" w:eastAsia="宋体" w:cs="Times New Roman"/>
                <w:spacing w:val="8"/>
                <w:sz w:val="20"/>
                <w:szCs w:val="20"/>
                <w:highlight w:val="none"/>
                <w:lang w:val="en-US" w:eastAsia="zh-CN"/>
              </w:rPr>
              <w:t>6</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before="83" w:line="227"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12" w:type="dxa"/>
            <w:tcBorders>
              <w:left w:val="single" w:color="000000" w:sz="10" w:space="0"/>
              <w:right w:val="single" w:color="000000" w:sz="4" w:space="0"/>
            </w:tcBorders>
            <w:vAlign w:val="top"/>
          </w:tcPr>
          <w:p>
            <w:pPr>
              <w:spacing w:before="119" w:line="195" w:lineRule="auto"/>
              <w:ind w:left="108"/>
              <w:rPr>
                <w:rFonts w:hint="default"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15</w:t>
            </w:r>
          </w:p>
        </w:tc>
        <w:tc>
          <w:tcPr>
            <w:tcW w:w="828" w:type="dxa"/>
            <w:tcBorders>
              <w:left w:val="single" w:color="000000" w:sz="4" w:space="0"/>
              <w:right w:val="single" w:color="000000" w:sz="4" w:space="0"/>
            </w:tcBorders>
            <w:vAlign w:val="top"/>
          </w:tcPr>
          <w:p>
            <w:pPr>
              <w:spacing w:before="83" w:line="227" w:lineRule="auto"/>
              <w:ind w:left="83" w:leftChars="0"/>
              <w:rPr>
                <w:rFonts w:hint="default" w:ascii="Times New Roman" w:hAnsi="Times New Roman" w:eastAsia="宋体" w:cs="Times New Roman"/>
                <w:snapToGrid w:val="0"/>
                <w:color w:val="000000"/>
                <w:kern w:val="0"/>
                <w:sz w:val="20"/>
                <w:szCs w:val="20"/>
                <w:highlight w:val="none"/>
              </w:rPr>
            </w:pPr>
            <w:r>
              <w:rPr>
                <w:rFonts w:hint="eastAsia" w:ascii="Times New Roman" w:hAnsi="Times New Roman" w:eastAsia="宋体" w:cs="Times New Roman"/>
                <w:spacing w:val="7"/>
                <w:sz w:val="20"/>
                <w:szCs w:val="20"/>
                <w:highlight w:val="none"/>
                <w:lang w:val="en-US" w:eastAsia="zh-CN"/>
              </w:rPr>
              <w:t>2</w:t>
            </w:r>
            <w:r>
              <w:rPr>
                <w:rFonts w:hint="default" w:ascii="Times New Roman" w:hAnsi="Times New Roman" w:eastAsia="宋体" w:cs="Times New Roman"/>
                <w:spacing w:val="7"/>
                <w:sz w:val="20"/>
                <w:szCs w:val="20"/>
                <w:highlight w:val="none"/>
              </w:rPr>
              <w:t>清水</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19" w:line="195" w:lineRule="auto"/>
              <w:ind w:left="383"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50</w:t>
            </w:r>
          </w:p>
        </w:tc>
        <w:tc>
          <w:tcPr>
            <w:tcW w:w="984" w:type="dxa"/>
            <w:gridSpan w:val="2"/>
            <w:tcBorders>
              <w:left w:val="single" w:color="000000" w:sz="4" w:space="0"/>
              <w:right w:val="single" w:color="000000" w:sz="4" w:space="0"/>
            </w:tcBorders>
            <w:vAlign w:val="top"/>
          </w:tcPr>
          <w:p>
            <w:pPr>
              <w:spacing w:before="207" w:line="122" w:lineRule="exact"/>
              <w:ind w:left="455"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3" w:line="227" w:lineRule="auto"/>
              <w:ind w:left="369"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防渗混凝土浇筑，</w:t>
            </w:r>
            <w:r>
              <w:rPr>
                <w:rFonts w:hint="eastAsia" w:ascii="Times New Roman" w:hAnsi="Times New Roman" w:eastAsia="宋体" w:cs="Times New Roman"/>
                <w:spacing w:val="8"/>
                <w:sz w:val="20"/>
                <w:szCs w:val="20"/>
                <w:highlight w:val="none"/>
                <w:lang w:val="en-US" w:eastAsia="zh-CN"/>
              </w:rPr>
              <w:t>10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8"/>
                <w:sz w:val="20"/>
                <w:szCs w:val="20"/>
                <w:highlight w:val="none"/>
              </w:rPr>
              <w:t>×</w:t>
            </w:r>
            <w:r>
              <w:rPr>
                <w:rFonts w:hint="eastAsia" w:ascii="Times New Roman" w:hAnsi="Times New Roman" w:eastAsia="宋体" w:cs="Times New Roman"/>
                <w:spacing w:val="8"/>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8"/>
                <w:sz w:val="20"/>
                <w:szCs w:val="20"/>
                <w:highlight w:val="none"/>
              </w:rPr>
              <w:t>×</w:t>
            </w:r>
            <w:r>
              <w:rPr>
                <w:rFonts w:hint="eastAsia" w:ascii="Times New Roman" w:hAnsi="Times New Roman" w:eastAsia="宋体" w:cs="Times New Roman"/>
                <w:spacing w:val="8"/>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before="83" w:line="227" w:lineRule="auto"/>
              <w:ind w:left="647" w:leftChars="0"/>
              <w:rPr>
                <w:rFonts w:hint="default" w:ascii="Times New Roman" w:hAnsi="Times New Roman" w:eastAsia="宋体" w:cs="Times New Roman"/>
                <w:snapToGrid w:val="0"/>
                <w:color w:val="000000"/>
                <w:kern w:val="0"/>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12" w:type="dxa"/>
            <w:tcBorders>
              <w:left w:val="single" w:color="000000" w:sz="10" w:space="0"/>
              <w:right w:val="single" w:color="000000" w:sz="4" w:space="0"/>
            </w:tcBorders>
            <w:vAlign w:val="top"/>
          </w:tcPr>
          <w:p>
            <w:pPr>
              <w:spacing w:before="121" w:line="195" w:lineRule="auto"/>
              <w:ind w:left="10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7"/>
                <w:sz w:val="20"/>
                <w:szCs w:val="20"/>
                <w:highlight w:val="none"/>
              </w:rPr>
              <w:t>6</w:t>
            </w:r>
          </w:p>
        </w:tc>
        <w:tc>
          <w:tcPr>
            <w:tcW w:w="828" w:type="dxa"/>
            <w:tcBorders>
              <w:left w:val="single" w:color="000000" w:sz="4" w:space="0"/>
              <w:right w:val="single" w:color="000000" w:sz="4" w:space="0"/>
            </w:tcBorders>
            <w:vAlign w:val="top"/>
          </w:tcPr>
          <w:p>
            <w:pPr>
              <w:spacing w:before="85" w:line="226" w:lineRule="auto"/>
              <w:ind w:left="83"/>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1</w:t>
            </w:r>
            <w:r>
              <w:rPr>
                <w:rFonts w:hint="default" w:ascii="Times New Roman" w:hAnsi="Times New Roman" w:eastAsia="宋体" w:cs="Times New Roman"/>
                <w:spacing w:val="7"/>
                <w:sz w:val="20"/>
                <w:szCs w:val="20"/>
                <w:highlight w:val="none"/>
              </w:rPr>
              <w:t>事故</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21" w:line="195" w:lineRule="auto"/>
              <w:ind w:left="346"/>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70</w:t>
            </w:r>
          </w:p>
        </w:tc>
        <w:tc>
          <w:tcPr>
            <w:tcW w:w="984" w:type="dxa"/>
            <w:gridSpan w:val="2"/>
            <w:tcBorders>
              <w:left w:val="single" w:color="000000" w:sz="4" w:space="0"/>
              <w:right w:val="single" w:color="000000" w:sz="4" w:space="0"/>
            </w:tcBorders>
            <w:vAlign w:val="top"/>
          </w:tcPr>
          <w:p>
            <w:pPr>
              <w:spacing w:before="209" w:line="121" w:lineRule="exact"/>
              <w:ind w:left="45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5" w:line="226" w:lineRule="auto"/>
              <w:ind w:left="317"/>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4"/>
                <w:sz w:val="20"/>
                <w:szCs w:val="20"/>
                <w:highlight w:val="none"/>
              </w:rPr>
              <w:t>防</w:t>
            </w:r>
            <w:r>
              <w:rPr>
                <w:rFonts w:hint="default" w:ascii="Times New Roman" w:hAnsi="Times New Roman" w:eastAsia="宋体" w:cs="Times New Roman"/>
                <w:spacing w:val="10"/>
                <w:sz w:val="20"/>
                <w:szCs w:val="20"/>
                <w:highlight w:val="none"/>
              </w:rPr>
              <w:t>渗</w:t>
            </w:r>
            <w:r>
              <w:rPr>
                <w:rFonts w:hint="default" w:ascii="Times New Roman" w:hAnsi="Times New Roman" w:eastAsia="宋体" w:cs="Times New Roman"/>
                <w:spacing w:val="7"/>
                <w:sz w:val="20"/>
                <w:szCs w:val="20"/>
                <w:highlight w:val="none"/>
              </w:rPr>
              <w:t>混凝土浇筑，</w:t>
            </w:r>
            <w:r>
              <w:rPr>
                <w:rFonts w:hint="eastAsia" w:ascii="Times New Roman" w:hAnsi="Times New Roman" w:eastAsia="宋体" w:cs="Times New Roman"/>
                <w:spacing w:val="7"/>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4</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3.5</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before="85" w:line="226"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12" w:type="dxa"/>
            <w:tcBorders>
              <w:left w:val="single" w:color="000000" w:sz="10" w:space="0"/>
              <w:right w:val="single" w:color="000000" w:sz="4" w:space="0"/>
            </w:tcBorders>
            <w:vAlign w:val="top"/>
          </w:tcPr>
          <w:p>
            <w:pPr>
              <w:spacing w:before="121" w:line="195" w:lineRule="auto"/>
              <w:ind w:left="108"/>
              <w:rPr>
                <w:rFonts w:hint="default"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17</w:t>
            </w:r>
          </w:p>
        </w:tc>
        <w:tc>
          <w:tcPr>
            <w:tcW w:w="828" w:type="dxa"/>
            <w:tcBorders>
              <w:left w:val="single" w:color="000000" w:sz="4" w:space="0"/>
              <w:right w:val="single" w:color="000000" w:sz="4" w:space="0"/>
            </w:tcBorders>
            <w:vAlign w:val="top"/>
          </w:tcPr>
          <w:p>
            <w:pPr>
              <w:spacing w:before="85" w:line="226" w:lineRule="auto"/>
              <w:ind w:left="83" w:leftChars="0"/>
              <w:rPr>
                <w:rFonts w:hint="default" w:ascii="Times New Roman" w:hAnsi="Times New Roman" w:eastAsia="宋体" w:cs="Times New Roman"/>
                <w:snapToGrid w:val="0"/>
                <w:color w:val="000000"/>
                <w:kern w:val="0"/>
                <w:sz w:val="20"/>
                <w:szCs w:val="20"/>
                <w:highlight w:val="none"/>
              </w:rPr>
            </w:pPr>
            <w:r>
              <w:rPr>
                <w:rFonts w:hint="eastAsia" w:ascii="Times New Roman" w:hAnsi="Times New Roman" w:eastAsia="宋体" w:cs="Times New Roman"/>
                <w:spacing w:val="7"/>
                <w:sz w:val="20"/>
                <w:szCs w:val="20"/>
                <w:highlight w:val="none"/>
                <w:lang w:val="en-US" w:eastAsia="zh-CN"/>
              </w:rPr>
              <w:t>2</w:t>
            </w:r>
            <w:r>
              <w:rPr>
                <w:rFonts w:hint="default" w:ascii="Times New Roman" w:hAnsi="Times New Roman" w:eastAsia="宋体" w:cs="Times New Roman"/>
                <w:spacing w:val="7"/>
                <w:sz w:val="20"/>
                <w:szCs w:val="20"/>
                <w:highlight w:val="none"/>
              </w:rPr>
              <w:t>事故</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21" w:line="195" w:lineRule="auto"/>
              <w:ind w:left="346"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36</w:t>
            </w:r>
          </w:p>
        </w:tc>
        <w:tc>
          <w:tcPr>
            <w:tcW w:w="984" w:type="dxa"/>
            <w:gridSpan w:val="2"/>
            <w:tcBorders>
              <w:left w:val="single" w:color="000000" w:sz="4" w:space="0"/>
              <w:right w:val="single" w:color="000000" w:sz="4" w:space="0"/>
            </w:tcBorders>
            <w:vAlign w:val="top"/>
          </w:tcPr>
          <w:p>
            <w:pPr>
              <w:spacing w:before="209" w:line="121" w:lineRule="exact"/>
              <w:ind w:left="455"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5" w:line="226" w:lineRule="auto"/>
              <w:ind w:left="317"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宋体" w:cs="Times New Roman"/>
                <w:spacing w:val="14"/>
                <w:sz w:val="20"/>
                <w:szCs w:val="20"/>
                <w:highlight w:val="none"/>
              </w:rPr>
              <w:t>防</w:t>
            </w:r>
            <w:r>
              <w:rPr>
                <w:rFonts w:hint="default" w:ascii="Times New Roman" w:hAnsi="Times New Roman" w:eastAsia="宋体" w:cs="Times New Roman"/>
                <w:spacing w:val="10"/>
                <w:sz w:val="20"/>
                <w:szCs w:val="20"/>
                <w:highlight w:val="none"/>
              </w:rPr>
              <w:t>渗</w:t>
            </w:r>
            <w:r>
              <w:rPr>
                <w:rFonts w:hint="default" w:ascii="Times New Roman" w:hAnsi="Times New Roman" w:eastAsia="宋体" w:cs="Times New Roman"/>
                <w:spacing w:val="7"/>
                <w:sz w:val="20"/>
                <w:szCs w:val="20"/>
                <w:highlight w:val="none"/>
              </w:rPr>
              <w:t>混凝土浇筑，</w:t>
            </w:r>
            <w:r>
              <w:rPr>
                <w:rFonts w:hint="eastAsia" w:ascii="Times New Roman" w:hAnsi="Times New Roman" w:eastAsia="宋体" w:cs="Times New Roman"/>
                <w:spacing w:val="7"/>
                <w:sz w:val="20"/>
                <w:szCs w:val="20"/>
                <w:highlight w:val="none"/>
                <w:lang w:val="en-US" w:eastAsia="zh-CN"/>
              </w:rPr>
              <w:t>3</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3</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4</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before="85" w:line="226" w:lineRule="auto"/>
              <w:ind w:left="647"/>
              <w:rPr>
                <w:rFonts w:hint="default" w:ascii="Times New Roman" w:hAnsi="Times New Roman" w:eastAsia="宋体" w:cs="Times New Roman"/>
                <w:spacing w:val="4"/>
                <w:sz w:val="20"/>
                <w:szCs w:val="20"/>
                <w:highlight w:val="none"/>
              </w:rPr>
            </w:pPr>
          </w:p>
        </w:tc>
      </w:tr>
    </w:tbl>
    <w:p>
      <w:pPr>
        <w:spacing w:before="314" w:line="228" w:lineRule="auto"/>
        <w:ind w:left="126"/>
        <w:outlineLvl w:val="2"/>
        <w:rPr>
          <w:rFonts w:hint="default" w:ascii="Times New Roman" w:hAnsi="Times New Roman" w:eastAsia="宋体" w:cs="Times New Roman"/>
          <w:sz w:val="23"/>
          <w:szCs w:val="23"/>
          <w:highlight w:val="none"/>
        </w:rPr>
      </w:pPr>
      <w:bookmarkStart w:id="132" w:name="_Toc14493"/>
      <w:bookmarkStart w:id="133" w:name="_Toc414"/>
      <w:bookmarkStart w:id="134" w:name="_Toc24283"/>
      <w:r>
        <w:rPr>
          <w:rFonts w:hint="default" w:ascii="Times New Roman" w:hAnsi="Times New Roman" w:eastAsia="Times New Roman" w:cs="Times New Roman"/>
          <w:b/>
          <w:bCs/>
          <w:spacing w:val="7"/>
          <w:sz w:val="23"/>
          <w:szCs w:val="23"/>
          <w:highlight w:val="none"/>
        </w:rPr>
        <w:t>3.</w:t>
      </w:r>
      <w:r>
        <w:rPr>
          <w:rFonts w:hint="eastAsia" w:ascii="Times New Roman" w:hAnsi="Times New Roman" w:eastAsia="宋体" w:cs="Times New Roman"/>
          <w:b/>
          <w:bCs/>
          <w:spacing w:val="7"/>
          <w:sz w:val="23"/>
          <w:szCs w:val="23"/>
          <w:highlight w:val="none"/>
          <w:lang w:val="en-US" w:eastAsia="zh-CN"/>
        </w:rPr>
        <w:t>1</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现有工程</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产品方</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案</w:t>
      </w:r>
      <w:bookmarkEnd w:id="132"/>
      <w:bookmarkEnd w:id="133"/>
      <w:bookmarkEnd w:id="134"/>
    </w:p>
    <w:p>
      <w:pPr>
        <w:spacing w:before="299" w:line="315" w:lineRule="exact"/>
        <w:ind w:left="61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position w:val="1"/>
          <w:sz w:val="23"/>
          <w:szCs w:val="23"/>
          <w:highlight w:val="none"/>
        </w:rPr>
        <w:t xml:space="preserve">年产 </w:t>
      </w:r>
      <w:r>
        <w:rPr>
          <w:rFonts w:hint="eastAsia" w:ascii="Times New Roman" w:hAnsi="Times New Roman" w:eastAsia="宋体" w:cs="Times New Roman"/>
          <w:spacing w:val="4"/>
          <w:position w:val="1"/>
          <w:sz w:val="23"/>
          <w:szCs w:val="23"/>
          <w:highlight w:val="none"/>
          <w:lang w:val="en-US" w:eastAsia="zh-CN"/>
        </w:rPr>
        <w:t>60</w:t>
      </w:r>
      <w:r>
        <w:rPr>
          <w:rFonts w:hint="default" w:ascii="Times New Roman" w:hAnsi="Times New Roman" w:eastAsia="Times New Roman" w:cs="Times New Roman"/>
          <w:spacing w:val="4"/>
          <w:position w:val="1"/>
          <w:sz w:val="23"/>
          <w:szCs w:val="23"/>
          <w:highlight w:val="none"/>
        </w:rPr>
        <w:t>%</w:t>
      </w:r>
      <w:r>
        <w:rPr>
          <w:rFonts w:hint="default" w:ascii="Times New Roman" w:hAnsi="Times New Roman" w:eastAsia="宋体" w:cs="Times New Roman"/>
          <w:spacing w:val="4"/>
          <w:position w:val="1"/>
          <w:sz w:val="23"/>
          <w:szCs w:val="23"/>
          <w:highlight w:val="none"/>
        </w:rPr>
        <w:t xml:space="preserve">的铁精粉 </w:t>
      </w:r>
      <w:r>
        <w:rPr>
          <w:rFonts w:hint="default" w:ascii="Times New Roman" w:hAnsi="Times New Roman" w:eastAsia="Times New Roman" w:cs="Times New Roman"/>
          <w:spacing w:val="4"/>
          <w:position w:val="1"/>
          <w:sz w:val="23"/>
          <w:szCs w:val="23"/>
          <w:highlight w:val="none"/>
        </w:rPr>
        <w:t xml:space="preserve">18 </w:t>
      </w:r>
      <w:r>
        <w:rPr>
          <w:rFonts w:hint="default" w:ascii="Times New Roman" w:hAnsi="Times New Roman" w:eastAsia="宋体" w:cs="Times New Roman"/>
          <w:spacing w:val="4"/>
          <w:position w:val="1"/>
          <w:sz w:val="23"/>
          <w:szCs w:val="23"/>
          <w:highlight w:val="none"/>
        </w:rPr>
        <w:t>万吨</w:t>
      </w:r>
      <w:r>
        <w:rPr>
          <w:rFonts w:hint="eastAsia" w:ascii="Times New Roman" w:hAnsi="Times New Roman" w:eastAsia="宋体" w:cs="Times New Roman"/>
          <w:spacing w:val="4"/>
          <w:position w:val="1"/>
          <w:sz w:val="23"/>
          <w:szCs w:val="23"/>
          <w:highlight w:val="none"/>
          <w:lang w:eastAsia="zh-CN"/>
        </w:rPr>
        <w:t>，</w:t>
      </w:r>
      <w:r>
        <w:rPr>
          <w:rFonts w:hint="eastAsia" w:ascii="Times New Roman" w:hAnsi="Times New Roman" w:eastAsia="宋体" w:cs="Times New Roman"/>
          <w:spacing w:val="4"/>
          <w:position w:val="1"/>
          <w:sz w:val="23"/>
          <w:szCs w:val="23"/>
          <w:highlight w:val="none"/>
          <w:lang w:val="en-US" w:eastAsia="zh-CN"/>
        </w:rPr>
        <w:t>含水率10%</w:t>
      </w:r>
      <w:r>
        <w:rPr>
          <w:rFonts w:hint="default" w:ascii="Times New Roman" w:hAnsi="Times New Roman" w:eastAsia="宋体" w:cs="Times New Roman"/>
          <w:position w:val="1"/>
          <w:sz w:val="23"/>
          <w:szCs w:val="23"/>
          <w:highlight w:val="none"/>
        </w:rPr>
        <w:t>。</w:t>
      </w:r>
    </w:p>
    <w:p>
      <w:pPr>
        <w:spacing w:line="266" w:lineRule="auto"/>
        <w:rPr>
          <w:rFonts w:hint="default" w:ascii="Times New Roman" w:hAnsi="Times New Roman" w:cs="Times New Roman"/>
          <w:sz w:val="21"/>
          <w:highlight w:val="none"/>
        </w:rPr>
      </w:pPr>
    </w:p>
    <w:p>
      <w:pPr>
        <w:spacing w:before="74" w:line="227" w:lineRule="auto"/>
        <w:ind w:left="126"/>
        <w:outlineLvl w:val="2"/>
        <w:rPr>
          <w:rFonts w:hint="default" w:ascii="Times New Roman" w:hAnsi="Times New Roman" w:eastAsia="宋体" w:cs="Times New Roman"/>
          <w:sz w:val="23"/>
          <w:szCs w:val="23"/>
          <w:highlight w:val="none"/>
        </w:rPr>
      </w:pPr>
      <w:bookmarkStart w:id="135" w:name="_Toc11535"/>
      <w:bookmarkStart w:id="136" w:name="_Toc11662"/>
      <w:bookmarkStart w:id="137" w:name="_Toc13173"/>
      <w:r>
        <w:rPr>
          <w:rFonts w:hint="default" w:ascii="Times New Roman" w:hAnsi="Times New Roman" w:eastAsia="Times New Roman" w:cs="Times New Roman"/>
          <w:b/>
          <w:bCs/>
          <w:spacing w:val="16"/>
          <w:sz w:val="23"/>
          <w:szCs w:val="23"/>
          <w:highlight w:val="none"/>
        </w:rPr>
        <w:t>3</w:t>
      </w:r>
      <w:r>
        <w:rPr>
          <w:rFonts w:hint="default" w:ascii="Times New Roman" w:hAnsi="Times New Roman" w:eastAsia="Times New Roman" w:cs="Times New Roman"/>
          <w:b/>
          <w:bCs/>
          <w:spacing w:val="8"/>
          <w:sz w:val="23"/>
          <w:szCs w:val="23"/>
          <w:highlight w:val="none"/>
        </w:rPr>
        <w:t>.</w:t>
      </w:r>
      <w:r>
        <w:rPr>
          <w:rFonts w:hint="eastAsia" w:ascii="Times New Roman" w:hAnsi="Times New Roman" w:eastAsia="宋体" w:cs="Times New Roman"/>
          <w:b/>
          <w:bCs/>
          <w:spacing w:val="8"/>
          <w:sz w:val="23"/>
          <w:szCs w:val="23"/>
          <w:highlight w:val="none"/>
          <w:lang w:val="en-US" w:eastAsia="zh-CN"/>
        </w:rPr>
        <w:t>1</w:t>
      </w:r>
      <w:r>
        <w:rPr>
          <w:rFonts w:hint="default" w:ascii="Times New Roman" w:hAnsi="Times New Roman" w:eastAsia="Times New Roman" w:cs="Times New Roman"/>
          <w:b/>
          <w:bCs/>
          <w:spacing w:val="8"/>
          <w:sz w:val="23"/>
          <w:szCs w:val="23"/>
          <w:highlight w:val="none"/>
        </w:rPr>
        <w:t>.</w:t>
      </w:r>
      <w:r>
        <w:rPr>
          <w:rFonts w:hint="eastAsia" w:ascii="Times New Roman" w:hAnsi="Times New Roman" w:eastAsia="宋体" w:cs="Times New Roman"/>
          <w:b/>
          <w:bCs/>
          <w:spacing w:val="8"/>
          <w:sz w:val="23"/>
          <w:szCs w:val="23"/>
          <w:highlight w:val="none"/>
          <w:lang w:val="en-US" w:eastAsia="zh-CN"/>
        </w:rPr>
        <w:t>3</w:t>
      </w:r>
      <w:r>
        <w:rPr>
          <w:rFonts w:hint="default" w:ascii="Times New Roman" w:hAnsi="Times New Roman" w:eastAsia="Times New Roman" w:cs="Times New Roman"/>
          <w:spacing w:val="8"/>
          <w:sz w:val="23"/>
          <w:szCs w:val="23"/>
          <w:highlight w:val="none"/>
        </w:rPr>
        <w:t xml:space="preserve"> </w:t>
      </w:r>
      <w:r>
        <w:rPr>
          <w:rFonts w:hint="eastAsia" w:ascii="Times New Roman" w:hAnsi="Times New Roman" w:eastAsia="宋体" w:cs="Times New Roman"/>
          <w:spacing w:val="8"/>
          <w:sz w:val="23"/>
          <w:szCs w:val="23"/>
          <w:highlight w:val="none"/>
          <w:lang w:val="en-US" w:eastAsia="zh-CN"/>
          <w14:textOutline w14:w="4358" w14:cap="sq" w14:cmpd="sng">
            <w14:solidFill>
              <w14:srgbClr w14:val="000000"/>
            </w14:solidFill>
            <w14:prstDash w14:val="solid"/>
            <w14:bevel/>
          </w14:textOutline>
        </w:rPr>
        <w:t>现有工程</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生产原辅材料及能源消耗</w:t>
      </w:r>
      <w:bookmarkEnd w:id="135"/>
      <w:bookmarkEnd w:id="136"/>
      <w:bookmarkEnd w:id="137"/>
    </w:p>
    <w:p>
      <w:pPr>
        <w:keepNext w:val="0"/>
        <w:keepLines w:val="0"/>
        <w:pageBreakBefore w:val="0"/>
        <w:widowControl/>
        <w:kinsoku w:val="0"/>
        <w:wordWrap/>
        <w:overflowPunct/>
        <w:topLinePunct w:val="0"/>
        <w:autoSpaceDE w:val="0"/>
        <w:autoSpaceDN w:val="0"/>
        <w:bidi w:val="0"/>
        <w:adjustRightInd w:val="0"/>
        <w:snapToGrid w:val="0"/>
        <w:spacing w:before="0" w:beforeLines="50" w:line="228" w:lineRule="auto"/>
        <w:ind w:left="618"/>
        <w:textAlignment w:val="baseline"/>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8"/>
          <w:sz w:val="23"/>
          <w:szCs w:val="23"/>
          <w:highlight w:val="none"/>
          <w:lang w:val="en-US" w:eastAsia="zh-CN"/>
        </w:rPr>
        <w:t>现有工程</w:t>
      </w:r>
      <w:r>
        <w:rPr>
          <w:rFonts w:hint="default" w:ascii="Times New Roman" w:hAnsi="Times New Roman" w:eastAsia="宋体" w:cs="Times New Roman"/>
          <w:spacing w:val="8"/>
          <w:sz w:val="23"/>
          <w:szCs w:val="23"/>
          <w:highlight w:val="none"/>
        </w:rPr>
        <w:t>主</w:t>
      </w:r>
      <w:r>
        <w:rPr>
          <w:rFonts w:hint="default" w:ascii="Times New Roman" w:hAnsi="Times New Roman" w:eastAsia="宋体" w:cs="Times New Roman"/>
          <w:spacing w:val="5"/>
          <w:sz w:val="23"/>
          <w:szCs w:val="23"/>
          <w:highlight w:val="none"/>
        </w:rPr>
        <w:t>要</w:t>
      </w:r>
      <w:r>
        <w:rPr>
          <w:rFonts w:hint="default" w:ascii="Times New Roman" w:hAnsi="Times New Roman" w:eastAsia="宋体" w:cs="Times New Roman"/>
          <w:spacing w:val="4"/>
          <w:sz w:val="23"/>
          <w:szCs w:val="23"/>
          <w:highlight w:val="none"/>
        </w:rPr>
        <w:t xml:space="preserve">原辅材料及能源消耗见表 </w:t>
      </w:r>
      <w:r>
        <w:rPr>
          <w:rFonts w:hint="default" w:ascii="Times New Roman" w:hAnsi="Times New Roman" w:eastAsia="Times New Roman" w:cs="Times New Roman"/>
          <w:spacing w:val="4"/>
          <w:sz w:val="23"/>
          <w:szCs w:val="23"/>
          <w:highlight w:val="none"/>
        </w:rPr>
        <w:t>3.</w:t>
      </w:r>
      <w:r>
        <w:rPr>
          <w:rFonts w:hint="eastAsia" w:ascii="Times New Roman" w:hAnsi="Times New Roman" w:eastAsia="宋体" w:cs="Times New Roman"/>
          <w:spacing w:val="4"/>
          <w:sz w:val="23"/>
          <w:szCs w:val="23"/>
          <w:highlight w:val="none"/>
          <w:lang w:val="en-US" w:eastAsia="zh-CN"/>
        </w:rPr>
        <w:t>1</w:t>
      </w:r>
      <w:r>
        <w:rPr>
          <w:rFonts w:hint="default" w:ascii="Times New Roman" w:hAnsi="Times New Roman" w:eastAsia="Times New Roman" w:cs="Times New Roman"/>
          <w:spacing w:val="4"/>
          <w:sz w:val="23"/>
          <w:szCs w:val="23"/>
          <w:highlight w:val="none"/>
        </w:rPr>
        <w:t>-3</w:t>
      </w:r>
      <w:r>
        <w:rPr>
          <w:rFonts w:hint="default" w:ascii="Times New Roman" w:hAnsi="Times New Roman" w:eastAsia="宋体" w:cs="Times New Roman"/>
          <w:spacing w:val="4"/>
          <w:sz w:val="23"/>
          <w:szCs w:val="23"/>
          <w:highlight w:val="none"/>
        </w:rPr>
        <w:t>。</w:t>
      </w:r>
    </w:p>
    <w:p>
      <w:pPr>
        <w:spacing w:before="219" w:line="227" w:lineRule="auto"/>
        <w:ind w:left="202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8"/>
          <w:sz w:val="23"/>
          <w:szCs w:val="23"/>
          <w:highlight w:val="none"/>
        </w:rPr>
        <w:t>3</w:t>
      </w:r>
      <w:r>
        <w:rPr>
          <w:rFonts w:hint="default" w:ascii="Times New Roman" w:hAnsi="Times New Roman" w:eastAsia="Times New Roman" w:cs="Times New Roman"/>
          <w:b/>
          <w:bCs/>
          <w:spacing w:val="5"/>
          <w:sz w:val="23"/>
          <w:szCs w:val="23"/>
          <w:highlight w:val="none"/>
        </w:rPr>
        <w:t>.</w:t>
      </w:r>
      <w:r>
        <w:rPr>
          <w:rFonts w:hint="default" w:ascii="Times New Roman" w:hAnsi="Times New Roman" w:eastAsia="Times New Roman" w:cs="Times New Roman"/>
          <w:b/>
          <w:bCs/>
          <w:spacing w:val="4"/>
          <w:sz w:val="23"/>
          <w:szCs w:val="23"/>
          <w:highlight w:val="none"/>
        </w:rPr>
        <w:t>1-</w:t>
      </w:r>
      <w:r>
        <w:rPr>
          <w:rFonts w:hint="eastAsia" w:ascii="Times New Roman" w:hAnsi="Times New Roman" w:eastAsia="宋体" w:cs="Times New Roman"/>
          <w:b/>
          <w:bCs/>
          <w:spacing w:val="4"/>
          <w:sz w:val="23"/>
          <w:szCs w:val="23"/>
          <w:highlight w:val="none"/>
          <w:lang w:val="en-US" w:eastAsia="zh-CN"/>
        </w:rPr>
        <w:t>3</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项目主要原辅材料及能源消耗</w:t>
      </w:r>
    </w:p>
    <w:p>
      <w:pPr>
        <w:spacing w:line="21" w:lineRule="exact"/>
        <w:rPr>
          <w:rFonts w:hint="default" w:ascii="Times New Roman" w:hAnsi="Times New Roman" w:cs="Times New Roman"/>
          <w:highlight w:val="none"/>
        </w:rPr>
      </w:pPr>
    </w:p>
    <w:tbl>
      <w:tblPr>
        <w:tblStyle w:val="19"/>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7"/>
        <w:gridCol w:w="1915"/>
        <w:gridCol w:w="1695"/>
        <w:gridCol w:w="1413"/>
        <w:gridCol w:w="21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317" w:type="dxa"/>
            <w:tcBorders>
              <w:left w:val="single" w:color="000000" w:sz="10" w:space="0"/>
            </w:tcBorders>
            <w:vAlign w:val="top"/>
          </w:tcPr>
          <w:p>
            <w:pPr>
              <w:spacing w:before="88" w:line="230" w:lineRule="auto"/>
              <w:ind w:left="43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序号</w:t>
            </w:r>
          </w:p>
        </w:tc>
        <w:tc>
          <w:tcPr>
            <w:tcW w:w="1915" w:type="dxa"/>
            <w:vAlign w:val="top"/>
          </w:tcPr>
          <w:p>
            <w:pPr>
              <w:spacing w:before="88" w:line="231" w:lineRule="auto"/>
              <w:ind w:left="75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名</w:t>
            </w:r>
            <w:r>
              <w:rPr>
                <w:rFonts w:hint="default" w:ascii="Times New Roman" w:hAnsi="Times New Roman" w:eastAsia="宋体" w:cs="Times New Roman"/>
                <w:spacing w:val="3"/>
                <w:sz w:val="20"/>
                <w:szCs w:val="20"/>
                <w:highlight w:val="none"/>
              </w:rPr>
              <w:t>称</w:t>
            </w:r>
          </w:p>
        </w:tc>
        <w:tc>
          <w:tcPr>
            <w:tcW w:w="1695" w:type="dxa"/>
            <w:vAlign w:val="top"/>
          </w:tcPr>
          <w:p>
            <w:pPr>
              <w:spacing w:before="88" w:line="229" w:lineRule="auto"/>
              <w:ind w:left="64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单</w:t>
            </w:r>
            <w:r>
              <w:rPr>
                <w:rFonts w:hint="default" w:ascii="Times New Roman" w:hAnsi="Times New Roman" w:eastAsia="宋体" w:cs="Times New Roman"/>
                <w:spacing w:val="3"/>
                <w:sz w:val="20"/>
                <w:szCs w:val="20"/>
                <w:highlight w:val="none"/>
              </w:rPr>
              <w:t>位</w:t>
            </w:r>
          </w:p>
        </w:tc>
        <w:tc>
          <w:tcPr>
            <w:tcW w:w="1413" w:type="dxa"/>
            <w:vAlign w:val="top"/>
          </w:tcPr>
          <w:p>
            <w:pPr>
              <w:spacing w:before="89" w:line="228" w:lineRule="auto"/>
              <w:ind w:left="40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消</w:t>
            </w:r>
            <w:r>
              <w:rPr>
                <w:rFonts w:hint="default" w:ascii="Times New Roman" w:hAnsi="Times New Roman" w:eastAsia="宋体" w:cs="Times New Roman"/>
                <w:spacing w:val="5"/>
                <w:sz w:val="20"/>
                <w:szCs w:val="20"/>
                <w:highlight w:val="none"/>
              </w:rPr>
              <w:t>耗量</w:t>
            </w:r>
          </w:p>
        </w:tc>
        <w:tc>
          <w:tcPr>
            <w:tcW w:w="2191" w:type="dxa"/>
            <w:tcBorders>
              <w:right w:val="single" w:color="000000" w:sz="10" w:space="0"/>
            </w:tcBorders>
            <w:vAlign w:val="top"/>
          </w:tcPr>
          <w:p>
            <w:pPr>
              <w:spacing w:before="88" w:line="230" w:lineRule="auto"/>
              <w:ind w:left="89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317" w:type="dxa"/>
            <w:tcBorders>
              <w:left w:val="single" w:color="000000" w:sz="10" w:space="0"/>
            </w:tcBorders>
            <w:vAlign w:val="top"/>
          </w:tcPr>
          <w:p>
            <w:pPr>
              <w:spacing w:line="281" w:lineRule="auto"/>
              <w:rPr>
                <w:rFonts w:hint="default" w:ascii="Times New Roman" w:hAnsi="Times New Roman" w:cs="Times New Roman"/>
                <w:sz w:val="21"/>
                <w:highlight w:val="none"/>
              </w:rPr>
            </w:pPr>
          </w:p>
          <w:p>
            <w:pPr>
              <w:spacing w:before="58" w:line="195" w:lineRule="auto"/>
              <w:ind w:left="61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915" w:type="dxa"/>
            <w:vAlign w:val="top"/>
          </w:tcPr>
          <w:p>
            <w:pPr>
              <w:spacing w:before="305" w:line="228" w:lineRule="auto"/>
              <w:ind w:left="54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原铁矿石</w:t>
            </w:r>
          </w:p>
        </w:tc>
        <w:tc>
          <w:tcPr>
            <w:tcW w:w="1695" w:type="dxa"/>
            <w:vAlign w:val="top"/>
          </w:tcPr>
          <w:p>
            <w:pPr>
              <w:spacing w:before="274" w:line="274" w:lineRule="exact"/>
              <w:ind w:left="623"/>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2"/>
                <w:position w:val="2"/>
                <w:sz w:val="20"/>
                <w:szCs w:val="20"/>
                <w:highlight w:val="none"/>
              </w:rPr>
              <w:t>万</w:t>
            </w:r>
            <w:r>
              <w:rPr>
                <w:rFonts w:hint="default" w:ascii="Times New Roman" w:hAnsi="Times New Roman" w:eastAsia="宋体" w:cs="Times New Roman"/>
                <w:spacing w:val="-8"/>
                <w:position w:val="2"/>
                <w:sz w:val="20"/>
                <w:szCs w:val="20"/>
                <w:highlight w:val="none"/>
              </w:rPr>
              <w:t xml:space="preserve"> </w:t>
            </w:r>
            <w:r>
              <w:rPr>
                <w:rFonts w:hint="default" w:ascii="Times New Roman" w:hAnsi="Times New Roman" w:eastAsia="Times New Roman" w:cs="Times New Roman"/>
                <w:spacing w:val="-8"/>
                <w:position w:val="2"/>
                <w:sz w:val="20"/>
                <w:szCs w:val="20"/>
                <w:highlight w:val="none"/>
              </w:rPr>
              <w:t>t/a</w:t>
            </w:r>
          </w:p>
        </w:tc>
        <w:tc>
          <w:tcPr>
            <w:tcW w:w="1413" w:type="dxa"/>
            <w:vAlign w:val="top"/>
          </w:tcPr>
          <w:p>
            <w:pPr>
              <w:spacing w:line="281" w:lineRule="auto"/>
              <w:rPr>
                <w:rFonts w:hint="default" w:ascii="Times New Roman" w:hAnsi="Times New Roman" w:cs="Times New Roman"/>
                <w:sz w:val="21"/>
                <w:highlight w:val="none"/>
              </w:rPr>
            </w:pPr>
          </w:p>
          <w:p>
            <w:pPr>
              <w:spacing w:before="58" w:line="195" w:lineRule="auto"/>
              <w:ind w:left="61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50</w:t>
            </w:r>
          </w:p>
        </w:tc>
        <w:tc>
          <w:tcPr>
            <w:tcW w:w="2191" w:type="dxa"/>
            <w:tcBorders>
              <w:right w:val="single" w:color="000000" w:sz="10" w:space="0"/>
            </w:tcBorders>
            <w:vAlign w:val="top"/>
          </w:tcPr>
          <w:p>
            <w:pPr>
              <w:spacing w:line="275" w:lineRule="exact"/>
              <w:ind w:left="1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position w:val="1"/>
                <w:sz w:val="20"/>
                <w:szCs w:val="20"/>
                <w:highlight w:val="none"/>
              </w:rPr>
              <w:t xml:space="preserve">平均品位 </w:t>
            </w:r>
            <w:r>
              <w:rPr>
                <w:rFonts w:hint="default" w:ascii="Times New Roman" w:hAnsi="Times New Roman" w:eastAsia="Times New Roman" w:cs="Times New Roman"/>
                <w:spacing w:val="-2"/>
                <w:position w:val="1"/>
                <w:sz w:val="20"/>
                <w:szCs w:val="20"/>
                <w:highlight w:val="none"/>
              </w:rPr>
              <w:t>25</w:t>
            </w:r>
            <w:r>
              <w:rPr>
                <w:rFonts w:hint="default" w:ascii="Times New Roman" w:hAnsi="Times New Roman" w:eastAsia="Times New Roman" w:cs="Times New Roman"/>
                <w:spacing w:val="-1"/>
                <w:position w:val="1"/>
                <w:sz w:val="20"/>
                <w:szCs w:val="20"/>
                <w:highlight w:val="none"/>
              </w:rPr>
              <w:t xml:space="preserve">% </w:t>
            </w:r>
            <w:r>
              <w:rPr>
                <w:rFonts w:hint="default" w:ascii="Times New Roman" w:hAnsi="Times New Roman" w:eastAsia="宋体" w:cs="Times New Roman"/>
                <w:spacing w:val="-1"/>
                <w:position w:val="1"/>
                <w:sz w:val="20"/>
                <w:szCs w:val="20"/>
                <w:highlight w:val="none"/>
              </w:rPr>
              <w:t>，来自</w:t>
            </w:r>
          </w:p>
          <w:p>
            <w:pPr>
              <w:spacing w:before="29" w:line="228" w:lineRule="auto"/>
              <w:ind w:left="1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本</w:t>
            </w:r>
            <w:r>
              <w:rPr>
                <w:rFonts w:hint="default" w:ascii="Times New Roman" w:hAnsi="Times New Roman" w:eastAsia="宋体" w:cs="Times New Roman"/>
                <w:spacing w:val="5"/>
                <w:sz w:val="20"/>
                <w:szCs w:val="20"/>
                <w:highlight w:val="none"/>
              </w:rPr>
              <w:t>地矿区，汽车运输，</w:t>
            </w:r>
          </w:p>
          <w:p>
            <w:pPr>
              <w:spacing w:before="24" w:line="225" w:lineRule="auto"/>
              <w:ind w:left="26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存于项目原料库</w:t>
            </w:r>
            <w:r>
              <w:rPr>
                <w:rFonts w:hint="default" w:ascii="Times New Roman" w:hAnsi="Times New Roman" w:eastAsia="宋体" w:cs="Times New Roman"/>
                <w:spacing w:val="7"/>
                <w:sz w:val="20"/>
                <w:szCs w:val="20"/>
                <w:highlight w:val="none"/>
              </w:rPr>
              <w:t>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317" w:type="dxa"/>
            <w:tcBorders>
              <w:left w:val="single" w:color="000000" w:sz="10" w:space="0"/>
            </w:tcBorders>
            <w:vAlign w:val="center"/>
          </w:tcPr>
          <w:p>
            <w:pPr>
              <w:spacing w:before="105" w:line="195" w:lineRule="auto"/>
              <w:ind w:left="598" w:leftChars="0"/>
              <w:jc w:val="both"/>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915" w:type="dxa"/>
            <w:vAlign w:val="center"/>
          </w:tcPr>
          <w:p>
            <w:pPr>
              <w:spacing w:before="105" w:line="195" w:lineRule="auto"/>
              <w:ind w:left="598" w:leftChars="0"/>
              <w:jc w:val="both"/>
              <w:rPr>
                <w:rFonts w:hint="eastAsia" w:ascii="Times New Roman" w:hAnsi="Times New Roman" w:eastAsia="Times New Roman" w:cs="Times New Roman"/>
                <w:sz w:val="20"/>
                <w:szCs w:val="20"/>
                <w:highlight w:val="none"/>
                <w:lang w:val="en-US" w:eastAsia="zh-CN"/>
              </w:rPr>
            </w:pPr>
            <w:r>
              <w:rPr>
                <w:rFonts w:hint="eastAsia" w:ascii="Times New Roman" w:hAnsi="Times New Roman" w:eastAsia="Times New Roman" w:cs="Times New Roman"/>
                <w:sz w:val="20"/>
                <w:szCs w:val="20"/>
                <w:highlight w:val="none"/>
                <w:lang w:val="en-US" w:eastAsia="zh-CN"/>
              </w:rPr>
              <w:t>絮凝剂</w:t>
            </w:r>
          </w:p>
        </w:tc>
        <w:tc>
          <w:tcPr>
            <w:tcW w:w="1695" w:type="dxa"/>
            <w:vAlign w:val="center"/>
          </w:tcPr>
          <w:p>
            <w:pPr>
              <w:spacing w:before="105" w:line="195" w:lineRule="auto"/>
              <w:ind w:left="598" w:leftChars="0" w:firstLine="200" w:firstLineChars="100"/>
              <w:jc w:val="both"/>
              <w:rPr>
                <w:rFonts w:hint="default" w:ascii="Times New Roman" w:hAnsi="Times New Roman" w:eastAsia="Times New Roman" w:cs="Times New Roman"/>
                <w:sz w:val="20"/>
                <w:szCs w:val="20"/>
                <w:highlight w:val="none"/>
                <w:lang w:val="en-US" w:eastAsia="zh-CN"/>
              </w:rPr>
            </w:pPr>
            <w:r>
              <w:rPr>
                <w:rFonts w:hint="eastAsia" w:ascii="Times New Roman" w:hAnsi="Times New Roman" w:eastAsia="Times New Roman" w:cs="Times New Roman"/>
                <w:sz w:val="20"/>
                <w:szCs w:val="20"/>
                <w:highlight w:val="none"/>
                <w:lang w:val="en-US" w:eastAsia="zh-CN"/>
              </w:rPr>
              <w:t>t/a</w:t>
            </w:r>
          </w:p>
        </w:tc>
        <w:tc>
          <w:tcPr>
            <w:tcW w:w="1413" w:type="dxa"/>
            <w:vAlign w:val="center"/>
          </w:tcPr>
          <w:p>
            <w:pPr>
              <w:spacing w:before="105" w:line="195" w:lineRule="auto"/>
              <w:ind w:left="598" w:leftChars="0"/>
              <w:jc w:val="both"/>
              <w:rPr>
                <w:rFonts w:hint="default" w:ascii="Times New Roman" w:hAnsi="Times New Roman" w:eastAsia="Times New Roman" w:cs="Times New Roman"/>
                <w:sz w:val="20"/>
                <w:szCs w:val="20"/>
                <w:highlight w:val="none"/>
                <w:lang w:val="en-US" w:eastAsia="zh-CN"/>
              </w:rPr>
            </w:pPr>
            <w:r>
              <w:rPr>
                <w:rFonts w:hint="eastAsia" w:ascii="Times New Roman" w:hAnsi="Times New Roman" w:eastAsia="Times New Roman" w:cs="Times New Roman"/>
                <w:sz w:val="20"/>
                <w:szCs w:val="20"/>
                <w:highlight w:val="none"/>
                <w:lang w:val="en-US" w:eastAsia="zh-CN"/>
              </w:rPr>
              <w:t>2</w:t>
            </w:r>
          </w:p>
        </w:tc>
        <w:tc>
          <w:tcPr>
            <w:tcW w:w="2191" w:type="dxa"/>
            <w:tcBorders>
              <w:right w:val="single" w:color="000000" w:sz="10" w:space="0"/>
            </w:tcBorders>
            <w:vAlign w:val="center"/>
          </w:tcPr>
          <w:p>
            <w:pPr>
              <w:spacing w:before="105" w:line="195" w:lineRule="auto"/>
              <w:ind w:left="598" w:leftChars="0"/>
              <w:jc w:val="both"/>
              <w:rPr>
                <w:rFonts w:hint="default" w:ascii="Times New Roman" w:hAnsi="Times New Roman" w:eastAsia="Times New Roman" w:cs="Times New Roman"/>
                <w:sz w:val="20"/>
                <w:szCs w:val="20"/>
                <w:highlight w:val="none"/>
                <w:lang w:val="en-US" w:eastAsia="zh-CN"/>
              </w:rPr>
            </w:pPr>
            <w:r>
              <w:rPr>
                <w:rFonts w:hint="eastAsia" w:ascii="Times New Roman" w:hAnsi="Times New Roman" w:eastAsia="Times New Roman" w:cs="Times New Roman"/>
                <w:sz w:val="20"/>
                <w:szCs w:val="20"/>
                <w:highlight w:val="none"/>
                <w:lang w:val="en-US" w:eastAsia="zh-CN"/>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7" w:type="dxa"/>
            <w:tcBorders>
              <w:left w:val="single" w:color="000000" w:sz="10" w:space="0"/>
            </w:tcBorders>
            <w:vAlign w:val="top"/>
          </w:tcPr>
          <w:p>
            <w:pPr>
              <w:spacing w:before="105" w:line="195" w:lineRule="auto"/>
              <w:ind w:left="598"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sz w:val="20"/>
                <w:szCs w:val="20"/>
                <w:highlight w:val="none"/>
              </w:rPr>
              <w:t>3</w:t>
            </w:r>
          </w:p>
        </w:tc>
        <w:tc>
          <w:tcPr>
            <w:tcW w:w="1915" w:type="dxa"/>
            <w:vAlign w:val="top"/>
          </w:tcPr>
          <w:p>
            <w:pPr>
              <w:spacing w:before="68" w:line="228" w:lineRule="auto"/>
              <w:ind w:left="856"/>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水</w:t>
            </w:r>
          </w:p>
        </w:tc>
        <w:tc>
          <w:tcPr>
            <w:tcW w:w="1695" w:type="dxa"/>
            <w:vAlign w:val="top"/>
          </w:tcPr>
          <w:p>
            <w:pPr>
              <w:spacing w:before="150" w:line="140" w:lineRule="exact"/>
              <w:ind w:left="862"/>
              <w:rPr>
                <w:rFonts w:hint="default" w:ascii="Times New Roman" w:hAnsi="Times New Roman" w:eastAsia="Times New Roman" w:cs="Times New Roman"/>
                <w:sz w:val="20"/>
                <w:szCs w:val="20"/>
                <w:highlight w:val="none"/>
              </w:rPr>
            </w:pPr>
            <w:r>
              <w:rPr>
                <w:rFonts w:hint="default" w:ascii="Times New Roman" w:hAnsi="Times New Roman" w:cs="Times New Roman"/>
                <w:highlight w:val="none"/>
              </w:rPr>
              <w:pict>
                <v:shape id="_x0000_s1089" o:spid="_x0000_s1089" o:spt="202" type="#_x0000_t202" style="position:absolute;left:0pt;margin-left:36.3pt;margin-top:1.1pt;height:15.75pt;width:7.75pt;mso-position-horizontal-relative:page;mso-position-vertical-relative:page;z-index:251682816;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hint="default" w:ascii="Times New Roman" w:hAnsi="Times New Roman" w:eastAsia="Times New Roman" w:cs="Times New Roman"/>
                <w:sz w:val="20"/>
                <w:szCs w:val="20"/>
                <w:highlight w:val="none"/>
              </w:rPr>
              <w:t>a</w:t>
            </w:r>
          </w:p>
        </w:tc>
        <w:tc>
          <w:tcPr>
            <w:tcW w:w="1413" w:type="dxa"/>
            <w:vAlign w:val="top"/>
          </w:tcPr>
          <w:p>
            <w:pPr>
              <w:spacing w:before="104" w:line="195" w:lineRule="auto"/>
              <w:ind w:left="45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69990</w:t>
            </w:r>
          </w:p>
        </w:tc>
        <w:tc>
          <w:tcPr>
            <w:tcW w:w="2191" w:type="dxa"/>
            <w:tcBorders>
              <w:right w:val="single" w:color="000000" w:sz="10" w:space="0"/>
            </w:tcBorders>
            <w:vAlign w:val="top"/>
          </w:tcPr>
          <w:p>
            <w:pPr>
              <w:spacing w:before="68" w:line="228" w:lineRule="auto"/>
              <w:ind w:left="71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自</w:t>
            </w:r>
            <w:r>
              <w:rPr>
                <w:rFonts w:hint="default" w:ascii="Times New Roman" w:hAnsi="Times New Roman" w:eastAsia="宋体" w:cs="Times New Roman"/>
                <w:spacing w:val="-1"/>
                <w:sz w:val="20"/>
                <w:szCs w:val="20"/>
                <w:highlight w:val="none"/>
              </w:rPr>
              <w:t>备水井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7" w:type="dxa"/>
            <w:tcBorders>
              <w:left w:val="single" w:color="000000" w:sz="10" w:space="0"/>
            </w:tcBorders>
            <w:vAlign w:val="top"/>
          </w:tcPr>
          <w:p>
            <w:pPr>
              <w:spacing w:before="107" w:line="195" w:lineRule="auto"/>
              <w:ind w:left="593"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spacing w:val="1"/>
                <w:sz w:val="20"/>
                <w:szCs w:val="20"/>
                <w:highlight w:val="none"/>
              </w:rPr>
              <w:t>4</w:t>
            </w:r>
          </w:p>
        </w:tc>
        <w:tc>
          <w:tcPr>
            <w:tcW w:w="1915" w:type="dxa"/>
            <w:vAlign w:val="top"/>
          </w:tcPr>
          <w:p>
            <w:pPr>
              <w:spacing w:before="67" w:line="234" w:lineRule="auto"/>
              <w:ind w:left="878"/>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电</w:t>
            </w:r>
          </w:p>
        </w:tc>
        <w:tc>
          <w:tcPr>
            <w:tcW w:w="1695" w:type="dxa"/>
            <w:vAlign w:val="top"/>
          </w:tcPr>
          <w:p>
            <w:pPr>
              <w:spacing w:before="36" w:line="274" w:lineRule="exact"/>
              <w:ind w:left="448"/>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6"/>
                <w:position w:val="2"/>
                <w:sz w:val="20"/>
                <w:szCs w:val="20"/>
                <w:highlight w:val="none"/>
              </w:rPr>
              <w:t xml:space="preserve">万 </w:t>
            </w:r>
            <w:r>
              <w:rPr>
                <w:rFonts w:hint="default" w:ascii="Times New Roman" w:hAnsi="Times New Roman" w:eastAsia="Times New Roman" w:cs="Times New Roman"/>
                <w:spacing w:val="-3"/>
                <w:position w:val="2"/>
                <w:sz w:val="20"/>
                <w:szCs w:val="20"/>
                <w:highlight w:val="none"/>
              </w:rPr>
              <w:t>kWh/a</w:t>
            </w:r>
          </w:p>
        </w:tc>
        <w:tc>
          <w:tcPr>
            <w:tcW w:w="1413" w:type="dxa"/>
            <w:vAlign w:val="top"/>
          </w:tcPr>
          <w:p>
            <w:pPr>
              <w:spacing w:before="105" w:line="195" w:lineRule="auto"/>
              <w:ind w:left="55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450</w:t>
            </w:r>
          </w:p>
        </w:tc>
        <w:tc>
          <w:tcPr>
            <w:tcW w:w="2191" w:type="dxa"/>
            <w:tcBorders>
              <w:right w:val="single" w:color="000000" w:sz="10" w:space="0"/>
            </w:tcBorders>
            <w:vAlign w:val="top"/>
          </w:tcPr>
          <w:p>
            <w:pPr>
              <w:spacing w:before="66" w:line="228" w:lineRule="auto"/>
              <w:ind w:left="48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当地供电系统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317" w:type="dxa"/>
            <w:tcBorders>
              <w:left w:val="single" w:color="000000" w:sz="10" w:space="0"/>
            </w:tcBorders>
            <w:vAlign w:val="top"/>
          </w:tcPr>
          <w:p>
            <w:pPr>
              <w:spacing w:before="107" w:line="195" w:lineRule="auto"/>
              <w:ind w:left="593"/>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5</w:t>
            </w:r>
          </w:p>
        </w:tc>
        <w:tc>
          <w:tcPr>
            <w:tcW w:w="1915" w:type="dxa"/>
            <w:vAlign w:val="top"/>
          </w:tcPr>
          <w:p>
            <w:pPr>
              <w:spacing w:before="68" w:line="229" w:lineRule="auto"/>
              <w:ind w:left="644"/>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矿物</w:t>
            </w:r>
            <w:r>
              <w:rPr>
                <w:rFonts w:hint="default" w:ascii="Times New Roman" w:hAnsi="Times New Roman" w:eastAsia="宋体" w:cs="Times New Roman"/>
                <w:spacing w:val="6"/>
                <w:sz w:val="20"/>
                <w:szCs w:val="20"/>
                <w:highlight w:val="none"/>
              </w:rPr>
              <w:t>油</w:t>
            </w:r>
          </w:p>
        </w:tc>
        <w:tc>
          <w:tcPr>
            <w:tcW w:w="1695" w:type="dxa"/>
            <w:vAlign w:val="top"/>
          </w:tcPr>
          <w:p>
            <w:pPr>
              <w:spacing w:before="152" w:line="141" w:lineRule="exact"/>
              <w:ind w:left="862"/>
              <w:rPr>
                <w:rFonts w:hint="default" w:ascii="Times New Roman" w:hAnsi="Times New Roman" w:eastAsia="Times New Roman" w:cs="Times New Roman"/>
                <w:sz w:val="20"/>
                <w:szCs w:val="20"/>
                <w:highlight w:val="none"/>
              </w:rPr>
            </w:pPr>
            <w:r>
              <w:rPr>
                <w:rFonts w:hint="default" w:ascii="Times New Roman" w:hAnsi="Times New Roman" w:cs="Times New Roman"/>
                <w:highlight w:val="none"/>
              </w:rPr>
              <w:pict>
                <v:shape id="_x0000_s1090" o:spid="_x0000_s1090" o:spt="202" type="#_x0000_t202" style="position:absolute;left:0pt;margin-left:36.3pt;margin-top:1.25pt;height:15.75pt;width:7.75pt;mso-position-horizontal-relative:page;mso-position-vertical-relative:page;z-index:251682816;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hint="default" w:ascii="Times New Roman" w:hAnsi="Times New Roman" w:eastAsia="Times New Roman" w:cs="Times New Roman"/>
                <w:sz w:val="20"/>
                <w:szCs w:val="20"/>
                <w:highlight w:val="none"/>
              </w:rPr>
              <w:t>a</w:t>
            </w:r>
          </w:p>
        </w:tc>
        <w:tc>
          <w:tcPr>
            <w:tcW w:w="1413" w:type="dxa"/>
            <w:vAlign w:val="top"/>
          </w:tcPr>
          <w:p>
            <w:pPr>
              <w:spacing w:before="107" w:line="195" w:lineRule="auto"/>
              <w:ind w:left="58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0.</w:t>
            </w:r>
            <w:r>
              <w:rPr>
                <w:rFonts w:hint="default" w:ascii="Times New Roman" w:hAnsi="Times New Roman" w:eastAsia="Times New Roman" w:cs="Times New Roman"/>
                <w:spacing w:val="1"/>
                <w:sz w:val="20"/>
                <w:szCs w:val="20"/>
                <w:highlight w:val="none"/>
              </w:rPr>
              <w:t>2</w:t>
            </w:r>
          </w:p>
        </w:tc>
        <w:tc>
          <w:tcPr>
            <w:tcW w:w="2191" w:type="dxa"/>
            <w:tcBorders>
              <w:right w:val="single" w:color="000000" w:sz="10" w:space="0"/>
            </w:tcBorders>
            <w:vAlign w:val="top"/>
          </w:tcPr>
          <w:p>
            <w:pPr>
              <w:jc w:val="center"/>
              <w:rPr>
                <w:rFonts w:hint="eastAsia" w:ascii="Times New Roman" w:hAnsi="Times New Roman" w:eastAsia="宋体" w:cs="Times New Roman"/>
                <w:sz w:val="21"/>
                <w:highlight w:val="none"/>
                <w:lang w:val="en-US" w:eastAsia="zh-CN"/>
              </w:rPr>
            </w:pPr>
            <w:r>
              <w:rPr>
                <w:rFonts w:hint="eastAsia" w:ascii="Times New Roman" w:hAnsi="Times New Roman" w:eastAsia="宋体" w:cs="Times New Roman"/>
                <w:sz w:val="21"/>
                <w:highlight w:val="none"/>
                <w:lang w:val="en-US" w:eastAsia="zh-CN"/>
              </w:rPr>
              <w:t>外购</w:t>
            </w:r>
          </w:p>
        </w:tc>
      </w:tr>
    </w:tbl>
    <w:p>
      <w:pPr>
        <w:spacing w:before="197" w:line="228" w:lineRule="auto"/>
        <w:ind w:left="62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7"/>
          <w:sz w:val="23"/>
          <w:szCs w:val="23"/>
          <w:highlight w:val="none"/>
        </w:rPr>
        <w:t>2</w:t>
      </w:r>
      <w:r>
        <w:rPr>
          <w:rFonts w:hint="default" w:ascii="Times New Roman" w:hAnsi="Times New Roman" w:eastAsia="宋体" w:cs="Times New Roman"/>
          <w:spacing w:val="17"/>
          <w:sz w:val="23"/>
          <w:szCs w:val="23"/>
          <w:highlight w:val="none"/>
        </w:rPr>
        <w:t>) 物料来源及品位</w:t>
      </w:r>
    </w:p>
    <w:p>
      <w:pPr>
        <w:spacing w:before="214" w:line="402" w:lineRule="auto"/>
        <w:ind w:left="133" w:right="122"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原料来自遵化市势竹矿业有限公司，不足部分由周边矿区购进，矿石</w:t>
      </w:r>
      <w:r>
        <w:rPr>
          <w:rFonts w:hint="default" w:ascii="Times New Roman" w:hAnsi="Times New Roman" w:eastAsia="宋体" w:cs="Times New Roman"/>
          <w:spacing w:val="3"/>
          <w:sz w:val="23"/>
          <w:szCs w:val="23"/>
          <w:highlight w:val="none"/>
        </w:rPr>
        <w:t>平</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 xml:space="preserve">均品位为 </w:t>
      </w:r>
      <w:r>
        <w:rPr>
          <w:rFonts w:hint="default" w:ascii="Times New Roman" w:hAnsi="Times New Roman" w:eastAsia="Times New Roman" w:cs="Times New Roman"/>
          <w:spacing w:val="-1"/>
          <w:sz w:val="23"/>
          <w:szCs w:val="23"/>
          <w:highlight w:val="none"/>
        </w:rPr>
        <w:t>25</w:t>
      </w:r>
      <w:r>
        <w:rPr>
          <w:rFonts w:hint="default" w:ascii="Times New Roman" w:hAnsi="Times New Roman" w:eastAsia="Times New Roman" w:cs="Times New Roman"/>
          <w:sz w:val="23"/>
          <w:szCs w:val="23"/>
          <w:highlight w:val="none"/>
        </w:rPr>
        <w:t>%</w:t>
      </w:r>
      <w:r>
        <w:rPr>
          <w:rFonts w:hint="default" w:ascii="Times New Roman" w:hAnsi="Times New Roman" w:eastAsia="宋体" w:cs="Times New Roman"/>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0" w:beforeLines="100" w:line="228" w:lineRule="auto"/>
        <w:ind w:left="125"/>
        <w:textAlignment w:val="baseline"/>
        <w:outlineLvl w:val="2"/>
        <w:rPr>
          <w:rFonts w:hint="default" w:ascii="Times New Roman" w:hAnsi="Times New Roman" w:eastAsia="宋体" w:cs="Times New Roman"/>
          <w:sz w:val="23"/>
          <w:szCs w:val="23"/>
          <w:highlight w:val="none"/>
        </w:rPr>
      </w:pPr>
      <w:bookmarkStart w:id="138" w:name="_Toc519"/>
      <w:bookmarkStart w:id="139" w:name="_Toc5289"/>
      <w:bookmarkStart w:id="140" w:name="_Toc31462"/>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1</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4</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现有工程</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主要生产设备</w:t>
      </w:r>
      <w:bookmarkEnd w:id="138"/>
      <w:bookmarkEnd w:id="139"/>
      <w:bookmarkEnd w:id="140"/>
    </w:p>
    <w:p>
      <w:pPr>
        <w:spacing w:before="75" w:line="227" w:lineRule="auto"/>
        <w:ind w:left="613"/>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4"/>
          <w:sz w:val="23"/>
          <w:szCs w:val="23"/>
          <w:highlight w:val="none"/>
          <w:lang w:val="en-US" w:eastAsia="zh-CN"/>
        </w:rPr>
        <w:t>现有工程</w:t>
      </w:r>
      <w:r>
        <w:rPr>
          <w:rFonts w:hint="default" w:ascii="Times New Roman" w:hAnsi="Times New Roman" w:eastAsia="宋体" w:cs="Times New Roman"/>
          <w:spacing w:val="4"/>
          <w:sz w:val="23"/>
          <w:szCs w:val="23"/>
          <w:highlight w:val="none"/>
        </w:rPr>
        <w:t xml:space="preserve">主要生产设备表见表 </w:t>
      </w:r>
      <w:r>
        <w:rPr>
          <w:rFonts w:hint="default" w:ascii="Times New Roman" w:hAnsi="Times New Roman" w:eastAsia="Times New Roman" w:cs="Times New Roman"/>
          <w:spacing w:val="4"/>
          <w:sz w:val="23"/>
          <w:szCs w:val="23"/>
          <w:highlight w:val="none"/>
        </w:rPr>
        <w:t>3.</w:t>
      </w:r>
      <w:r>
        <w:rPr>
          <w:rFonts w:hint="eastAsia" w:ascii="Times New Roman" w:hAnsi="Times New Roman" w:eastAsia="宋体" w:cs="Times New Roman"/>
          <w:spacing w:val="4"/>
          <w:sz w:val="23"/>
          <w:szCs w:val="23"/>
          <w:highlight w:val="none"/>
          <w:lang w:val="en-US" w:eastAsia="zh-CN"/>
        </w:rPr>
        <w:t>1</w:t>
      </w:r>
      <w:r>
        <w:rPr>
          <w:rFonts w:hint="default" w:ascii="Times New Roman" w:hAnsi="Times New Roman" w:eastAsia="Times New Roman" w:cs="Times New Roman"/>
          <w:spacing w:val="4"/>
          <w:sz w:val="23"/>
          <w:szCs w:val="23"/>
          <w:highlight w:val="none"/>
        </w:rPr>
        <w:t>-</w:t>
      </w:r>
      <w:r>
        <w:rPr>
          <w:rFonts w:hint="eastAsia" w:ascii="Times New Roman" w:hAnsi="Times New Roman" w:eastAsia="宋体" w:cs="Times New Roman"/>
          <w:spacing w:val="4"/>
          <w:sz w:val="23"/>
          <w:szCs w:val="23"/>
          <w:highlight w:val="none"/>
          <w:lang w:val="en-US" w:eastAsia="zh-CN"/>
        </w:rPr>
        <w:t>4</w:t>
      </w:r>
      <w:r>
        <w:rPr>
          <w:rFonts w:hint="default" w:ascii="Times New Roman" w:hAnsi="Times New Roman" w:eastAsia="宋体" w:cs="Times New Roman"/>
          <w:spacing w:val="2"/>
          <w:sz w:val="23"/>
          <w:szCs w:val="23"/>
          <w:highlight w:val="none"/>
        </w:rPr>
        <w:t>。</w:t>
      </w:r>
    </w:p>
    <w:p>
      <w:pPr>
        <w:spacing w:before="214" w:line="228" w:lineRule="auto"/>
        <w:ind w:left="2171"/>
        <w:rPr>
          <w:rFonts w:hint="default" w:ascii="Times New Roman" w:hAnsi="Times New Roman" w:eastAsia="宋体" w:cs="Times New Roman"/>
          <w:sz w:val="23"/>
          <w:szCs w:val="23"/>
          <w:highlight w:val="none"/>
        </w:rPr>
      </w:pPr>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10"/>
          <w:sz w:val="23"/>
          <w:szCs w:val="23"/>
          <w:highlight w:val="none"/>
        </w:rPr>
        <w:t>.</w:t>
      </w:r>
      <w:r>
        <w:rPr>
          <w:rFonts w:hint="eastAsia" w:ascii="Times New Roman" w:hAnsi="Times New Roman" w:eastAsia="宋体" w:cs="Times New Roman"/>
          <w:b/>
          <w:bCs/>
          <w:spacing w:val="7"/>
          <w:sz w:val="23"/>
          <w:szCs w:val="23"/>
          <w:highlight w:val="none"/>
          <w:lang w:val="en-US" w:eastAsia="zh-CN"/>
        </w:rPr>
        <w:t>1</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4</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现有工程</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主要生产设备设施一览表</w:t>
      </w:r>
    </w:p>
    <w:p>
      <w:pPr>
        <w:spacing w:line="21" w:lineRule="exact"/>
        <w:rPr>
          <w:rFonts w:hint="default" w:ascii="Times New Roman" w:hAnsi="Times New Roman" w:cs="Times New Roman"/>
          <w:highlight w:val="none"/>
        </w:rPr>
      </w:pPr>
    </w:p>
    <w:tbl>
      <w:tblPr>
        <w:tblStyle w:val="19"/>
        <w:tblW w:w="852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575"/>
        <w:gridCol w:w="1"/>
        <w:gridCol w:w="1368"/>
        <w:gridCol w:w="1"/>
        <w:gridCol w:w="2019"/>
        <w:gridCol w:w="1"/>
        <w:gridCol w:w="772"/>
        <w:gridCol w:w="1"/>
        <w:gridCol w:w="778"/>
        <w:gridCol w:w="2"/>
        <w:gridCol w:w="3006"/>
        <w:gridCol w:w="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66" w:hRule="atLeast"/>
        </w:trPr>
        <w:tc>
          <w:tcPr>
            <w:tcW w:w="576" w:type="dxa"/>
            <w:gridSpan w:val="2"/>
            <w:tcBorders>
              <w:left w:val="single" w:color="000000" w:sz="10" w:space="0"/>
            </w:tcBorders>
            <w:textDirection w:val="tbRlV"/>
            <w:vAlign w:val="top"/>
          </w:tcPr>
          <w:p>
            <w:pPr>
              <w:spacing w:before="186" w:line="218" w:lineRule="auto"/>
              <w:ind w:left="1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序</w:t>
            </w:r>
            <w:r>
              <w:rPr>
                <w:rFonts w:hint="default" w:ascii="Times New Roman" w:hAnsi="Times New Roman" w:eastAsia="宋体" w:cs="Times New Roman"/>
                <w:spacing w:val="10"/>
                <w:sz w:val="20"/>
                <w:szCs w:val="20"/>
                <w:highlight w:val="none"/>
              </w:rPr>
              <w:t xml:space="preserve"> 号</w:t>
            </w:r>
          </w:p>
        </w:tc>
        <w:tc>
          <w:tcPr>
            <w:tcW w:w="1369" w:type="dxa"/>
            <w:gridSpan w:val="2"/>
            <w:vAlign w:val="top"/>
          </w:tcPr>
          <w:p>
            <w:pPr>
              <w:spacing w:before="261" w:line="230" w:lineRule="auto"/>
              <w:ind w:left="26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设</w:t>
            </w:r>
            <w:r>
              <w:rPr>
                <w:rFonts w:hint="default" w:ascii="Times New Roman" w:hAnsi="Times New Roman" w:eastAsia="宋体" w:cs="Times New Roman"/>
                <w:spacing w:val="6"/>
                <w:sz w:val="20"/>
                <w:szCs w:val="20"/>
                <w:highlight w:val="none"/>
              </w:rPr>
              <w:t>备名称</w:t>
            </w:r>
          </w:p>
        </w:tc>
        <w:tc>
          <w:tcPr>
            <w:tcW w:w="2020" w:type="dxa"/>
            <w:gridSpan w:val="2"/>
            <w:vAlign w:val="top"/>
          </w:tcPr>
          <w:p>
            <w:pPr>
              <w:spacing w:before="261" w:line="228" w:lineRule="auto"/>
              <w:ind w:left="59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规格型号</w:t>
            </w:r>
          </w:p>
        </w:tc>
        <w:tc>
          <w:tcPr>
            <w:tcW w:w="773" w:type="dxa"/>
            <w:gridSpan w:val="2"/>
            <w:vAlign w:val="top"/>
          </w:tcPr>
          <w:p>
            <w:pPr>
              <w:spacing w:before="261" w:line="229" w:lineRule="auto"/>
              <w:ind w:left="18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单</w:t>
            </w:r>
            <w:r>
              <w:rPr>
                <w:rFonts w:hint="default" w:ascii="Times New Roman" w:hAnsi="Times New Roman" w:eastAsia="宋体" w:cs="Times New Roman"/>
                <w:spacing w:val="3"/>
                <w:sz w:val="20"/>
                <w:szCs w:val="20"/>
                <w:highlight w:val="none"/>
              </w:rPr>
              <w:t>位</w:t>
            </w:r>
          </w:p>
        </w:tc>
        <w:tc>
          <w:tcPr>
            <w:tcW w:w="780" w:type="dxa"/>
            <w:gridSpan w:val="2"/>
            <w:vAlign w:val="top"/>
          </w:tcPr>
          <w:p>
            <w:pPr>
              <w:spacing w:before="261" w:line="228" w:lineRule="auto"/>
              <w:ind w:left="18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数</w:t>
            </w:r>
            <w:r>
              <w:rPr>
                <w:rFonts w:hint="default" w:ascii="Times New Roman" w:hAnsi="Times New Roman" w:eastAsia="宋体" w:cs="Times New Roman"/>
                <w:spacing w:val="3"/>
                <w:sz w:val="20"/>
                <w:szCs w:val="20"/>
                <w:highlight w:val="none"/>
              </w:rPr>
              <w:t>量</w:t>
            </w:r>
          </w:p>
        </w:tc>
        <w:tc>
          <w:tcPr>
            <w:tcW w:w="3008" w:type="dxa"/>
            <w:gridSpan w:val="2"/>
            <w:tcBorders>
              <w:right w:val="single" w:color="000000" w:sz="10" w:space="0"/>
            </w:tcBorders>
            <w:vAlign w:val="top"/>
          </w:tcPr>
          <w:p>
            <w:pPr>
              <w:spacing w:before="261" w:line="230" w:lineRule="auto"/>
              <w:ind w:left="130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345" w:hRule="atLeast"/>
        </w:trPr>
        <w:tc>
          <w:tcPr>
            <w:tcW w:w="576" w:type="dxa"/>
            <w:gridSpan w:val="2"/>
            <w:tcBorders>
              <w:left w:val="single" w:color="000000" w:sz="10" w:space="0"/>
            </w:tcBorders>
            <w:vAlign w:val="top"/>
          </w:tcPr>
          <w:p>
            <w:pPr>
              <w:spacing w:before="158" w:line="168" w:lineRule="exact"/>
              <w:ind w:left="177"/>
              <w:rPr>
                <w:rFonts w:hint="eastAsia" w:ascii="Times New Roman" w:hAnsi="Times New Roman" w:eastAsia="宋体" w:cs="Times New Roman"/>
                <w:sz w:val="10"/>
                <w:szCs w:val="10"/>
                <w:highlight w:val="none"/>
                <w:lang w:val="en-US" w:eastAsia="zh-CN"/>
              </w:rPr>
            </w:pPr>
            <w:r>
              <w:rPr>
                <w:rFonts w:hint="eastAsia" w:ascii="Times New Roman" w:hAnsi="Times New Roman" w:eastAsia="宋体" w:cs="Times New Roman"/>
                <w:sz w:val="20"/>
                <w:szCs w:val="20"/>
                <w:highlight w:val="none"/>
                <w:lang w:val="en-US" w:eastAsia="zh-CN"/>
              </w:rPr>
              <w:t>一</w:t>
            </w:r>
          </w:p>
        </w:tc>
        <w:tc>
          <w:tcPr>
            <w:tcW w:w="7950" w:type="dxa"/>
            <w:gridSpan w:val="10"/>
            <w:tcBorders>
              <w:right w:val="single" w:color="000000" w:sz="10" w:space="0"/>
            </w:tcBorders>
            <w:vAlign w:val="top"/>
          </w:tcPr>
          <w:p>
            <w:pPr>
              <w:spacing w:before="80" w:line="228" w:lineRule="auto"/>
              <w:ind w:left="323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铁矿石处理工</w:t>
            </w:r>
            <w:r>
              <w:rPr>
                <w:rFonts w:hint="default" w:ascii="Times New Roman" w:hAnsi="Times New Roman" w:eastAsia="宋体" w:cs="Times New Roman"/>
                <w:spacing w:val="7"/>
                <w:sz w:val="20"/>
                <w:szCs w:val="20"/>
                <w:highlight w:val="none"/>
              </w:rPr>
              <w:t>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4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369" w:type="dxa"/>
            <w:gridSpan w:val="2"/>
            <w:vAlign w:val="top"/>
          </w:tcPr>
          <w:p>
            <w:pPr>
              <w:spacing w:before="78" w:line="228"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装载</w:t>
            </w:r>
            <w:r>
              <w:rPr>
                <w:rFonts w:hint="default" w:ascii="Times New Roman" w:hAnsi="Times New Roman" w:eastAsia="宋体" w:cs="Times New Roman"/>
                <w:spacing w:val="6"/>
                <w:sz w:val="20"/>
                <w:szCs w:val="20"/>
                <w:highlight w:val="none"/>
              </w:rPr>
              <w:t>机</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78" w:line="228"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firstLine="200" w:firstLineChars="10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12</w:t>
            </w:r>
          </w:p>
        </w:tc>
        <w:tc>
          <w:tcPr>
            <w:tcW w:w="3008" w:type="dxa"/>
            <w:gridSpan w:val="2"/>
            <w:tcBorders>
              <w:right w:val="single" w:color="000000" w:sz="10" w:space="0"/>
            </w:tcBorders>
            <w:vAlign w:val="top"/>
          </w:tcPr>
          <w:p>
            <w:pPr>
              <w:rPr>
                <w:rFonts w:hint="default" w:ascii="Times New Roman" w:hAnsi="Times New Roman" w:eastAsia="宋体" w:cs="Times New Roman"/>
                <w:sz w:val="21"/>
                <w:highlight w:val="none"/>
                <w:lang w:val="en-US" w:eastAsia="zh-CN"/>
              </w:rPr>
            </w:pPr>
            <w:r>
              <w:rPr>
                <w:rFonts w:hint="eastAsia"/>
                <w:sz w:val="20"/>
                <w:szCs w:val="20"/>
                <w:highlight w:val="none"/>
                <w:lang w:val="en-US" w:eastAsia="zh-CN"/>
              </w:rPr>
              <w:t>达到国四及以上排放标准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369" w:type="dxa"/>
            <w:gridSpan w:val="2"/>
            <w:vAlign w:val="top"/>
          </w:tcPr>
          <w:p>
            <w:pPr>
              <w:spacing w:before="76" w:line="229" w:lineRule="auto"/>
              <w:ind w:left="36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受</w:t>
            </w:r>
            <w:r>
              <w:rPr>
                <w:rFonts w:hint="default" w:ascii="Times New Roman" w:hAnsi="Times New Roman" w:eastAsia="宋体" w:cs="Times New Roman"/>
                <w:spacing w:val="5"/>
                <w:sz w:val="20"/>
                <w:szCs w:val="20"/>
                <w:highlight w:val="none"/>
              </w:rPr>
              <w:t>料仓</w:t>
            </w:r>
          </w:p>
        </w:tc>
        <w:tc>
          <w:tcPr>
            <w:tcW w:w="2020" w:type="dxa"/>
            <w:gridSpan w:val="2"/>
            <w:vAlign w:val="top"/>
          </w:tcPr>
          <w:p>
            <w:pPr>
              <w:spacing w:before="113" w:line="195" w:lineRule="auto"/>
              <w:ind w:left="685"/>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7"/>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6"/>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77" w:line="228" w:lineRule="auto"/>
              <w:ind w:left="28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座</w:t>
            </w:r>
          </w:p>
        </w:tc>
        <w:tc>
          <w:tcPr>
            <w:tcW w:w="779" w:type="dxa"/>
            <w:gridSpan w:val="2"/>
            <w:vAlign w:val="top"/>
          </w:tcPr>
          <w:p>
            <w:pPr>
              <w:spacing w:before="113"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6</w:t>
            </w:r>
          </w:p>
        </w:tc>
        <w:tc>
          <w:tcPr>
            <w:tcW w:w="3008" w:type="dxa"/>
            <w:gridSpan w:val="2"/>
            <w:tcBorders>
              <w:right w:val="single" w:color="000000" w:sz="10" w:space="0"/>
            </w:tcBorders>
            <w:vAlign w:val="top"/>
          </w:tcPr>
          <w:p>
            <w:pPr>
              <w:rPr>
                <w:rFonts w:hint="default" w:ascii="Times New Roman" w:hAnsi="Times New Roman" w:eastAsia="宋体" w:cs="Times New Roman"/>
                <w:sz w:val="21"/>
                <w:highlight w:val="none"/>
                <w:lang w:val="en-US" w:eastAsia="zh-CN"/>
              </w:rPr>
            </w:pPr>
            <w:r>
              <w:rPr>
                <w:rFonts w:hint="eastAsia" w:ascii="Times New Roman" w:hAnsi="Times New Roman" w:eastAsia="宋体" w:cs="Times New Roman"/>
                <w:sz w:val="21"/>
                <w:highlight w:val="none"/>
                <w:lang w:val="en-US" w:eastAsia="zh-CN"/>
              </w:rPr>
              <w:t>1~6#生产线各1座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1369" w:type="dxa"/>
            <w:gridSpan w:val="2"/>
            <w:vAlign w:val="top"/>
          </w:tcPr>
          <w:p>
            <w:pPr>
              <w:spacing w:before="78" w:line="228" w:lineRule="auto"/>
              <w:ind w:left="1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鄂式破碎机</w:t>
            </w:r>
          </w:p>
        </w:tc>
        <w:tc>
          <w:tcPr>
            <w:tcW w:w="2020" w:type="dxa"/>
            <w:gridSpan w:val="2"/>
            <w:vAlign w:val="top"/>
          </w:tcPr>
          <w:p>
            <w:pPr>
              <w:spacing w:before="114" w:line="195" w:lineRule="auto"/>
              <w:ind w:left="638"/>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6"/>
                <w:sz w:val="20"/>
                <w:szCs w:val="20"/>
                <w:highlight w:val="none"/>
                <w:lang w:val="en-US" w:eastAsia="zh-CN"/>
              </w:rPr>
              <w:t>95</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125</w:t>
            </w:r>
            <w:r>
              <w:rPr>
                <w:rFonts w:hint="default" w:ascii="Times New Roman" w:hAnsi="Times New Roman" w:eastAsia="Times New Roman" w:cs="Times New Roman"/>
                <w:spacing w:val="3"/>
                <w:sz w:val="20"/>
                <w:szCs w:val="20"/>
                <w:highlight w:val="none"/>
              </w:rPr>
              <w:t>0</w:t>
            </w:r>
          </w:p>
        </w:tc>
        <w:tc>
          <w:tcPr>
            <w:tcW w:w="773" w:type="dxa"/>
            <w:gridSpan w:val="2"/>
            <w:vAlign w:val="top"/>
          </w:tcPr>
          <w:p>
            <w:pPr>
              <w:spacing w:before="78" w:line="228"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r>
              <w:rPr>
                <w:rFonts w:hint="eastAsia" w:ascii="Times New Roman" w:hAnsi="Times New Roman" w:eastAsia="宋体" w:cs="Times New Roman"/>
                <w:sz w:val="21"/>
                <w:highlight w:val="none"/>
                <w:lang w:val="en-US" w:eastAsia="zh-CN"/>
              </w:rPr>
              <w:t>1#、2#生产线各1台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4</w:t>
            </w:r>
          </w:p>
        </w:tc>
        <w:tc>
          <w:tcPr>
            <w:tcW w:w="1369" w:type="dxa"/>
            <w:gridSpan w:val="2"/>
            <w:vAlign w:val="top"/>
          </w:tcPr>
          <w:p>
            <w:pPr>
              <w:spacing w:before="78" w:line="228" w:lineRule="auto"/>
              <w:ind w:left="156"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鄂式破碎机</w:t>
            </w:r>
          </w:p>
        </w:tc>
        <w:tc>
          <w:tcPr>
            <w:tcW w:w="2020" w:type="dxa"/>
            <w:gridSpan w:val="2"/>
            <w:vAlign w:val="top"/>
          </w:tcPr>
          <w:p>
            <w:pPr>
              <w:spacing w:before="114" w:line="195" w:lineRule="auto"/>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75</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1060/50-180t/h</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r>
              <w:rPr>
                <w:rFonts w:hint="eastAsia" w:ascii="Times New Roman" w:hAnsi="Times New Roman" w:eastAsia="宋体" w:cs="Times New Roman"/>
                <w:sz w:val="20"/>
                <w:szCs w:val="20"/>
                <w:highlight w:val="none"/>
                <w:lang w:val="en-US" w:eastAsia="zh-CN"/>
              </w:rPr>
              <w:t>3#、5#生产线各1台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5</w:t>
            </w:r>
          </w:p>
        </w:tc>
        <w:tc>
          <w:tcPr>
            <w:tcW w:w="1369" w:type="dxa"/>
            <w:gridSpan w:val="2"/>
            <w:vAlign w:val="top"/>
          </w:tcPr>
          <w:p>
            <w:pPr>
              <w:spacing w:before="78" w:line="228" w:lineRule="auto"/>
              <w:ind w:left="156"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鄂式破碎机</w:t>
            </w:r>
          </w:p>
        </w:tc>
        <w:tc>
          <w:tcPr>
            <w:tcW w:w="2020" w:type="dxa"/>
            <w:gridSpan w:val="2"/>
            <w:vAlign w:val="top"/>
          </w:tcPr>
          <w:p>
            <w:pPr>
              <w:spacing w:before="114" w:line="195" w:lineRule="auto"/>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60</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90</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/50-120t/h</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r>
              <w:rPr>
                <w:rFonts w:hint="eastAsia" w:ascii="Times New Roman" w:hAnsi="Times New Roman" w:eastAsia="宋体" w:cs="Times New Roman"/>
                <w:sz w:val="20"/>
                <w:szCs w:val="20"/>
                <w:highlight w:val="none"/>
                <w:lang w:val="en-US" w:eastAsia="zh-CN"/>
              </w:rPr>
              <w:t>4#生产线1台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6</w:t>
            </w:r>
          </w:p>
        </w:tc>
        <w:tc>
          <w:tcPr>
            <w:tcW w:w="1369" w:type="dxa"/>
            <w:gridSpan w:val="2"/>
            <w:vAlign w:val="top"/>
          </w:tcPr>
          <w:p>
            <w:pPr>
              <w:spacing w:before="78" w:line="228" w:lineRule="auto"/>
              <w:ind w:left="156" w:leftChars="0"/>
              <w:rPr>
                <w:rFonts w:hint="default" w:ascii="Times New Roman" w:hAnsi="Times New Roman" w:eastAsia="宋体" w:cs="Times New Roman"/>
                <w:spacing w:val="8"/>
                <w:sz w:val="20"/>
                <w:szCs w:val="20"/>
                <w:highlight w:val="none"/>
              </w:rPr>
            </w:pPr>
            <w:r>
              <w:rPr>
                <w:rFonts w:hint="default" w:ascii="Times New Roman" w:hAnsi="Times New Roman" w:eastAsia="宋体" w:cs="Times New Roman"/>
                <w:spacing w:val="7"/>
                <w:sz w:val="20"/>
                <w:szCs w:val="20"/>
                <w:highlight w:val="none"/>
              </w:rPr>
              <w:t>圆</w:t>
            </w:r>
            <w:r>
              <w:rPr>
                <w:rFonts w:hint="default" w:ascii="Times New Roman" w:hAnsi="Times New Roman" w:eastAsia="宋体" w:cs="Times New Roman"/>
                <w:spacing w:val="4"/>
                <w:sz w:val="20"/>
                <w:szCs w:val="20"/>
                <w:highlight w:val="none"/>
              </w:rPr>
              <w:t>锥破碎机</w:t>
            </w:r>
          </w:p>
        </w:tc>
        <w:tc>
          <w:tcPr>
            <w:tcW w:w="2020" w:type="dxa"/>
            <w:gridSpan w:val="2"/>
            <w:vAlign w:val="top"/>
          </w:tcPr>
          <w:p>
            <w:pPr>
              <w:spacing w:before="114" w:line="195" w:lineRule="auto"/>
              <w:ind w:left="638"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S4800</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r>
              <w:rPr>
                <w:rFonts w:hint="eastAsia" w:ascii="Times New Roman" w:hAnsi="Times New Roman" w:eastAsia="宋体" w:cs="Times New Roman"/>
                <w:sz w:val="20"/>
                <w:szCs w:val="20"/>
                <w:highlight w:val="none"/>
                <w:lang w:val="en-US" w:eastAsia="zh-CN"/>
              </w:rPr>
              <w:t>1#、2#生产线各1台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7</w:t>
            </w:r>
          </w:p>
        </w:tc>
        <w:tc>
          <w:tcPr>
            <w:tcW w:w="1369" w:type="dxa"/>
            <w:gridSpan w:val="2"/>
            <w:vAlign w:val="top"/>
          </w:tcPr>
          <w:p>
            <w:pPr>
              <w:spacing w:before="78" w:line="228" w:lineRule="auto"/>
              <w:ind w:left="156" w:leftChars="0"/>
              <w:rPr>
                <w:rFonts w:hint="default" w:ascii="Times New Roman" w:hAnsi="Times New Roman" w:eastAsia="宋体" w:cs="Times New Roman"/>
                <w:snapToGrid w:val="0"/>
                <w:color w:val="000000"/>
                <w:spacing w:val="8"/>
                <w:kern w:val="0"/>
                <w:sz w:val="20"/>
                <w:szCs w:val="20"/>
                <w:highlight w:val="none"/>
              </w:rPr>
            </w:pPr>
            <w:r>
              <w:rPr>
                <w:rFonts w:hint="default" w:ascii="Times New Roman" w:hAnsi="Times New Roman" w:eastAsia="宋体" w:cs="Times New Roman"/>
                <w:spacing w:val="7"/>
                <w:sz w:val="20"/>
                <w:szCs w:val="20"/>
                <w:highlight w:val="none"/>
              </w:rPr>
              <w:t>圆</w:t>
            </w:r>
            <w:r>
              <w:rPr>
                <w:rFonts w:hint="default" w:ascii="Times New Roman" w:hAnsi="Times New Roman" w:eastAsia="宋体" w:cs="Times New Roman"/>
                <w:spacing w:val="4"/>
                <w:sz w:val="20"/>
                <w:szCs w:val="20"/>
                <w:highlight w:val="none"/>
              </w:rPr>
              <w:t>锥破碎机</w:t>
            </w:r>
          </w:p>
        </w:tc>
        <w:tc>
          <w:tcPr>
            <w:tcW w:w="2020" w:type="dxa"/>
            <w:gridSpan w:val="2"/>
            <w:vAlign w:val="top"/>
          </w:tcPr>
          <w:p>
            <w:pPr>
              <w:spacing w:before="114" w:line="195" w:lineRule="auto"/>
              <w:ind w:left="638"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H6800</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eastAsia" w:ascii="Times New Roman" w:hAnsi="Times New Roman" w:eastAsia="Arial" w:cs="Times New Roman"/>
                <w:snapToGrid w:val="0"/>
                <w:color w:val="000000"/>
                <w:kern w:val="0"/>
                <w:sz w:val="21"/>
                <w:szCs w:val="21"/>
                <w:highlight w:val="none"/>
                <w:lang w:val="en-US" w:eastAsia="zh-CN"/>
              </w:rPr>
            </w:pPr>
            <w:r>
              <w:rPr>
                <w:rFonts w:hint="eastAsia" w:ascii="Times New Roman" w:hAnsi="Times New Roman" w:eastAsia="宋体" w:cs="Times New Roman"/>
                <w:sz w:val="20"/>
                <w:szCs w:val="20"/>
                <w:highlight w:val="none"/>
                <w:lang w:val="en-US" w:eastAsia="zh-CN"/>
              </w:rPr>
              <w:t>1#、2#生产线各1台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8</w:t>
            </w:r>
          </w:p>
        </w:tc>
        <w:tc>
          <w:tcPr>
            <w:tcW w:w="1369" w:type="dxa"/>
            <w:gridSpan w:val="2"/>
            <w:vAlign w:val="top"/>
          </w:tcPr>
          <w:p>
            <w:pPr>
              <w:spacing w:before="78" w:line="228" w:lineRule="auto"/>
              <w:ind w:left="156" w:leftChars="0"/>
              <w:rPr>
                <w:rFonts w:hint="default" w:ascii="Times New Roman" w:hAnsi="Times New Roman" w:eastAsia="宋体" w:cs="Times New Roman"/>
                <w:snapToGrid w:val="0"/>
                <w:color w:val="000000"/>
                <w:spacing w:val="8"/>
                <w:kern w:val="0"/>
                <w:sz w:val="20"/>
                <w:szCs w:val="20"/>
                <w:highlight w:val="none"/>
              </w:rPr>
            </w:pPr>
            <w:r>
              <w:rPr>
                <w:rFonts w:hint="default" w:ascii="Times New Roman" w:hAnsi="Times New Roman" w:eastAsia="宋体" w:cs="Times New Roman"/>
                <w:spacing w:val="7"/>
                <w:sz w:val="20"/>
                <w:szCs w:val="20"/>
                <w:highlight w:val="none"/>
              </w:rPr>
              <w:t>圆</w:t>
            </w:r>
            <w:r>
              <w:rPr>
                <w:rFonts w:hint="default" w:ascii="Times New Roman" w:hAnsi="Times New Roman" w:eastAsia="宋体" w:cs="Times New Roman"/>
                <w:spacing w:val="4"/>
                <w:sz w:val="20"/>
                <w:szCs w:val="20"/>
                <w:highlight w:val="none"/>
              </w:rPr>
              <w:t>锥破碎机</w:t>
            </w:r>
          </w:p>
        </w:tc>
        <w:tc>
          <w:tcPr>
            <w:tcW w:w="2020" w:type="dxa"/>
            <w:gridSpan w:val="2"/>
            <w:vAlign w:val="top"/>
          </w:tcPr>
          <w:p>
            <w:pPr>
              <w:spacing w:before="114" w:line="195" w:lineRule="auto"/>
              <w:ind w:left="638"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GB300</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eastAsia" w:ascii="Times New Roman" w:hAnsi="Times New Roman" w:eastAsia="Arial" w:cs="Times New Roman"/>
                <w:snapToGrid w:val="0"/>
                <w:color w:val="000000"/>
                <w:kern w:val="0"/>
                <w:sz w:val="21"/>
                <w:szCs w:val="21"/>
                <w:highlight w:val="none"/>
                <w:lang w:val="en-US" w:eastAsia="zh-CN"/>
              </w:rPr>
            </w:pPr>
            <w:r>
              <w:rPr>
                <w:rFonts w:hint="eastAsia" w:ascii="Times New Roman" w:hAnsi="Times New Roman" w:eastAsia="宋体" w:cs="Times New Roman"/>
                <w:sz w:val="20"/>
                <w:szCs w:val="20"/>
                <w:highlight w:val="none"/>
                <w:lang w:val="en-US" w:eastAsia="zh-CN"/>
              </w:rPr>
              <w:t>4#、5#生产线各1台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9</w:t>
            </w:r>
          </w:p>
        </w:tc>
        <w:tc>
          <w:tcPr>
            <w:tcW w:w="1369" w:type="dxa"/>
            <w:gridSpan w:val="2"/>
            <w:vAlign w:val="center"/>
          </w:tcPr>
          <w:p>
            <w:pPr>
              <w:spacing w:before="78" w:line="228" w:lineRule="auto"/>
              <w:ind w:left="156" w:leftChars="0"/>
              <w:jc w:val="both"/>
              <w:rPr>
                <w:rFonts w:hint="default" w:ascii="Times New Roman" w:hAnsi="Times New Roman" w:eastAsia="宋体" w:cs="Times New Roman"/>
                <w:snapToGrid w:val="0"/>
                <w:color w:val="000000"/>
                <w:spacing w:val="8"/>
                <w:kern w:val="0"/>
                <w:sz w:val="20"/>
                <w:szCs w:val="20"/>
                <w:highlight w:val="none"/>
              </w:rPr>
            </w:pPr>
            <w:r>
              <w:rPr>
                <w:rFonts w:hint="eastAsia" w:ascii="Times New Roman" w:hAnsi="Times New Roman" w:eastAsia="宋体" w:cs="Times New Roman"/>
                <w:spacing w:val="7"/>
                <w:sz w:val="20"/>
                <w:szCs w:val="20"/>
                <w:highlight w:val="none"/>
                <w:lang w:val="en-US" w:eastAsia="zh-CN"/>
              </w:rPr>
              <w:t>锤式</w:t>
            </w:r>
            <w:r>
              <w:rPr>
                <w:rFonts w:hint="default" w:ascii="Times New Roman" w:hAnsi="Times New Roman" w:eastAsia="宋体" w:cs="Times New Roman"/>
                <w:spacing w:val="4"/>
                <w:sz w:val="20"/>
                <w:szCs w:val="20"/>
                <w:highlight w:val="none"/>
              </w:rPr>
              <w:t>破碎机</w:t>
            </w:r>
          </w:p>
        </w:tc>
        <w:tc>
          <w:tcPr>
            <w:tcW w:w="2020" w:type="dxa"/>
            <w:gridSpan w:val="2"/>
            <w:vAlign w:val="center"/>
          </w:tcPr>
          <w:p>
            <w:pPr>
              <w:spacing w:before="114" w:line="195" w:lineRule="auto"/>
              <w:ind w:left="638" w:leftChars="0"/>
              <w:jc w:val="both"/>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1350</w:t>
            </w:r>
          </w:p>
        </w:tc>
        <w:tc>
          <w:tcPr>
            <w:tcW w:w="773" w:type="dxa"/>
            <w:gridSpan w:val="2"/>
            <w:vAlign w:val="center"/>
          </w:tcPr>
          <w:p>
            <w:pPr>
              <w:spacing w:before="78" w:line="228" w:lineRule="auto"/>
              <w:ind w:left="302" w:leftChars="0"/>
              <w:jc w:val="both"/>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center"/>
          </w:tcPr>
          <w:p>
            <w:pPr>
              <w:spacing w:before="114" w:line="195" w:lineRule="auto"/>
              <w:ind w:left="345" w:leftChars="0"/>
              <w:jc w:val="both"/>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center"/>
          </w:tcPr>
          <w:p>
            <w:pPr>
              <w:jc w:val="both"/>
              <w:rPr>
                <w:rFonts w:hint="eastAsia" w:ascii="Times New Roman" w:hAnsi="Times New Roman" w:eastAsia="Arial" w:cs="Times New Roman"/>
                <w:snapToGrid w:val="0"/>
                <w:color w:val="000000"/>
                <w:kern w:val="0"/>
                <w:sz w:val="21"/>
                <w:szCs w:val="21"/>
                <w:highlight w:val="none"/>
                <w:lang w:val="en-US" w:eastAsia="zh-CN"/>
              </w:rPr>
            </w:pPr>
            <w:r>
              <w:rPr>
                <w:rFonts w:hint="eastAsia" w:ascii="Times New Roman" w:hAnsi="Times New Roman" w:eastAsia="宋体" w:cs="Times New Roman"/>
                <w:sz w:val="20"/>
                <w:szCs w:val="20"/>
                <w:highlight w:val="none"/>
                <w:lang w:val="en-US" w:eastAsia="zh-CN"/>
              </w:rPr>
              <w:t>4#生产线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10</w:t>
            </w:r>
          </w:p>
        </w:tc>
        <w:tc>
          <w:tcPr>
            <w:tcW w:w="1369" w:type="dxa"/>
            <w:gridSpan w:val="2"/>
            <w:vAlign w:val="top"/>
          </w:tcPr>
          <w:p>
            <w:pPr>
              <w:spacing w:before="78" w:line="228" w:lineRule="auto"/>
              <w:ind w:left="156" w:leftChars="0"/>
              <w:rPr>
                <w:rFonts w:hint="default" w:ascii="Times New Roman" w:hAnsi="Times New Roman" w:eastAsia="宋体" w:cs="Times New Roman"/>
                <w:snapToGrid w:val="0"/>
                <w:color w:val="000000"/>
                <w:spacing w:val="8"/>
                <w:kern w:val="0"/>
                <w:sz w:val="20"/>
                <w:szCs w:val="20"/>
                <w:highlight w:val="none"/>
              </w:rPr>
            </w:pPr>
            <w:r>
              <w:rPr>
                <w:rFonts w:hint="eastAsia" w:ascii="Times New Roman" w:hAnsi="Times New Roman" w:eastAsia="宋体" w:cs="Times New Roman"/>
                <w:spacing w:val="7"/>
                <w:sz w:val="20"/>
                <w:szCs w:val="20"/>
                <w:highlight w:val="none"/>
                <w:lang w:val="en-US" w:eastAsia="zh-CN"/>
              </w:rPr>
              <w:t>锤式</w:t>
            </w:r>
            <w:r>
              <w:rPr>
                <w:rFonts w:hint="default" w:ascii="Times New Roman" w:hAnsi="Times New Roman" w:eastAsia="宋体" w:cs="Times New Roman"/>
                <w:spacing w:val="4"/>
                <w:sz w:val="20"/>
                <w:szCs w:val="20"/>
                <w:highlight w:val="none"/>
              </w:rPr>
              <w:t>破碎机</w:t>
            </w:r>
          </w:p>
        </w:tc>
        <w:tc>
          <w:tcPr>
            <w:tcW w:w="2020" w:type="dxa"/>
            <w:gridSpan w:val="2"/>
            <w:vAlign w:val="top"/>
          </w:tcPr>
          <w:p>
            <w:pPr>
              <w:spacing w:before="114" w:line="195" w:lineRule="auto"/>
              <w:ind w:left="638"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2000</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eastAsia" w:ascii="Times New Roman" w:hAnsi="Times New Roman" w:eastAsia="Arial" w:cs="Times New Roman"/>
                <w:snapToGrid w:val="0"/>
                <w:color w:val="000000"/>
                <w:kern w:val="0"/>
                <w:sz w:val="21"/>
                <w:szCs w:val="21"/>
                <w:highlight w:val="none"/>
                <w:lang w:val="en-US" w:eastAsia="zh-CN"/>
              </w:rPr>
            </w:pPr>
            <w:r>
              <w:rPr>
                <w:rFonts w:hint="eastAsia" w:ascii="Times New Roman" w:hAnsi="Times New Roman" w:eastAsia="宋体" w:cs="Times New Roman"/>
                <w:sz w:val="21"/>
                <w:highlight w:val="none"/>
                <w:lang w:val="en-US" w:eastAsia="zh-CN"/>
              </w:rPr>
              <w:t>3#生产线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7" w:line="192" w:lineRule="auto"/>
              <w:ind w:left="228"/>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11</w:t>
            </w:r>
          </w:p>
        </w:tc>
        <w:tc>
          <w:tcPr>
            <w:tcW w:w="1369" w:type="dxa"/>
            <w:gridSpan w:val="2"/>
            <w:vAlign w:val="top"/>
          </w:tcPr>
          <w:p>
            <w:pPr>
              <w:spacing w:before="79" w:line="227"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磁滑</w:t>
            </w:r>
            <w:r>
              <w:rPr>
                <w:rFonts w:hint="default" w:ascii="Times New Roman" w:hAnsi="Times New Roman" w:eastAsia="宋体" w:cs="Times New Roman"/>
                <w:spacing w:val="6"/>
                <w:sz w:val="20"/>
                <w:szCs w:val="20"/>
                <w:highlight w:val="none"/>
              </w:rPr>
              <w:t>轮</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79" w:line="227" w:lineRule="auto"/>
              <w:ind w:left="285"/>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个</w:t>
            </w:r>
          </w:p>
        </w:tc>
        <w:tc>
          <w:tcPr>
            <w:tcW w:w="779" w:type="dxa"/>
            <w:gridSpan w:val="2"/>
            <w:vAlign w:val="top"/>
          </w:tcPr>
          <w:p>
            <w:pPr>
              <w:spacing w:before="114"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5</w:t>
            </w:r>
          </w:p>
        </w:tc>
        <w:tc>
          <w:tcPr>
            <w:tcW w:w="3008" w:type="dxa"/>
            <w:gridSpan w:val="2"/>
            <w:tcBorders>
              <w:right w:val="single" w:color="000000" w:sz="10" w:space="0"/>
            </w:tcBorders>
            <w:vAlign w:val="top"/>
          </w:tcPr>
          <w:p>
            <w:pPr>
              <w:rPr>
                <w:rFonts w:hint="default" w:ascii="Times New Roman" w:hAnsi="Times New Roman" w:cs="Times New Roman"/>
                <w:sz w:val="21"/>
                <w:highlight w:val="none"/>
                <w:lang w:val="en-US"/>
              </w:rPr>
            </w:pPr>
            <w:r>
              <w:rPr>
                <w:rFonts w:hint="eastAsia" w:ascii="Times New Roman" w:hAnsi="Times New Roman" w:eastAsia="宋体" w:cs="Times New Roman"/>
                <w:sz w:val="21"/>
                <w:highlight w:val="none"/>
                <w:lang w:val="en-US" w:eastAsia="zh-CN"/>
              </w:rPr>
              <w:t>1~5#生产线各1个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7"/>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12</w:t>
            </w:r>
          </w:p>
        </w:tc>
        <w:tc>
          <w:tcPr>
            <w:tcW w:w="1369" w:type="dxa"/>
            <w:gridSpan w:val="2"/>
            <w:vAlign w:val="top"/>
          </w:tcPr>
          <w:p>
            <w:pPr>
              <w:spacing w:before="77" w:line="228" w:lineRule="auto"/>
              <w:ind w:left="1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双层振动筛</w:t>
            </w:r>
          </w:p>
        </w:tc>
        <w:tc>
          <w:tcPr>
            <w:tcW w:w="2020" w:type="dxa"/>
            <w:gridSpan w:val="2"/>
            <w:vAlign w:val="top"/>
          </w:tcPr>
          <w:p>
            <w:pPr>
              <w:spacing w:before="113" w:line="198" w:lineRule="auto"/>
              <w:ind w:left="602"/>
              <w:rPr>
                <w:rFonts w:hint="default" w:ascii="Times New Roman" w:hAnsi="Times New Roman" w:eastAsia="Times New Roman" w:cs="Times New Roman"/>
                <w:sz w:val="20"/>
                <w:szCs w:val="20"/>
                <w:highlight w:val="none"/>
              </w:rPr>
            </w:pPr>
          </w:p>
        </w:tc>
        <w:tc>
          <w:tcPr>
            <w:tcW w:w="773" w:type="dxa"/>
            <w:gridSpan w:val="2"/>
            <w:vAlign w:val="top"/>
          </w:tcPr>
          <w:p>
            <w:pPr>
              <w:spacing w:before="77" w:line="228" w:lineRule="auto"/>
              <w:ind w:left="28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台</w:t>
            </w:r>
          </w:p>
        </w:tc>
        <w:tc>
          <w:tcPr>
            <w:tcW w:w="779" w:type="dxa"/>
            <w:gridSpan w:val="2"/>
            <w:vAlign w:val="top"/>
          </w:tcPr>
          <w:p>
            <w:pPr>
              <w:spacing w:before="113"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4</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r>
              <w:rPr>
                <w:rFonts w:hint="eastAsia" w:ascii="Times New Roman" w:hAnsi="Times New Roman" w:eastAsia="宋体" w:cs="Times New Roman"/>
                <w:sz w:val="21"/>
                <w:highlight w:val="none"/>
                <w:lang w:val="en-US" w:eastAsia="zh-CN"/>
              </w:rPr>
              <w:t>1#、2#、4#、5#生产线各1台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7"/>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13</w:t>
            </w:r>
          </w:p>
        </w:tc>
        <w:tc>
          <w:tcPr>
            <w:tcW w:w="1369" w:type="dxa"/>
            <w:gridSpan w:val="2"/>
            <w:vAlign w:val="top"/>
          </w:tcPr>
          <w:p>
            <w:pPr>
              <w:spacing w:before="77" w:line="228" w:lineRule="auto"/>
              <w:ind w:left="156" w:leftChars="0" w:firstLine="216" w:firstLineChars="10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振动筛</w:t>
            </w:r>
          </w:p>
        </w:tc>
        <w:tc>
          <w:tcPr>
            <w:tcW w:w="2020" w:type="dxa"/>
            <w:gridSpan w:val="2"/>
            <w:vAlign w:val="top"/>
          </w:tcPr>
          <w:p>
            <w:pPr>
              <w:spacing w:before="113" w:line="198" w:lineRule="auto"/>
              <w:ind w:left="602"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6"/>
                <w:sz w:val="20"/>
                <w:szCs w:val="20"/>
                <w:highlight w:val="none"/>
              </w:rPr>
              <w:t>.4</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×7</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77" w:line="228" w:lineRule="auto"/>
              <w:ind w:left="28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台</w:t>
            </w:r>
          </w:p>
        </w:tc>
        <w:tc>
          <w:tcPr>
            <w:tcW w:w="779" w:type="dxa"/>
            <w:gridSpan w:val="2"/>
            <w:vAlign w:val="top"/>
          </w:tcPr>
          <w:p>
            <w:pPr>
              <w:spacing w:before="113" w:line="195" w:lineRule="auto"/>
              <w:ind w:left="34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eastAsia="Arial" w:cs="Times New Roman"/>
                <w:snapToGrid w:val="0"/>
                <w:color w:val="000000"/>
                <w:kern w:val="0"/>
                <w:sz w:val="21"/>
                <w:szCs w:val="21"/>
                <w:highlight w:val="none"/>
              </w:rPr>
            </w:pPr>
            <w:r>
              <w:rPr>
                <w:rFonts w:hint="eastAsia" w:ascii="Times New Roman" w:hAnsi="Times New Roman" w:eastAsia="宋体" w:cs="Times New Roman"/>
                <w:sz w:val="21"/>
                <w:highlight w:val="none"/>
                <w:lang w:val="en-US" w:eastAsia="zh-CN"/>
              </w:rPr>
              <w:t>3#生产线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36" w:hRule="atLeast"/>
        </w:trPr>
        <w:tc>
          <w:tcPr>
            <w:tcW w:w="577" w:type="dxa"/>
            <w:gridSpan w:val="2"/>
            <w:tcBorders>
              <w:left w:val="single" w:color="000000" w:sz="10" w:space="0"/>
            </w:tcBorders>
            <w:vAlign w:val="center"/>
          </w:tcPr>
          <w:p>
            <w:pPr>
              <w:spacing w:before="57" w:line="195" w:lineRule="auto"/>
              <w:ind w:firstLine="200" w:firstLineChars="100"/>
              <w:jc w:val="both"/>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14</w:t>
            </w:r>
          </w:p>
        </w:tc>
        <w:tc>
          <w:tcPr>
            <w:tcW w:w="1369" w:type="dxa"/>
            <w:gridSpan w:val="2"/>
            <w:vAlign w:val="center"/>
          </w:tcPr>
          <w:p>
            <w:pPr>
              <w:spacing w:before="65" w:line="228" w:lineRule="auto"/>
              <w:ind w:left="365"/>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球磨</w:t>
            </w:r>
            <w:r>
              <w:rPr>
                <w:rFonts w:hint="default" w:ascii="Times New Roman" w:hAnsi="Times New Roman" w:eastAsia="宋体" w:cs="Times New Roman"/>
                <w:spacing w:val="6"/>
                <w:sz w:val="20"/>
                <w:szCs w:val="20"/>
                <w:highlight w:val="none"/>
              </w:rPr>
              <w:t>机</w:t>
            </w:r>
          </w:p>
        </w:tc>
        <w:tc>
          <w:tcPr>
            <w:tcW w:w="2020" w:type="dxa"/>
            <w:gridSpan w:val="2"/>
            <w:vAlign w:val="center"/>
          </w:tcPr>
          <w:p>
            <w:pPr>
              <w:spacing w:before="116" w:line="186" w:lineRule="auto"/>
              <w:ind w:left="438" w:firstLine="206" w:firstLineChars="100"/>
              <w:jc w:val="both"/>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3"/>
                <w:sz w:val="20"/>
                <w:szCs w:val="20"/>
                <w:highlight w:val="none"/>
                <w:lang w:val="en-US" w:eastAsia="zh-CN"/>
              </w:rPr>
              <w:t>2.7</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3"/>
                <w:sz w:val="20"/>
                <w:szCs w:val="20"/>
                <w:highlight w:val="none"/>
              </w:rPr>
              <w:t>×</w:t>
            </w:r>
            <w:r>
              <w:rPr>
                <w:rFonts w:hint="eastAsia" w:ascii="Times New Roman" w:hAnsi="Times New Roman" w:eastAsia="宋体" w:cs="Times New Roman"/>
                <w:spacing w:val="3"/>
                <w:sz w:val="20"/>
                <w:szCs w:val="20"/>
                <w:highlight w:val="none"/>
                <w:lang w:val="en-US" w:eastAsia="zh-CN"/>
              </w:rPr>
              <w:t>10</w:t>
            </w:r>
            <w:r>
              <w:rPr>
                <w:rFonts w:hint="default" w:ascii="Times New Roman" w:hAnsi="Times New Roman" w:eastAsia="Times New Roman" w:cs="Times New Roman"/>
                <w:sz w:val="20"/>
                <w:szCs w:val="20"/>
                <w:highlight w:val="none"/>
              </w:rPr>
              <w:t>m</w:t>
            </w:r>
          </w:p>
          <w:p>
            <w:pPr>
              <w:spacing w:before="119" w:line="198" w:lineRule="auto"/>
              <w:ind w:left="543"/>
              <w:jc w:val="both"/>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1</w:t>
            </w:r>
            <w:r>
              <w:rPr>
                <w:rFonts w:hint="default" w:ascii="Times New Roman" w:hAnsi="Times New Roman" w:eastAsia="Times New Roman" w:cs="Times New Roman"/>
                <w:spacing w:val="3"/>
                <w:sz w:val="20"/>
                <w:szCs w:val="20"/>
                <w:highlight w:val="none"/>
              </w:rPr>
              <w:t>.6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3"/>
                <w:sz w:val="20"/>
                <w:szCs w:val="20"/>
                <w:highlight w:val="none"/>
              </w:rPr>
              <w:t>×4.5</w:t>
            </w:r>
            <w:r>
              <w:rPr>
                <w:rFonts w:hint="default" w:ascii="Times New Roman" w:hAnsi="Times New Roman" w:eastAsia="Times New Roman" w:cs="Times New Roman"/>
                <w:sz w:val="20"/>
                <w:szCs w:val="20"/>
                <w:highlight w:val="none"/>
              </w:rPr>
              <w:t>m</w:t>
            </w:r>
          </w:p>
        </w:tc>
        <w:tc>
          <w:tcPr>
            <w:tcW w:w="773" w:type="dxa"/>
            <w:gridSpan w:val="2"/>
            <w:vAlign w:val="center"/>
          </w:tcPr>
          <w:p>
            <w:pPr>
              <w:spacing w:before="65" w:line="231" w:lineRule="auto"/>
              <w:ind w:left="302"/>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center"/>
          </w:tcPr>
          <w:p>
            <w:pPr>
              <w:spacing w:before="57" w:line="192" w:lineRule="auto"/>
              <w:ind w:left="347"/>
              <w:jc w:val="both"/>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center"/>
          </w:tcPr>
          <w:p>
            <w:pPr>
              <w:spacing w:before="65" w:line="308" w:lineRule="auto"/>
              <w:ind w:right="124"/>
              <w:jc w:val="both"/>
              <w:rPr>
                <w:rFonts w:hint="default" w:ascii="Times New Roman" w:hAnsi="Times New Roman" w:eastAsia="宋体" w:cs="Times New Roman"/>
                <w:sz w:val="20"/>
                <w:szCs w:val="20"/>
                <w:highlight w:val="none"/>
              </w:rPr>
            </w:pPr>
            <w:r>
              <w:rPr>
                <w:rFonts w:hint="eastAsia" w:ascii="Times New Roman" w:hAnsi="Times New Roman" w:eastAsia="宋体" w:cs="Times New Roman"/>
                <w:sz w:val="21"/>
                <w:highlight w:val="none"/>
                <w:lang w:val="en-US" w:eastAsia="zh-CN"/>
              </w:rPr>
              <w:t>3#、6#生产线各1台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5" w:line="195" w:lineRule="auto"/>
              <w:ind w:left="226"/>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15</w:t>
            </w:r>
          </w:p>
        </w:tc>
        <w:tc>
          <w:tcPr>
            <w:tcW w:w="1369" w:type="dxa"/>
            <w:gridSpan w:val="2"/>
            <w:vAlign w:val="top"/>
          </w:tcPr>
          <w:p>
            <w:pPr>
              <w:spacing w:before="80" w:line="226" w:lineRule="auto"/>
              <w:ind w:left="37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高频筛</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ind w:firstLine="200" w:firstLineChars="100"/>
              <w:rPr>
                <w:rFonts w:hint="eastAsia" w:ascii="Times New Roman" w:hAnsi="Times New Roman" w:eastAsia="宋体" w:cs="Times New Roman"/>
                <w:sz w:val="21"/>
                <w:highlight w:val="none"/>
                <w:lang w:eastAsia="zh-CN"/>
              </w:rPr>
            </w:pPr>
            <w:r>
              <w:rPr>
                <w:rFonts w:hint="eastAsia" w:ascii="Times New Roman" w:hAnsi="Times New Roman" w:eastAsia="宋体" w:cs="Times New Roman"/>
                <w:sz w:val="20"/>
                <w:szCs w:val="20"/>
                <w:highlight w:val="none"/>
                <w:lang w:val="en-US" w:eastAsia="zh-CN"/>
              </w:rPr>
              <w:t>套</w:t>
            </w:r>
          </w:p>
        </w:tc>
        <w:tc>
          <w:tcPr>
            <w:tcW w:w="779" w:type="dxa"/>
            <w:gridSpan w:val="2"/>
            <w:vAlign w:val="top"/>
          </w:tcPr>
          <w:p>
            <w:pPr>
              <w:spacing w:before="118" w:line="192" w:lineRule="auto"/>
              <w:ind w:left="347"/>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r>
              <w:rPr>
                <w:rFonts w:hint="eastAsia" w:ascii="Times New Roman" w:hAnsi="Times New Roman" w:eastAsia="宋体" w:cs="Times New Roman"/>
                <w:sz w:val="21"/>
                <w:highlight w:val="none"/>
                <w:lang w:val="en-US" w:eastAsia="zh-CN"/>
              </w:rPr>
              <w:t>3#、6#生产线各1套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44" w:hRule="atLeast"/>
        </w:trPr>
        <w:tc>
          <w:tcPr>
            <w:tcW w:w="577" w:type="dxa"/>
            <w:gridSpan w:val="2"/>
            <w:tcBorders>
              <w:left w:val="single" w:color="000000" w:sz="10" w:space="0"/>
            </w:tcBorders>
            <w:vAlign w:val="top"/>
          </w:tcPr>
          <w:p>
            <w:pPr>
              <w:spacing w:before="275" w:line="195" w:lineRule="auto"/>
              <w:ind w:left="19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16</w:t>
            </w:r>
          </w:p>
        </w:tc>
        <w:tc>
          <w:tcPr>
            <w:tcW w:w="1369" w:type="dxa"/>
            <w:gridSpan w:val="2"/>
            <w:vAlign w:val="top"/>
          </w:tcPr>
          <w:p>
            <w:pPr>
              <w:spacing w:before="239" w:line="228"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磁选</w:t>
            </w:r>
            <w:r>
              <w:rPr>
                <w:rFonts w:hint="default" w:ascii="Times New Roman" w:hAnsi="Times New Roman" w:eastAsia="宋体" w:cs="Times New Roman"/>
                <w:spacing w:val="6"/>
                <w:sz w:val="20"/>
                <w:szCs w:val="20"/>
                <w:highlight w:val="none"/>
              </w:rPr>
              <w:t>机</w:t>
            </w:r>
          </w:p>
        </w:tc>
        <w:tc>
          <w:tcPr>
            <w:tcW w:w="2020" w:type="dxa"/>
            <w:gridSpan w:val="2"/>
            <w:vAlign w:val="top"/>
          </w:tcPr>
          <w:p>
            <w:pPr>
              <w:spacing w:before="117" w:line="319" w:lineRule="exact"/>
              <w:ind w:left="517"/>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2"/>
                <w:position w:val="12"/>
                <w:sz w:val="20"/>
                <w:szCs w:val="20"/>
                <w:highlight w:val="none"/>
                <w:lang w:val="en-US" w:eastAsia="zh-CN"/>
              </w:rPr>
              <w:t>1</w:t>
            </w:r>
            <w:r>
              <w:rPr>
                <w:rFonts w:hint="default" w:ascii="Times New Roman" w:hAnsi="Times New Roman" w:eastAsia="Times New Roman" w:cs="Times New Roman"/>
                <w:position w:val="12"/>
                <w:sz w:val="20"/>
                <w:szCs w:val="20"/>
                <w:highlight w:val="none"/>
              </w:rPr>
              <w:t>m</w:t>
            </w:r>
            <w:r>
              <w:rPr>
                <w:rFonts w:hint="default" w:ascii="Times New Roman" w:hAnsi="Times New Roman" w:eastAsia="Times New Roman" w:cs="Times New Roman"/>
                <w:spacing w:val="2"/>
                <w:position w:val="12"/>
                <w:sz w:val="20"/>
                <w:szCs w:val="20"/>
                <w:highlight w:val="none"/>
              </w:rPr>
              <w:t>×</w:t>
            </w:r>
            <w:r>
              <w:rPr>
                <w:rFonts w:hint="eastAsia" w:ascii="Times New Roman" w:hAnsi="Times New Roman" w:eastAsia="宋体" w:cs="Times New Roman"/>
                <w:spacing w:val="2"/>
                <w:position w:val="12"/>
                <w:sz w:val="20"/>
                <w:szCs w:val="20"/>
                <w:highlight w:val="none"/>
                <w:lang w:val="en-US" w:eastAsia="zh-CN"/>
              </w:rPr>
              <w:t>2</w:t>
            </w:r>
            <w:r>
              <w:rPr>
                <w:rFonts w:hint="default" w:ascii="Times New Roman" w:hAnsi="Times New Roman" w:eastAsia="Times New Roman" w:cs="Times New Roman"/>
                <w:position w:val="12"/>
                <w:sz w:val="20"/>
                <w:szCs w:val="20"/>
                <w:highlight w:val="none"/>
              </w:rPr>
              <w:t>m</w:t>
            </w:r>
            <w:r>
              <w:rPr>
                <w:rFonts w:hint="default" w:ascii="Times New Roman" w:hAnsi="Times New Roman" w:eastAsia="宋体" w:cs="Times New Roman"/>
                <w:spacing w:val="2"/>
                <w:position w:val="12"/>
                <w:sz w:val="20"/>
                <w:szCs w:val="20"/>
                <w:highlight w:val="none"/>
              </w:rPr>
              <w:t>、</w:t>
            </w:r>
          </w:p>
          <w:p>
            <w:pPr>
              <w:spacing w:line="186" w:lineRule="auto"/>
              <w:ind w:left="12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1.2</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1"/>
                <w:sz w:val="20"/>
                <w:szCs w:val="20"/>
                <w:highlight w:val="none"/>
              </w:rPr>
              <w:t>×3</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1"/>
                <w:sz w:val="20"/>
                <w:szCs w:val="20"/>
                <w:highlight w:val="none"/>
              </w:rPr>
              <w:t xml:space="preserve"> </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1.</w:t>
            </w:r>
            <w:r>
              <w:rPr>
                <w:rFonts w:hint="eastAsia" w:ascii="Times New Roman" w:hAnsi="Times New Roman" w:eastAsia="宋体" w:cs="Times New Roman"/>
                <w:spacing w:val="-1"/>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1"/>
                <w:sz w:val="20"/>
                <w:szCs w:val="20"/>
                <w:highlight w:val="none"/>
              </w:rPr>
              <w:t>×</w:t>
            </w:r>
            <w:r>
              <w:rPr>
                <w:rFonts w:hint="eastAsia" w:ascii="Times New Roman" w:hAnsi="Times New Roman" w:eastAsia="宋体" w:cs="Times New Roman"/>
                <w:spacing w:val="-1"/>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239" w:line="231"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275" w:line="195" w:lineRule="auto"/>
              <w:ind w:left="30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10</w:t>
            </w:r>
          </w:p>
        </w:tc>
        <w:tc>
          <w:tcPr>
            <w:tcW w:w="3008" w:type="dxa"/>
            <w:gridSpan w:val="2"/>
            <w:tcBorders>
              <w:right w:val="single" w:color="000000" w:sz="10" w:space="0"/>
            </w:tcBorders>
            <w:vAlign w:val="top"/>
          </w:tcPr>
          <w:p>
            <w:pPr>
              <w:spacing w:before="50" w:line="274" w:lineRule="auto"/>
              <w:ind w:left="1106" w:right="124" w:hanging="959"/>
              <w:rPr>
                <w:rFonts w:hint="default" w:ascii="Times New Roman" w:hAnsi="Times New Roman" w:eastAsia="宋体" w:cs="Times New Roman"/>
                <w:sz w:val="20"/>
                <w:szCs w:val="20"/>
                <w:highlight w:val="none"/>
              </w:rPr>
            </w:pPr>
            <w:r>
              <w:rPr>
                <w:rFonts w:hint="default" w:ascii="Times New Roman" w:hAnsi="Times New Roman" w:eastAsia="宋体" w:cs="Times New Roman"/>
                <w:sz w:val="21"/>
                <w:highlight w:val="none"/>
                <w:lang w:val="en-US" w:eastAsia="zh-CN"/>
              </w:rPr>
              <w:t>1#~2#、4#~5#</w:t>
            </w:r>
            <w:r>
              <w:rPr>
                <w:rFonts w:hint="eastAsia" w:ascii="Times New Roman" w:hAnsi="Times New Roman" w:eastAsia="宋体" w:cs="Times New Roman"/>
                <w:sz w:val="21"/>
                <w:highlight w:val="none"/>
                <w:lang w:val="en-US" w:eastAsia="zh-CN"/>
              </w:rPr>
              <w:t>各</w:t>
            </w:r>
            <w:r>
              <w:rPr>
                <w:rFonts w:hint="default" w:ascii="Times New Roman" w:hAnsi="Times New Roman" w:eastAsia="宋体" w:cs="Times New Roman"/>
                <w:sz w:val="21"/>
                <w:highlight w:val="none"/>
                <w:lang w:val="en-US" w:eastAsia="zh-CN"/>
              </w:rPr>
              <w:t>1台，3#、6#生产线各 3 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44" w:hRule="atLeast"/>
        </w:trPr>
        <w:tc>
          <w:tcPr>
            <w:tcW w:w="577" w:type="dxa"/>
            <w:gridSpan w:val="2"/>
            <w:tcBorders>
              <w:left w:val="single" w:color="000000" w:sz="10" w:space="0"/>
            </w:tcBorders>
            <w:vAlign w:val="top"/>
          </w:tcPr>
          <w:p>
            <w:pPr>
              <w:spacing w:before="275" w:line="195" w:lineRule="auto"/>
              <w:ind w:left="190"/>
              <w:rPr>
                <w:rFonts w:hint="default"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17</w:t>
            </w:r>
          </w:p>
        </w:tc>
        <w:tc>
          <w:tcPr>
            <w:tcW w:w="1369" w:type="dxa"/>
            <w:gridSpan w:val="2"/>
            <w:vAlign w:val="top"/>
          </w:tcPr>
          <w:p>
            <w:pPr>
              <w:spacing w:before="239" w:line="228" w:lineRule="auto"/>
              <w:ind w:left="365" w:leftChars="0"/>
              <w:rPr>
                <w:rFonts w:hint="eastAsia" w:ascii="Times New Roman" w:hAnsi="Times New Roman" w:eastAsia="宋体" w:cs="Times New Roman"/>
                <w:spacing w:val="7"/>
                <w:sz w:val="20"/>
                <w:szCs w:val="20"/>
                <w:highlight w:val="none"/>
                <w:lang w:val="en-US" w:eastAsia="zh-CN"/>
              </w:rPr>
            </w:pPr>
            <w:r>
              <w:rPr>
                <w:rFonts w:hint="eastAsia" w:ascii="Times New Roman" w:hAnsi="Times New Roman" w:eastAsia="宋体" w:cs="Times New Roman"/>
                <w:spacing w:val="7"/>
                <w:sz w:val="20"/>
                <w:szCs w:val="20"/>
                <w:highlight w:val="none"/>
                <w:lang w:val="en-US" w:eastAsia="zh-CN"/>
              </w:rPr>
              <w:t>洗砂机</w:t>
            </w:r>
          </w:p>
        </w:tc>
        <w:tc>
          <w:tcPr>
            <w:tcW w:w="2020" w:type="dxa"/>
            <w:gridSpan w:val="2"/>
            <w:vAlign w:val="center"/>
          </w:tcPr>
          <w:p>
            <w:pPr>
              <w:spacing w:line="186" w:lineRule="auto"/>
              <w:ind w:left="123" w:leftChars="0"/>
              <w:jc w:val="center"/>
              <w:rPr>
                <w:rFonts w:hint="default" w:ascii="Times New Roman" w:hAnsi="Times New Roman" w:eastAsia="宋体" w:cs="Times New Roman"/>
                <w:spacing w:val="-1"/>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2432</w:t>
            </w:r>
          </w:p>
        </w:tc>
        <w:tc>
          <w:tcPr>
            <w:tcW w:w="773" w:type="dxa"/>
            <w:gridSpan w:val="2"/>
            <w:vAlign w:val="top"/>
          </w:tcPr>
          <w:p>
            <w:pPr>
              <w:spacing w:before="239" w:line="231" w:lineRule="auto"/>
              <w:ind w:left="302" w:leftChars="0"/>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台</w:t>
            </w:r>
          </w:p>
        </w:tc>
        <w:tc>
          <w:tcPr>
            <w:tcW w:w="779" w:type="dxa"/>
            <w:gridSpan w:val="2"/>
            <w:vAlign w:val="top"/>
          </w:tcPr>
          <w:p>
            <w:pPr>
              <w:spacing w:before="275" w:line="195" w:lineRule="auto"/>
              <w:ind w:left="309" w:leftChars="0"/>
              <w:rPr>
                <w:rFonts w:hint="default"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6</w:t>
            </w:r>
          </w:p>
        </w:tc>
        <w:tc>
          <w:tcPr>
            <w:tcW w:w="3008" w:type="dxa"/>
            <w:gridSpan w:val="2"/>
            <w:tcBorders>
              <w:right w:val="single" w:color="000000" w:sz="10" w:space="0"/>
            </w:tcBorders>
            <w:vAlign w:val="top"/>
          </w:tcPr>
          <w:p>
            <w:pPr>
              <w:spacing w:before="50" w:line="274" w:lineRule="auto"/>
              <w:ind w:left="1106" w:right="124" w:hanging="959"/>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1#、2#生产线共用 2 台，</w:t>
            </w:r>
          </w:p>
          <w:p>
            <w:pPr>
              <w:spacing w:before="50" w:line="274" w:lineRule="auto"/>
              <w:ind w:left="1106" w:leftChars="0" w:right="124" w:rightChars="0" w:hanging="959" w:firstLineChars="0"/>
              <w:rPr>
                <w:rFonts w:hint="default" w:ascii="Times New Roman" w:hAnsi="Times New Roman" w:eastAsia="宋体" w:cs="Times New Roman"/>
                <w:spacing w:val="2"/>
                <w:sz w:val="20"/>
                <w:szCs w:val="20"/>
                <w:highlight w:val="none"/>
              </w:rPr>
            </w:pPr>
            <w:r>
              <w:rPr>
                <w:rFonts w:hint="eastAsia" w:ascii="Times New Roman" w:hAnsi="Times New Roman" w:eastAsia="宋体" w:cs="Times New Roman"/>
                <w:spacing w:val="2"/>
                <w:sz w:val="20"/>
                <w:szCs w:val="20"/>
                <w:highlight w:val="none"/>
                <w:lang w:val="en-US" w:eastAsia="zh-CN"/>
              </w:rPr>
              <w:t>5</w:t>
            </w:r>
            <w:r>
              <w:rPr>
                <w:rFonts w:hint="default" w:ascii="Times New Roman" w:hAnsi="Times New Roman" w:eastAsia="宋体" w:cs="Times New Roman"/>
                <w:spacing w:val="2"/>
                <w:sz w:val="20"/>
                <w:szCs w:val="20"/>
                <w:highlight w:val="none"/>
              </w:rPr>
              <w:t>#、</w:t>
            </w:r>
            <w:r>
              <w:rPr>
                <w:rFonts w:hint="eastAsia" w:ascii="Times New Roman" w:hAnsi="Times New Roman" w:eastAsia="宋体" w:cs="Times New Roman"/>
                <w:spacing w:val="2"/>
                <w:sz w:val="20"/>
                <w:szCs w:val="20"/>
                <w:highlight w:val="none"/>
                <w:lang w:val="en-US" w:eastAsia="zh-CN"/>
              </w:rPr>
              <w:t>6</w:t>
            </w:r>
            <w:r>
              <w:rPr>
                <w:rFonts w:hint="default" w:ascii="Times New Roman" w:hAnsi="Times New Roman" w:eastAsia="宋体" w:cs="Times New Roman"/>
                <w:spacing w:val="2"/>
                <w:sz w:val="20"/>
                <w:szCs w:val="20"/>
                <w:highlight w:val="none"/>
              </w:rPr>
              <w:t>#生产线各 2台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8" w:line="195" w:lineRule="auto"/>
              <w:ind w:left="194"/>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11"/>
                <w:sz w:val="20"/>
                <w:szCs w:val="20"/>
                <w:highlight w:val="none"/>
                <w:lang w:val="en-US" w:eastAsia="zh-CN"/>
              </w:rPr>
              <w:t>18</w:t>
            </w:r>
          </w:p>
        </w:tc>
        <w:tc>
          <w:tcPr>
            <w:tcW w:w="1369" w:type="dxa"/>
            <w:gridSpan w:val="2"/>
            <w:vAlign w:val="top"/>
          </w:tcPr>
          <w:p>
            <w:pPr>
              <w:spacing w:before="82" w:line="224" w:lineRule="auto"/>
              <w:ind w:left="365" w:leftChars="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渣浆</w:t>
            </w:r>
            <w:r>
              <w:rPr>
                <w:rFonts w:hint="default" w:ascii="Times New Roman" w:hAnsi="Times New Roman" w:eastAsia="宋体" w:cs="Times New Roman"/>
                <w:spacing w:val="6"/>
                <w:sz w:val="20"/>
                <w:szCs w:val="20"/>
                <w:highlight w:val="none"/>
              </w:rPr>
              <w:t>泵</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82" w:line="224" w:lineRule="auto"/>
              <w:ind w:left="302" w:leftChars="0"/>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8" w:line="195" w:lineRule="auto"/>
              <w:ind w:left="346" w:leftChars="0"/>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8</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r>
              <w:rPr>
                <w:rFonts w:hint="default" w:ascii="Times New Roman" w:hAnsi="Times New Roman" w:cs="Times New Roman"/>
                <w:sz w:val="20"/>
                <w:szCs w:val="20"/>
                <w:highlight w:val="none"/>
              </w:rPr>
              <w:t>1#~2#、4#-5#生产线各 1台，3#、6#生产线各 2台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7" w:line="195" w:lineRule="auto"/>
              <w:ind w:left="19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19</w:t>
            </w:r>
          </w:p>
        </w:tc>
        <w:tc>
          <w:tcPr>
            <w:tcW w:w="1369" w:type="dxa"/>
            <w:gridSpan w:val="2"/>
            <w:vAlign w:val="top"/>
          </w:tcPr>
          <w:p>
            <w:pPr>
              <w:spacing w:before="81" w:line="225" w:lineRule="auto"/>
              <w:ind w:left="365" w:leftChars="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浓缩</w:t>
            </w:r>
            <w:r>
              <w:rPr>
                <w:rFonts w:hint="default" w:ascii="Times New Roman" w:hAnsi="Times New Roman" w:eastAsia="宋体" w:cs="Times New Roman"/>
                <w:spacing w:val="6"/>
                <w:sz w:val="20"/>
                <w:szCs w:val="20"/>
                <w:highlight w:val="none"/>
              </w:rPr>
              <w:t>罐</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81" w:line="225" w:lineRule="auto"/>
              <w:ind w:left="285" w:leftChars="0"/>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座</w:t>
            </w:r>
          </w:p>
        </w:tc>
        <w:tc>
          <w:tcPr>
            <w:tcW w:w="779" w:type="dxa"/>
            <w:gridSpan w:val="2"/>
            <w:vAlign w:val="top"/>
          </w:tcPr>
          <w:p>
            <w:pPr>
              <w:spacing w:before="117" w:line="195" w:lineRule="auto"/>
              <w:ind w:left="346" w:leftChars="0"/>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4</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r>
              <w:rPr>
                <w:rFonts w:hint="default" w:ascii="Times New Roman" w:hAnsi="Times New Roman" w:eastAsia="宋体" w:cs="Times New Roman"/>
                <w:sz w:val="20"/>
                <w:szCs w:val="20"/>
                <w:highlight w:val="none"/>
                <w:lang w:val="en-US" w:eastAsia="zh-CN"/>
              </w:rPr>
              <w:t>1#~5#</w:t>
            </w:r>
            <w:r>
              <w:rPr>
                <w:rFonts w:hint="eastAsia" w:ascii="Times New Roman" w:hAnsi="Times New Roman" w:eastAsia="宋体" w:cs="Times New Roman"/>
                <w:sz w:val="20"/>
                <w:szCs w:val="20"/>
                <w:highlight w:val="none"/>
                <w:lang w:val="en-US" w:eastAsia="zh-CN"/>
              </w:rPr>
              <w:t>各</w:t>
            </w:r>
            <w:r>
              <w:rPr>
                <w:rFonts w:hint="default" w:ascii="Times New Roman" w:hAnsi="Times New Roman" w:eastAsia="宋体" w:cs="Times New Roman"/>
                <w:sz w:val="20"/>
                <w:szCs w:val="20"/>
                <w:highlight w:val="none"/>
                <w:lang w:val="en-US" w:eastAsia="zh-CN"/>
              </w:rPr>
              <w:t>1</w:t>
            </w:r>
            <w:r>
              <w:rPr>
                <w:rFonts w:hint="eastAsia" w:ascii="Times New Roman" w:hAnsi="Times New Roman" w:eastAsia="宋体" w:cs="Times New Roman"/>
                <w:sz w:val="20"/>
                <w:szCs w:val="20"/>
                <w:highlight w:val="none"/>
                <w:lang w:val="en-US" w:eastAsia="zh-CN"/>
              </w:rPr>
              <w:t>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8" w:line="195" w:lineRule="auto"/>
              <w:ind w:left="19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20</w:t>
            </w:r>
          </w:p>
        </w:tc>
        <w:tc>
          <w:tcPr>
            <w:tcW w:w="1369" w:type="dxa"/>
            <w:gridSpan w:val="2"/>
            <w:vAlign w:val="top"/>
          </w:tcPr>
          <w:p>
            <w:pPr>
              <w:spacing w:before="82" w:line="224" w:lineRule="auto"/>
              <w:ind w:left="365" w:leftChars="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脱</w:t>
            </w:r>
            <w:r>
              <w:rPr>
                <w:rFonts w:hint="default" w:ascii="Times New Roman" w:hAnsi="Times New Roman" w:eastAsia="宋体" w:cs="Times New Roman"/>
                <w:spacing w:val="6"/>
                <w:sz w:val="20"/>
                <w:szCs w:val="20"/>
                <w:highlight w:val="none"/>
              </w:rPr>
              <w:t>水筛</w:t>
            </w:r>
          </w:p>
        </w:tc>
        <w:tc>
          <w:tcPr>
            <w:tcW w:w="2020" w:type="dxa"/>
            <w:gridSpan w:val="2"/>
            <w:vAlign w:val="center"/>
          </w:tcPr>
          <w:p>
            <w:pPr>
              <w:jc w:val="center"/>
              <w:rPr>
                <w:rFonts w:hint="default" w:ascii="Times New Roman" w:hAnsi="Times New Roman" w:eastAsia="宋体" w:cs="Times New Roman"/>
                <w:sz w:val="21"/>
                <w:highlight w:val="none"/>
                <w:lang w:val="en-US" w:eastAsia="zh-CN"/>
              </w:rPr>
            </w:pPr>
            <w:r>
              <w:rPr>
                <w:rFonts w:hint="eastAsia" w:ascii="Times New Roman" w:hAnsi="Times New Roman" w:eastAsia="宋体" w:cs="Times New Roman"/>
                <w:spacing w:val="-1"/>
                <w:sz w:val="20"/>
                <w:szCs w:val="20"/>
                <w:highlight w:val="none"/>
                <w:lang w:val="en-US" w:eastAsia="zh-CN"/>
              </w:rPr>
              <w:t>2736</w:t>
            </w:r>
          </w:p>
        </w:tc>
        <w:tc>
          <w:tcPr>
            <w:tcW w:w="773" w:type="dxa"/>
            <w:gridSpan w:val="2"/>
            <w:vAlign w:val="top"/>
          </w:tcPr>
          <w:p>
            <w:pPr>
              <w:spacing w:before="82" w:line="224" w:lineRule="auto"/>
              <w:ind w:left="285" w:leftChars="0"/>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台</w:t>
            </w:r>
          </w:p>
        </w:tc>
        <w:tc>
          <w:tcPr>
            <w:tcW w:w="779" w:type="dxa"/>
            <w:gridSpan w:val="2"/>
            <w:vAlign w:val="top"/>
          </w:tcPr>
          <w:p>
            <w:pPr>
              <w:spacing w:before="118" w:line="195" w:lineRule="auto"/>
              <w:ind w:left="346" w:leftChars="0"/>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5</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r>
              <w:rPr>
                <w:rFonts w:hint="default" w:ascii="Times New Roman" w:hAnsi="Times New Roman" w:eastAsia="宋体" w:cs="Times New Roman"/>
                <w:sz w:val="20"/>
                <w:szCs w:val="20"/>
                <w:highlight w:val="none"/>
                <w:lang w:val="en-US" w:eastAsia="zh-CN"/>
              </w:rPr>
              <w:t>1#~</w:t>
            </w:r>
            <w:r>
              <w:rPr>
                <w:rFonts w:hint="eastAsia" w:ascii="Times New Roman" w:hAnsi="Times New Roman" w:eastAsia="宋体" w:cs="Times New Roman"/>
                <w:sz w:val="20"/>
                <w:szCs w:val="20"/>
                <w:highlight w:val="none"/>
                <w:lang w:val="en-US" w:eastAsia="zh-CN"/>
              </w:rPr>
              <w:t>3</w:t>
            </w:r>
            <w:r>
              <w:rPr>
                <w:rFonts w:hint="default" w:ascii="Times New Roman" w:hAnsi="Times New Roman" w:eastAsia="宋体" w:cs="Times New Roman"/>
                <w:sz w:val="20"/>
                <w:szCs w:val="20"/>
                <w:highlight w:val="none"/>
                <w:lang w:val="en-US" w:eastAsia="zh-CN"/>
              </w:rPr>
              <w:t>#、</w:t>
            </w:r>
            <w:r>
              <w:rPr>
                <w:rFonts w:hint="eastAsia" w:ascii="Times New Roman" w:hAnsi="Times New Roman" w:eastAsia="宋体" w:cs="Times New Roman"/>
                <w:sz w:val="20"/>
                <w:szCs w:val="20"/>
                <w:highlight w:val="none"/>
                <w:lang w:val="en-US" w:eastAsia="zh-CN"/>
              </w:rPr>
              <w:t>5</w:t>
            </w:r>
            <w:r>
              <w:rPr>
                <w:rFonts w:hint="default" w:ascii="Times New Roman" w:hAnsi="Times New Roman" w:eastAsia="宋体" w:cs="Times New Roman"/>
                <w:sz w:val="20"/>
                <w:szCs w:val="20"/>
                <w:highlight w:val="none"/>
                <w:lang w:val="en-US" w:eastAsia="zh-CN"/>
              </w:rPr>
              <w:t>#~</w:t>
            </w:r>
            <w:r>
              <w:rPr>
                <w:rFonts w:hint="eastAsia" w:ascii="Times New Roman" w:hAnsi="Times New Roman" w:eastAsia="宋体" w:cs="Times New Roman"/>
                <w:sz w:val="20"/>
                <w:szCs w:val="20"/>
                <w:highlight w:val="none"/>
                <w:lang w:val="en-US" w:eastAsia="zh-CN"/>
              </w:rPr>
              <w:t>6</w:t>
            </w:r>
            <w:r>
              <w:rPr>
                <w:rFonts w:hint="default" w:ascii="Times New Roman" w:hAnsi="Times New Roman" w:eastAsia="宋体" w:cs="Times New Roman"/>
                <w:sz w:val="20"/>
                <w:szCs w:val="20"/>
                <w:highlight w:val="none"/>
                <w:lang w:val="en-US" w:eastAsia="zh-CN"/>
              </w:rPr>
              <w:t>#</w:t>
            </w:r>
            <w:r>
              <w:rPr>
                <w:rFonts w:hint="eastAsia" w:ascii="Times New Roman" w:hAnsi="Times New Roman" w:eastAsia="宋体" w:cs="Times New Roman"/>
                <w:sz w:val="20"/>
                <w:szCs w:val="20"/>
                <w:highlight w:val="none"/>
                <w:lang w:val="en-US" w:eastAsia="zh-CN"/>
              </w:rPr>
              <w:t>各</w:t>
            </w:r>
            <w:r>
              <w:rPr>
                <w:rFonts w:hint="default" w:ascii="Times New Roman" w:hAnsi="Times New Roman" w:eastAsia="宋体" w:cs="Times New Roman"/>
                <w:sz w:val="20"/>
                <w:szCs w:val="20"/>
                <w:highlight w:val="none"/>
                <w:lang w:val="en-US" w:eastAsia="zh-CN"/>
              </w:rPr>
              <w:t>1</w:t>
            </w:r>
            <w:r>
              <w:rPr>
                <w:rFonts w:hint="eastAsia" w:ascii="Times New Roman" w:hAnsi="Times New Roman" w:eastAsia="宋体" w:cs="Times New Roman"/>
                <w:sz w:val="20"/>
                <w:szCs w:val="20"/>
                <w:highlight w:val="none"/>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7" w:line="195" w:lineRule="auto"/>
              <w:ind w:left="19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21</w:t>
            </w:r>
          </w:p>
        </w:tc>
        <w:tc>
          <w:tcPr>
            <w:tcW w:w="1369" w:type="dxa"/>
            <w:gridSpan w:val="2"/>
            <w:vAlign w:val="top"/>
          </w:tcPr>
          <w:p>
            <w:pPr>
              <w:spacing w:before="81" w:line="225" w:lineRule="auto"/>
              <w:ind w:left="4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皮带</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81" w:line="225" w:lineRule="auto"/>
              <w:ind w:left="287"/>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条</w:t>
            </w:r>
          </w:p>
        </w:tc>
        <w:tc>
          <w:tcPr>
            <w:tcW w:w="779" w:type="dxa"/>
            <w:gridSpan w:val="2"/>
            <w:vAlign w:val="top"/>
          </w:tcPr>
          <w:p>
            <w:pPr>
              <w:spacing w:before="117" w:line="195" w:lineRule="auto"/>
              <w:ind w:left="288"/>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30</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52" w:hRule="atLeast"/>
        </w:trPr>
        <w:tc>
          <w:tcPr>
            <w:tcW w:w="577" w:type="dxa"/>
            <w:gridSpan w:val="2"/>
            <w:tcBorders>
              <w:left w:val="single" w:color="000000" w:sz="10" w:space="0"/>
            </w:tcBorders>
            <w:vAlign w:val="top"/>
          </w:tcPr>
          <w:p>
            <w:pPr>
              <w:spacing w:before="130" w:line="195" w:lineRule="auto"/>
              <w:ind w:left="19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22</w:t>
            </w:r>
          </w:p>
        </w:tc>
        <w:tc>
          <w:tcPr>
            <w:tcW w:w="1369" w:type="dxa"/>
            <w:gridSpan w:val="2"/>
            <w:vAlign w:val="top"/>
          </w:tcPr>
          <w:p>
            <w:pPr>
              <w:spacing w:before="94" w:line="228" w:lineRule="auto"/>
              <w:ind w:left="155" w:firstLine="216" w:firstLineChars="1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给料机</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ind w:firstLine="210" w:firstLineChars="100"/>
              <w:rPr>
                <w:rFonts w:hint="eastAsia" w:ascii="Times New Roman" w:hAnsi="Times New Roman" w:eastAsia="宋体" w:cs="Times New Roman"/>
                <w:sz w:val="21"/>
                <w:highlight w:val="none"/>
                <w:lang w:val="en-US" w:eastAsia="zh-CN"/>
              </w:rPr>
            </w:pPr>
            <w:r>
              <w:rPr>
                <w:rFonts w:hint="eastAsia" w:ascii="Times New Roman" w:hAnsi="Times New Roman" w:eastAsia="宋体" w:cs="Times New Roman"/>
                <w:sz w:val="21"/>
                <w:highlight w:val="none"/>
                <w:lang w:val="en-US" w:eastAsia="zh-CN"/>
              </w:rPr>
              <w:t>台</w:t>
            </w:r>
          </w:p>
        </w:tc>
        <w:tc>
          <w:tcPr>
            <w:tcW w:w="779" w:type="dxa"/>
            <w:gridSpan w:val="2"/>
            <w:vAlign w:val="top"/>
          </w:tcPr>
          <w:p>
            <w:pPr>
              <w:spacing w:before="130"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6</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r>
              <w:rPr>
                <w:rFonts w:hint="eastAsia" w:ascii="Times New Roman" w:hAnsi="Times New Roman" w:eastAsia="宋体" w:cs="Times New Roman"/>
                <w:sz w:val="21"/>
                <w:highlight w:val="none"/>
                <w:lang w:val="en-US" w:eastAsia="zh-CN"/>
              </w:rPr>
              <w:t>1</w:t>
            </w:r>
            <w:r>
              <w:rPr>
                <w:rFonts w:hint="default" w:ascii="Times New Roman" w:hAnsi="Times New Roman" w:eastAsia="宋体" w:cs="Times New Roman"/>
                <w:sz w:val="21"/>
                <w:highlight w:val="none"/>
                <w:lang w:val="en-US" w:eastAsia="zh-CN"/>
              </w:rPr>
              <w:t>#~</w:t>
            </w:r>
            <w:r>
              <w:rPr>
                <w:rFonts w:hint="eastAsia" w:ascii="Times New Roman" w:hAnsi="Times New Roman" w:eastAsia="宋体" w:cs="Times New Roman"/>
                <w:sz w:val="21"/>
                <w:highlight w:val="none"/>
                <w:lang w:val="en-US" w:eastAsia="zh-CN"/>
              </w:rPr>
              <w:t>6</w:t>
            </w:r>
            <w:r>
              <w:rPr>
                <w:rFonts w:hint="default" w:ascii="Times New Roman" w:hAnsi="Times New Roman" w:eastAsia="宋体" w:cs="Times New Roman"/>
                <w:sz w:val="21"/>
                <w:highlight w:val="none"/>
                <w:lang w:val="en-US" w:eastAsia="zh-CN"/>
              </w:rPr>
              <w:t>#</w:t>
            </w:r>
            <w:r>
              <w:rPr>
                <w:rFonts w:hint="eastAsia" w:ascii="Times New Roman" w:hAnsi="Times New Roman" w:eastAsia="宋体" w:cs="Times New Roman"/>
                <w:sz w:val="21"/>
                <w:highlight w:val="none"/>
                <w:lang w:val="en-US" w:eastAsia="zh-CN"/>
              </w:rPr>
              <w:t>各</w:t>
            </w:r>
            <w:r>
              <w:rPr>
                <w:rFonts w:hint="default" w:ascii="Times New Roman" w:hAnsi="Times New Roman" w:eastAsia="宋体" w:cs="Times New Roman"/>
                <w:sz w:val="21"/>
                <w:highlight w:val="none"/>
                <w:lang w:val="en-US" w:eastAsia="zh-CN"/>
              </w:rPr>
              <w:t>1</w:t>
            </w:r>
            <w:r>
              <w:rPr>
                <w:rFonts w:hint="eastAsia" w:ascii="Times New Roman" w:hAnsi="Times New Roman" w:eastAsia="宋体" w:cs="Times New Roman"/>
                <w:sz w:val="21"/>
                <w:highlight w:val="none"/>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9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23</w:t>
            </w:r>
          </w:p>
        </w:tc>
        <w:tc>
          <w:tcPr>
            <w:tcW w:w="1369" w:type="dxa"/>
            <w:gridSpan w:val="2"/>
            <w:vAlign w:val="top"/>
          </w:tcPr>
          <w:p>
            <w:pPr>
              <w:spacing w:before="80" w:line="226"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过</w:t>
            </w:r>
            <w:r>
              <w:rPr>
                <w:rFonts w:hint="default" w:ascii="Times New Roman" w:hAnsi="Times New Roman" w:eastAsia="宋体" w:cs="Times New Roman"/>
                <w:spacing w:val="6"/>
                <w:sz w:val="20"/>
                <w:szCs w:val="20"/>
                <w:highlight w:val="none"/>
              </w:rPr>
              <w:t>滤机</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80" w:line="226"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6"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r>
              <w:rPr>
                <w:rFonts w:hint="eastAsia" w:ascii="Times New Roman" w:hAnsi="Times New Roman" w:eastAsia="宋体" w:cs="Times New Roman"/>
                <w:sz w:val="21"/>
                <w:highlight w:val="none"/>
                <w:lang w:val="en-US" w:eastAsia="zh-CN"/>
              </w:rPr>
              <w:t>3#、6#生产线各1台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7" w:line="195" w:lineRule="auto"/>
              <w:ind w:left="190"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24</w:t>
            </w:r>
          </w:p>
        </w:tc>
        <w:tc>
          <w:tcPr>
            <w:tcW w:w="1369" w:type="dxa"/>
            <w:gridSpan w:val="2"/>
            <w:vAlign w:val="top"/>
          </w:tcPr>
          <w:p>
            <w:pPr>
              <w:spacing w:before="82" w:line="224" w:lineRule="auto"/>
              <w:ind w:left="365"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7"/>
                <w:sz w:val="20"/>
                <w:szCs w:val="20"/>
                <w:highlight w:val="none"/>
              </w:rPr>
              <w:t>清水</w:t>
            </w:r>
            <w:r>
              <w:rPr>
                <w:rFonts w:hint="default" w:ascii="Times New Roman" w:hAnsi="Times New Roman" w:eastAsia="宋体" w:cs="Times New Roman"/>
                <w:spacing w:val="6"/>
                <w:sz w:val="20"/>
                <w:szCs w:val="20"/>
                <w:highlight w:val="none"/>
              </w:rPr>
              <w:t>泵</w:t>
            </w:r>
          </w:p>
        </w:tc>
        <w:tc>
          <w:tcPr>
            <w:tcW w:w="2020" w:type="dxa"/>
            <w:gridSpan w:val="2"/>
            <w:vAlign w:val="top"/>
          </w:tcPr>
          <w:p>
            <w:pPr>
              <w:rPr>
                <w:rFonts w:hint="default" w:ascii="Times New Roman" w:hAnsi="Times New Roman" w:eastAsia="Arial" w:cs="Times New Roman"/>
                <w:snapToGrid w:val="0"/>
                <w:color w:val="000000"/>
                <w:kern w:val="0"/>
                <w:sz w:val="21"/>
                <w:szCs w:val="21"/>
                <w:highlight w:val="none"/>
              </w:rPr>
            </w:pPr>
          </w:p>
        </w:tc>
        <w:tc>
          <w:tcPr>
            <w:tcW w:w="773" w:type="dxa"/>
            <w:gridSpan w:val="2"/>
            <w:vAlign w:val="top"/>
          </w:tcPr>
          <w:p>
            <w:pPr>
              <w:rPr>
                <w:rFonts w:hint="default" w:ascii="Times New Roman" w:hAnsi="Times New Roman" w:eastAsia="宋体" w:cs="Times New Roman"/>
                <w:snapToGrid w:val="0"/>
                <w:color w:val="000000"/>
                <w:kern w:val="0"/>
                <w:sz w:val="21"/>
                <w:szCs w:val="21"/>
                <w:highlight w:val="none"/>
                <w:lang w:val="en-US" w:eastAsia="zh-CN"/>
              </w:rPr>
            </w:pPr>
            <w:r>
              <w:rPr>
                <w:rFonts w:hint="eastAsia" w:ascii="Times New Roman" w:hAnsi="Times New Roman" w:eastAsia="宋体" w:cs="Times New Roman"/>
                <w:sz w:val="21"/>
                <w:highlight w:val="none"/>
                <w:lang w:val="en-US" w:eastAsia="zh-CN"/>
              </w:rPr>
              <w:t xml:space="preserve">     台</w:t>
            </w:r>
          </w:p>
        </w:tc>
        <w:tc>
          <w:tcPr>
            <w:tcW w:w="779" w:type="dxa"/>
            <w:gridSpan w:val="2"/>
            <w:vAlign w:val="top"/>
          </w:tcPr>
          <w:p>
            <w:pPr>
              <w:spacing w:before="117"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4</w:t>
            </w:r>
          </w:p>
        </w:tc>
        <w:tc>
          <w:tcPr>
            <w:tcW w:w="3008" w:type="dxa"/>
            <w:gridSpan w:val="2"/>
            <w:tcBorders>
              <w:right w:val="single" w:color="000000" w:sz="10" w:space="0"/>
            </w:tcBorders>
            <w:vAlign w:val="top"/>
          </w:tcPr>
          <w:p>
            <w:pPr>
              <w:rPr>
                <w:rFonts w:hint="eastAsia" w:ascii="Times New Roman" w:hAnsi="Times New Roman" w:eastAsia="Arial" w:cs="Times New Roman"/>
                <w:snapToGrid w:val="0"/>
                <w:color w:val="000000"/>
                <w:kern w:val="0"/>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7" w:line="195" w:lineRule="auto"/>
              <w:ind w:left="19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25</w:t>
            </w:r>
          </w:p>
        </w:tc>
        <w:tc>
          <w:tcPr>
            <w:tcW w:w="1369" w:type="dxa"/>
            <w:gridSpan w:val="2"/>
            <w:vAlign w:val="top"/>
          </w:tcPr>
          <w:p>
            <w:pPr>
              <w:spacing w:before="82" w:line="224" w:lineRule="auto"/>
              <w:ind w:left="365"/>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泥浆</w:t>
            </w:r>
            <w:r>
              <w:rPr>
                <w:rFonts w:hint="default" w:ascii="Times New Roman" w:hAnsi="Times New Roman" w:eastAsia="宋体" w:cs="Times New Roman"/>
                <w:spacing w:val="6"/>
                <w:sz w:val="20"/>
                <w:szCs w:val="20"/>
                <w:highlight w:val="none"/>
              </w:rPr>
              <w:t>泵</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rPr>
                <w:rFonts w:hint="default" w:ascii="Times New Roman" w:hAnsi="Times New Roman" w:eastAsia="宋体" w:cs="Times New Roman"/>
                <w:sz w:val="21"/>
                <w:highlight w:val="none"/>
                <w:lang w:val="en-US" w:eastAsia="zh-CN"/>
              </w:rPr>
            </w:pPr>
            <w:r>
              <w:rPr>
                <w:rFonts w:hint="eastAsia" w:ascii="Times New Roman" w:hAnsi="Times New Roman" w:eastAsia="宋体" w:cs="Times New Roman"/>
                <w:sz w:val="21"/>
                <w:highlight w:val="none"/>
                <w:lang w:val="en-US" w:eastAsia="zh-CN"/>
              </w:rPr>
              <w:t xml:space="preserve">     台</w:t>
            </w:r>
          </w:p>
        </w:tc>
        <w:tc>
          <w:tcPr>
            <w:tcW w:w="779" w:type="dxa"/>
            <w:gridSpan w:val="2"/>
            <w:vAlign w:val="top"/>
          </w:tcPr>
          <w:p>
            <w:pPr>
              <w:spacing w:before="117"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9" w:line="189" w:lineRule="auto"/>
              <w:ind w:left="177"/>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二</w:t>
            </w:r>
          </w:p>
        </w:tc>
        <w:tc>
          <w:tcPr>
            <w:tcW w:w="7949" w:type="dxa"/>
            <w:gridSpan w:val="10"/>
            <w:tcBorders>
              <w:right w:val="single" w:color="000000" w:sz="10" w:space="0"/>
            </w:tcBorders>
            <w:vAlign w:val="top"/>
          </w:tcPr>
          <w:p>
            <w:pPr>
              <w:spacing w:before="80" w:line="226" w:lineRule="auto"/>
              <w:ind w:left="33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尾</w:t>
            </w:r>
            <w:r>
              <w:rPr>
                <w:rFonts w:hint="default" w:ascii="Times New Roman" w:hAnsi="Times New Roman" w:eastAsia="宋体" w:cs="Times New Roman"/>
                <w:spacing w:val="8"/>
                <w:sz w:val="20"/>
                <w:szCs w:val="20"/>
                <w:highlight w:val="none"/>
              </w:rPr>
              <w:t>矿干排工艺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7" w:line="195" w:lineRule="auto"/>
              <w:ind w:left="19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26</w:t>
            </w:r>
          </w:p>
        </w:tc>
        <w:tc>
          <w:tcPr>
            <w:tcW w:w="1369" w:type="dxa"/>
            <w:gridSpan w:val="2"/>
            <w:vAlign w:val="top"/>
          </w:tcPr>
          <w:p>
            <w:pPr>
              <w:spacing w:before="82" w:line="224"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浓密</w:t>
            </w:r>
            <w:r>
              <w:rPr>
                <w:rFonts w:hint="default" w:ascii="Times New Roman" w:hAnsi="Times New Roman" w:eastAsia="宋体" w:cs="Times New Roman"/>
                <w:spacing w:val="6"/>
                <w:sz w:val="20"/>
                <w:szCs w:val="20"/>
                <w:highlight w:val="none"/>
              </w:rPr>
              <w:t>池</w:t>
            </w:r>
          </w:p>
        </w:tc>
        <w:tc>
          <w:tcPr>
            <w:tcW w:w="2020" w:type="dxa"/>
            <w:gridSpan w:val="2"/>
            <w:vAlign w:val="top"/>
          </w:tcPr>
          <w:p>
            <w:pPr>
              <w:spacing w:before="117" w:line="195" w:lineRule="auto"/>
              <w:ind w:firstLine="212" w:firstLineChars="100"/>
              <w:rPr>
                <w:rFonts w:hint="eastAsia" w:ascii="Times New Roman" w:hAnsi="Times New Roman" w:eastAsia="宋体" w:cs="Times New Roman"/>
                <w:sz w:val="20"/>
                <w:szCs w:val="20"/>
                <w:highlight w:val="none"/>
                <w:lang w:eastAsia="zh-CN"/>
              </w:rPr>
            </w:pPr>
            <w:r>
              <w:rPr>
                <w:rFonts w:hint="default" w:ascii="Times New Roman" w:hAnsi="Times New Roman" w:eastAsia="Times New Roman" w:cs="Times New Roman"/>
                <w:spacing w:val="6"/>
                <w:sz w:val="20"/>
                <w:szCs w:val="20"/>
                <w:highlight w:val="none"/>
              </w:rPr>
              <w:t>Φ</w:t>
            </w:r>
            <w:r>
              <w:rPr>
                <w:rFonts w:hint="eastAsia" w:ascii="Times New Roman" w:hAnsi="Times New Roman" w:eastAsia="宋体" w:cs="Times New Roman"/>
                <w:spacing w:val="6"/>
                <w:sz w:val="20"/>
                <w:szCs w:val="20"/>
                <w:highlight w:val="none"/>
                <w:lang w:val="en-US" w:eastAsia="zh-CN"/>
              </w:rPr>
              <w:t>48</w:t>
            </w:r>
            <w:r>
              <w:rPr>
                <w:rFonts w:hint="default" w:ascii="Times New Roman" w:hAnsi="Times New Roman" w:eastAsia="Times New Roman" w:cs="Times New Roman"/>
                <w:sz w:val="20"/>
                <w:szCs w:val="20"/>
                <w:highlight w:val="none"/>
              </w:rPr>
              <w:t>m</w:t>
            </w:r>
            <w:r>
              <w:rPr>
                <w:rFonts w:hint="eastAsia" w:ascii="Times New Roman" w:hAnsi="Times New Roman" w:eastAsia="宋体" w:cs="Times New Roman"/>
                <w:sz w:val="20"/>
                <w:szCs w:val="20"/>
                <w:highlight w:val="none"/>
                <w:lang w:eastAsia="zh-CN"/>
              </w:rPr>
              <w:t>、</w:t>
            </w:r>
            <w:r>
              <w:rPr>
                <w:rFonts w:hint="default" w:ascii="Times New Roman" w:hAnsi="Times New Roman" w:eastAsia="Times New Roman" w:cs="Times New Roman"/>
                <w:spacing w:val="6"/>
                <w:sz w:val="20"/>
                <w:szCs w:val="20"/>
                <w:highlight w:val="none"/>
              </w:rPr>
              <w:t>Φ</w:t>
            </w:r>
            <w:r>
              <w:rPr>
                <w:rFonts w:hint="eastAsia" w:ascii="Times New Roman" w:hAnsi="Times New Roman" w:eastAsia="宋体" w:cs="Times New Roman"/>
                <w:spacing w:val="6"/>
                <w:sz w:val="20"/>
                <w:szCs w:val="20"/>
                <w:highlight w:val="none"/>
                <w:lang w:val="en-US" w:eastAsia="zh-CN"/>
              </w:rPr>
              <w:t>34</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82" w:line="224" w:lineRule="auto"/>
              <w:ind w:left="287"/>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座</w:t>
            </w:r>
          </w:p>
        </w:tc>
        <w:tc>
          <w:tcPr>
            <w:tcW w:w="779" w:type="dxa"/>
            <w:gridSpan w:val="2"/>
            <w:vAlign w:val="top"/>
          </w:tcPr>
          <w:p>
            <w:pPr>
              <w:spacing w:before="117" w:line="195" w:lineRule="auto"/>
              <w:ind w:left="361"/>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9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27</w:t>
            </w:r>
          </w:p>
        </w:tc>
        <w:tc>
          <w:tcPr>
            <w:tcW w:w="1369" w:type="dxa"/>
            <w:gridSpan w:val="2"/>
            <w:vAlign w:val="top"/>
          </w:tcPr>
          <w:p>
            <w:pPr>
              <w:spacing w:before="80" w:line="226"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清水</w:t>
            </w:r>
            <w:r>
              <w:rPr>
                <w:rFonts w:hint="default" w:ascii="Times New Roman" w:hAnsi="Times New Roman" w:eastAsia="宋体" w:cs="Times New Roman"/>
                <w:spacing w:val="6"/>
                <w:sz w:val="20"/>
                <w:szCs w:val="20"/>
                <w:highlight w:val="none"/>
              </w:rPr>
              <w:t>池</w:t>
            </w:r>
          </w:p>
        </w:tc>
        <w:tc>
          <w:tcPr>
            <w:tcW w:w="2020" w:type="dxa"/>
            <w:gridSpan w:val="2"/>
            <w:vAlign w:val="top"/>
          </w:tcPr>
          <w:p>
            <w:pPr>
              <w:spacing w:before="116" w:line="195" w:lineRule="auto"/>
              <w:ind w:left="454"/>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sz w:val="20"/>
                <w:szCs w:val="20"/>
                <w:highlight w:val="none"/>
                <w:lang w:val="en-US" w:eastAsia="zh-CN"/>
              </w:rPr>
              <w:t>20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5"/>
                <w:sz w:val="20"/>
                <w:szCs w:val="20"/>
                <w:highlight w:val="none"/>
                <w:lang w:val="en-US" w:eastAsia="zh-CN"/>
              </w:rPr>
              <w:t>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default" w:ascii="Times New Roman" w:hAnsi="Times New Roman" w:eastAsia="Times New Roman" w:cs="Times New Roman"/>
                <w:spacing w:val="4"/>
                <w:sz w:val="20"/>
                <w:szCs w:val="20"/>
                <w:highlight w:val="none"/>
              </w:rPr>
              <w:t>4</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80" w:line="226" w:lineRule="auto"/>
              <w:ind w:left="287"/>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座</w:t>
            </w:r>
          </w:p>
        </w:tc>
        <w:tc>
          <w:tcPr>
            <w:tcW w:w="779" w:type="dxa"/>
            <w:gridSpan w:val="2"/>
            <w:vAlign w:val="top"/>
          </w:tcPr>
          <w:p>
            <w:pPr>
              <w:spacing w:before="116" w:line="195" w:lineRule="auto"/>
              <w:ind w:left="361"/>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90"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28</w:t>
            </w:r>
          </w:p>
        </w:tc>
        <w:tc>
          <w:tcPr>
            <w:tcW w:w="1369" w:type="dxa"/>
            <w:gridSpan w:val="2"/>
            <w:vAlign w:val="top"/>
          </w:tcPr>
          <w:p>
            <w:pPr>
              <w:spacing w:before="80" w:line="226" w:lineRule="auto"/>
              <w:ind w:left="365"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7"/>
                <w:sz w:val="20"/>
                <w:szCs w:val="20"/>
                <w:highlight w:val="none"/>
              </w:rPr>
              <w:t>清水</w:t>
            </w:r>
            <w:r>
              <w:rPr>
                <w:rFonts w:hint="default" w:ascii="Times New Roman" w:hAnsi="Times New Roman" w:eastAsia="宋体" w:cs="Times New Roman"/>
                <w:spacing w:val="6"/>
                <w:sz w:val="20"/>
                <w:szCs w:val="20"/>
                <w:highlight w:val="none"/>
              </w:rPr>
              <w:t>池</w:t>
            </w:r>
          </w:p>
        </w:tc>
        <w:tc>
          <w:tcPr>
            <w:tcW w:w="2020" w:type="dxa"/>
            <w:gridSpan w:val="2"/>
            <w:vAlign w:val="top"/>
          </w:tcPr>
          <w:p>
            <w:pPr>
              <w:spacing w:before="116" w:line="195" w:lineRule="auto"/>
              <w:ind w:left="454" w:leftChars="0"/>
              <w:rPr>
                <w:rFonts w:hint="default" w:ascii="Times New Roman" w:hAnsi="Times New Roman" w:eastAsia="Times New Roman" w:cs="Times New Roman"/>
                <w:snapToGrid w:val="0"/>
                <w:color w:val="000000"/>
                <w:kern w:val="0"/>
                <w:sz w:val="20"/>
                <w:szCs w:val="20"/>
                <w:highlight w:val="none"/>
              </w:rPr>
            </w:pPr>
            <w:r>
              <w:rPr>
                <w:rFonts w:hint="eastAsia" w:ascii="Times New Roman" w:hAnsi="Times New Roman" w:eastAsia="宋体" w:cs="Times New Roman"/>
                <w:spacing w:val="5"/>
                <w:sz w:val="20"/>
                <w:szCs w:val="20"/>
                <w:highlight w:val="none"/>
                <w:lang w:val="en-US" w:eastAsia="zh-CN"/>
              </w:rPr>
              <w:t>10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5"/>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4"/>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80" w:line="226" w:lineRule="auto"/>
              <w:ind w:left="287"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座</w:t>
            </w:r>
          </w:p>
        </w:tc>
        <w:tc>
          <w:tcPr>
            <w:tcW w:w="779" w:type="dxa"/>
            <w:gridSpan w:val="2"/>
            <w:vAlign w:val="top"/>
          </w:tcPr>
          <w:p>
            <w:pPr>
              <w:spacing w:before="116" w:line="195" w:lineRule="auto"/>
              <w:ind w:left="361"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7" w:line="195" w:lineRule="auto"/>
              <w:ind w:left="16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29</w:t>
            </w:r>
          </w:p>
        </w:tc>
        <w:tc>
          <w:tcPr>
            <w:tcW w:w="1369" w:type="dxa"/>
            <w:gridSpan w:val="2"/>
            <w:vAlign w:val="top"/>
          </w:tcPr>
          <w:p>
            <w:pPr>
              <w:spacing w:before="82" w:line="224" w:lineRule="auto"/>
              <w:ind w:left="3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泥</w:t>
            </w:r>
            <w:r>
              <w:rPr>
                <w:rFonts w:hint="default" w:ascii="Times New Roman" w:hAnsi="Times New Roman" w:eastAsia="宋体" w:cs="Times New Roman"/>
                <w:spacing w:val="6"/>
                <w:sz w:val="20"/>
                <w:szCs w:val="20"/>
                <w:highlight w:val="none"/>
              </w:rPr>
              <w:t>浆泵</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82" w:line="224"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7" w:line="195" w:lineRule="auto"/>
              <w:ind w:left="361"/>
              <w:rPr>
                <w:rFonts w:hint="eastAsia" w:ascii="Times New Roman" w:hAnsi="Times New Roman" w:eastAsia="宋体" w:cs="Times New Roman"/>
                <w:sz w:val="20"/>
                <w:szCs w:val="20"/>
                <w:highlight w:val="none"/>
                <w:lang w:val="en-US" w:eastAsia="zh-CN"/>
              </w:rPr>
            </w:pPr>
            <w:r>
              <w:rPr>
                <w:rFonts w:hint="default" w:ascii="Times New Roman" w:hAnsi="Times New Roman" w:eastAsia="Times New Roman" w:cs="Times New Roman"/>
                <w:sz w:val="20"/>
                <w:szCs w:val="20"/>
                <w:highlight w:val="none"/>
              </w:rPr>
              <w:t>1</w:t>
            </w:r>
            <w:r>
              <w:rPr>
                <w:rFonts w:hint="eastAsia" w:ascii="Times New Roman" w:hAnsi="Times New Roman" w:eastAsia="宋体" w:cs="Times New Roman"/>
                <w:sz w:val="20"/>
                <w:szCs w:val="20"/>
                <w:highlight w:val="none"/>
                <w:lang w:val="en-US" w:eastAsia="zh-CN"/>
              </w:rPr>
              <w:t>9</w:t>
            </w:r>
          </w:p>
        </w:tc>
        <w:tc>
          <w:tcPr>
            <w:tcW w:w="3008" w:type="dxa"/>
            <w:gridSpan w:val="2"/>
            <w:tcBorders>
              <w:right w:val="single" w:color="000000" w:sz="10" w:space="0"/>
            </w:tcBorders>
            <w:vAlign w:val="top"/>
          </w:tcPr>
          <w:p>
            <w:pPr>
              <w:spacing w:before="82" w:line="224" w:lineRule="auto"/>
              <w:ind w:left="605"/>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6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30</w:t>
            </w:r>
          </w:p>
        </w:tc>
        <w:tc>
          <w:tcPr>
            <w:tcW w:w="1369" w:type="dxa"/>
            <w:gridSpan w:val="2"/>
            <w:vAlign w:val="top"/>
          </w:tcPr>
          <w:p>
            <w:pPr>
              <w:spacing w:before="80" w:line="226" w:lineRule="auto"/>
              <w:ind w:left="156"/>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8"/>
                <w:sz w:val="20"/>
                <w:szCs w:val="20"/>
                <w:highlight w:val="none"/>
                <w:lang w:val="en-US" w:eastAsia="zh-CN"/>
              </w:rPr>
              <w:t>板框压</w:t>
            </w:r>
            <w:r>
              <w:rPr>
                <w:rFonts w:hint="default" w:ascii="Times New Roman" w:hAnsi="Times New Roman" w:eastAsia="宋体" w:cs="Times New Roman"/>
                <w:spacing w:val="8"/>
                <w:sz w:val="20"/>
                <w:szCs w:val="20"/>
                <w:highlight w:val="none"/>
              </w:rPr>
              <w:t>滤机</w:t>
            </w:r>
          </w:p>
        </w:tc>
        <w:tc>
          <w:tcPr>
            <w:tcW w:w="2020" w:type="dxa"/>
            <w:gridSpan w:val="2"/>
            <w:vAlign w:val="top"/>
          </w:tcPr>
          <w:p>
            <w:pPr>
              <w:rPr>
                <w:rFonts w:hint="default" w:ascii="Times New Roman" w:hAnsi="Times New Roman" w:eastAsia="宋体" w:cs="Times New Roman"/>
                <w:sz w:val="21"/>
                <w:highlight w:val="none"/>
                <w:lang w:val="en-US" w:eastAsia="zh-CN"/>
              </w:rPr>
            </w:pPr>
            <w:r>
              <w:rPr>
                <w:rFonts w:hint="eastAsia" w:ascii="Times New Roman" w:hAnsi="Times New Roman" w:eastAsia="宋体" w:cs="Times New Roman"/>
                <w:sz w:val="21"/>
                <w:highlight w:val="none"/>
                <w:lang w:val="en-US" w:eastAsia="zh-CN"/>
              </w:rPr>
              <w:t xml:space="preserve">         500m</w:t>
            </w:r>
            <w:r>
              <w:rPr>
                <w:rFonts w:hint="eastAsia" w:ascii="Times New Roman" w:hAnsi="Times New Roman" w:eastAsia="宋体" w:cs="Times New Roman"/>
                <w:sz w:val="21"/>
                <w:highlight w:val="none"/>
                <w:vertAlign w:val="superscript"/>
                <w:lang w:val="en-US" w:eastAsia="zh-CN"/>
              </w:rPr>
              <w:t>2</w:t>
            </w:r>
          </w:p>
        </w:tc>
        <w:tc>
          <w:tcPr>
            <w:tcW w:w="773" w:type="dxa"/>
            <w:gridSpan w:val="2"/>
            <w:vAlign w:val="top"/>
          </w:tcPr>
          <w:p>
            <w:pPr>
              <w:spacing w:before="80" w:line="226"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6" w:line="195" w:lineRule="auto"/>
              <w:ind w:left="361"/>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14</w:t>
            </w:r>
          </w:p>
        </w:tc>
        <w:tc>
          <w:tcPr>
            <w:tcW w:w="3008" w:type="dxa"/>
            <w:gridSpan w:val="2"/>
            <w:tcBorders>
              <w:right w:val="single" w:color="000000" w:sz="10" w:space="0"/>
            </w:tcBorders>
            <w:vAlign w:val="top"/>
          </w:tcPr>
          <w:p>
            <w:pPr>
              <w:spacing w:before="80" w:line="226" w:lineRule="auto"/>
              <w:ind w:left="776"/>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82" w:line="224" w:lineRule="auto"/>
              <w:ind w:left="173"/>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三</w:t>
            </w:r>
          </w:p>
        </w:tc>
        <w:tc>
          <w:tcPr>
            <w:tcW w:w="7949" w:type="dxa"/>
            <w:gridSpan w:val="10"/>
            <w:tcBorders>
              <w:right w:val="single" w:color="000000" w:sz="10" w:space="0"/>
            </w:tcBorders>
            <w:vAlign w:val="top"/>
          </w:tcPr>
          <w:p>
            <w:pPr>
              <w:spacing w:before="82" w:line="224" w:lineRule="auto"/>
              <w:ind w:left="376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12" w:hRule="atLeast"/>
        </w:trPr>
        <w:tc>
          <w:tcPr>
            <w:tcW w:w="577" w:type="dxa"/>
            <w:gridSpan w:val="2"/>
            <w:tcBorders>
              <w:left w:val="single" w:color="000000" w:sz="10" w:space="0"/>
            </w:tcBorders>
            <w:vAlign w:val="top"/>
          </w:tcPr>
          <w:p>
            <w:pPr>
              <w:spacing w:before="150" w:line="195" w:lineRule="auto"/>
              <w:ind w:left="16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31</w:t>
            </w:r>
          </w:p>
        </w:tc>
        <w:tc>
          <w:tcPr>
            <w:tcW w:w="1369" w:type="dxa"/>
            <w:gridSpan w:val="2"/>
            <w:vAlign w:val="top"/>
          </w:tcPr>
          <w:p>
            <w:pPr>
              <w:spacing w:before="102" w:line="228"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化</w:t>
            </w:r>
            <w:r>
              <w:rPr>
                <w:rFonts w:hint="default" w:ascii="Times New Roman" w:hAnsi="Times New Roman" w:eastAsia="宋体" w:cs="Times New Roman"/>
                <w:spacing w:val="6"/>
                <w:sz w:val="20"/>
                <w:szCs w:val="20"/>
                <w:highlight w:val="none"/>
              </w:rPr>
              <w:t>粪池</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center"/>
          </w:tcPr>
          <w:p>
            <w:pPr>
              <w:jc w:val="center"/>
              <w:rPr>
                <w:rFonts w:hint="default" w:ascii="Times New Roman" w:hAnsi="Times New Roman" w:cs="Times New Roman"/>
                <w:sz w:val="21"/>
                <w:highlight w:val="none"/>
              </w:rPr>
            </w:pPr>
            <w:r>
              <w:rPr>
                <w:rFonts w:hint="default" w:ascii="Times New Roman" w:hAnsi="Times New Roman" w:eastAsia="宋体" w:cs="Times New Roman"/>
                <w:sz w:val="20"/>
                <w:szCs w:val="20"/>
                <w:highlight w:val="none"/>
              </w:rPr>
              <w:t>座</w:t>
            </w:r>
          </w:p>
        </w:tc>
        <w:tc>
          <w:tcPr>
            <w:tcW w:w="779" w:type="dxa"/>
            <w:gridSpan w:val="2"/>
            <w:vAlign w:val="top"/>
          </w:tcPr>
          <w:p>
            <w:pPr>
              <w:spacing w:before="138" w:line="195" w:lineRule="auto"/>
              <w:ind w:left="36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12" w:hRule="atLeast"/>
        </w:trPr>
        <w:tc>
          <w:tcPr>
            <w:tcW w:w="577" w:type="dxa"/>
            <w:gridSpan w:val="2"/>
            <w:tcBorders>
              <w:left w:val="single" w:color="000000" w:sz="10" w:space="0"/>
            </w:tcBorders>
            <w:vAlign w:val="top"/>
          </w:tcPr>
          <w:p>
            <w:pPr>
              <w:spacing w:before="150" w:line="195" w:lineRule="auto"/>
              <w:ind w:left="169"/>
              <w:rPr>
                <w:rFonts w:hint="default" w:ascii="Times New Roman" w:hAnsi="Times New Roman" w:eastAsia="宋体" w:cs="Times New Roman"/>
                <w:spacing w:val="3"/>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32</w:t>
            </w:r>
          </w:p>
        </w:tc>
        <w:tc>
          <w:tcPr>
            <w:tcW w:w="1369" w:type="dxa"/>
            <w:gridSpan w:val="2"/>
            <w:vAlign w:val="top"/>
          </w:tcPr>
          <w:p>
            <w:pPr>
              <w:spacing w:before="102" w:line="228" w:lineRule="auto"/>
              <w:ind w:left="365"/>
              <w:rPr>
                <w:rFonts w:hint="eastAsia" w:ascii="Times New Roman" w:hAnsi="Times New Roman" w:eastAsia="宋体" w:cs="Times New Roman"/>
                <w:spacing w:val="7"/>
                <w:sz w:val="20"/>
                <w:szCs w:val="20"/>
                <w:highlight w:val="none"/>
                <w:lang w:val="en-US" w:eastAsia="zh-CN"/>
              </w:rPr>
            </w:pPr>
            <w:r>
              <w:rPr>
                <w:rFonts w:hint="eastAsia" w:ascii="Times New Roman" w:hAnsi="Times New Roman" w:eastAsia="宋体" w:cs="Times New Roman"/>
                <w:spacing w:val="7"/>
                <w:sz w:val="20"/>
                <w:szCs w:val="20"/>
                <w:highlight w:val="none"/>
                <w:lang w:val="en-US" w:eastAsia="zh-CN"/>
              </w:rPr>
              <w:t>湿扫车</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center"/>
          </w:tcPr>
          <w:p>
            <w:pPr>
              <w:jc w:val="center"/>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辆</w:t>
            </w:r>
          </w:p>
        </w:tc>
        <w:tc>
          <w:tcPr>
            <w:tcW w:w="779" w:type="dxa"/>
            <w:gridSpan w:val="2"/>
            <w:vAlign w:val="top"/>
          </w:tcPr>
          <w:p>
            <w:pPr>
              <w:spacing w:before="138" w:line="195" w:lineRule="auto"/>
              <w:ind w:left="361"/>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12" w:hRule="atLeast"/>
        </w:trPr>
        <w:tc>
          <w:tcPr>
            <w:tcW w:w="577" w:type="dxa"/>
            <w:gridSpan w:val="2"/>
            <w:tcBorders>
              <w:left w:val="single" w:color="000000" w:sz="10" w:space="0"/>
            </w:tcBorders>
            <w:vAlign w:val="top"/>
          </w:tcPr>
          <w:p>
            <w:pPr>
              <w:spacing w:before="150" w:line="195" w:lineRule="auto"/>
              <w:ind w:left="169"/>
              <w:rPr>
                <w:rFonts w:hint="default" w:ascii="Times New Roman" w:hAnsi="Times New Roman" w:eastAsia="宋体" w:cs="Times New Roman"/>
                <w:spacing w:val="3"/>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33</w:t>
            </w:r>
          </w:p>
        </w:tc>
        <w:tc>
          <w:tcPr>
            <w:tcW w:w="1369" w:type="dxa"/>
            <w:gridSpan w:val="2"/>
            <w:vAlign w:val="top"/>
          </w:tcPr>
          <w:p>
            <w:pPr>
              <w:spacing w:before="102" w:line="228" w:lineRule="auto"/>
              <w:ind w:left="365"/>
              <w:rPr>
                <w:rFonts w:hint="eastAsia" w:ascii="Times New Roman" w:hAnsi="Times New Roman" w:eastAsia="宋体" w:cs="Times New Roman"/>
                <w:spacing w:val="7"/>
                <w:sz w:val="20"/>
                <w:szCs w:val="20"/>
                <w:highlight w:val="none"/>
                <w:lang w:val="en-US" w:eastAsia="zh-CN"/>
              </w:rPr>
            </w:pPr>
            <w:r>
              <w:rPr>
                <w:rFonts w:hint="eastAsia" w:ascii="Times New Roman" w:hAnsi="Times New Roman" w:eastAsia="宋体" w:cs="Times New Roman"/>
                <w:spacing w:val="7"/>
                <w:sz w:val="20"/>
                <w:szCs w:val="20"/>
                <w:highlight w:val="none"/>
                <w:lang w:val="en-US" w:eastAsia="zh-CN"/>
              </w:rPr>
              <w:t>洒水车</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center"/>
          </w:tcPr>
          <w:p>
            <w:pPr>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0"/>
                <w:highlight w:val="none"/>
                <w:lang w:val="en-US" w:eastAsia="zh-CN"/>
              </w:rPr>
              <w:t>辆</w:t>
            </w:r>
          </w:p>
        </w:tc>
        <w:tc>
          <w:tcPr>
            <w:tcW w:w="779" w:type="dxa"/>
            <w:gridSpan w:val="2"/>
            <w:vAlign w:val="top"/>
          </w:tcPr>
          <w:p>
            <w:pPr>
              <w:spacing w:before="138" w:line="195" w:lineRule="auto"/>
              <w:ind w:left="361" w:leftChars="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bl>
    <w:p>
      <w:pPr>
        <w:spacing w:line="245" w:lineRule="auto"/>
        <w:rPr>
          <w:rFonts w:hint="default" w:ascii="Times New Roman" w:hAnsi="Times New Roman" w:cs="Times New Roman"/>
          <w:sz w:val="21"/>
          <w:highlight w:val="none"/>
        </w:rPr>
      </w:pPr>
    </w:p>
    <w:p>
      <w:pPr>
        <w:spacing w:before="75" w:line="228" w:lineRule="auto"/>
        <w:ind w:left="124"/>
        <w:outlineLvl w:val="2"/>
        <w:rPr>
          <w:rFonts w:hint="default" w:ascii="Times New Roman" w:hAnsi="Times New Roman" w:eastAsia="宋体" w:cs="Times New Roman"/>
          <w:sz w:val="23"/>
          <w:szCs w:val="23"/>
          <w:highlight w:val="none"/>
        </w:rPr>
      </w:pPr>
      <w:bookmarkStart w:id="141" w:name="_Toc32248"/>
      <w:bookmarkStart w:id="142" w:name="_Toc13901"/>
      <w:bookmarkStart w:id="143" w:name="_Toc23156"/>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1</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5</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现有工程</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给、排水情况</w:t>
      </w:r>
      <w:bookmarkEnd w:id="141"/>
      <w:bookmarkEnd w:id="142"/>
      <w:bookmarkEnd w:id="143"/>
    </w:p>
    <w:p>
      <w:pPr>
        <w:spacing w:line="257" w:lineRule="auto"/>
        <w:rPr>
          <w:rFonts w:hint="default" w:ascii="Times New Roman" w:hAnsi="Times New Roman" w:cs="Times New Roman"/>
          <w:sz w:val="21"/>
          <w:highlight w:val="none"/>
        </w:rPr>
      </w:pPr>
    </w:p>
    <w:p>
      <w:pPr>
        <w:tabs>
          <w:tab w:val="left" w:pos="256"/>
        </w:tabs>
        <w:spacing w:before="74" w:line="404" w:lineRule="auto"/>
        <w:ind w:left="131" w:right="111" w:firstLine="490"/>
        <w:jc w:val="both"/>
        <w:rPr>
          <w:rFonts w:hint="default" w:ascii="Times New Roman" w:hAnsi="Times New Roman" w:cs="Times New Roman"/>
          <w:sz w:val="21"/>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1</w:t>
      </w:r>
      <w:r>
        <w:rPr>
          <w:rFonts w:hint="default" w:ascii="Times New Roman" w:hAnsi="Times New Roman" w:eastAsia="宋体" w:cs="Times New Roman"/>
          <w:spacing w:val="13"/>
          <w:sz w:val="23"/>
          <w:szCs w:val="23"/>
          <w:highlight w:val="none"/>
        </w:rPr>
        <w:t>) 给水：供水水源为自备地下水井，能够满足生活、生产用水需</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要 。</w:t>
      </w:r>
      <w:r>
        <w:rPr>
          <w:rFonts w:hint="eastAsia" w:ascii="Times New Roman" w:hAnsi="Times New Roman" w:eastAsia="宋体" w:cs="Times New Roman"/>
          <w:spacing w:val="6"/>
          <w:sz w:val="23"/>
          <w:szCs w:val="23"/>
          <w:highlight w:val="none"/>
          <w:lang w:val="en-US" w:eastAsia="zh-CN"/>
        </w:rPr>
        <w:t>现有</w:t>
      </w:r>
      <w:r>
        <w:rPr>
          <w:rFonts w:hint="default" w:ascii="Times New Roman" w:hAnsi="Times New Roman" w:eastAsia="宋体" w:cs="Times New Roman"/>
          <w:spacing w:val="6"/>
          <w:sz w:val="23"/>
          <w:szCs w:val="23"/>
          <w:highlight w:val="none"/>
        </w:rPr>
        <w:t>总用水量为</w:t>
      </w:r>
      <w:r>
        <w:rPr>
          <w:rFonts w:hint="default" w:ascii="Times New Roman" w:hAnsi="Times New Roman" w:eastAsia="Times New Roman" w:cs="Times New Roman"/>
          <w:spacing w:val="6"/>
          <w:sz w:val="23"/>
          <w:szCs w:val="23"/>
          <w:highlight w:val="none"/>
        </w:rPr>
        <w:t>2686.5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8"/>
          <w:sz w:val="15"/>
          <w:szCs w:val="15"/>
          <w:highlight w:val="none"/>
        </w:rPr>
        <w:t>3</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w:t>
      </w:r>
      <w:r>
        <w:rPr>
          <w:rFonts w:hint="default" w:ascii="Times New Roman" w:hAnsi="Times New Roman" w:eastAsia="Times New Roman" w:cs="Times New Roman"/>
          <w:spacing w:val="6"/>
          <w:sz w:val="23"/>
          <w:szCs w:val="23"/>
          <w:highlight w:val="none"/>
        </w:rPr>
        <w:t>805950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8"/>
          <w:sz w:val="15"/>
          <w:szCs w:val="15"/>
          <w:highlight w:val="none"/>
        </w:rPr>
        <w:t>3</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 ，其中新水用量为</w:t>
      </w:r>
      <w:r>
        <w:rPr>
          <w:rFonts w:hint="default" w:ascii="Times New Roman" w:hAnsi="Times New Roman" w:eastAsia="Times New Roman" w:cs="Times New Roman"/>
          <w:spacing w:val="6"/>
          <w:sz w:val="23"/>
          <w:szCs w:val="23"/>
          <w:highlight w:val="none"/>
        </w:rPr>
        <w:t>233.3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8"/>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 xml:space="preserve">d </w:t>
      </w:r>
      <w:r>
        <w:rPr>
          <w:rFonts w:hint="default" w:ascii="Times New Roman" w:hAnsi="Times New Roman" w:eastAsia="宋体" w:cs="Times New Roman"/>
          <w:sz w:val="23"/>
          <w:szCs w:val="23"/>
          <w:highlight w:val="none"/>
        </w:rPr>
        <w:tab/>
      </w:r>
      <w:r>
        <w:rPr>
          <w:rFonts w:hint="default" w:ascii="Times New Roman" w:hAnsi="Times New Roman" w:eastAsia="宋体" w:cs="Times New Roman"/>
          <w:spacing w:val="2"/>
          <w:sz w:val="23"/>
          <w:szCs w:val="23"/>
          <w:highlight w:val="none"/>
        </w:rPr>
        <w:t>(</w:t>
      </w:r>
      <w:r>
        <w:rPr>
          <w:rFonts w:hint="default" w:ascii="Times New Roman" w:hAnsi="Times New Roman" w:eastAsia="Times New Roman" w:cs="Times New Roman"/>
          <w:spacing w:val="2"/>
          <w:sz w:val="23"/>
          <w:szCs w:val="23"/>
          <w:highlight w:val="none"/>
        </w:rPr>
        <w:t>6999</w:t>
      </w:r>
      <w:r>
        <w:rPr>
          <w:rFonts w:hint="default" w:ascii="Times New Roman" w:hAnsi="Times New Roman" w:eastAsia="Times New Roman" w:cs="Times New Roman"/>
          <w:spacing w:val="1"/>
          <w:sz w:val="23"/>
          <w:szCs w:val="23"/>
          <w:highlight w:val="none"/>
        </w:rPr>
        <w:t>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 ，循环水量为 </w:t>
      </w:r>
      <w:r>
        <w:rPr>
          <w:rFonts w:hint="default" w:ascii="Times New Roman" w:hAnsi="Times New Roman" w:eastAsia="Times New Roman" w:cs="Times New Roman"/>
          <w:spacing w:val="1"/>
          <w:sz w:val="23"/>
          <w:szCs w:val="23"/>
          <w:highlight w:val="none"/>
        </w:rPr>
        <w:t>2453.2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pacing w:val="1"/>
          <w:sz w:val="23"/>
          <w:szCs w:val="23"/>
          <w:highlight w:val="none"/>
        </w:rPr>
        <w:t>735960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w:t>
      </w:r>
      <w:r>
        <w:rPr>
          <w:rFonts w:hint="default" w:ascii="Times New Roman" w:hAnsi="Times New Roman" w:cs="Times New Roman"/>
          <w:highlight w:val="none"/>
        </w:rPr>
        <w:pict>
          <v:shape id="_x0000_s1093" o:spid="_x0000_s1093" style="position:absolute;left:0pt;margin-left:89.85pt;margin-top:60.75pt;height:0.75pt;width:415.65pt;mso-position-horizontal-relative:page;mso-position-vertical-relative:page;z-index:251683840;mso-width-relative:page;mso-height-relative:page;" fillcolor="#000000" filled="t" stroked="f" coordsize="8312,15" o:allowincell="f" path="m0,0l8312,0,8312,14,0,14,0,0xe">
            <v:path/>
            <v:fill on="t" focussize="0,0"/>
            <v:stroke on="f"/>
            <v:imagedata o:title=""/>
            <o:lock v:ext="edit"/>
          </v:shape>
        </w:pict>
      </w:r>
    </w:p>
    <w:p>
      <w:pPr>
        <w:tabs>
          <w:tab w:val="left" w:pos="187"/>
        </w:tabs>
        <w:spacing w:before="75" w:line="401" w:lineRule="auto"/>
        <w:ind w:left="63" w:firstLine="47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
          <w:sz w:val="23"/>
          <w:szCs w:val="23"/>
          <w:highlight w:val="none"/>
        </w:rPr>
        <w:t xml:space="preserve">①生产用水量 </w:t>
      </w:r>
      <w:r>
        <w:rPr>
          <w:rFonts w:hint="default" w:ascii="Times New Roman" w:hAnsi="Times New Roman" w:eastAsia="Times New Roman" w:cs="Times New Roman"/>
          <w:spacing w:val="1"/>
          <w:sz w:val="23"/>
          <w:szCs w:val="23"/>
          <w:highlight w:val="none"/>
        </w:rPr>
        <w:t>2678. 1</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pacing w:val="1"/>
          <w:sz w:val="23"/>
          <w:szCs w:val="23"/>
          <w:highlight w:val="none"/>
        </w:rPr>
        <w:t>80343</w:t>
      </w:r>
      <w:r>
        <w:rPr>
          <w:rFonts w:hint="default" w:ascii="Times New Roman" w:hAnsi="Times New Roman" w:eastAsia="Times New Roman" w:cs="Times New Roman"/>
          <w:sz w:val="23"/>
          <w:szCs w:val="23"/>
          <w:highlight w:val="none"/>
        </w:rPr>
        <w:t>0m</w:t>
      </w:r>
      <w:r>
        <w:rPr>
          <w:rFonts w:hint="default" w:ascii="Times New Roman" w:hAnsi="Times New Roman" w:eastAsia="Times New Roman" w:cs="Times New Roman"/>
          <w:position w:val="7"/>
          <w:sz w:val="15"/>
          <w:szCs w:val="15"/>
          <w:highlight w:val="none"/>
        </w:rPr>
        <w:t>3</w:t>
      </w:r>
      <w:r>
        <w:rPr>
          <w:rFonts w:hint="default" w:ascii="Times New Roman" w:hAnsi="Times New Roman" w:eastAsia="Times New Roman" w:cs="Times New Roman"/>
          <w:sz w:val="23"/>
          <w:szCs w:val="23"/>
          <w:highlight w:val="none"/>
        </w:rPr>
        <w:t xml:space="preserve">/a </w:t>
      </w:r>
      <w:r>
        <w:rPr>
          <w:rFonts w:hint="default" w:ascii="Times New Roman" w:hAnsi="Times New Roman" w:eastAsia="宋体" w:cs="Times New Roman"/>
          <w:sz w:val="23"/>
          <w:szCs w:val="23"/>
          <w:highlight w:val="none"/>
        </w:rPr>
        <w:t xml:space="preserve">) ，主要用于球磨、磁选等工序， </w:t>
      </w:r>
      <w:r>
        <w:rPr>
          <w:rFonts w:hint="default" w:ascii="Times New Roman" w:hAnsi="Times New Roman" w:eastAsia="宋体" w:cs="Times New Roman"/>
          <w:spacing w:val="4"/>
          <w:sz w:val="23"/>
          <w:szCs w:val="23"/>
          <w:highlight w:val="none"/>
        </w:rPr>
        <w:t>其中循环用水</w:t>
      </w:r>
      <w:r>
        <w:rPr>
          <w:rFonts w:hint="default" w:ascii="Times New Roman" w:hAnsi="Times New Roman" w:eastAsia="Times New Roman" w:cs="Times New Roman"/>
          <w:spacing w:val="4"/>
          <w:sz w:val="23"/>
          <w:szCs w:val="23"/>
          <w:highlight w:val="none"/>
        </w:rPr>
        <w:t>2451.</w:t>
      </w:r>
      <w:r>
        <w:rPr>
          <w:rFonts w:hint="default" w:ascii="Times New Roman" w:hAnsi="Times New Roman" w:eastAsia="Times New Roman" w:cs="Times New Roman"/>
          <w:spacing w:val="3"/>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position w:val="8"/>
          <w:sz w:val="15"/>
          <w:szCs w:val="15"/>
          <w:highlight w:val="none"/>
        </w:rPr>
        <w:t>3</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w:t>
      </w:r>
      <w:r>
        <w:rPr>
          <w:rFonts w:hint="default" w:ascii="Times New Roman" w:hAnsi="Times New Roman" w:eastAsia="Times New Roman" w:cs="Times New Roman"/>
          <w:spacing w:val="2"/>
          <w:sz w:val="23"/>
          <w:szCs w:val="23"/>
          <w:highlight w:val="none"/>
        </w:rPr>
        <w:t>735360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position w:val="8"/>
          <w:sz w:val="15"/>
          <w:szCs w:val="15"/>
          <w:highlight w:val="none"/>
        </w:rPr>
        <w:t>3</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 ，球磨和磁选工序补充新鲜水</w:t>
      </w:r>
      <w:r>
        <w:rPr>
          <w:rFonts w:hint="default" w:ascii="Times New Roman" w:hAnsi="Times New Roman" w:eastAsia="Times New Roman" w:cs="Times New Roman"/>
          <w:spacing w:val="2"/>
          <w:sz w:val="23"/>
          <w:szCs w:val="23"/>
          <w:highlight w:val="none"/>
        </w:rPr>
        <w:t>226.9</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position w:val="8"/>
          <w:sz w:val="15"/>
          <w:szCs w:val="15"/>
          <w:highlight w:val="none"/>
        </w:rPr>
        <w:t>3</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 xml:space="preserve">d </w:t>
      </w:r>
      <w:r>
        <w:rPr>
          <w:rFonts w:hint="default" w:ascii="Times New Roman" w:hAnsi="Times New Roman" w:eastAsia="宋体" w:cs="Times New Roman"/>
          <w:sz w:val="23"/>
          <w:szCs w:val="23"/>
          <w:highlight w:val="none"/>
        </w:rPr>
        <w:tab/>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pacing w:val="1"/>
          <w:sz w:val="23"/>
          <w:szCs w:val="23"/>
          <w:highlight w:val="none"/>
        </w:rPr>
        <w:t>68070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 ，循环利用率约 </w:t>
      </w:r>
      <w:r>
        <w:rPr>
          <w:rFonts w:hint="default" w:ascii="Times New Roman" w:hAnsi="Times New Roman" w:eastAsia="Times New Roman" w:cs="Times New Roman"/>
          <w:spacing w:val="1"/>
          <w:sz w:val="23"/>
          <w:szCs w:val="23"/>
          <w:highlight w:val="none"/>
        </w:rPr>
        <w:t>91.5%</w:t>
      </w:r>
      <w:r>
        <w:rPr>
          <w:rFonts w:hint="default" w:ascii="Times New Roman" w:hAnsi="Times New Roman" w:eastAsia="宋体" w:cs="Times New Roman"/>
          <w:spacing w:val="1"/>
          <w:sz w:val="23"/>
          <w:szCs w:val="23"/>
          <w:highlight w:val="none"/>
        </w:rPr>
        <w:t>。</w:t>
      </w:r>
    </w:p>
    <w:p>
      <w:pPr>
        <w:spacing w:before="1" w:line="401" w:lineRule="auto"/>
        <w:ind w:left="73" w:right="67" w:firstLine="466"/>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3"/>
          <w:sz w:val="23"/>
          <w:szCs w:val="23"/>
          <w:highlight w:val="none"/>
        </w:rPr>
        <w:t>②</w:t>
      </w:r>
      <w:r>
        <w:rPr>
          <w:rFonts w:hint="default" w:ascii="Times New Roman" w:hAnsi="Times New Roman" w:eastAsia="宋体" w:cs="Times New Roman"/>
          <w:spacing w:val="16"/>
          <w:sz w:val="23"/>
          <w:szCs w:val="23"/>
          <w:highlight w:val="none"/>
        </w:rPr>
        <w:t>喷雾抑尘用水：喷雾抑尘用水为</w:t>
      </w:r>
      <w:r>
        <w:rPr>
          <w:rFonts w:hint="default" w:ascii="Times New Roman" w:hAnsi="Times New Roman" w:eastAsia="Times New Roman" w:cs="Times New Roman"/>
          <w:spacing w:val="16"/>
          <w:sz w:val="23"/>
          <w:szCs w:val="23"/>
          <w:highlight w:val="none"/>
        </w:rPr>
        <w:t>3.9</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6"/>
          <w:position w:val="8"/>
          <w:sz w:val="15"/>
          <w:szCs w:val="15"/>
          <w:highlight w:val="none"/>
        </w:rPr>
        <w:t>3</w:t>
      </w:r>
      <w:r>
        <w:rPr>
          <w:rFonts w:hint="default" w:ascii="Times New Roman" w:hAnsi="Times New Roman" w:eastAsia="Times New Roman" w:cs="Times New Roman"/>
          <w:spacing w:val="16"/>
          <w:sz w:val="23"/>
          <w:szCs w:val="23"/>
          <w:highlight w:val="none"/>
        </w:rPr>
        <w:t>/</w:t>
      </w:r>
      <w:r>
        <w:rPr>
          <w:rFonts w:hint="default" w:ascii="Times New Roman" w:hAnsi="Times New Roman" w:eastAsia="Times New Roman" w:cs="Times New Roman"/>
          <w:sz w:val="23"/>
          <w:szCs w:val="23"/>
          <w:highlight w:val="none"/>
        </w:rPr>
        <w:t xml:space="preserve">d </w:t>
      </w: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8"/>
          <w:sz w:val="23"/>
          <w:szCs w:val="23"/>
          <w:highlight w:val="none"/>
        </w:rPr>
        <w:t>1</w:t>
      </w:r>
      <w:r>
        <w:rPr>
          <w:rFonts w:hint="default" w:ascii="Times New Roman" w:hAnsi="Times New Roman" w:eastAsia="Times New Roman" w:cs="Times New Roman"/>
          <w:spacing w:val="7"/>
          <w:sz w:val="23"/>
          <w:szCs w:val="23"/>
          <w:highlight w:val="none"/>
        </w:rPr>
        <w:t>170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position w:val="7"/>
          <w:sz w:val="15"/>
          <w:szCs w:val="15"/>
          <w:highlight w:val="none"/>
        </w:rPr>
        <w:t>3</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 。</w:t>
      </w:r>
    </w:p>
    <w:p>
      <w:pPr>
        <w:tabs>
          <w:tab w:val="left" w:pos="187"/>
        </w:tabs>
        <w:spacing w:before="2" w:line="404" w:lineRule="auto"/>
        <w:ind w:left="58" w:firstLine="48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③</w:t>
      </w:r>
      <w:r>
        <w:rPr>
          <w:rFonts w:hint="default" w:ascii="Times New Roman" w:hAnsi="Times New Roman" w:eastAsia="宋体" w:cs="Times New Roman"/>
          <w:spacing w:val="7"/>
          <w:sz w:val="23"/>
          <w:szCs w:val="23"/>
          <w:highlight w:val="none"/>
        </w:rPr>
        <w:t xml:space="preserve">厂区出入口设置洗车平台清洗运输车辆，车辆冲洗用水量为 </w:t>
      </w:r>
      <w:r>
        <w:rPr>
          <w:rFonts w:hint="default" w:ascii="Times New Roman" w:hAnsi="Times New Roman" w:eastAsia="Times New Roman" w:cs="Times New Roman"/>
          <w:spacing w:val="7"/>
          <w:sz w:val="23"/>
          <w:szCs w:val="23"/>
          <w:highlight w:val="none"/>
        </w:rPr>
        <w:t>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position w:val="7"/>
          <w:sz w:val="15"/>
          <w:szCs w:val="15"/>
          <w:highlight w:val="none"/>
        </w:rPr>
        <w:t>3</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 xml:space="preserve">d </w:t>
      </w:r>
      <w:r>
        <w:rPr>
          <w:rFonts w:hint="default" w:ascii="Times New Roman" w:hAnsi="Times New Roman" w:eastAsia="宋体" w:cs="Times New Roman"/>
          <w:sz w:val="23"/>
          <w:szCs w:val="23"/>
          <w:highlight w:val="none"/>
        </w:rPr>
        <w:tab/>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900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position w:val="8"/>
          <w:sz w:val="15"/>
          <w:szCs w:val="15"/>
          <w:highlight w:val="none"/>
        </w:rPr>
        <w:t>3</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 ，洗车平台四周应设置防溢座，洗车过程中产生的经废水导流渠</w:t>
      </w:r>
      <w:r>
        <w:rPr>
          <w:rFonts w:hint="default" w:ascii="Times New Roman" w:hAnsi="Times New Roman" w:eastAsia="宋体" w:cs="Times New Roman"/>
          <w:spacing w:val="7"/>
          <w:sz w:val="23"/>
          <w:szCs w:val="23"/>
          <w:highlight w:val="none"/>
        </w:rPr>
        <w:t>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入沉淀池内</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5"/>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×2.5</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5"/>
          <w:sz w:val="23"/>
          <w:szCs w:val="23"/>
          <w:highlight w:val="none"/>
        </w:rPr>
        <w:t>)，经沉淀后的洗车废水流入清水池内(</w:t>
      </w:r>
      <w:r>
        <w:rPr>
          <w:rFonts w:hint="default" w:ascii="Times New Roman" w:hAnsi="Times New Roman" w:eastAsia="Times New Roman" w:cs="Times New Roman"/>
          <w:spacing w:val="5"/>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×2.5</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5"/>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 xml:space="preserve">清洗及沉淀过程随车辆带走及蒸发损耗水量为 </w:t>
      </w:r>
      <w:r>
        <w:rPr>
          <w:rFonts w:hint="default" w:ascii="Times New Roman" w:hAnsi="Times New Roman" w:eastAsia="Times New Roman" w:cs="Times New Roman"/>
          <w:spacing w:val="9"/>
          <w:sz w:val="23"/>
          <w:szCs w:val="23"/>
          <w:highlight w:val="none"/>
        </w:rPr>
        <w:t>1.0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position w:val="7"/>
          <w:sz w:val="15"/>
          <w:szCs w:val="15"/>
          <w:highlight w:val="none"/>
        </w:rPr>
        <w:t>3</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 xml:space="preserve">300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position w:val="7"/>
          <w:sz w:val="15"/>
          <w:szCs w:val="15"/>
          <w:highlight w:val="none"/>
        </w:rPr>
        <w:t>3</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 ，循环水</w:t>
      </w:r>
      <w:r>
        <w:rPr>
          <w:rFonts w:hint="default" w:ascii="Times New Roman" w:hAnsi="Times New Roman" w:eastAsia="宋体" w:cs="Times New Roman"/>
          <w:spacing w:val="7"/>
          <w:sz w:val="23"/>
          <w:szCs w:val="23"/>
          <w:highlight w:val="none"/>
        </w:rPr>
        <w:t>量</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2"/>
          <w:sz w:val="23"/>
          <w:szCs w:val="23"/>
          <w:highlight w:val="none"/>
        </w:rPr>
        <w:t>2.0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position w:val="7"/>
          <w:sz w:val="15"/>
          <w:szCs w:val="15"/>
          <w:highlight w:val="none"/>
        </w:rPr>
        <w:t>3</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w:t>
      </w:r>
      <w:r>
        <w:rPr>
          <w:rFonts w:hint="default" w:ascii="Times New Roman" w:hAnsi="Times New Roman" w:eastAsia="Times New Roman" w:cs="Times New Roman"/>
          <w:spacing w:val="2"/>
          <w:sz w:val="23"/>
          <w:szCs w:val="23"/>
          <w:highlight w:val="none"/>
        </w:rPr>
        <w:t>600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position w:val="7"/>
          <w:sz w:val="15"/>
          <w:szCs w:val="15"/>
          <w:highlight w:val="none"/>
        </w:rPr>
        <w:t>3</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 ，补充新水量 </w:t>
      </w:r>
      <w:r>
        <w:rPr>
          <w:rFonts w:hint="default" w:ascii="Times New Roman" w:hAnsi="Times New Roman" w:eastAsia="Times New Roman" w:cs="Times New Roman"/>
          <w:spacing w:val="1"/>
          <w:sz w:val="23"/>
          <w:szCs w:val="23"/>
          <w:highlight w:val="none"/>
        </w:rPr>
        <w:t>1.0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pacing w:val="1"/>
          <w:sz w:val="23"/>
          <w:szCs w:val="23"/>
          <w:highlight w:val="none"/>
        </w:rPr>
        <w:t xml:space="preserve">300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w:t>
      </w:r>
    </w:p>
    <w:p>
      <w:pPr>
        <w:spacing w:before="3" w:line="388" w:lineRule="auto"/>
        <w:ind w:left="64" w:right="68" w:firstLine="47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④</w:t>
      </w:r>
      <w:r>
        <w:rPr>
          <w:rFonts w:hint="default" w:ascii="Times New Roman" w:hAnsi="Times New Roman" w:eastAsia="宋体" w:cs="Times New Roman"/>
          <w:spacing w:val="7"/>
          <w:sz w:val="23"/>
          <w:szCs w:val="23"/>
          <w:highlight w:val="none"/>
        </w:rPr>
        <w:t>生活用水主要为职工日常用水，</w:t>
      </w:r>
      <w:r>
        <w:rPr>
          <w:rFonts w:hint="default" w:ascii="Times New Roman" w:hAnsi="Times New Roman" w:eastAsia="宋体" w:cs="Times New Roman"/>
          <w:spacing w:val="3"/>
          <w:sz w:val="23"/>
          <w:szCs w:val="23"/>
          <w:highlight w:val="none"/>
        </w:rPr>
        <w:t xml:space="preserve">用水量为 </w:t>
      </w:r>
      <w:r>
        <w:rPr>
          <w:rFonts w:hint="default" w:ascii="Times New Roman" w:hAnsi="Times New Roman" w:eastAsia="Times New Roman" w:cs="Times New Roman"/>
          <w:spacing w:val="3"/>
          <w:sz w:val="23"/>
          <w:szCs w:val="23"/>
          <w:highlight w:val="none"/>
        </w:rPr>
        <w:t>1.5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position w:val="7"/>
          <w:sz w:val="15"/>
          <w:szCs w:val="15"/>
          <w:highlight w:val="none"/>
        </w:rPr>
        <w:t>3</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w:t>
      </w:r>
      <w:r>
        <w:rPr>
          <w:rFonts w:hint="default" w:ascii="Times New Roman" w:hAnsi="Times New Roman" w:eastAsia="Times New Roman" w:cs="Times New Roman"/>
          <w:spacing w:val="3"/>
          <w:sz w:val="23"/>
          <w:szCs w:val="23"/>
          <w:highlight w:val="none"/>
        </w:rPr>
        <w:t>450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position w:val="7"/>
          <w:sz w:val="15"/>
          <w:szCs w:val="15"/>
          <w:highlight w:val="none"/>
        </w:rPr>
        <w:t>3</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 。</w:t>
      </w:r>
    </w:p>
    <w:p>
      <w:pPr>
        <w:spacing w:line="405" w:lineRule="auto"/>
        <w:ind w:left="62" w:right="42" w:firstLine="49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2</w:t>
      </w:r>
      <w:r>
        <w:rPr>
          <w:rFonts w:hint="default" w:ascii="Times New Roman" w:hAnsi="Times New Roman" w:eastAsia="宋体" w:cs="Times New Roman"/>
          <w:spacing w:val="13"/>
          <w:sz w:val="23"/>
          <w:szCs w:val="23"/>
          <w:highlight w:val="none"/>
        </w:rPr>
        <w:t>) 排水：生产用水全部循环使用不外排；喷雾抑尘用水全部进入原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料中蒸发损耗，不外排；车辆冲洗水排入沉淀池，经沉淀后循环使用，不外排；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职</w:t>
      </w:r>
      <w:r>
        <w:rPr>
          <w:rFonts w:hint="default" w:ascii="Times New Roman" w:hAnsi="Times New Roman" w:eastAsia="宋体" w:cs="Times New Roman"/>
          <w:spacing w:val="7"/>
          <w:sz w:val="23"/>
          <w:szCs w:val="23"/>
          <w:highlight w:val="none"/>
        </w:rPr>
        <w:t>工生活污水排入化粪池后由环卫部门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定期清掏。因此项目无外排废水。项目给排水情况见表 </w:t>
      </w:r>
      <w:r>
        <w:rPr>
          <w:rFonts w:hint="default" w:ascii="Times New Roman" w:hAnsi="Times New Roman" w:eastAsia="Times New Roman" w:cs="Times New Roman"/>
          <w:spacing w:val="2"/>
          <w:sz w:val="23"/>
          <w:szCs w:val="23"/>
          <w:highlight w:val="none"/>
        </w:rPr>
        <w:t>3</w:t>
      </w:r>
      <w:r>
        <w:rPr>
          <w:rFonts w:hint="default" w:ascii="Times New Roman" w:hAnsi="Times New Roman" w:eastAsia="Times New Roman" w:cs="Times New Roman"/>
          <w:spacing w:val="1"/>
          <w:sz w:val="23"/>
          <w:szCs w:val="23"/>
          <w:highlight w:val="none"/>
        </w:rPr>
        <w:t>.</w:t>
      </w:r>
      <w:r>
        <w:rPr>
          <w:rFonts w:hint="eastAsia" w:ascii="Times New Roman" w:hAnsi="Times New Roman" w:eastAsia="宋体" w:cs="Times New Roman"/>
          <w:spacing w:val="1"/>
          <w:sz w:val="23"/>
          <w:szCs w:val="23"/>
          <w:highlight w:val="none"/>
          <w:lang w:val="en-US" w:eastAsia="zh-CN"/>
        </w:rPr>
        <w:t>1</w:t>
      </w:r>
      <w:r>
        <w:rPr>
          <w:rFonts w:hint="default" w:ascii="Times New Roman" w:hAnsi="Times New Roman" w:eastAsia="Times New Roman" w:cs="Times New Roman"/>
          <w:spacing w:val="1"/>
          <w:sz w:val="23"/>
          <w:szCs w:val="23"/>
          <w:highlight w:val="none"/>
        </w:rPr>
        <w:t xml:space="preserve">- </w:t>
      </w:r>
      <w:r>
        <w:rPr>
          <w:rFonts w:hint="eastAsia" w:ascii="Times New Roman" w:hAnsi="Times New Roman" w:eastAsia="宋体" w:cs="Times New Roman"/>
          <w:spacing w:val="1"/>
          <w:sz w:val="23"/>
          <w:szCs w:val="23"/>
          <w:highlight w:val="none"/>
          <w:lang w:val="en-US" w:eastAsia="zh-CN"/>
        </w:rPr>
        <w:t>5</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及图 </w:t>
      </w:r>
      <w:r>
        <w:rPr>
          <w:rFonts w:hint="default" w:ascii="Times New Roman" w:hAnsi="Times New Roman" w:eastAsia="Times New Roman" w:cs="Times New Roman"/>
          <w:spacing w:val="1"/>
          <w:sz w:val="23"/>
          <w:szCs w:val="23"/>
          <w:highlight w:val="none"/>
        </w:rPr>
        <w:t>3.</w:t>
      </w:r>
      <w:r>
        <w:rPr>
          <w:rFonts w:hint="eastAsia" w:ascii="Times New Roman" w:hAnsi="Times New Roman" w:eastAsia="宋体" w:cs="Times New Roman"/>
          <w:spacing w:val="1"/>
          <w:sz w:val="23"/>
          <w:szCs w:val="23"/>
          <w:highlight w:val="none"/>
          <w:lang w:val="en-US" w:eastAsia="zh-CN"/>
        </w:rPr>
        <w:t>1</w:t>
      </w:r>
      <w:r>
        <w:rPr>
          <w:rFonts w:hint="default" w:ascii="Times New Roman" w:hAnsi="Times New Roman" w:eastAsia="Times New Roman" w:cs="Times New Roman"/>
          <w:spacing w:val="1"/>
          <w:sz w:val="23"/>
          <w:szCs w:val="23"/>
          <w:highlight w:val="none"/>
        </w:rPr>
        <w:t>- 1</w:t>
      </w:r>
      <w:r>
        <w:rPr>
          <w:rFonts w:hint="default" w:ascii="Times New Roman" w:hAnsi="Times New Roman" w:eastAsia="宋体" w:cs="Times New Roman"/>
          <w:spacing w:val="1"/>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0" w:beforeLines="50" w:line="319" w:lineRule="exact"/>
        <w:ind w:left="1928"/>
        <w:textAlignment w:val="baseline"/>
        <w:rPr>
          <w:rFonts w:hint="default" w:ascii="Times New Roman" w:hAnsi="Times New Roman" w:eastAsia="Times New Roman" w:cs="Times New Roman"/>
          <w:sz w:val="23"/>
          <w:szCs w:val="23"/>
          <w:highlight w:val="none"/>
        </w:rPr>
      </w:pP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7"/>
          <w:position w:val="1"/>
          <w:sz w:val="23"/>
          <w:szCs w:val="23"/>
          <w:highlight w:val="none"/>
        </w:rPr>
        <w:t>3.</w:t>
      </w:r>
      <w:r>
        <w:rPr>
          <w:rFonts w:hint="eastAsia" w:ascii="Times New Roman" w:hAnsi="Times New Roman" w:eastAsia="宋体" w:cs="Times New Roman"/>
          <w:b/>
          <w:bCs/>
          <w:spacing w:val="7"/>
          <w:position w:val="1"/>
          <w:sz w:val="23"/>
          <w:szCs w:val="23"/>
          <w:highlight w:val="none"/>
          <w:lang w:val="en-US" w:eastAsia="zh-CN"/>
        </w:rPr>
        <w:t>1</w:t>
      </w:r>
      <w:r>
        <w:rPr>
          <w:rFonts w:hint="default" w:ascii="Times New Roman" w:hAnsi="Times New Roman" w:eastAsia="Times New Roman" w:cs="Times New Roman"/>
          <w:b/>
          <w:bCs/>
          <w:spacing w:val="7"/>
          <w:position w:val="1"/>
          <w:sz w:val="23"/>
          <w:szCs w:val="23"/>
          <w:highlight w:val="none"/>
        </w:rPr>
        <w:t>-</w:t>
      </w:r>
      <w:r>
        <w:rPr>
          <w:rFonts w:hint="eastAsia" w:ascii="Times New Roman" w:hAnsi="Times New Roman" w:eastAsia="宋体" w:cs="Times New Roman"/>
          <w:b/>
          <w:bCs/>
          <w:spacing w:val="7"/>
          <w:position w:val="1"/>
          <w:sz w:val="23"/>
          <w:szCs w:val="23"/>
          <w:highlight w:val="none"/>
          <w:lang w:val="en-US" w:eastAsia="zh-CN"/>
        </w:rPr>
        <w:t>5</w:t>
      </w:r>
      <w:r>
        <w:rPr>
          <w:rFonts w:hint="default" w:ascii="Times New Roman" w:hAnsi="Times New Roman" w:eastAsia="Times New Roman" w:cs="Times New Roman"/>
          <w:spacing w:val="7"/>
          <w:position w:val="1"/>
          <w:sz w:val="23"/>
          <w:szCs w:val="23"/>
          <w:highlight w:val="none"/>
        </w:rPr>
        <w:t xml:space="preserve">      </w:t>
      </w:r>
      <w:r>
        <w:rPr>
          <w:rFonts w:hint="eastAsia" w:ascii="Times New Roman" w:hAnsi="Times New Roman" w:eastAsia="宋体" w:cs="Times New Roman"/>
          <w:spacing w:val="7"/>
          <w:position w:val="1"/>
          <w:sz w:val="23"/>
          <w:szCs w:val="23"/>
          <w:highlight w:val="none"/>
          <w:lang w:val="en-US" w:eastAsia="zh-CN"/>
          <w14:textOutline w14:w="4358" w14:cap="sq" w14:cmpd="sng">
            <w14:solidFill>
              <w14:srgbClr w14:val="000000"/>
            </w14:solidFill>
            <w14:prstDash w14:val="solid"/>
            <w14:bevel/>
          </w14:textOutline>
        </w:rPr>
        <w:t>现有工程</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给排水情况表</w:t>
      </w:r>
      <w:r>
        <w:rPr>
          <w:rFonts w:hint="default" w:ascii="Times New Roman" w:hAnsi="Times New Roman" w:eastAsia="宋体" w:cs="Times New Roman"/>
          <w:spacing w:val="7"/>
          <w:position w:val="1"/>
          <w:sz w:val="23"/>
          <w:szCs w:val="23"/>
          <w:highlight w:val="none"/>
        </w:rPr>
        <w:t xml:space="preserve">   </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单位：</w:t>
      </w:r>
      <w:r>
        <w:rPr>
          <w:rFonts w:hint="default" w:ascii="Times New Roman" w:hAnsi="Times New Roman" w:eastAsia="Times New Roman" w:cs="Times New Roman"/>
          <w:b/>
          <w:bCs/>
          <w:position w:val="1"/>
          <w:sz w:val="23"/>
          <w:szCs w:val="23"/>
          <w:highlight w:val="none"/>
        </w:rPr>
        <w:t>m</w:t>
      </w:r>
      <w:r>
        <w:rPr>
          <w:rFonts w:hint="default" w:ascii="Times New Roman" w:hAnsi="Times New Roman" w:eastAsia="Times New Roman" w:cs="Times New Roman"/>
          <w:b/>
          <w:bCs/>
          <w:spacing w:val="7"/>
          <w:position w:val="8"/>
          <w:sz w:val="15"/>
          <w:szCs w:val="15"/>
          <w:highlight w:val="none"/>
        </w:rPr>
        <w:t>3</w:t>
      </w:r>
      <w:r>
        <w:rPr>
          <w:rFonts w:hint="default" w:ascii="Times New Roman" w:hAnsi="Times New Roman" w:eastAsia="Times New Roman" w:cs="Times New Roman"/>
          <w:b/>
          <w:bCs/>
          <w:spacing w:val="5"/>
          <w:position w:val="1"/>
          <w:sz w:val="23"/>
          <w:szCs w:val="23"/>
          <w:highlight w:val="none"/>
        </w:rPr>
        <w:t>/</w:t>
      </w:r>
      <w:r>
        <w:rPr>
          <w:rFonts w:hint="default" w:ascii="Times New Roman" w:hAnsi="Times New Roman" w:eastAsia="Times New Roman" w:cs="Times New Roman"/>
          <w:b/>
          <w:bCs/>
          <w:position w:val="1"/>
          <w:sz w:val="23"/>
          <w:szCs w:val="23"/>
          <w:highlight w:val="none"/>
        </w:rPr>
        <w:t>d</w:t>
      </w:r>
    </w:p>
    <w:p>
      <w:pPr>
        <w:spacing w:line="28" w:lineRule="exact"/>
        <w:rPr>
          <w:rFonts w:hint="default" w:ascii="Times New Roman" w:hAnsi="Times New Roman" w:cs="Times New Roman"/>
          <w:highlight w:val="none"/>
        </w:rPr>
      </w:pPr>
    </w:p>
    <w:tbl>
      <w:tblPr>
        <w:tblStyle w:val="19"/>
        <w:tblW w:w="839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1077"/>
        <w:gridCol w:w="1077"/>
        <w:gridCol w:w="1435"/>
        <w:gridCol w:w="1436"/>
        <w:gridCol w:w="1077"/>
        <w:gridCol w:w="16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660" w:type="dxa"/>
            <w:tcBorders>
              <w:left w:val="single" w:color="000000" w:sz="10" w:space="0"/>
              <w:right w:val="single" w:color="000000" w:sz="4" w:space="0"/>
            </w:tcBorders>
            <w:vAlign w:val="top"/>
          </w:tcPr>
          <w:p>
            <w:pPr>
              <w:spacing w:before="117" w:line="230" w:lineRule="auto"/>
              <w:ind w:left="10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序号</w:t>
            </w:r>
          </w:p>
        </w:tc>
        <w:tc>
          <w:tcPr>
            <w:tcW w:w="1077" w:type="dxa"/>
            <w:tcBorders>
              <w:left w:val="single" w:color="000000" w:sz="4" w:space="0"/>
              <w:right w:val="single" w:color="000000" w:sz="4" w:space="0"/>
            </w:tcBorders>
            <w:vAlign w:val="top"/>
          </w:tcPr>
          <w:p>
            <w:pPr>
              <w:spacing w:before="118" w:line="228" w:lineRule="auto"/>
              <w:ind w:left="2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用</w:t>
            </w:r>
            <w:r>
              <w:rPr>
                <w:rFonts w:hint="default" w:ascii="Times New Roman" w:hAnsi="Times New Roman" w:eastAsia="宋体" w:cs="Times New Roman"/>
                <w:spacing w:val="6"/>
                <w:sz w:val="20"/>
                <w:szCs w:val="20"/>
                <w:highlight w:val="none"/>
              </w:rPr>
              <w:t>水点</w:t>
            </w:r>
          </w:p>
        </w:tc>
        <w:tc>
          <w:tcPr>
            <w:tcW w:w="1077" w:type="dxa"/>
            <w:tcBorders>
              <w:left w:val="single" w:color="000000" w:sz="4" w:space="0"/>
              <w:right w:val="single" w:color="000000" w:sz="4" w:space="0"/>
            </w:tcBorders>
            <w:vAlign w:val="top"/>
          </w:tcPr>
          <w:p>
            <w:pPr>
              <w:spacing w:before="118" w:line="228" w:lineRule="auto"/>
              <w:ind w:left="11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总</w:t>
            </w:r>
            <w:r>
              <w:rPr>
                <w:rFonts w:hint="default" w:ascii="Times New Roman" w:hAnsi="Times New Roman" w:eastAsia="宋体" w:cs="Times New Roman"/>
                <w:spacing w:val="6"/>
                <w:sz w:val="20"/>
                <w:szCs w:val="20"/>
                <w:highlight w:val="none"/>
              </w:rPr>
              <w:t>用水量</w:t>
            </w:r>
          </w:p>
        </w:tc>
        <w:tc>
          <w:tcPr>
            <w:tcW w:w="1435" w:type="dxa"/>
            <w:tcBorders>
              <w:left w:val="single" w:color="000000" w:sz="4" w:space="0"/>
              <w:right w:val="single" w:color="000000" w:sz="4" w:space="0"/>
            </w:tcBorders>
            <w:vAlign w:val="top"/>
          </w:tcPr>
          <w:p>
            <w:pPr>
              <w:spacing w:before="118" w:line="228" w:lineRule="auto"/>
              <w:ind w:left="19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新鲜用水</w:t>
            </w:r>
            <w:r>
              <w:rPr>
                <w:rFonts w:hint="default" w:ascii="Times New Roman" w:hAnsi="Times New Roman" w:eastAsia="宋体" w:cs="Times New Roman"/>
                <w:spacing w:val="7"/>
                <w:sz w:val="20"/>
                <w:szCs w:val="20"/>
                <w:highlight w:val="none"/>
              </w:rPr>
              <w:t>量</w:t>
            </w:r>
          </w:p>
        </w:tc>
        <w:tc>
          <w:tcPr>
            <w:tcW w:w="1436" w:type="dxa"/>
            <w:tcBorders>
              <w:left w:val="single" w:color="000000" w:sz="4" w:space="0"/>
              <w:right w:val="single" w:color="000000" w:sz="4" w:space="0"/>
            </w:tcBorders>
            <w:vAlign w:val="top"/>
          </w:tcPr>
          <w:p>
            <w:pPr>
              <w:spacing w:before="118" w:line="228" w:lineRule="auto"/>
              <w:ind w:left="19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循环用水量</w:t>
            </w:r>
          </w:p>
        </w:tc>
        <w:tc>
          <w:tcPr>
            <w:tcW w:w="1077" w:type="dxa"/>
            <w:tcBorders>
              <w:left w:val="single" w:color="000000" w:sz="4" w:space="0"/>
              <w:right w:val="single" w:color="000000" w:sz="4" w:space="0"/>
            </w:tcBorders>
            <w:vAlign w:val="top"/>
          </w:tcPr>
          <w:p>
            <w:pPr>
              <w:spacing w:before="118" w:line="228" w:lineRule="auto"/>
              <w:ind w:left="1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损</w:t>
            </w:r>
            <w:r>
              <w:rPr>
                <w:rFonts w:hint="default" w:ascii="Times New Roman" w:hAnsi="Times New Roman" w:eastAsia="宋体" w:cs="Times New Roman"/>
                <w:spacing w:val="7"/>
                <w:sz w:val="20"/>
                <w:szCs w:val="20"/>
                <w:highlight w:val="none"/>
              </w:rPr>
              <w:t>耗水量</w:t>
            </w:r>
          </w:p>
        </w:tc>
        <w:tc>
          <w:tcPr>
            <w:tcW w:w="1629" w:type="dxa"/>
            <w:tcBorders>
              <w:left w:val="single" w:color="000000" w:sz="4" w:space="0"/>
              <w:right w:val="single" w:color="000000" w:sz="10" w:space="0"/>
            </w:tcBorders>
            <w:vAlign w:val="top"/>
          </w:tcPr>
          <w:p>
            <w:pPr>
              <w:spacing w:before="118" w:line="228" w:lineRule="auto"/>
              <w:ind w:left="50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排水</w:t>
            </w:r>
            <w:r>
              <w:rPr>
                <w:rFonts w:hint="default" w:ascii="Times New Roman" w:hAnsi="Times New Roman" w:eastAsia="宋体" w:cs="Times New Roman"/>
                <w:spacing w:val="6"/>
                <w:sz w:val="20"/>
                <w:szCs w:val="20"/>
                <w:highlight w:val="none"/>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60" w:type="dxa"/>
            <w:tcBorders>
              <w:left w:val="single" w:color="000000" w:sz="10" w:space="0"/>
              <w:right w:val="single" w:color="000000" w:sz="4" w:space="0"/>
            </w:tcBorders>
            <w:vAlign w:val="top"/>
          </w:tcPr>
          <w:p>
            <w:pPr>
              <w:spacing w:before="133" w:line="195" w:lineRule="auto"/>
              <w:ind w:left="28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077" w:type="dxa"/>
            <w:tcBorders>
              <w:left w:val="single" w:color="000000" w:sz="4" w:space="0"/>
              <w:right w:val="single" w:color="000000" w:sz="4" w:space="0"/>
            </w:tcBorders>
            <w:vAlign w:val="top"/>
          </w:tcPr>
          <w:p>
            <w:pPr>
              <w:spacing w:before="97" w:line="230" w:lineRule="auto"/>
              <w:ind w:left="11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球</w:t>
            </w:r>
            <w:r>
              <w:rPr>
                <w:rFonts w:hint="default" w:ascii="Times New Roman" w:hAnsi="Times New Roman" w:eastAsia="宋体" w:cs="Times New Roman"/>
                <w:spacing w:val="7"/>
                <w:sz w:val="20"/>
                <w:szCs w:val="20"/>
                <w:highlight w:val="none"/>
              </w:rPr>
              <w:t>磨磁选</w:t>
            </w:r>
          </w:p>
        </w:tc>
        <w:tc>
          <w:tcPr>
            <w:tcW w:w="1077" w:type="dxa"/>
            <w:tcBorders>
              <w:left w:val="single" w:color="000000" w:sz="4" w:space="0"/>
              <w:right w:val="single" w:color="000000" w:sz="4" w:space="0"/>
            </w:tcBorders>
            <w:vAlign w:val="top"/>
          </w:tcPr>
          <w:p>
            <w:pPr>
              <w:spacing w:before="133" w:line="195" w:lineRule="auto"/>
              <w:ind w:left="24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2678.</w:t>
            </w:r>
            <w:r>
              <w:rPr>
                <w:rFonts w:hint="default" w:ascii="Times New Roman" w:hAnsi="Times New Roman" w:eastAsia="Times New Roman" w:cs="Times New Roman"/>
                <w:sz w:val="20"/>
                <w:szCs w:val="20"/>
                <w:highlight w:val="none"/>
              </w:rPr>
              <w:t xml:space="preserve"> 1</w:t>
            </w:r>
          </w:p>
        </w:tc>
        <w:tc>
          <w:tcPr>
            <w:tcW w:w="1435" w:type="dxa"/>
            <w:tcBorders>
              <w:left w:val="single" w:color="000000" w:sz="4" w:space="0"/>
              <w:right w:val="single" w:color="000000" w:sz="4" w:space="0"/>
            </w:tcBorders>
            <w:vAlign w:val="top"/>
          </w:tcPr>
          <w:p>
            <w:pPr>
              <w:spacing w:before="133" w:line="195" w:lineRule="auto"/>
              <w:ind w:left="48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4"/>
                <w:sz w:val="20"/>
                <w:szCs w:val="20"/>
                <w:highlight w:val="none"/>
              </w:rPr>
              <w:t>26.9</w:t>
            </w:r>
          </w:p>
        </w:tc>
        <w:tc>
          <w:tcPr>
            <w:tcW w:w="1436" w:type="dxa"/>
            <w:tcBorders>
              <w:left w:val="single" w:color="000000" w:sz="4" w:space="0"/>
              <w:right w:val="single" w:color="000000" w:sz="4" w:space="0"/>
            </w:tcBorders>
            <w:vAlign w:val="top"/>
          </w:tcPr>
          <w:p>
            <w:pPr>
              <w:spacing w:before="133" w:line="195" w:lineRule="auto"/>
              <w:ind w:left="4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4"/>
                <w:sz w:val="20"/>
                <w:szCs w:val="20"/>
                <w:highlight w:val="none"/>
              </w:rPr>
              <w:t>451.2</w:t>
            </w:r>
          </w:p>
        </w:tc>
        <w:tc>
          <w:tcPr>
            <w:tcW w:w="1077" w:type="dxa"/>
            <w:tcBorders>
              <w:left w:val="single" w:color="000000" w:sz="4" w:space="0"/>
              <w:right w:val="single" w:color="000000" w:sz="4" w:space="0"/>
            </w:tcBorders>
            <w:vAlign w:val="top"/>
          </w:tcPr>
          <w:p>
            <w:pPr>
              <w:spacing w:before="133" w:line="195" w:lineRule="auto"/>
              <w:ind w:left="30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4"/>
                <w:sz w:val="20"/>
                <w:szCs w:val="20"/>
                <w:highlight w:val="none"/>
              </w:rPr>
              <w:t>26.9</w:t>
            </w:r>
          </w:p>
        </w:tc>
        <w:tc>
          <w:tcPr>
            <w:tcW w:w="1629" w:type="dxa"/>
            <w:tcBorders>
              <w:left w:val="single" w:color="000000" w:sz="4" w:space="0"/>
              <w:right w:val="single" w:color="000000" w:sz="10" w:space="0"/>
            </w:tcBorders>
            <w:vAlign w:val="top"/>
          </w:tcPr>
          <w:p>
            <w:pPr>
              <w:spacing w:before="133" w:line="195" w:lineRule="auto"/>
              <w:ind w:left="7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60" w:type="dxa"/>
            <w:tcBorders>
              <w:left w:val="single" w:color="000000" w:sz="10" w:space="0"/>
              <w:right w:val="single" w:color="000000" w:sz="4" w:space="0"/>
            </w:tcBorders>
            <w:vAlign w:val="top"/>
          </w:tcPr>
          <w:p>
            <w:pPr>
              <w:spacing w:before="135" w:line="195" w:lineRule="auto"/>
              <w:ind w:left="26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077" w:type="dxa"/>
            <w:tcBorders>
              <w:left w:val="single" w:color="000000" w:sz="4" w:space="0"/>
              <w:right w:val="single" w:color="000000" w:sz="4" w:space="0"/>
            </w:tcBorders>
            <w:vAlign w:val="top"/>
          </w:tcPr>
          <w:p>
            <w:pPr>
              <w:spacing w:before="99" w:line="226" w:lineRule="auto"/>
              <w:ind w:left="12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喷</w:t>
            </w:r>
            <w:r>
              <w:rPr>
                <w:rFonts w:hint="default" w:ascii="Times New Roman" w:hAnsi="Times New Roman" w:eastAsia="宋体" w:cs="Times New Roman"/>
                <w:spacing w:val="5"/>
                <w:sz w:val="20"/>
                <w:szCs w:val="20"/>
                <w:highlight w:val="none"/>
              </w:rPr>
              <w:t>雾抑尘</w:t>
            </w:r>
          </w:p>
        </w:tc>
        <w:tc>
          <w:tcPr>
            <w:tcW w:w="1077" w:type="dxa"/>
            <w:tcBorders>
              <w:left w:val="single" w:color="000000" w:sz="4" w:space="0"/>
              <w:right w:val="single" w:color="000000" w:sz="4" w:space="0"/>
            </w:tcBorders>
            <w:vAlign w:val="top"/>
          </w:tcPr>
          <w:p>
            <w:pPr>
              <w:spacing w:before="135" w:line="195" w:lineRule="auto"/>
              <w:ind w:left="40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3</w:t>
            </w:r>
            <w:r>
              <w:rPr>
                <w:rFonts w:hint="default" w:ascii="Times New Roman" w:hAnsi="Times New Roman" w:eastAsia="Times New Roman" w:cs="Times New Roman"/>
                <w:spacing w:val="2"/>
                <w:sz w:val="20"/>
                <w:szCs w:val="20"/>
                <w:highlight w:val="none"/>
              </w:rPr>
              <w:t>.9</w:t>
            </w:r>
          </w:p>
        </w:tc>
        <w:tc>
          <w:tcPr>
            <w:tcW w:w="1435" w:type="dxa"/>
            <w:tcBorders>
              <w:left w:val="single" w:color="000000" w:sz="4" w:space="0"/>
              <w:right w:val="single" w:color="000000" w:sz="4" w:space="0"/>
            </w:tcBorders>
            <w:vAlign w:val="top"/>
          </w:tcPr>
          <w:p>
            <w:pPr>
              <w:spacing w:before="135" w:line="195" w:lineRule="auto"/>
              <w:ind w:left="5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3</w:t>
            </w:r>
            <w:r>
              <w:rPr>
                <w:rFonts w:hint="default" w:ascii="Times New Roman" w:hAnsi="Times New Roman" w:eastAsia="Times New Roman" w:cs="Times New Roman"/>
                <w:spacing w:val="2"/>
                <w:sz w:val="20"/>
                <w:szCs w:val="20"/>
                <w:highlight w:val="none"/>
              </w:rPr>
              <w:t>.9</w:t>
            </w:r>
          </w:p>
        </w:tc>
        <w:tc>
          <w:tcPr>
            <w:tcW w:w="1436" w:type="dxa"/>
            <w:tcBorders>
              <w:left w:val="single" w:color="000000" w:sz="4" w:space="0"/>
              <w:right w:val="single" w:color="000000" w:sz="4" w:space="0"/>
            </w:tcBorders>
            <w:vAlign w:val="top"/>
          </w:tcPr>
          <w:p>
            <w:pPr>
              <w:spacing w:before="135" w:line="195" w:lineRule="auto"/>
              <w:ind w:left="67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c>
          <w:tcPr>
            <w:tcW w:w="1077" w:type="dxa"/>
            <w:tcBorders>
              <w:left w:val="single" w:color="000000" w:sz="4" w:space="0"/>
              <w:right w:val="single" w:color="000000" w:sz="4" w:space="0"/>
            </w:tcBorders>
            <w:vAlign w:val="top"/>
          </w:tcPr>
          <w:p>
            <w:pPr>
              <w:spacing w:before="135" w:line="195" w:lineRule="auto"/>
              <w:ind w:left="41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3</w:t>
            </w:r>
            <w:r>
              <w:rPr>
                <w:rFonts w:hint="default" w:ascii="Times New Roman" w:hAnsi="Times New Roman" w:eastAsia="Times New Roman" w:cs="Times New Roman"/>
                <w:spacing w:val="2"/>
                <w:sz w:val="20"/>
                <w:szCs w:val="20"/>
                <w:highlight w:val="none"/>
              </w:rPr>
              <w:t>.9</w:t>
            </w:r>
          </w:p>
        </w:tc>
        <w:tc>
          <w:tcPr>
            <w:tcW w:w="1629" w:type="dxa"/>
            <w:tcBorders>
              <w:left w:val="single" w:color="000000" w:sz="4" w:space="0"/>
              <w:right w:val="single" w:color="000000" w:sz="10" w:space="0"/>
            </w:tcBorders>
            <w:vAlign w:val="top"/>
          </w:tcPr>
          <w:p>
            <w:pPr>
              <w:spacing w:before="135" w:line="195" w:lineRule="auto"/>
              <w:ind w:left="7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60" w:type="dxa"/>
            <w:tcBorders>
              <w:left w:val="single" w:color="000000" w:sz="10" w:space="0"/>
              <w:right w:val="single" w:color="000000" w:sz="4" w:space="0"/>
            </w:tcBorders>
            <w:vAlign w:val="top"/>
          </w:tcPr>
          <w:p>
            <w:pPr>
              <w:spacing w:before="134" w:line="195" w:lineRule="auto"/>
              <w:ind w:left="26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1077" w:type="dxa"/>
            <w:tcBorders>
              <w:left w:val="single" w:color="000000" w:sz="4" w:space="0"/>
              <w:right w:val="single" w:color="000000" w:sz="4" w:space="0"/>
            </w:tcBorders>
            <w:vAlign w:val="top"/>
          </w:tcPr>
          <w:p>
            <w:pPr>
              <w:spacing w:before="99" w:line="228" w:lineRule="auto"/>
              <w:ind w:left="11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洗</w:t>
            </w:r>
            <w:r>
              <w:rPr>
                <w:rFonts w:hint="default" w:ascii="Times New Roman" w:hAnsi="Times New Roman" w:eastAsia="宋体" w:cs="Times New Roman"/>
                <w:spacing w:val="7"/>
                <w:sz w:val="20"/>
                <w:szCs w:val="20"/>
                <w:highlight w:val="none"/>
              </w:rPr>
              <w:t>车用水</w:t>
            </w:r>
          </w:p>
        </w:tc>
        <w:tc>
          <w:tcPr>
            <w:tcW w:w="1077" w:type="dxa"/>
            <w:tcBorders>
              <w:left w:val="single" w:color="000000" w:sz="4" w:space="0"/>
              <w:right w:val="single" w:color="000000" w:sz="4" w:space="0"/>
            </w:tcBorders>
            <w:vAlign w:val="top"/>
          </w:tcPr>
          <w:p>
            <w:pPr>
              <w:spacing w:before="135" w:line="195" w:lineRule="auto"/>
              <w:ind w:left="40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3</w:t>
            </w:r>
            <w:r>
              <w:rPr>
                <w:rFonts w:hint="default" w:ascii="Times New Roman" w:hAnsi="Times New Roman" w:eastAsia="Times New Roman" w:cs="Times New Roman"/>
                <w:spacing w:val="2"/>
                <w:sz w:val="20"/>
                <w:szCs w:val="20"/>
                <w:highlight w:val="none"/>
              </w:rPr>
              <w:t>.0</w:t>
            </w:r>
          </w:p>
        </w:tc>
        <w:tc>
          <w:tcPr>
            <w:tcW w:w="1435" w:type="dxa"/>
            <w:tcBorders>
              <w:left w:val="single" w:color="000000" w:sz="4" w:space="0"/>
              <w:right w:val="single" w:color="000000" w:sz="4" w:space="0"/>
            </w:tcBorders>
            <w:vAlign w:val="top"/>
          </w:tcPr>
          <w:p>
            <w:pPr>
              <w:spacing w:before="134" w:line="198" w:lineRule="auto"/>
              <w:ind w:left="60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1.0</w:t>
            </w:r>
          </w:p>
        </w:tc>
        <w:tc>
          <w:tcPr>
            <w:tcW w:w="1436" w:type="dxa"/>
            <w:tcBorders>
              <w:left w:val="single" w:color="000000" w:sz="4" w:space="0"/>
              <w:right w:val="single" w:color="000000" w:sz="4" w:space="0"/>
            </w:tcBorders>
            <w:vAlign w:val="top"/>
          </w:tcPr>
          <w:p>
            <w:pPr>
              <w:spacing w:before="134" w:line="198" w:lineRule="auto"/>
              <w:ind w:left="5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2.</w:t>
            </w:r>
            <w:r>
              <w:rPr>
                <w:rFonts w:hint="default" w:ascii="Times New Roman" w:hAnsi="Times New Roman" w:eastAsia="Times New Roman" w:cs="Times New Roman"/>
                <w:spacing w:val="3"/>
                <w:sz w:val="20"/>
                <w:szCs w:val="20"/>
                <w:highlight w:val="none"/>
              </w:rPr>
              <w:t>0</w:t>
            </w:r>
          </w:p>
        </w:tc>
        <w:tc>
          <w:tcPr>
            <w:tcW w:w="1077" w:type="dxa"/>
            <w:tcBorders>
              <w:left w:val="single" w:color="000000" w:sz="4" w:space="0"/>
              <w:right w:val="single" w:color="000000" w:sz="4" w:space="0"/>
            </w:tcBorders>
            <w:vAlign w:val="top"/>
          </w:tcPr>
          <w:p>
            <w:pPr>
              <w:spacing w:before="134" w:line="198" w:lineRule="auto"/>
              <w:ind w:left="4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1.0</w:t>
            </w:r>
          </w:p>
        </w:tc>
        <w:tc>
          <w:tcPr>
            <w:tcW w:w="1629" w:type="dxa"/>
            <w:tcBorders>
              <w:left w:val="single" w:color="000000" w:sz="4" w:space="0"/>
              <w:right w:val="single" w:color="000000" w:sz="10" w:space="0"/>
            </w:tcBorders>
            <w:vAlign w:val="top"/>
          </w:tcPr>
          <w:p>
            <w:pPr>
              <w:spacing w:before="134" w:line="195" w:lineRule="auto"/>
              <w:ind w:left="7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60" w:type="dxa"/>
            <w:tcBorders>
              <w:left w:val="single" w:color="000000" w:sz="10" w:space="0"/>
              <w:right w:val="single" w:color="000000" w:sz="4" w:space="0"/>
            </w:tcBorders>
            <w:vAlign w:val="top"/>
          </w:tcPr>
          <w:p>
            <w:pPr>
              <w:spacing w:before="136" w:line="195" w:lineRule="auto"/>
              <w:ind w:left="26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4</w:t>
            </w:r>
          </w:p>
        </w:tc>
        <w:tc>
          <w:tcPr>
            <w:tcW w:w="1077" w:type="dxa"/>
            <w:tcBorders>
              <w:left w:val="single" w:color="000000" w:sz="4" w:space="0"/>
              <w:right w:val="single" w:color="000000" w:sz="4" w:space="0"/>
            </w:tcBorders>
            <w:vAlign w:val="top"/>
          </w:tcPr>
          <w:p>
            <w:pPr>
              <w:spacing w:before="101" w:line="228" w:lineRule="auto"/>
              <w:ind w:left="11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生活用</w:t>
            </w:r>
            <w:r>
              <w:rPr>
                <w:rFonts w:hint="default" w:ascii="Times New Roman" w:hAnsi="Times New Roman" w:eastAsia="宋体" w:cs="Times New Roman"/>
                <w:spacing w:val="6"/>
                <w:sz w:val="20"/>
                <w:szCs w:val="20"/>
                <w:highlight w:val="none"/>
              </w:rPr>
              <w:t>水</w:t>
            </w:r>
          </w:p>
        </w:tc>
        <w:tc>
          <w:tcPr>
            <w:tcW w:w="1077" w:type="dxa"/>
            <w:tcBorders>
              <w:left w:val="single" w:color="000000" w:sz="4" w:space="0"/>
              <w:right w:val="single" w:color="000000" w:sz="4" w:space="0"/>
            </w:tcBorders>
            <w:vAlign w:val="top"/>
          </w:tcPr>
          <w:p>
            <w:pPr>
              <w:spacing w:before="136" w:line="198" w:lineRule="auto"/>
              <w:ind w:left="42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p>
        </w:tc>
        <w:tc>
          <w:tcPr>
            <w:tcW w:w="1435" w:type="dxa"/>
            <w:tcBorders>
              <w:left w:val="single" w:color="000000" w:sz="4" w:space="0"/>
              <w:right w:val="single" w:color="000000" w:sz="4" w:space="0"/>
            </w:tcBorders>
            <w:vAlign w:val="top"/>
          </w:tcPr>
          <w:p>
            <w:pPr>
              <w:spacing w:before="136" w:line="198" w:lineRule="auto"/>
              <w:ind w:left="60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p>
        </w:tc>
        <w:tc>
          <w:tcPr>
            <w:tcW w:w="1436" w:type="dxa"/>
            <w:tcBorders>
              <w:left w:val="single" w:color="000000" w:sz="4" w:space="0"/>
              <w:right w:val="single" w:color="000000" w:sz="4" w:space="0"/>
            </w:tcBorders>
            <w:vAlign w:val="top"/>
          </w:tcPr>
          <w:p>
            <w:pPr>
              <w:spacing w:before="136" w:line="195" w:lineRule="auto"/>
              <w:ind w:left="67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c>
          <w:tcPr>
            <w:tcW w:w="1077" w:type="dxa"/>
            <w:tcBorders>
              <w:left w:val="single" w:color="000000" w:sz="4" w:space="0"/>
              <w:right w:val="single" w:color="000000" w:sz="4" w:space="0"/>
            </w:tcBorders>
            <w:vAlign w:val="top"/>
          </w:tcPr>
          <w:p>
            <w:pPr>
              <w:spacing w:before="136" w:line="198" w:lineRule="auto"/>
              <w:ind w:left="4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p>
        </w:tc>
        <w:tc>
          <w:tcPr>
            <w:tcW w:w="1629" w:type="dxa"/>
            <w:tcBorders>
              <w:left w:val="single" w:color="000000" w:sz="4" w:space="0"/>
              <w:right w:val="single" w:color="000000" w:sz="10" w:space="0"/>
            </w:tcBorders>
            <w:vAlign w:val="top"/>
          </w:tcPr>
          <w:p>
            <w:pPr>
              <w:spacing w:before="136" w:line="195" w:lineRule="auto"/>
              <w:ind w:left="7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660" w:type="dxa"/>
            <w:tcBorders>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1077" w:type="dxa"/>
            <w:tcBorders>
              <w:left w:val="single" w:color="000000" w:sz="4" w:space="0"/>
              <w:right w:val="single" w:color="000000" w:sz="4" w:space="0"/>
            </w:tcBorders>
            <w:vAlign w:val="top"/>
          </w:tcPr>
          <w:p>
            <w:pPr>
              <w:spacing w:before="102" w:line="230" w:lineRule="auto"/>
              <w:ind w:left="32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合计</w:t>
            </w:r>
          </w:p>
        </w:tc>
        <w:tc>
          <w:tcPr>
            <w:tcW w:w="1077" w:type="dxa"/>
            <w:tcBorders>
              <w:left w:val="single" w:color="000000" w:sz="4" w:space="0"/>
              <w:right w:val="single" w:color="000000" w:sz="4" w:space="0"/>
            </w:tcBorders>
            <w:vAlign w:val="top"/>
          </w:tcPr>
          <w:p>
            <w:pPr>
              <w:spacing w:before="138" w:line="195" w:lineRule="auto"/>
              <w:ind w:left="24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686.5</w:t>
            </w:r>
          </w:p>
        </w:tc>
        <w:tc>
          <w:tcPr>
            <w:tcW w:w="1435" w:type="dxa"/>
            <w:tcBorders>
              <w:left w:val="single" w:color="000000" w:sz="4" w:space="0"/>
              <w:right w:val="single" w:color="000000" w:sz="4" w:space="0"/>
            </w:tcBorders>
            <w:vAlign w:val="top"/>
          </w:tcPr>
          <w:p>
            <w:pPr>
              <w:spacing w:before="138" w:line="195" w:lineRule="auto"/>
              <w:ind w:left="48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4"/>
                <w:sz w:val="20"/>
                <w:szCs w:val="20"/>
                <w:highlight w:val="none"/>
              </w:rPr>
              <w:t>33.3</w:t>
            </w:r>
          </w:p>
        </w:tc>
        <w:tc>
          <w:tcPr>
            <w:tcW w:w="1436" w:type="dxa"/>
            <w:tcBorders>
              <w:left w:val="single" w:color="000000" w:sz="4" w:space="0"/>
              <w:right w:val="single" w:color="000000" w:sz="4" w:space="0"/>
            </w:tcBorders>
            <w:vAlign w:val="top"/>
          </w:tcPr>
          <w:p>
            <w:pPr>
              <w:spacing w:before="138" w:line="195" w:lineRule="auto"/>
              <w:ind w:left="4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2453.</w:t>
            </w:r>
            <w:r>
              <w:rPr>
                <w:rFonts w:hint="default" w:ascii="Times New Roman" w:hAnsi="Times New Roman" w:eastAsia="Times New Roman" w:cs="Times New Roman"/>
                <w:spacing w:val="2"/>
                <w:sz w:val="20"/>
                <w:szCs w:val="20"/>
                <w:highlight w:val="none"/>
              </w:rPr>
              <w:t>2</w:t>
            </w:r>
          </w:p>
        </w:tc>
        <w:tc>
          <w:tcPr>
            <w:tcW w:w="1077" w:type="dxa"/>
            <w:tcBorders>
              <w:left w:val="single" w:color="000000" w:sz="4" w:space="0"/>
              <w:right w:val="single" w:color="000000" w:sz="4" w:space="0"/>
            </w:tcBorders>
            <w:vAlign w:val="top"/>
          </w:tcPr>
          <w:p>
            <w:pPr>
              <w:spacing w:before="138" w:line="195" w:lineRule="auto"/>
              <w:ind w:left="30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4"/>
                <w:sz w:val="20"/>
                <w:szCs w:val="20"/>
                <w:highlight w:val="none"/>
              </w:rPr>
              <w:t>33.3</w:t>
            </w:r>
          </w:p>
        </w:tc>
        <w:tc>
          <w:tcPr>
            <w:tcW w:w="1629" w:type="dxa"/>
            <w:tcBorders>
              <w:left w:val="single" w:color="000000" w:sz="4" w:space="0"/>
              <w:right w:val="single" w:color="000000" w:sz="10" w:space="0"/>
            </w:tcBorders>
            <w:vAlign w:val="top"/>
          </w:tcPr>
          <w:p>
            <w:pPr>
              <w:spacing w:before="138" w:line="195" w:lineRule="auto"/>
              <w:ind w:left="7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r>
    </w:tbl>
    <w:p>
      <w:pPr>
        <w:rPr>
          <w:rFonts w:hint="default" w:ascii="Times New Roman" w:hAnsi="Times New Roman" w:cs="Times New Roman"/>
          <w:sz w:val="21"/>
          <w:highlight w:val="none"/>
        </w:rPr>
      </w:pPr>
    </w:p>
    <w:p>
      <w:pPr>
        <w:rPr>
          <w:rFonts w:hint="default" w:ascii="Times New Roman" w:hAnsi="Times New Roman" w:cs="Times New Roman"/>
          <w:highlight w:val="none"/>
        </w:rPr>
        <w:sectPr>
          <w:headerReference r:id="rId19" w:type="default"/>
          <w:footerReference r:id="rId20" w:type="default"/>
          <w:pgSz w:w="11906" w:h="16839"/>
          <w:pgMar w:top="1200" w:right="1726" w:bottom="1339" w:left="1744" w:header="882" w:footer="1027" w:gutter="0"/>
          <w:pgBorders>
            <w:top w:val="none" w:sz="0" w:space="0"/>
            <w:left w:val="none" w:sz="0" w:space="0"/>
            <w:bottom w:val="none" w:sz="0" w:space="0"/>
            <w:right w:val="none" w:sz="0" w:space="0"/>
          </w:pgBorders>
          <w:pgNumType w:fmt="decimal"/>
          <w:cols w:space="720" w:num="1"/>
        </w:sectPr>
      </w:pPr>
    </w:p>
    <w:p>
      <w:pPr>
        <w:spacing w:line="296"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095" o:spid="_x0000_s1095" style="position:absolute;left:0pt;margin-left:72pt;margin-top:60.75pt;height:0.75pt;width:697.95pt;mso-position-horizontal-relative:page;mso-position-vertical-relative:page;z-index:251684864;mso-width-relative:page;mso-height-relative:page;" fillcolor="#000000" filled="t" stroked="f" coordsize="13959,15" o:allowincell="f" path="m0,0l13958,0,13958,14,0,14,0,0xe">
            <v:path/>
            <v:fill on="t" focussize="0,0"/>
            <v:stroke on="f"/>
            <v:imagedata o:title=""/>
            <o:lock v:ext="edit"/>
          </v:shape>
        </w:pict>
      </w:r>
    </w:p>
    <w:p>
      <w:pPr>
        <w:spacing w:line="297" w:lineRule="auto"/>
        <w:rPr>
          <w:rFonts w:hint="default" w:ascii="Times New Roman" w:hAnsi="Times New Roman" w:cs="Times New Roman"/>
          <w:sz w:val="21"/>
          <w:highlight w:val="none"/>
        </w:rPr>
      </w:pPr>
    </w:p>
    <w:p>
      <w:pPr>
        <w:spacing w:line="7987" w:lineRule="exact"/>
        <w:ind w:firstLine="218"/>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8251190" cy="4997450"/>
            <wp:effectExtent l="0" t="0" r="0" b="1270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38"/>
                    <a:stretch>
                      <a:fillRect/>
                    </a:stretch>
                  </pic:blipFill>
                  <pic:spPr>
                    <a:xfrm>
                      <a:off x="0" y="0"/>
                      <a:ext cx="8251190" cy="4997450"/>
                    </a:xfrm>
                    <a:prstGeom prst="rect">
                      <a:avLst/>
                    </a:prstGeom>
                  </pic:spPr>
                </pic:pic>
              </a:graphicData>
            </a:graphic>
          </wp:inline>
        </w:drawing>
      </w:r>
    </w:p>
    <w:p>
      <w:pPr>
        <w:spacing w:line="316" w:lineRule="exact"/>
        <w:ind w:left="4633"/>
        <w:rPr>
          <w:rFonts w:hint="default" w:ascii="Times New Roman" w:hAnsi="Times New Roman" w:eastAsia="Times New Roman" w:cs="Times New Roman"/>
          <w:sz w:val="23"/>
          <w:szCs w:val="23"/>
          <w:highlight w:val="none"/>
        </w:rPr>
      </w:pPr>
      <w:r>
        <w:rPr>
          <w:rFonts w:hint="default" w:ascii="Times New Roman" w:hAnsi="Times New Roman" w:eastAsia="宋体" w:cs="Times New Roman"/>
          <w:spacing w:val="4"/>
          <w:position w:val="1"/>
          <w:sz w:val="23"/>
          <w:szCs w:val="23"/>
          <w:highlight w:val="none"/>
          <w14:textOutline w14:w="4324" w14:cap="sq" w14:cmpd="sng">
            <w14:solidFill>
              <w14:srgbClr w14:val="000000"/>
            </w14:solidFill>
            <w14:prstDash w14:val="solid"/>
            <w14:bevel/>
          </w14:textOutline>
        </w:rPr>
        <w:t>图</w:t>
      </w:r>
      <w:r>
        <w:rPr>
          <w:rFonts w:hint="default" w:ascii="Times New Roman" w:hAnsi="Times New Roman" w:eastAsia="宋体" w:cs="Times New Roman"/>
          <w:spacing w:val="4"/>
          <w:position w:val="1"/>
          <w:sz w:val="23"/>
          <w:szCs w:val="23"/>
          <w:highlight w:val="none"/>
        </w:rPr>
        <w:t xml:space="preserve"> </w:t>
      </w:r>
      <w:r>
        <w:rPr>
          <w:rFonts w:hint="default" w:ascii="Times New Roman" w:hAnsi="Times New Roman" w:eastAsia="Times New Roman" w:cs="Times New Roman"/>
          <w:b/>
          <w:bCs/>
          <w:spacing w:val="4"/>
          <w:position w:val="1"/>
          <w:sz w:val="23"/>
          <w:szCs w:val="23"/>
          <w:highlight w:val="none"/>
        </w:rPr>
        <w:t>3.</w:t>
      </w:r>
      <w:r>
        <w:rPr>
          <w:rFonts w:hint="eastAsia" w:ascii="Times New Roman" w:hAnsi="Times New Roman" w:eastAsia="宋体" w:cs="Times New Roman"/>
          <w:b/>
          <w:bCs/>
          <w:spacing w:val="4"/>
          <w:position w:val="1"/>
          <w:sz w:val="23"/>
          <w:szCs w:val="23"/>
          <w:highlight w:val="none"/>
          <w:lang w:val="en-US" w:eastAsia="zh-CN"/>
        </w:rPr>
        <w:t>1</w:t>
      </w:r>
      <w:r>
        <w:rPr>
          <w:rFonts w:hint="default" w:ascii="Times New Roman" w:hAnsi="Times New Roman" w:eastAsia="Times New Roman" w:cs="Times New Roman"/>
          <w:b/>
          <w:bCs/>
          <w:spacing w:val="4"/>
          <w:position w:val="1"/>
          <w:sz w:val="23"/>
          <w:szCs w:val="23"/>
          <w:highlight w:val="none"/>
        </w:rPr>
        <w:t>-1</w:t>
      </w:r>
      <w:r>
        <w:rPr>
          <w:rFonts w:hint="default" w:ascii="Times New Roman" w:hAnsi="Times New Roman" w:eastAsia="Times New Roman" w:cs="Times New Roman"/>
          <w:spacing w:val="4"/>
          <w:position w:val="1"/>
          <w:sz w:val="23"/>
          <w:szCs w:val="23"/>
          <w:highlight w:val="none"/>
        </w:rPr>
        <w:t xml:space="preserve">      </w:t>
      </w:r>
      <w:r>
        <w:rPr>
          <w:rFonts w:hint="eastAsia" w:ascii="Times New Roman" w:hAnsi="Times New Roman" w:eastAsia="宋体" w:cs="Times New Roman"/>
          <w:spacing w:val="4"/>
          <w:position w:val="1"/>
          <w:sz w:val="23"/>
          <w:szCs w:val="23"/>
          <w:highlight w:val="none"/>
          <w:lang w:val="en-US" w:eastAsia="zh-CN"/>
          <w14:textOutline w14:w="4324" w14:cap="sq" w14:cmpd="sng">
            <w14:solidFill>
              <w14:srgbClr w14:val="000000"/>
            </w14:solidFill>
            <w14:prstDash w14:val="solid"/>
            <w14:bevel/>
          </w14:textOutline>
        </w:rPr>
        <w:t>现有工程</w:t>
      </w:r>
      <w:r>
        <w:rPr>
          <w:rFonts w:hint="default" w:ascii="Times New Roman" w:hAnsi="Times New Roman" w:eastAsia="宋体" w:cs="Times New Roman"/>
          <w:spacing w:val="4"/>
          <w:position w:val="1"/>
          <w:sz w:val="23"/>
          <w:szCs w:val="23"/>
          <w:highlight w:val="none"/>
          <w14:textOutline w14:w="4324" w14:cap="sq" w14:cmpd="sng">
            <w14:solidFill>
              <w14:srgbClr w14:val="000000"/>
            </w14:solidFill>
            <w14:prstDash w14:val="solid"/>
            <w14:bevel/>
          </w14:textOutline>
        </w:rPr>
        <w:t>给排水平衡图</w:t>
      </w:r>
      <w:r>
        <w:rPr>
          <w:rFonts w:hint="default" w:ascii="Times New Roman" w:hAnsi="Times New Roman" w:eastAsia="宋体" w:cs="Times New Roman"/>
          <w:spacing w:val="4"/>
          <w:position w:val="1"/>
          <w:sz w:val="23"/>
          <w:szCs w:val="23"/>
          <w:highlight w:val="none"/>
        </w:rPr>
        <w:t xml:space="preserve">    </w:t>
      </w:r>
      <w:r>
        <w:rPr>
          <w:rFonts w:hint="default" w:ascii="Times New Roman" w:hAnsi="Times New Roman" w:eastAsia="宋体" w:cs="Times New Roman"/>
          <w:spacing w:val="4"/>
          <w:position w:val="1"/>
          <w:sz w:val="23"/>
          <w:szCs w:val="23"/>
          <w:highlight w:val="none"/>
          <w14:textOutline w14:w="4324" w14:cap="sq" w14:cmpd="sng">
            <w14:solidFill>
              <w14:srgbClr w14:val="000000"/>
            </w14:solidFill>
            <w14:prstDash w14:val="solid"/>
            <w14:bevel/>
          </w14:textOutline>
        </w:rPr>
        <w:t>单位：</w:t>
      </w:r>
      <w:r>
        <w:rPr>
          <w:rFonts w:hint="default" w:ascii="Times New Roman" w:hAnsi="Times New Roman" w:eastAsia="Times New Roman" w:cs="Times New Roman"/>
          <w:b/>
          <w:bCs/>
          <w:position w:val="1"/>
          <w:sz w:val="23"/>
          <w:szCs w:val="23"/>
          <w:highlight w:val="none"/>
        </w:rPr>
        <w:t>m</w:t>
      </w:r>
      <w:r>
        <w:rPr>
          <w:rFonts w:hint="default" w:ascii="Times New Roman" w:hAnsi="Times New Roman" w:eastAsia="Times New Roman" w:cs="Times New Roman"/>
          <w:b/>
          <w:bCs/>
          <w:spacing w:val="4"/>
          <w:position w:val="8"/>
          <w:sz w:val="15"/>
          <w:szCs w:val="15"/>
          <w:highlight w:val="none"/>
        </w:rPr>
        <w:t>3</w:t>
      </w:r>
      <w:r>
        <w:rPr>
          <w:rFonts w:hint="default" w:ascii="Times New Roman" w:hAnsi="Times New Roman" w:eastAsia="Times New Roman" w:cs="Times New Roman"/>
          <w:b/>
          <w:bCs/>
          <w:spacing w:val="3"/>
          <w:position w:val="1"/>
          <w:sz w:val="23"/>
          <w:szCs w:val="23"/>
          <w:highlight w:val="none"/>
        </w:rPr>
        <w:t>/</w:t>
      </w:r>
      <w:r>
        <w:rPr>
          <w:rFonts w:hint="default" w:ascii="Times New Roman" w:hAnsi="Times New Roman" w:eastAsia="Times New Roman" w:cs="Times New Roman"/>
          <w:b/>
          <w:bCs/>
          <w:position w:val="1"/>
          <w:sz w:val="23"/>
          <w:szCs w:val="23"/>
          <w:highlight w:val="none"/>
        </w:rPr>
        <w:t>d</w:t>
      </w:r>
    </w:p>
    <w:p>
      <w:pPr>
        <w:rPr>
          <w:rFonts w:hint="default" w:ascii="Times New Roman" w:hAnsi="Times New Roman" w:cs="Times New Roman"/>
          <w:highlight w:val="none"/>
        </w:rPr>
        <w:sectPr>
          <w:headerReference r:id="rId21" w:type="default"/>
          <w:footerReference r:id="rId22" w:type="default"/>
          <w:pgSz w:w="16839" w:h="11906"/>
          <w:pgMar w:top="1200" w:right="1440" w:bottom="1310" w:left="1440" w:header="882" w:footer="1027" w:gutter="0"/>
          <w:pgBorders>
            <w:top w:val="none" w:sz="0" w:space="0"/>
            <w:left w:val="none" w:sz="0" w:space="0"/>
            <w:bottom w:val="none" w:sz="0" w:space="0"/>
            <w:right w:val="none" w:sz="0" w:space="0"/>
          </w:pgBorders>
          <w:pgNumType w:fmt="decimal"/>
          <w:cols w:space="720" w:num="1"/>
        </w:sectPr>
      </w:pPr>
    </w:p>
    <w:p>
      <w:pPr>
        <w:spacing w:before="75" w:line="226" w:lineRule="auto"/>
        <w:ind w:left="126"/>
        <w:outlineLvl w:val="2"/>
        <w:rPr>
          <w:rFonts w:hint="eastAsia" w:ascii="Times New Roman" w:hAnsi="Times New Roman" w:eastAsia="宋体" w:cs="Times New Roman"/>
          <w:spacing w:val="7"/>
          <w:sz w:val="23"/>
          <w:szCs w:val="23"/>
          <w:highlight w:val="none"/>
          <w:lang w:eastAsia="zh-CN"/>
          <w14:textOutline w14:w="4358" w14:cap="sq" w14:cmpd="sng">
            <w14:solidFill>
              <w14:srgbClr w14:val="000000"/>
            </w14:solidFill>
            <w14:prstDash w14:val="solid"/>
            <w14:bevel/>
          </w14:textOutline>
        </w:rPr>
      </w:pPr>
      <w:bookmarkStart w:id="144" w:name="_Toc29586"/>
      <w:bookmarkStart w:id="145" w:name="_Toc1729"/>
      <w:bookmarkStart w:id="146" w:name="_Toc23929"/>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3.</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1.6 现有工程</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生产工艺</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流程</w:t>
      </w:r>
      <w:bookmarkEnd w:id="144"/>
      <w:bookmarkEnd w:id="145"/>
      <w:bookmarkEnd w:id="146"/>
    </w:p>
    <w:p>
      <w:pPr>
        <w:spacing w:before="302" w:line="411" w:lineRule="auto"/>
        <w:ind w:left="160" w:right="120" w:firstLine="450"/>
        <w:rPr>
          <w:rFonts w:hint="default" w:ascii="Times New Roman" w:hAnsi="Times New Roman" w:eastAsia="Times New Roman" w:cs="Times New Roman"/>
          <w:sz w:val="23"/>
          <w:szCs w:val="23"/>
          <w:highlight w:val="none"/>
        </w:rPr>
      </w:pPr>
      <w:r>
        <w:rPr>
          <w:rFonts w:hint="eastAsia" w:ascii="Times New Roman" w:hAnsi="Times New Roman" w:eastAsia="Times New Roman" w:cs="Times New Roman"/>
          <w:sz w:val="23"/>
          <w:szCs w:val="23"/>
          <w:highlight w:val="none"/>
          <w:lang w:val="en-US" w:eastAsia="zh-CN"/>
        </w:rPr>
        <w:t>1#~3#生产线</w:t>
      </w:r>
      <w:r>
        <w:rPr>
          <w:rFonts w:hint="default" w:ascii="Times New Roman" w:hAnsi="Times New Roman" w:eastAsia="Times New Roman" w:cs="Times New Roman"/>
          <w:sz w:val="23"/>
          <w:szCs w:val="23"/>
          <w:highlight w:val="none"/>
        </w:rPr>
        <w:t>工艺流程及排污节点见图 3.</w:t>
      </w:r>
      <w:r>
        <w:rPr>
          <w:rFonts w:hint="eastAsia" w:ascii="Times New Roman" w:hAnsi="Times New Roman" w:eastAsia="宋体" w:cs="Times New Roman"/>
          <w:sz w:val="23"/>
          <w:szCs w:val="23"/>
          <w:highlight w:val="none"/>
          <w:lang w:val="en-US" w:eastAsia="zh-CN"/>
        </w:rPr>
        <w:t>1</w:t>
      </w:r>
      <w:r>
        <w:rPr>
          <w:rFonts w:hint="default" w:ascii="Times New Roman" w:hAnsi="Times New Roman" w:eastAsia="Times New Roman" w:cs="Times New Roman"/>
          <w:sz w:val="23"/>
          <w:szCs w:val="23"/>
          <w:highlight w:val="none"/>
        </w:rPr>
        <w:t xml:space="preserve">- </w:t>
      </w:r>
      <w:r>
        <w:rPr>
          <w:rFonts w:hint="eastAsia" w:ascii="Times New Roman" w:hAnsi="Times New Roman" w:eastAsia="宋体" w:cs="Times New Roman"/>
          <w:sz w:val="23"/>
          <w:szCs w:val="23"/>
          <w:highlight w:val="none"/>
          <w:lang w:val="en-US" w:eastAsia="zh-CN"/>
        </w:rPr>
        <w:t>2</w:t>
      </w:r>
      <w:r>
        <w:rPr>
          <w:rFonts w:hint="default" w:ascii="Times New Roman" w:hAnsi="Times New Roman" w:eastAsia="Times New Roman" w:cs="Times New Roman"/>
          <w:sz w:val="23"/>
          <w:szCs w:val="23"/>
          <w:highlight w:val="none"/>
        </w:rPr>
        <w:t>。</w:t>
      </w:r>
    </w:p>
    <w:p>
      <w:pPr>
        <w:tabs>
          <w:tab w:val="left" w:pos="2585"/>
        </w:tabs>
        <w:bidi w:val="0"/>
        <w:jc w:val="center"/>
        <w:rPr>
          <w:rFonts w:hint="eastAsia" w:ascii="Times New Roman" w:hAnsi="Times New Roman" w:eastAsia="宋体" w:cs="Times New Roman"/>
          <w:highlight w:val="none"/>
          <w:lang w:eastAsia="zh-CN"/>
        </w:rPr>
      </w:pPr>
      <w:r>
        <w:rPr>
          <w:sz w:val="21"/>
          <w:highlight w:val="none"/>
        </w:rPr>
        <mc:AlternateContent>
          <mc:Choice Requires="wps">
            <w:drawing>
              <wp:anchor distT="0" distB="0" distL="114300" distR="114300" simplePos="0" relativeHeight="251752448" behindDoc="0" locked="0" layoutInCell="1" allowOverlap="1">
                <wp:simplePos x="0" y="0"/>
                <wp:positionH relativeFrom="column">
                  <wp:posOffset>3681730</wp:posOffset>
                </wp:positionH>
                <wp:positionV relativeFrom="paragraph">
                  <wp:posOffset>7411085</wp:posOffset>
                </wp:positionV>
                <wp:extent cx="391160" cy="230505"/>
                <wp:effectExtent l="0" t="0" r="0" b="0"/>
                <wp:wrapNone/>
                <wp:docPr id="108" name="文本框 108"/>
                <wp:cNvGraphicFramePr/>
                <a:graphic xmlns:a="http://schemas.openxmlformats.org/drawingml/2006/main">
                  <a:graphicData uri="http://schemas.microsoft.com/office/word/2010/wordprocessingShape">
                    <wps:wsp>
                      <wps:cNvSpPr txBox="1"/>
                      <wps:spPr>
                        <a:xfrm>
                          <a:off x="531495" y="8270240"/>
                          <a:ext cx="391160"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成品</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89.9pt;margin-top:583.55pt;height:18.15pt;width:30.8pt;z-index:251752448;mso-width-relative:page;mso-height-relative:page;" filled="f" stroked="f" coordsize="21600,21600" o:gfxdata="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FjPZ2wAAAA0BAAAPAAAAAAAAAAEAIAAAACIA&#10;AABkcnMvZG93bnJldi54bWxQSwECFAAUAAAACACHTuJAb8UXvz8CAABkBAAADgAAAAAAAAABACAA&#10;AAAqAQAAZHJzL2Uyb0RvYy54bWxQSwUGAAAAAAYABgBZAQAA2wUAAAAA&#10;">
                <v:fill on="f" focussize="0,0"/>
                <v:stroke on="f" weight="0.5pt"/>
                <v:imagedata o:title=""/>
                <o:lock v:ext="edit" aspectratio="f"/>
                <v:textbox inset="0mm,0mm,0mm,0mm">
                  <w:txbxContent>
                    <w:p>
                      <w:pPr>
                        <w:rPr>
                          <w:rFonts w:hint="eastAsia" w:eastAsia="宋体"/>
                          <w:lang w:val="en-US" w:eastAsia="zh-CN"/>
                        </w:rPr>
                      </w:pPr>
                      <w:r>
                        <w:rPr>
                          <w:rFonts w:hint="eastAsia" w:eastAsia="宋体"/>
                          <w:lang w:val="en-US" w:eastAsia="zh-CN"/>
                        </w:rPr>
                        <w:t>成品</w:t>
                      </w:r>
                    </w:p>
                  </w:txbxContent>
                </v:textbox>
              </v:shape>
            </w:pict>
          </mc:Fallback>
        </mc:AlternateContent>
      </w:r>
      <w:r>
        <w:rPr>
          <w:rFonts w:hint="default" w:ascii="Times New Roman" w:hAnsi="Times New Roman" w:cs="Times New Roman"/>
          <w:highlight w:val="none"/>
        </w:rPr>
        <w:pict>
          <v:rect id="_x0000_s1103" o:spid="_x0000_s1103" o:spt="1" style="position:absolute;left:0pt;margin-left:89.85pt;margin-top:60.75pt;height:0.75pt;width:415.65pt;mso-position-horizontal-relative:page;mso-position-vertical-relative:page;z-index:251685888;mso-width-relative:page;mso-height-relative:page;" fillcolor="#000000" filled="t" stroked="f" coordsize="21600,21600" o:allowincell="f">
            <v:path/>
            <v:fill on="t" focussize="0,0"/>
            <v:stroke on="f"/>
            <v:imagedata o:title=""/>
            <o:lock v:ext="edit"/>
            <v:textbox>
              <w:txbxContent>
                <w:p/>
              </w:txbxContent>
            </v:textbox>
          </v:rect>
        </w:pict>
      </w:r>
      <w:r>
        <w:rPr>
          <w:rFonts w:hint="eastAsia" w:ascii="Times New Roman" w:hAnsi="Times New Roman" w:eastAsia="宋体" w:cs="Times New Roman"/>
          <w:highlight w:val="none"/>
          <w:lang w:eastAsia="zh-CN"/>
        </w:rPr>
        <w:drawing>
          <wp:inline distT="0" distB="0" distL="114300" distR="114300">
            <wp:extent cx="5803265" cy="7414895"/>
            <wp:effectExtent l="0" t="0" r="0" b="14605"/>
            <wp:docPr id="107" name="图片 107" descr="168482850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684828505715"/>
                    <pic:cNvPicPr>
                      <a:picLocks noChangeAspect="1"/>
                    </pic:cNvPicPr>
                  </pic:nvPicPr>
                  <pic:blipFill>
                    <a:blip r:embed="rId139">
                      <a:clrChange>
                        <a:clrFrom>
                          <a:srgbClr val="FFFFFF">
                            <a:alpha val="100000"/>
                          </a:srgbClr>
                        </a:clrFrom>
                        <a:clrTo>
                          <a:srgbClr val="FFFFFF">
                            <a:alpha val="100000"/>
                            <a:alpha val="0"/>
                          </a:srgbClr>
                        </a:clrTo>
                      </a:clrChange>
                    </a:blip>
                    <a:stretch>
                      <a:fillRect/>
                    </a:stretch>
                  </pic:blipFill>
                  <pic:spPr>
                    <a:xfrm>
                      <a:off x="0" y="0"/>
                      <a:ext cx="5803265" cy="7414895"/>
                    </a:xfrm>
                    <a:prstGeom prst="rect">
                      <a:avLst/>
                    </a:prstGeom>
                  </pic:spPr>
                </pic:pic>
              </a:graphicData>
            </a:graphic>
          </wp:inline>
        </w:drawing>
      </w:r>
    </w:p>
    <w:p>
      <w:pPr>
        <w:spacing w:before="195" w:line="228" w:lineRule="auto"/>
        <w:ind w:left="2029"/>
        <w:rPr>
          <w:rFonts w:hint="default" w:ascii="Times New Roman" w:hAnsi="Times New Roman" w:eastAsia="宋体" w:cs="Times New Roman"/>
          <w:spacing w:val="10"/>
          <w:sz w:val="23"/>
          <w:szCs w:val="23"/>
          <w:highlight w:val="none"/>
          <w14:textOutline w14:w="4358" w14:cap="sq" w14:cmpd="sng">
            <w14:solidFill>
              <w14:srgbClr w14:val="000000"/>
            </w14:solidFill>
            <w14:prstDash w14:val="solid"/>
            <w14:bevel/>
          </w14:textOutline>
        </w:rPr>
      </w:pPr>
    </w:p>
    <w:p>
      <w:pPr>
        <w:spacing w:before="195" w:line="228" w:lineRule="auto"/>
        <w:ind w:left="202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9"/>
          <w:sz w:val="23"/>
          <w:szCs w:val="23"/>
          <w:highlight w:val="none"/>
        </w:rPr>
        <w:t>3</w:t>
      </w:r>
      <w:r>
        <w:rPr>
          <w:rFonts w:hint="default" w:ascii="Times New Roman" w:hAnsi="Times New Roman" w:eastAsia="Times New Roman" w:cs="Times New Roman"/>
          <w:b/>
          <w:bCs/>
          <w:spacing w:val="5"/>
          <w:sz w:val="23"/>
          <w:szCs w:val="23"/>
          <w:highlight w:val="none"/>
        </w:rPr>
        <w:t>.</w:t>
      </w:r>
      <w:r>
        <w:rPr>
          <w:rFonts w:hint="eastAsia" w:ascii="Times New Roman" w:hAnsi="Times New Roman" w:eastAsia="宋体" w:cs="Times New Roman"/>
          <w:b/>
          <w:bCs/>
          <w:spacing w:val="5"/>
          <w:sz w:val="23"/>
          <w:szCs w:val="23"/>
          <w:highlight w:val="none"/>
          <w:lang w:val="en-US" w:eastAsia="zh-CN"/>
        </w:rPr>
        <w:t>1</w:t>
      </w:r>
      <w:r>
        <w:rPr>
          <w:rFonts w:hint="default" w:ascii="Times New Roman" w:hAnsi="Times New Roman" w:eastAsia="Times New Roman" w:cs="Times New Roman"/>
          <w:b/>
          <w:bCs/>
          <w:spacing w:val="5"/>
          <w:sz w:val="23"/>
          <w:szCs w:val="23"/>
          <w:highlight w:val="none"/>
        </w:rPr>
        <w:t>-</w:t>
      </w:r>
      <w:r>
        <w:rPr>
          <w:rFonts w:hint="eastAsia" w:ascii="Times New Roman" w:hAnsi="Times New Roman" w:eastAsia="宋体" w:cs="Times New Roman"/>
          <w:b/>
          <w:bCs/>
          <w:spacing w:val="5"/>
          <w:sz w:val="23"/>
          <w:szCs w:val="23"/>
          <w:highlight w:val="none"/>
          <w:lang w:val="en-US" w:eastAsia="zh-CN"/>
        </w:rPr>
        <w:t>2</w:t>
      </w:r>
      <w:r>
        <w:rPr>
          <w:rFonts w:hint="default" w:ascii="Times New Roman" w:hAnsi="Times New Roman" w:eastAsia="Times New Roman" w:cs="Times New Roman"/>
          <w:spacing w:val="5"/>
          <w:sz w:val="23"/>
          <w:szCs w:val="23"/>
          <w:highlight w:val="none"/>
        </w:rPr>
        <w:t xml:space="preserve">          </w:t>
      </w:r>
      <w:r>
        <w:rPr>
          <w:rFonts w:hint="eastAsia" w:ascii="Times New Roman" w:hAnsi="Times New Roman" w:eastAsia="宋体" w:cs="Times New Roman"/>
          <w:spacing w:val="5"/>
          <w:sz w:val="23"/>
          <w:szCs w:val="23"/>
          <w:highlight w:val="none"/>
          <w:lang w:val="en-US" w:eastAsia="zh-CN"/>
        </w:rPr>
        <w:t>1#~3#</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生产工艺流程及排污节点图</w:t>
      </w:r>
    </w:p>
    <w:p>
      <w:pPr>
        <w:rPr>
          <w:rFonts w:hint="default" w:ascii="Times New Roman" w:hAnsi="Times New Roman" w:cs="Times New Roman"/>
          <w:highlight w:val="none"/>
        </w:rPr>
        <w:sectPr>
          <w:headerReference r:id="rId23" w:type="default"/>
          <w:footerReference r:id="rId24" w:type="default"/>
          <w:pgSz w:w="11906" w:h="16839"/>
          <w:pgMar w:top="1200" w:right="1785" w:bottom="1339" w:left="1785" w:header="882" w:footer="1027"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0" w:beforeLines="100" w:line="358" w:lineRule="auto"/>
        <w:ind w:firstLine="420" w:firstLineChars="200"/>
        <w:textAlignment w:val="baseline"/>
        <w:rPr>
          <w:rFonts w:hint="default" w:ascii="Times New Roman" w:hAnsi="Times New Roman" w:eastAsia="Times New Roman" w:cs="Times New Roman"/>
          <w:sz w:val="23"/>
          <w:szCs w:val="23"/>
          <w:highlight w:val="none"/>
        </w:rPr>
      </w:pPr>
      <w:r>
        <w:rPr>
          <w:rFonts w:hint="default" w:ascii="Times New Roman" w:hAnsi="Times New Roman" w:cs="Times New Roman"/>
          <w:highlight w:val="none"/>
          <w:lang w:val="en-US"/>
        </w:rPr>
        <w:pict>
          <v:rect id="_x0000_s1104" o:spid="_x0000_s1104" o:spt="1" style="position:absolute;left:0pt;margin-left:89.85pt;margin-top:774.95pt;height:0.75pt;width:415.65pt;mso-position-horizontal-relative:page;mso-position-vertical-relative:page;z-index:251686912;mso-width-relative:page;mso-height-relative:page;" fillcolor="#FFFFFF" filled="t" stroked="f" coordsize="21600,21600" o:allowincell="f">
            <v:path/>
            <v:fill on="t" color2="#FFFFFF" focussize="0,0"/>
            <v:stroke on="f"/>
            <v:imagedata o:title=""/>
            <o:lock v:ext="edit" aspectratio="f"/>
            <v:textbox>
              <w:txbxContent>
                <w:p/>
              </w:txbxContent>
            </v:textbox>
          </v:rect>
        </w:pict>
      </w:r>
      <w:r>
        <w:rPr>
          <w:rFonts w:hint="default" w:ascii="Times New Roman" w:hAnsi="Times New Roman" w:cs="Times New Roman"/>
          <w:highlight w:val="none"/>
          <w:lang w:val="en-US"/>
        </w:rPr>
        <w:pict>
          <v:shape id="_x0000_s1105" o:spid="_x0000_s1105" style="position:absolute;left:0pt;margin-left:89.85pt;margin-top:60.75pt;height:0.75pt;width:415.65pt;mso-position-horizontal-relative:page;mso-position-vertical-relative:page;z-index:251687936;mso-width-relative:page;mso-height-relative:page;" fillcolor="#000000" filled="t" stroked="f" coordsize="8312,15" o:allowincell="f" path="m0,0l8312,0,8312,14,0,14,0,0xe">
            <v:path/>
            <v:fill on="t" focussize="0,0"/>
            <v:stroke on="f"/>
            <v:imagedata o:title=""/>
            <o:lock v:ext="edit"/>
          </v:shape>
        </w:pict>
      </w:r>
      <w:r>
        <w:rPr>
          <w:rFonts w:hint="eastAsia" w:ascii="Times New Roman" w:hAnsi="Times New Roman" w:eastAsia="宋体" w:cs="Times New Roman"/>
          <w:highlight w:val="none"/>
          <w:lang w:val="en-US" w:eastAsia="zh-CN"/>
        </w:rPr>
        <w:t>4</w:t>
      </w:r>
      <w:r>
        <w:rPr>
          <w:rFonts w:hint="eastAsia" w:ascii="Times New Roman" w:hAnsi="Times New Roman" w:eastAsia="Times New Roman" w:cs="Times New Roman"/>
          <w:sz w:val="23"/>
          <w:szCs w:val="23"/>
          <w:highlight w:val="none"/>
          <w:lang w:val="en-US" w:eastAsia="zh-CN"/>
        </w:rPr>
        <w:t>#~6#生产线</w:t>
      </w:r>
      <w:r>
        <w:rPr>
          <w:rFonts w:hint="default" w:ascii="Times New Roman" w:hAnsi="Times New Roman" w:eastAsia="Times New Roman" w:cs="Times New Roman"/>
          <w:sz w:val="23"/>
          <w:szCs w:val="23"/>
          <w:highlight w:val="none"/>
        </w:rPr>
        <w:t>工艺流程及排污节点见图 3.</w:t>
      </w:r>
      <w:r>
        <w:rPr>
          <w:rFonts w:hint="eastAsia" w:ascii="Times New Roman" w:hAnsi="Times New Roman" w:eastAsia="宋体" w:cs="Times New Roman"/>
          <w:sz w:val="23"/>
          <w:szCs w:val="23"/>
          <w:highlight w:val="none"/>
          <w:lang w:val="en-US" w:eastAsia="zh-CN"/>
        </w:rPr>
        <w:t>1</w:t>
      </w:r>
      <w:r>
        <w:rPr>
          <w:rFonts w:hint="default" w:ascii="Times New Roman" w:hAnsi="Times New Roman" w:eastAsia="Times New Roman" w:cs="Times New Roman"/>
          <w:sz w:val="23"/>
          <w:szCs w:val="23"/>
          <w:highlight w:val="none"/>
        </w:rPr>
        <w:t xml:space="preserve">- </w:t>
      </w:r>
      <w:r>
        <w:rPr>
          <w:rFonts w:hint="eastAsia" w:ascii="Times New Roman" w:hAnsi="Times New Roman" w:eastAsia="宋体" w:cs="Times New Roman"/>
          <w:sz w:val="23"/>
          <w:szCs w:val="23"/>
          <w:highlight w:val="none"/>
          <w:lang w:val="en-US" w:eastAsia="zh-CN"/>
        </w:rPr>
        <w:t>3</w:t>
      </w:r>
      <w:r>
        <w:rPr>
          <w:rFonts w:hint="default" w:ascii="Times New Roman" w:hAnsi="Times New Roman" w:eastAsia="Times New Roman" w:cs="Times New Roman"/>
          <w:sz w:val="23"/>
          <w:szCs w:val="23"/>
          <w:highlight w:val="none"/>
        </w:rPr>
        <w:t>。</w:t>
      </w:r>
    </w:p>
    <w:p>
      <w:pPr>
        <w:spacing w:line="306" w:lineRule="auto"/>
        <w:jc w:val="center"/>
        <w:rPr>
          <w:rFonts w:hint="default" w:ascii="Times New Roman" w:hAnsi="Times New Roman" w:cs="Times New Roman"/>
          <w:sz w:val="21"/>
          <w:highlight w:val="none"/>
        </w:rPr>
      </w:pPr>
      <w:r>
        <w:rPr>
          <w:sz w:val="21"/>
          <w:highlight w:val="none"/>
        </w:rPr>
        <mc:AlternateContent>
          <mc:Choice Requires="wps">
            <w:drawing>
              <wp:anchor distT="0" distB="0" distL="114300" distR="114300" simplePos="0" relativeHeight="251847680" behindDoc="0" locked="0" layoutInCell="1" allowOverlap="1">
                <wp:simplePos x="0" y="0"/>
                <wp:positionH relativeFrom="column">
                  <wp:posOffset>3255645</wp:posOffset>
                </wp:positionH>
                <wp:positionV relativeFrom="paragraph">
                  <wp:posOffset>6383655</wp:posOffset>
                </wp:positionV>
                <wp:extent cx="391160" cy="23050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91160" cy="230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成品</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6.35pt;margin-top:502.65pt;height:18.15pt;width:30.8pt;z-index:251847680;mso-width-relative:page;mso-height-relative:page;" filled="f" stroked="f" coordsize="21600,21600" o:gfxdata="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Q5+d2wAAAA0BAAAPAAAAAAAAAAEAIAAAACIAAABkcnMvZG93bnJl&#10;di54bWxQSwECFAAUAAAACACHTuJAhIzB/zMCAABZBAAADgAAAAAAAAABACAAAAAqAQAAZHJzL2Uy&#10;b0RvYy54bWxQSwUGAAAAAAYABgBZAQAAzwUAAAAA&#10;">
                <v:fill on="f" focussize="0,0"/>
                <v:stroke on="f" weight="0.5pt"/>
                <v:imagedata o:title=""/>
                <o:lock v:ext="edit" aspectratio="f"/>
                <v:textbox inset="0mm,0mm,0mm,0mm">
                  <w:txbxContent>
                    <w:p>
                      <w:pPr>
                        <w:rPr>
                          <w:rFonts w:hint="eastAsia" w:eastAsia="宋体"/>
                          <w:lang w:val="en-US" w:eastAsia="zh-CN"/>
                        </w:rPr>
                      </w:pPr>
                      <w:r>
                        <w:rPr>
                          <w:rFonts w:hint="eastAsia" w:eastAsia="宋体"/>
                          <w:lang w:val="en-US" w:eastAsia="zh-CN"/>
                        </w:rPr>
                        <w:t>成品</w:t>
                      </w:r>
                    </w:p>
                  </w:txbxContent>
                </v:textbox>
              </v:shape>
            </w:pict>
          </mc:Fallback>
        </mc:AlternateContent>
      </w:r>
      <w:r>
        <w:rPr>
          <w:rFonts w:hint="default" w:ascii="Times New Roman" w:hAnsi="Times New Roman" w:cs="Times New Roman"/>
          <w:highlight w:val="none"/>
        </w:rPr>
        <w:drawing>
          <wp:inline distT="0" distB="0" distL="114300" distR="114300">
            <wp:extent cx="4811395" cy="6402070"/>
            <wp:effectExtent l="0" t="0" r="0" b="0"/>
            <wp:docPr id="109" name="图片 109" descr="168482885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684828850048"/>
                    <pic:cNvPicPr>
                      <a:picLocks noChangeAspect="1"/>
                    </pic:cNvPicPr>
                  </pic:nvPicPr>
                  <pic:blipFill>
                    <a:blip r:embed="rId140">
                      <a:clrChange>
                        <a:clrFrom>
                          <a:srgbClr val="FFFFFF">
                            <a:alpha val="100000"/>
                          </a:srgbClr>
                        </a:clrFrom>
                        <a:clrTo>
                          <a:srgbClr val="FFFFFF">
                            <a:alpha val="100000"/>
                            <a:alpha val="0"/>
                          </a:srgbClr>
                        </a:clrTo>
                      </a:clrChange>
                    </a:blip>
                    <a:srcRect b="709"/>
                    <a:stretch>
                      <a:fillRect/>
                    </a:stretch>
                  </pic:blipFill>
                  <pic:spPr>
                    <a:xfrm>
                      <a:off x="0" y="0"/>
                      <a:ext cx="4811395" cy="6402070"/>
                    </a:xfrm>
                    <a:prstGeom prst="rect">
                      <a:avLst/>
                    </a:prstGeom>
                  </pic:spPr>
                </pic:pic>
              </a:graphicData>
            </a:graphic>
          </wp:inline>
        </w:drawing>
      </w:r>
      <w:r>
        <w:rPr>
          <w:rFonts w:hint="default" w:ascii="Times New Roman" w:hAnsi="Times New Roman" w:cs="Times New Roman"/>
          <w:highlight w:val="none"/>
        </w:rPr>
        <w:pict>
          <v:shape id="_x0000_s1111" o:spid="_x0000_s1111" style="position:absolute;left:0pt;margin-left:89.85pt;margin-top:60.75pt;height:0.75pt;width:415.65pt;mso-position-horizontal-relative:page;mso-position-vertical-relative:page;z-index:251688960;mso-width-relative:page;mso-height-relative:page;" fillcolor="#000000" filled="t" stroked="f" coordsize="8312,15" o:allowincell="f" path="m0,0l8312,0,8312,14,0,14,0,0xe">
            <v:path/>
            <v:fill on="t" focussize="0,0"/>
            <v:stroke on="f"/>
            <v:imagedata o:title=""/>
            <o:lock v:ext="edit"/>
          </v:shape>
        </w:pict>
      </w:r>
    </w:p>
    <w:p>
      <w:pPr>
        <w:spacing w:before="195" w:line="228" w:lineRule="auto"/>
        <w:ind w:left="202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9"/>
          <w:sz w:val="23"/>
          <w:szCs w:val="23"/>
          <w:highlight w:val="none"/>
        </w:rPr>
        <w:t>3</w:t>
      </w:r>
      <w:r>
        <w:rPr>
          <w:rFonts w:hint="default" w:ascii="Times New Roman" w:hAnsi="Times New Roman" w:eastAsia="Times New Roman" w:cs="Times New Roman"/>
          <w:b/>
          <w:bCs/>
          <w:spacing w:val="5"/>
          <w:sz w:val="23"/>
          <w:szCs w:val="23"/>
          <w:highlight w:val="none"/>
        </w:rPr>
        <w:t>.</w:t>
      </w:r>
      <w:r>
        <w:rPr>
          <w:rFonts w:hint="eastAsia" w:ascii="Times New Roman" w:hAnsi="Times New Roman" w:eastAsia="宋体" w:cs="Times New Roman"/>
          <w:b/>
          <w:bCs/>
          <w:spacing w:val="5"/>
          <w:sz w:val="23"/>
          <w:szCs w:val="23"/>
          <w:highlight w:val="none"/>
          <w:lang w:val="en-US" w:eastAsia="zh-CN"/>
        </w:rPr>
        <w:t>1</w:t>
      </w:r>
      <w:r>
        <w:rPr>
          <w:rFonts w:hint="default" w:ascii="Times New Roman" w:hAnsi="Times New Roman" w:eastAsia="Times New Roman" w:cs="Times New Roman"/>
          <w:b/>
          <w:bCs/>
          <w:spacing w:val="5"/>
          <w:sz w:val="23"/>
          <w:szCs w:val="23"/>
          <w:highlight w:val="none"/>
        </w:rPr>
        <w:t>-</w:t>
      </w:r>
      <w:r>
        <w:rPr>
          <w:rFonts w:hint="eastAsia" w:ascii="Times New Roman" w:hAnsi="Times New Roman" w:eastAsia="宋体" w:cs="Times New Roman"/>
          <w:b/>
          <w:bCs/>
          <w:spacing w:val="5"/>
          <w:sz w:val="23"/>
          <w:szCs w:val="23"/>
          <w:highlight w:val="none"/>
          <w:lang w:val="en-US" w:eastAsia="zh-CN"/>
        </w:rPr>
        <w:t>3</w:t>
      </w:r>
      <w:r>
        <w:rPr>
          <w:rFonts w:hint="default" w:ascii="Times New Roman" w:hAnsi="Times New Roman" w:eastAsia="Times New Roman" w:cs="Times New Roman"/>
          <w:spacing w:val="5"/>
          <w:sz w:val="23"/>
          <w:szCs w:val="23"/>
          <w:highlight w:val="none"/>
        </w:rPr>
        <w:t xml:space="preserve">        </w:t>
      </w:r>
      <w:r>
        <w:rPr>
          <w:rFonts w:hint="eastAsia" w:ascii="Times New Roman" w:hAnsi="Times New Roman" w:eastAsia="宋体" w:cs="Times New Roman"/>
          <w:spacing w:val="5"/>
          <w:sz w:val="23"/>
          <w:szCs w:val="23"/>
          <w:highlight w:val="none"/>
          <w:lang w:val="en-US" w:eastAsia="zh-CN"/>
        </w:rPr>
        <w:t>4#~6#</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生产工艺流程及排污节点图</w:t>
      </w:r>
    </w:p>
    <w:p>
      <w:pPr>
        <w:rPr>
          <w:rFonts w:hint="default" w:ascii="Times New Roman" w:hAnsi="Times New Roman" w:cs="Times New Roman"/>
          <w:highlight w:val="none"/>
        </w:rPr>
      </w:pPr>
    </w:p>
    <w:p>
      <w:pPr>
        <w:spacing w:before="75" w:line="226" w:lineRule="auto"/>
        <w:ind w:left="126"/>
        <w:outlineLvl w:val="2"/>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pPr>
      <w:bookmarkStart w:id="147" w:name="_Toc31007"/>
      <w:bookmarkStart w:id="148" w:name="_Toc5428"/>
      <w:bookmarkStart w:id="149" w:name="_Toc26135"/>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3.</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1.7 污染物排放情况及原有环境问题</w:t>
      </w:r>
      <w:bookmarkEnd w:id="147"/>
      <w:bookmarkEnd w:id="148"/>
      <w:bookmarkEnd w:id="149"/>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7"/>
          <w:sz w:val="23"/>
          <w:szCs w:val="23"/>
          <w:highlight w:val="none"/>
          <w:lang w:val="en-US" w:eastAsia="zh-CN"/>
        </w:rPr>
      </w:pPr>
      <w:r>
        <w:rPr>
          <w:rFonts w:hint="eastAsia" w:ascii="Times New Roman" w:hAnsi="Times New Roman" w:eastAsia="宋体" w:cs="Times New Roman"/>
          <w:spacing w:val="7"/>
          <w:sz w:val="23"/>
          <w:szCs w:val="23"/>
          <w:highlight w:val="none"/>
          <w:lang w:eastAsia="zh-CN"/>
        </w:rPr>
        <w:t>（</w:t>
      </w:r>
      <w:r>
        <w:rPr>
          <w:rFonts w:hint="eastAsia" w:ascii="Times New Roman" w:hAnsi="Times New Roman" w:eastAsia="宋体" w:cs="Times New Roman"/>
          <w:spacing w:val="7"/>
          <w:sz w:val="23"/>
          <w:szCs w:val="23"/>
          <w:highlight w:val="none"/>
          <w:lang w:val="en-US" w:eastAsia="zh-CN"/>
        </w:rPr>
        <w:t>1</w:t>
      </w:r>
      <w:r>
        <w:rPr>
          <w:rFonts w:hint="eastAsia" w:ascii="Times New Roman" w:hAnsi="Times New Roman" w:eastAsia="宋体" w:cs="Times New Roman"/>
          <w:spacing w:val="7"/>
          <w:sz w:val="23"/>
          <w:szCs w:val="23"/>
          <w:highlight w:val="none"/>
          <w:lang w:eastAsia="zh-CN"/>
        </w:rPr>
        <w:t>）</w:t>
      </w:r>
      <w:r>
        <w:rPr>
          <w:rFonts w:hint="eastAsia" w:ascii="Times New Roman" w:hAnsi="Times New Roman" w:eastAsia="宋体" w:cs="Times New Roman"/>
          <w:spacing w:val="7"/>
          <w:sz w:val="23"/>
          <w:szCs w:val="23"/>
          <w:highlight w:val="none"/>
          <w:lang w:val="en-US" w:eastAsia="zh-CN"/>
        </w:rPr>
        <w:t>环保手续履行情况及污染物达标排放</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9"/>
          <w:sz w:val="23"/>
          <w:szCs w:val="23"/>
          <w:highlight w:val="none"/>
        </w:rPr>
        <w:t>遵化市势竹矿业有限公司</w:t>
      </w:r>
      <w:r>
        <w:rPr>
          <w:rFonts w:hint="default" w:ascii="Times New Roman" w:hAnsi="Times New Roman" w:eastAsia="宋体" w:cs="Times New Roman"/>
          <w:spacing w:val="4"/>
          <w:sz w:val="23"/>
          <w:szCs w:val="23"/>
          <w:highlight w:val="none"/>
          <w:lang w:val="en-US" w:eastAsia="zh-CN"/>
        </w:rPr>
        <w:t>位于</w:t>
      </w:r>
      <w:r>
        <w:rPr>
          <w:rFonts w:hint="default" w:ascii="Times New Roman" w:hAnsi="Times New Roman" w:eastAsia="宋体" w:cs="Times New Roman"/>
          <w:spacing w:val="4"/>
          <w:sz w:val="23"/>
          <w:szCs w:val="23"/>
          <w:highlight w:val="none"/>
        </w:rPr>
        <w:t>遵化市苏家洼镇张家坟村村南</w:t>
      </w:r>
      <w:r>
        <w:rPr>
          <w:rFonts w:hint="default" w:ascii="Times New Roman" w:hAnsi="Times New Roman" w:eastAsia="宋体" w:cs="Times New Roman"/>
          <w:spacing w:val="4"/>
          <w:sz w:val="23"/>
          <w:szCs w:val="23"/>
          <w:highlight w:val="none"/>
          <w:lang w:eastAsia="zh-CN"/>
        </w:rPr>
        <w:t>，</w:t>
      </w:r>
      <w:r>
        <w:rPr>
          <w:rFonts w:hint="default" w:ascii="Times New Roman" w:hAnsi="Times New Roman" w:eastAsia="宋体" w:cs="Times New Roman"/>
          <w:spacing w:val="4"/>
          <w:sz w:val="23"/>
          <w:szCs w:val="23"/>
          <w:highlight w:val="none"/>
          <w:lang w:val="en-US" w:eastAsia="zh-CN"/>
        </w:rPr>
        <w:t>于2018年实施了</w:t>
      </w:r>
      <w:r>
        <w:rPr>
          <w:rFonts w:hint="eastAsia"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7"/>
          <w:sz w:val="23"/>
          <w:szCs w:val="23"/>
          <w:highlight w:val="none"/>
        </w:rPr>
        <w:t>遵化市势竹矿业有</w:t>
      </w:r>
      <w:r>
        <w:rPr>
          <w:rFonts w:hint="default" w:ascii="Times New Roman" w:hAnsi="Times New Roman" w:eastAsia="宋体" w:cs="Times New Roman"/>
          <w:spacing w:val="16"/>
          <w:sz w:val="23"/>
          <w:szCs w:val="23"/>
          <w:highlight w:val="none"/>
        </w:rPr>
        <w:t>限</w:t>
      </w:r>
      <w:r>
        <w:rPr>
          <w:rFonts w:hint="default" w:ascii="Times New Roman" w:hAnsi="Times New Roman" w:eastAsia="宋体" w:cs="Times New Roman"/>
          <w:spacing w:val="13"/>
          <w:sz w:val="23"/>
          <w:szCs w:val="23"/>
          <w:highlight w:val="none"/>
        </w:rPr>
        <w:t>公</w:t>
      </w:r>
      <w:r>
        <w:rPr>
          <w:rFonts w:hint="default" w:ascii="Times New Roman" w:hAnsi="Times New Roman" w:eastAsia="宋体" w:cs="Times New Roman"/>
          <w:spacing w:val="8"/>
          <w:sz w:val="23"/>
          <w:szCs w:val="23"/>
          <w:highlight w:val="none"/>
        </w:rPr>
        <w:t>司年处理</w:t>
      </w:r>
      <w:r>
        <w:rPr>
          <w:rFonts w:hint="default" w:ascii="Times New Roman" w:hAnsi="Times New Roman" w:eastAsia="Times New Roman" w:cs="Times New Roman"/>
          <w:spacing w:val="8"/>
          <w:sz w:val="23"/>
          <w:szCs w:val="23"/>
          <w:highlight w:val="none"/>
        </w:rPr>
        <w:t>50</w:t>
      </w:r>
      <w:r>
        <w:rPr>
          <w:rFonts w:hint="default" w:ascii="Times New Roman" w:hAnsi="Times New Roman" w:eastAsia="宋体" w:cs="Times New Roman"/>
          <w:spacing w:val="8"/>
          <w:sz w:val="23"/>
          <w:szCs w:val="23"/>
          <w:highlight w:val="none"/>
        </w:rPr>
        <w:t>万吨铁矿石破碎技改项目</w:t>
      </w:r>
      <w:r>
        <w:rPr>
          <w:rFonts w:hint="eastAsia"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4"/>
          <w:sz w:val="23"/>
          <w:szCs w:val="23"/>
          <w:highlight w:val="none"/>
          <w:lang w:val="en-US" w:eastAsia="zh-CN"/>
        </w:rPr>
        <w:t>，并于2018年9月13日取得了唐山市行政审批局出具的《</w:t>
      </w:r>
      <w:r>
        <w:rPr>
          <w:rFonts w:hint="default" w:ascii="Times New Roman" w:hAnsi="Times New Roman" w:eastAsia="宋体" w:cs="Times New Roman"/>
          <w:spacing w:val="7"/>
          <w:sz w:val="23"/>
          <w:szCs w:val="23"/>
          <w:highlight w:val="none"/>
        </w:rPr>
        <w:t>遵化市势竹矿业有</w:t>
      </w:r>
      <w:r>
        <w:rPr>
          <w:rFonts w:hint="default" w:ascii="Times New Roman" w:hAnsi="Times New Roman" w:eastAsia="宋体" w:cs="Times New Roman"/>
          <w:spacing w:val="16"/>
          <w:sz w:val="23"/>
          <w:szCs w:val="23"/>
          <w:highlight w:val="none"/>
        </w:rPr>
        <w:t>限</w:t>
      </w:r>
      <w:r>
        <w:rPr>
          <w:rFonts w:hint="default" w:ascii="Times New Roman" w:hAnsi="Times New Roman" w:eastAsia="宋体" w:cs="Times New Roman"/>
          <w:spacing w:val="13"/>
          <w:sz w:val="23"/>
          <w:szCs w:val="23"/>
          <w:highlight w:val="none"/>
        </w:rPr>
        <w:t>公</w:t>
      </w:r>
      <w:r>
        <w:rPr>
          <w:rFonts w:hint="default" w:ascii="Times New Roman" w:hAnsi="Times New Roman" w:eastAsia="宋体" w:cs="Times New Roman"/>
          <w:spacing w:val="8"/>
          <w:sz w:val="23"/>
          <w:szCs w:val="23"/>
          <w:highlight w:val="none"/>
        </w:rPr>
        <w:t>司年处理</w:t>
      </w:r>
      <w:r>
        <w:rPr>
          <w:rFonts w:hint="default" w:ascii="Times New Roman" w:hAnsi="Times New Roman" w:eastAsia="Times New Roman" w:cs="Times New Roman"/>
          <w:spacing w:val="8"/>
          <w:sz w:val="23"/>
          <w:szCs w:val="23"/>
          <w:highlight w:val="none"/>
        </w:rPr>
        <w:t>50</w:t>
      </w:r>
      <w:r>
        <w:rPr>
          <w:rFonts w:hint="default" w:ascii="Times New Roman" w:hAnsi="Times New Roman" w:eastAsia="宋体" w:cs="Times New Roman"/>
          <w:spacing w:val="8"/>
          <w:sz w:val="23"/>
          <w:szCs w:val="23"/>
          <w:highlight w:val="none"/>
        </w:rPr>
        <w:t>万吨铁矿石破碎技改项目</w:t>
      </w:r>
      <w:r>
        <w:rPr>
          <w:rFonts w:hint="default" w:ascii="Times New Roman" w:hAnsi="Times New Roman" w:eastAsia="宋体" w:cs="Times New Roman"/>
          <w:spacing w:val="4"/>
          <w:sz w:val="23"/>
          <w:szCs w:val="23"/>
          <w:highlight w:val="none"/>
          <w:lang w:val="en-US" w:eastAsia="zh-CN"/>
        </w:rPr>
        <w:t>环境影响报告书》批复文件（唐审投资环字[2018]24号），于2020年10月建设完成进行了排污登记并通过了竣工环境保护验收。</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根据</w:t>
      </w:r>
      <w:r>
        <w:rPr>
          <w:rFonts w:hint="default"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7"/>
          <w:sz w:val="23"/>
          <w:szCs w:val="23"/>
          <w:highlight w:val="none"/>
        </w:rPr>
        <w:t>遵化市势竹矿业有</w:t>
      </w:r>
      <w:r>
        <w:rPr>
          <w:rFonts w:hint="default" w:ascii="Times New Roman" w:hAnsi="Times New Roman" w:eastAsia="宋体" w:cs="Times New Roman"/>
          <w:spacing w:val="16"/>
          <w:sz w:val="23"/>
          <w:szCs w:val="23"/>
          <w:highlight w:val="none"/>
        </w:rPr>
        <w:t>限</w:t>
      </w:r>
      <w:r>
        <w:rPr>
          <w:rFonts w:hint="default" w:ascii="Times New Roman" w:hAnsi="Times New Roman" w:eastAsia="宋体" w:cs="Times New Roman"/>
          <w:spacing w:val="13"/>
          <w:sz w:val="23"/>
          <w:szCs w:val="23"/>
          <w:highlight w:val="none"/>
        </w:rPr>
        <w:t>公</w:t>
      </w:r>
      <w:r>
        <w:rPr>
          <w:rFonts w:hint="default" w:ascii="Times New Roman" w:hAnsi="Times New Roman" w:eastAsia="宋体" w:cs="Times New Roman"/>
          <w:spacing w:val="8"/>
          <w:sz w:val="23"/>
          <w:szCs w:val="23"/>
          <w:highlight w:val="none"/>
        </w:rPr>
        <w:t>司年处理</w:t>
      </w:r>
      <w:r>
        <w:rPr>
          <w:rFonts w:hint="default" w:ascii="Times New Roman" w:hAnsi="Times New Roman" w:eastAsia="Times New Roman" w:cs="Times New Roman"/>
          <w:spacing w:val="8"/>
          <w:sz w:val="23"/>
          <w:szCs w:val="23"/>
          <w:highlight w:val="none"/>
        </w:rPr>
        <w:t>50</w:t>
      </w:r>
      <w:r>
        <w:rPr>
          <w:rFonts w:hint="default" w:ascii="Times New Roman" w:hAnsi="Times New Roman" w:eastAsia="宋体" w:cs="Times New Roman"/>
          <w:spacing w:val="8"/>
          <w:sz w:val="23"/>
          <w:szCs w:val="23"/>
          <w:highlight w:val="none"/>
        </w:rPr>
        <w:t>万吨铁矿石破碎技改项目</w:t>
      </w:r>
      <w:r>
        <w:rPr>
          <w:rFonts w:hint="default" w:ascii="Times New Roman" w:hAnsi="Times New Roman" w:eastAsia="宋体" w:cs="Times New Roman"/>
          <w:spacing w:val="4"/>
          <w:sz w:val="23"/>
          <w:szCs w:val="23"/>
          <w:highlight w:val="none"/>
          <w:lang w:val="en-US" w:eastAsia="zh-CN"/>
        </w:rPr>
        <w:t>环境影响报告书》</w:t>
      </w:r>
      <w:r>
        <w:rPr>
          <w:rFonts w:hint="eastAsia" w:ascii="Times New Roman" w:hAnsi="Times New Roman" w:eastAsia="宋体" w:cs="Times New Roman"/>
          <w:spacing w:val="4"/>
          <w:sz w:val="23"/>
          <w:szCs w:val="23"/>
          <w:highlight w:val="none"/>
          <w:lang w:val="en-US" w:eastAsia="zh-CN"/>
        </w:rPr>
        <w:t>可知现有工程颗粒物排放量为8.566t/a，废气污染源</w:t>
      </w:r>
      <w:r>
        <w:rPr>
          <w:rFonts w:hint="default" w:ascii="Times New Roman" w:hAnsi="Times New Roman" w:eastAsia="宋体" w:cs="Times New Roman"/>
          <w:spacing w:val="4"/>
          <w:sz w:val="23"/>
          <w:szCs w:val="23"/>
          <w:highlight w:val="none"/>
          <w:lang w:val="en-US" w:eastAsia="zh-CN"/>
        </w:rPr>
        <w:t>有组织排放颗粒物</w:t>
      </w:r>
      <w:r>
        <w:rPr>
          <w:rFonts w:hint="eastAsia" w:ascii="Times New Roman" w:hAnsi="Times New Roman" w:eastAsia="宋体" w:cs="Times New Roman"/>
          <w:spacing w:val="4"/>
          <w:sz w:val="23"/>
          <w:szCs w:val="23"/>
          <w:highlight w:val="none"/>
          <w:lang w:val="en-US" w:eastAsia="zh-CN"/>
        </w:rPr>
        <w:t>满足</w:t>
      </w:r>
      <w:r>
        <w:rPr>
          <w:rFonts w:hint="default" w:ascii="Times New Roman" w:hAnsi="Times New Roman" w:eastAsia="宋体" w:cs="Times New Roman"/>
          <w:spacing w:val="4"/>
          <w:sz w:val="23"/>
          <w:szCs w:val="23"/>
          <w:highlight w:val="none"/>
          <w:lang w:val="en-US" w:eastAsia="zh-CN"/>
        </w:rPr>
        <w:t>《铁矿采选工业污染物排放标准》（GB28661-2012）中表6大气污染物特别排放限值，无组织排放颗粒物</w:t>
      </w:r>
      <w:r>
        <w:rPr>
          <w:rFonts w:hint="eastAsia" w:ascii="Times New Roman" w:hAnsi="Times New Roman" w:eastAsia="宋体" w:cs="Times New Roman"/>
          <w:spacing w:val="4"/>
          <w:sz w:val="23"/>
          <w:szCs w:val="23"/>
          <w:highlight w:val="none"/>
          <w:lang w:val="en-US" w:eastAsia="zh-CN"/>
        </w:rPr>
        <w:t>满足</w:t>
      </w:r>
      <w:r>
        <w:rPr>
          <w:rFonts w:hint="default" w:ascii="Times New Roman" w:hAnsi="Times New Roman" w:eastAsia="宋体" w:cs="Times New Roman"/>
          <w:spacing w:val="4"/>
          <w:sz w:val="23"/>
          <w:szCs w:val="23"/>
          <w:highlight w:val="none"/>
          <w:lang w:val="en-US" w:eastAsia="zh-CN"/>
        </w:rPr>
        <w:t>《铁矿采选工业污染物排放标准》（GB28661-2012）中</w:t>
      </w:r>
      <w:r>
        <w:rPr>
          <w:rFonts w:hint="eastAsia" w:ascii="Times New Roman" w:hAnsi="Times New Roman" w:eastAsia="宋体" w:cs="Times New Roman"/>
          <w:spacing w:val="4"/>
          <w:sz w:val="23"/>
          <w:szCs w:val="23"/>
          <w:highlight w:val="none"/>
          <w:lang w:val="en-US" w:eastAsia="zh-CN"/>
        </w:rPr>
        <w:t>“</w:t>
      </w:r>
      <w:r>
        <w:rPr>
          <w:rFonts w:hint="default" w:ascii="Times New Roman" w:hAnsi="Times New Roman" w:eastAsia="宋体" w:cs="Times New Roman"/>
          <w:spacing w:val="4"/>
          <w:sz w:val="23"/>
          <w:szCs w:val="23"/>
          <w:highlight w:val="none"/>
          <w:lang w:val="en-US" w:eastAsia="zh-CN"/>
        </w:rPr>
        <w:t>表7现有和新建企业大气污染物无组织排放监控浓度限值</w:t>
      </w:r>
      <w:r>
        <w:rPr>
          <w:rFonts w:hint="eastAsia" w:ascii="Times New Roman" w:hAnsi="Times New Roman" w:eastAsia="宋体" w:cs="Times New Roman"/>
          <w:spacing w:val="4"/>
          <w:sz w:val="23"/>
          <w:szCs w:val="23"/>
          <w:highlight w:val="none"/>
          <w:lang w:val="en-US" w:eastAsia="zh-CN"/>
        </w:rPr>
        <w:t>”，固体废物全部得到妥善处置，无废水外排，噪声排放满足</w:t>
      </w:r>
      <w:r>
        <w:rPr>
          <w:rFonts w:hint="default" w:ascii="Times New Roman" w:hAnsi="Times New Roman" w:eastAsia="宋体" w:cs="Times New Roman"/>
          <w:spacing w:val="4"/>
          <w:sz w:val="23"/>
          <w:szCs w:val="23"/>
          <w:highlight w:val="none"/>
          <w:lang w:val="en-US" w:eastAsia="zh-CN"/>
        </w:rPr>
        <w:t>《工业企业厂界环境噪声排放标准》（GB12348-2008）2类标准</w:t>
      </w:r>
      <w:r>
        <w:rPr>
          <w:rFonts w:hint="eastAsia" w:ascii="Times New Roman" w:hAnsi="Times New Roman" w:eastAsia="宋体" w:cs="Times New Roman"/>
          <w:spacing w:val="4"/>
          <w:sz w:val="23"/>
          <w:szCs w:val="23"/>
          <w:highlight w:val="none"/>
          <w:lang w:val="en-US" w:eastAsia="zh-CN"/>
        </w:rPr>
        <w:t>。</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原有环境问题</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通过本项目环评文件编制期间现场踏勘排查出公司厂区存在的现有环境问题，并提出了相应的整改措施，建设单位应积极针对现有环境问题进行整改，并在本项目环评文件批复之日起一个月内完成现有环境问题的整改。</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①</w:t>
      </w:r>
      <w:r>
        <w:rPr>
          <w:rFonts w:hint="eastAsia" w:ascii="Times New Roman" w:hAnsi="Times New Roman" w:eastAsia="宋体" w:cs="Times New Roman"/>
          <w:spacing w:val="4"/>
          <w:sz w:val="23"/>
          <w:szCs w:val="23"/>
          <w:highlight w:val="none"/>
          <w:lang w:val="en-US" w:eastAsia="zh-CN"/>
        </w:rPr>
        <w:t>厂区运输道路</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环境问题：厂区运输道路存在未硬化情况，不利于控制无组织粉尘排放。</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整改措施：按照《遵化市铁选矿综合治理工作实施方案》对厂区运矿道路进行硬化、绿化处置，生产期间，道路路面不间断清扫保洁、洒水抑尘，保持路面整洁、湿润不起尘，有效防止运输环节扬尘污染。</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②</w:t>
      </w:r>
      <w:r>
        <w:rPr>
          <w:rFonts w:hint="eastAsia" w:ascii="Times New Roman" w:hAnsi="Times New Roman" w:eastAsia="宋体" w:cs="Times New Roman"/>
          <w:spacing w:val="4"/>
          <w:sz w:val="23"/>
          <w:szCs w:val="23"/>
          <w:highlight w:val="none"/>
          <w:lang w:val="en-US" w:eastAsia="zh-CN"/>
        </w:rPr>
        <w:t>地下水监测计划执行情况</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环境问题：厂区未设置地下水监测井，未按原环评要求开展地下水环境跟踪监测。</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整改措施：按照</w:t>
      </w:r>
      <w:r>
        <w:rPr>
          <w:rFonts w:hint="default" w:ascii="Times New Roman" w:hAnsi="Times New Roman" w:eastAsia="宋体" w:cs="Times New Roman"/>
          <w:spacing w:val="4"/>
          <w:sz w:val="23"/>
          <w:szCs w:val="23"/>
          <w:highlight w:val="none"/>
          <w:lang w:val="en-US" w:eastAsia="zh-CN"/>
        </w:rPr>
        <w:t>《地下水环境监测技术规范》HJ164-20</w:t>
      </w:r>
      <w:r>
        <w:rPr>
          <w:rFonts w:hint="eastAsia" w:ascii="Times New Roman" w:hAnsi="Times New Roman" w:eastAsia="宋体" w:cs="Times New Roman"/>
          <w:spacing w:val="4"/>
          <w:sz w:val="23"/>
          <w:szCs w:val="23"/>
          <w:highlight w:val="none"/>
          <w:lang w:val="en-US" w:eastAsia="zh-CN"/>
        </w:rPr>
        <w:t>20</w:t>
      </w:r>
      <w:r>
        <w:rPr>
          <w:rFonts w:hint="default" w:ascii="Times New Roman" w:hAnsi="Times New Roman" w:eastAsia="宋体" w:cs="Times New Roman"/>
          <w:spacing w:val="4"/>
          <w:sz w:val="23"/>
          <w:szCs w:val="23"/>
          <w:highlight w:val="none"/>
          <w:lang w:val="en-US" w:eastAsia="zh-CN"/>
        </w:rPr>
        <w:t>的要求</w:t>
      </w:r>
      <w:r>
        <w:rPr>
          <w:rFonts w:hint="eastAsia" w:ascii="Times New Roman" w:hAnsi="Times New Roman" w:eastAsia="宋体" w:cs="Times New Roman"/>
          <w:spacing w:val="4"/>
          <w:sz w:val="23"/>
          <w:szCs w:val="23"/>
          <w:highlight w:val="none"/>
          <w:lang w:val="en-US" w:eastAsia="zh-CN"/>
        </w:rPr>
        <w:t>设置厂区跟踪监测井，并按环评文件要求的检测频率、检测项目定期开展地下水环境跟踪监测。</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③</w:t>
      </w:r>
      <w:r>
        <w:rPr>
          <w:rFonts w:hint="eastAsia" w:ascii="Times New Roman" w:hAnsi="Times New Roman" w:eastAsia="宋体" w:cs="Times New Roman"/>
          <w:spacing w:val="4"/>
          <w:sz w:val="23"/>
          <w:szCs w:val="23"/>
          <w:highlight w:val="none"/>
          <w:lang w:val="en-US" w:eastAsia="zh-CN"/>
        </w:rPr>
        <w:t>尾矿存贮、处置等管理情况</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环境问题：尾矿采用干排工艺，尾矿存储于封闭库房内，作为建筑材料外售第三方单位，未按照《尾矿污染环境防治管理办法》(部令第26号)相关要求设立尾矿管理台账。</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整改措施：按照《尾矿污染环境防治管理办法》(部令第26号)提出的污染防治要求规范尾矿的存储、处置措施，委托第三方单位处置尾矿时，应对受托方的主体资格和技术能力进行核实，依法签订书面合同，在合同中约定污染防治要求；产生尾矿的单位应当在尾矿环境管理台账中如实记录生产运营中产生尾矿的种类、数量、流向、贮存、综合利用等信息，尾矿环境管理台账保存期限不得少于五年。</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④危废暂存间</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环境问题：危废暂存间标识设置不满足现有规范要求。</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整改措施：危废暂存间应按照《危险废物识别标志设置技术规范》（HJ 1276—2022）相关要求规范标识设置。</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⑤应急预案</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环境问题：厂区风险防范措施落实不到位，未按照环评文件要求设置事故水池，未编制突发环境事件应急预案。</w:t>
      </w:r>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23"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整改措施：按照环评文件要求合理设置事故水池，针对厂区存在环境风险物质编制突发环境事件应急预案，并进行备案。</w:t>
      </w:r>
    </w:p>
    <w:p>
      <w:pPr>
        <w:pStyle w:val="2"/>
        <w:rPr>
          <w:rFonts w:hint="eastAsia"/>
          <w:highlight w:val="none"/>
          <w:lang w:val="en-US" w:eastAsia="zh-CN"/>
        </w:rPr>
      </w:pPr>
    </w:p>
    <w:p>
      <w:pPr>
        <w:spacing w:before="75" w:line="226" w:lineRule="auto"/>
        <w:outlineLvl w:val="2"/>
        <w:rPr>
          <w:rFonts w:hint="default"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pPr>
      <w:bookmarkStart w:id="150" w:name="_Toc10890"/>
      <w:bookmarkStart w:id="151" w:name="_Toc29639"/>
      <w:bookmarkStart w:id="152" w:name="_Toc11472"/>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3.</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1.7 现有工程总量控制指标</w:t>
      </w:r>
      <w:bookmarkEnd w:id="150"/>
      <w:bookmarkEnd w:id="151"/>
      <w:bookmarkEnd w:id="152"/>
    </w:p>
    <w:p>
      <w:pPr>
        <w:keepNext w:val="0"/>
        <w:keepLines w:val="0"/>
        <w:pageBreakBefore w:val="0"/>
        <w:widowControl/>
        <w:kinsoku w:val="0"/>
        <w:wordWrap/>
        <w:overflowPunct/>
        <w:topLinePunct w:val="0"/>
        <w:autoSpaceDE w:val="0"/>
        <w:autoSpaceDN w:val="0"/>
        <w:bidi w:val="0"/>
        <w:adjustRightInd w:val="0"/>
        <w:snapToGrid w:val="0"/>
        <w:spacing w:before="0" w:line="460" w:lineRule="exact"/>
        <w:ind w:left="0" w:firstLine="482"/>
        <w:jc w:val="both"/>
        <w:textAlignment w:val="baseline"/>
        <w:rPr>
          <w:rFonts w:hint="eastAsia"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根据原环评及批复文件可知，现有工程总量控制指标情况见表3.1-5。</w:t>
      </w:r>
    </w:p>
    <w:p>
      <w:pPr>
        <w:keepNext w:val="0"/>
        <w:keepLines w:val="0"/>
        <w:pageBreakBefore w:val="0"/>
        <w:widowControl/>
        <w:kinsoku w:val="0"/>
        <w:wordWrap/>
        <w:overflowPunct/>
        <w:topLinePunct w:val="0"/>
        <w:autoSpaceDE w:val="0"/>
        <w:autoSpaceDN w:val="0"/>
        <w:bidi w:val="0"/>
        <w:adjustRightInd w:val="0"/>
        <w:snapToGrid w:val="0"/>
        <w:spacing w:before="0" w:beforeLines="50" w:line="319" w:lineRule="exact"/>
        <w:ind w:left="1928"/>
        <w:textAlignment w:val="baseline"/>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pPr>
      <w:r>
        <w:rPr>
          <w:rFonts w:hint="eastAsia"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 xml:space="preserve"> 3.</w:t>
      </w:r>
      <w:r>
        <w:rPr>
          <w:rFonts w:hint="eastAsia" w:ascii="Times New Roman" w:hAnsi="Times New Roman" w:eastAsia="宋体" w:cs="Times New Roman"/>
          <w:spacing w:val="7"/>
          <w:position w:val="1"/>
          <w:sz w:val="23"/>
          <w:szCs w:val="23"/>
          <w:highlight w:val="none"/>
          <w:lang w:val="en-US" w:eastAsia="zh-CN"/>
          <w14:textOutline w14:w="4358" w14:cap="sq" w14:cmpd="sng">
            <w14:solidFill>
              <w14:srgbClr w14:val="000000"/>
            </w14:solidFill>
            <w14:prstDash w14:val="solid"/>
            <w14:bevel/>
          </w14:textOutline>
        </w:rPr>
        <w:t>1</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w:t>
      </w:r>
      <w:r>
        <w:rPr>
          <w:rFonts w:hint="eastAsia" w:ascii="Times New Roman" w:hAnsi="Times New Roman" w:eastAsia="宋体" w:cs="Times New Roman"/>
          <w:spacing w:val="7"/>
          <w:position w:val="1"/>
          <w:sz w:val="23"/>
          <w:szCs w:val="23"/>
          <w:highlight w:val="none"/>
          <w:lang w:val="en-US" w:eastAsia="zh-CN"/>
          <w14:textOutline w14:w="4358" w14:cap="sq" w14:cmpd="sng">
            <w14:solidFill>
              <w14:srgbClr w14:val="000000"/>
            </w14:solidFill>
            <w14:prstDash w14:val="solid"/>
            <w14:bevel/>
          </w14:textOutline>
        </w:rPr>
        <w:t xml:space="preserve">5 </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 xml:space="preserve">  </w:t>
      </w:r>
      <w:r>
        <w:rPr>
          <w:rFonts w:hint="eastAsia" w:ascii="Times New Roman" w:hAnsi="Times New Roman" w:eastAsia="宋体" w:cs="Times New Roman"/>
          <w:spacing w:val="7"/>
          <w:position w:val="1"/>
          <w:sz w:val="23"/>
          <w:szCs w:val="23"/>
          <w:highlight w:val="none"/>
          <w:lang w:eastAsia="zh-CN"/>
          <w14:textOutline w14:w="4358" w14:cap="sq" w14:cmpd="sng">
            <w14:solidFill>
              <w14:srgbClr w14:val="000000"/>
            </w14:solidFill>
            <w14:prstDash w14:val="solid"/>
            <w14:bevel/>
          </w14:textOutline>
        </w:rPr>
        <w:t>现有工程</w:t>
      </w:r>
      <w:r>
        <w:rPr>
          <w:rFonts w:hint="eastAsia"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总量控制指表</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 xml:space="preserve"> </w:t>
      </w:r>
      <w:r>
        <w:rPr>
          <w:rFonts w:hint="eastAsia"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单位</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 xml:space="preserve"> t/a</w:t>
      </w:r>
    </w:p>
    <w:tbl>
      <w:tblPr>
        <w:tblStyle w:val="15"/>
        <w:tblW w:w="8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730"/>
        <w:gridCol w:w="1727"/>
        <w:gridCol w:w="1386"/>
        <w:gridCol w:w="987"/>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Borders>
              <w:tl2br w:val="nil"/>
              <w:tr2bl w:val="nil"/>
            </w:tcBorders>
          </w:tcPr>
          <w:p>
            <w:pPr>
              <w:spacing w:line="240" w:lineRule="auto"/>
              <w:ind w:firstLine="0" w:firstLineChars="0"/>
              <w:jc w:val="center"/>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项目</w:t>
            </w:r>
          </w:p>
        </w:tc>
        <w:tc>
          <w:tcPr>
            <w:tcW w:w="3457" w:type="dxa"/>
            <w:gridSpan w:val="2"/>
            <w:tcBorders>
              <w:tl2br w:val="nil"/>
              <w:tr2bl w:val="nil"/>
            </w:tcBorders>
          </w:tcPr>
          <w:p>
            <w:pPr>
              <w:spacing w:line="240" w:lineRule="auto"/>
              <w:ind w:firstLine="420"/>
              <w:jc w:val="both"/>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废水污染物</w:t>
            </w:r>
          </w:p>
        </w:tc>
        <w:tc>
          <w:tcPr>
            <w:tcW w:w="3468" w:type="dxa"/>
            <w:gridSpan w:val="3"/>
            <w:tcBorders>
              <w:tl2br w:val="nil"/>
              <w:tr2bl w:val="nil"/>
            </w:tcBorders>
          </w:tcPr>
          <w:p>
            <w:pPr>
              <w:spacing w:line="240" w:lineRule="auto"/>
              <w:ind w:firstLine="420"/>
              <w:jc w:val="both"/>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总量控制指标</w:t>
            </w:r>
          </w:p>
        </w:tc>
        <w:tc>
          <w:tcPr>
            <w:tcW w:w="1730" w:type="dxa"/>
            <w:tcBorders>
              <w:tl2br w:val="nil"/>
              <w:tr2bl w:val="nil"/>
            </w:tcBorders>
          </w:tcPr>
          <w:p>
            <w:pPr>
              <w:spacing w:line="240" w:lineRule="auto"/>
              <w:ind w:firstLine="0" w:firstLineChars="0"/>
              <w:jc w:val="center"/>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COD</w:t>
            </w:r>
          </w:p>
        </w:tc>
        <w:tc>
          <w:tcPr>
            <w:tcW w:w="1727" w:type="dxa"/>
            <w:tcBorders>
              <w:tl2br w:val="nil"/>
              <w:tr2bl w:val="nil"/>
            </w:tcBorders>
          </w:tcPr>
          <w:p>
            <w:pPr>
              <w:spacing w:line="240" w:lineRule="auto"/>
              <w:ind w:firstLine="0" w:firstLineChars="0"/>
              <w:jc w:val="center"/>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氨氮</w:t>
            </w:r>
          </w:p>
        </w:tc>
        <w:tc>
          <w:tcPr>
            <w:tcW w:w="1386" w:type="dxa"/>
            <w:tcBorders>
              <w:tl2br w:val="nil"/>
              <w:tr2bl w:val="nil"/>
            </w:tcBorders>
          </w:tcPr>
          <w:p>
            <w:pPr>
              <w:spacing w:line="240" w:lineRule="auto"/>
              <w:ind w:firstLine="0" w:firstLineChars="0"/>
              <w:jc w:val="center"/>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SO</w:t>
            </w:r>
            <w:r>
              <w:rPr>
                <w:rFonts w:hint="default" w:ascii="Times New Roman" w:hAnsi="Times New Roman" w:eastAsia="宋体" w:cs="Times New Roman"/>
                <w:bCs/>
                <w:sz w:val="22"/>
                <w:szCs w:val="22"/>
                <w:highlight w:val="none"/>
                <w:vertAlign w:val="subscript"/>
              </w:rPr>
              <w:t>2</w:t>
            </w:r>
          </w:p>
        </w:tc>
        <w:tc>
          <w:tcPr>
            <w:tcW w:w="987" w:type="dxa"/>
            <w:tcBorders>
              <w:tl2br w:val="nil"/>
              <w:tr2bl w:val="nil"/>
            </w:tcBorders>
          </w:tcPr>
          <w:p>
            <w:pPr>
              <w:spacing w:line="240" w:lineRule="auto"/>
              <w:ind w:firstLine="0" w:firstLineChars="0"/>
              <w:jc w:val="center"/>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NO</w:t>
            </w:r>
            <w:r>
              <w:rPr>
                <w:rFonts w:hint="default" w:ascii="Times New Roman" w:hAnsi="Times New Roman" w:eastAsia="宋体" w:cs="Times New Roman"/>
                <w:bCs/>
                <w:sz w:val="22"/>
                <w:szCs w:val="22"/>
                <w:highlight w:val="none"/>
                <w:vertAlign w:val="subscript"/>
              </w:rPr>
              <w:t>x</w:t>
            </w:r>
          </w:p>
        </w:tc>
        <w:tc>
          <w:tcPr>
            <w:tcW w:w="1095" w:type="dxa"/>
            <w:tcBorders>
              <w:tl2br w:val="nil"/>
              <w:tr2bl w:val="nil"/>
            </w:tcBorders>
          </w:tcPr>
          <w:p>
            <w:pPr>
              <w:spacing w:line="240" w:lineRule="auto"/>
              <w:ind w:firstLine="0" w:firstLineChars="0"/>
              <w:jc w:val="center"/>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2"/>
                <w:szCs w:val="22"/>
                <w:highlight w:val="none"/>
              </w:rPr>
            </w:pPr>
          </w:p>
        </w:tc>
        <w:tc>
          <w:tcPr>
            <w:tcW w:w="1730" w:type="dxa"/>
            <w:tcBorders>
              <w:tl2br w:val="nil"/>
              <w:tr2bl w:val="nil"/>
            </w:tcBorders>
          </w:tcPr>
          <w:p>
            <w:pPr>
              <w:spacing w:line="240" w:lineRule="auto"/>
              <w:ind w:firstLine="0" w:firstLineChars="0"/>
              <w:jc w:val="center"/>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0</w:t>
            </w:r>
          </w:p>
        </w:tc>
        <w:tc>
          <w:tcPr>
            <w:tcW w:w="1727" w:type="dxa"/>
            <w:tcBorders>
              <w:tl2br w:val="nil"/>
              <w:tr2bl w:val="nil"/>
            </w:tcBorders>
          </w:tcPr>
          <w:p>
            <w:pPr>
              <w:spacing w:line="240" w:lineRule="auto"/>
              <w:ind w:firstLine="0" w:firstLineChars="0"/>
              <w:jc w:val="center"/>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0</w:t>
            </w:r>
          </w:p>
        </w:tc>
        <w:tc>
          <w:tcPr>
            <w:tcW w:w="1386" w:type="dxa"/>
            <w:tcBorders>
              <w:tl2br w:val="nil"/>
              <w:tr2bl w:val="nil"/>
            </w:tcBorders>
          </w:tcPr>
          <w:p>
            <w:pPr>
              <w:spacing w:line="240" w:lineRule="auto"/>
              <w:ind w:firstLine="0" w:firstLineChars="0"/>
              <w:jc w:val="center"/>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0</w:t>
            </w:r>
          </w:p>
        </w:tc>
        <w:tc>
          <w:tcPr>
            <w:tcW w:w="987" w:type="dxa"/>
            <w:tcBorders>
              <w:tl2br w:val="nil"/>
              <w:tr2bl w:val="nil"/>
            </w:tcBorders>
          </w:tcPr>
          <w:p>
            <w:pPr>
              <w:spacing w:line="240" w:lineRule="auto"/>
              <w:ind w:firstLine="0" w:firstLineChars="0"/>
              <w:jc w:val="center"/>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rPr>
              <w:t>0</w:t>
            </w:r>
          </w:p>
        </w:tc>
        <w:tc>
          <w:tcPr>
            <w:tcW w:w="1095" w:type="dxa"/>
            <w:tcBorders>
              <w:tl2br w:val="nil"/>
              <w:tr2bl w:val="nil"/>
            </w:tcBorders>
          </w:tcPr>
          <w:p>
            <w:pPr>
              <w:spacing w:line="240" w:lineRule="auto"/>
              <w:ind w:firstLine="0" w:firstLineChars="0"/>
              <w:jc w:val="center"/>
              <w:rPr>
                <w:rFonts w:hint="default" w:ascii="Times New Roman" w:hAnsi="Times New Roman" w:eastAsia="宋体" w:cs="Times New Roman"/>
                <w:bCs/>
                <w:sz w:val="22"/>
                <w:szCs w:val="22"/>
                <w:highlight w:val="none"/>
                <w:lang w:val="en-US" w:eastAsia="zh-CN"/>
              </w:rPr>
            </w:pPr>
            <w:r>
              <w:rPr>
                <w:rFonts w:hint="default" w:ascii="Times New Roman" w:hAnsi="Times New Roman" w:eastAsia="宋体" w:cs="Times New Roman"/>
                <w:bCs/>
                <w:sz w:val="22"/>
                <w:szCs w:val="22"/>
                <w:highlight w:val="none"/>
                <w:lang w:val="en-US" w:eastAsia="zh-CN"/>
              </w:rPr>
              <w:t>12.36</w:t>
            </w:r>
          </w:p>
        </w:tc>
      </w:tr>
    </w:tbl>
    <w:p>
      <w:pPr>
        <w:rPr>
          <w:rFonts w:hint="default" w:ascii="Times New Roman" w:hAnsi="Times New Roman" w:eastAsia="Times New Roman" w:cs="Times New Roman"/>
          <w:b/>
          <w:bCs/>
          <w:sz w:val="28"/>
          <w:szCs w:val="28"/>
          <w:highlight w:val="none"/>
        </w:rPr>
      </w:pPr>
      <w:bookmarkStart w:id="153" w:name="_Toc22461"/>
      <w:bookmarkStart w:id="154" w:name="_Toc26151"/>
      <w:bookmarkStart w:id="155" w:name="_Toc1852"/>
      <w:r>
        <w:rPr>
          <w:rFonts w:hint="default" w:ascii="Times New Roman" w:hAnsi="Times New Roman" w:eastAsia="Times New Roman" w:cs="Times New Roman"/>
          <w:b/>
          <w:bCs/>
          <w:sz w:val="28"/>
          <w:szCs w:val="28"/>
          <w:highlight w:val="none"/>
        </w:rPr>
        <w:br w:type="page"/>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0"/>
        <w:textAlignment w:val="baseline"/>
        <w:outlineLvl w:val="1"/>
        <w:rPr>
          <w:rFonts w:hint="default" w:ascii="Times New Roman" w:hAnsi="Times New Roman" w:eastAsia="宋体" w:cs="Times New Roman"/>
          <w:sz w:val="28"/>
          <w:szCs w:val="28"/>
          <w:highlight w:val="none"/>
        </w:rPr>
      </w:pPr>
      <w:r>
        <w:rPr>
          <w:rFonts w:hint="default" w:ascii="Times New Roman" w:hAnsi="Times New Roman" w:eastAsia="Times New Roman" w:cs="Times New Roman"/>
          <w:b/>
          <w:bCs/>
          <w:sz w:val="28"/>
          <w:szCs w:val="28"/>
          <w:highlight w:val="none"/>
        </w:rPr>
        <w:t>3.</w:t>
      </w:r>
      <w:r>
        <w:rPr>
          <w:rFonts w:hint="eastAsia" w:ascii="Times New Roman" w:hAnsi="Times New Roman" w:eastAsia="宋体" w:cs="Times New Roman"/>
          <w:b/>
          <w:bCs/>
          <w:sz w:val="28"/>
          <w:szCs w:val="28"/>
          <w:highlight w:val="none"/>
          <w:lang w:val="en-US" w:eastAsia="zh-CN"/>
        </w:rPr>
        <w:t>2</w:t>
      </w:r>
      <w:r>
        <w:rPr>
          <w:rFonts w:hint="default" w:ascii="Times New Roman" w:hAnsi="Times New Roman" w:eastAsia="Times New Roman" w:cs="Times New Roman"/>
          <w:sz w:val="28"/>
          <w:szCs w:val="28"/>
          <w:highlight w:val="none"/>
        </w:rPr>
        <w:t xml:space="preserve"> </w:t>
      </w:r>
      <w:r>
        <w:rPr>
          <w:rFonts w:hint="eastAsia" w:ascii="Times New Roman" w:hAnsi="Times New Roman" w:eastAsia="宋体" w:cs="Times New Roman"/>
          <w:sz w:val="28"/>
          <w:szCs w:val="28"/>
          <w:highlight w:val="none"/>
          <w:lang w:val="en-US" w:eastAsia="zh-CN"/>
          <w14:textOutline w14:w="5103" w14:cap="sq" w14:cmpd="sng">
            <w14:solidFill>
              <w14:srgbClr w14:val="000000"/>
            </w14:solidFill>
            <w14:prstDash w14:val="solid"/>
            <w14:bevel/>
          </w14:textOutline>
        </w:rPr>
        <w:t>改扩建工程</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概况</w:t>
      </w:r>
      <w:bookmarkEnd w:id="153"/>
      <w:bookmarkEnd w:id="154"/>
      <w:bookmarkEnd w:id="155"/>
    </w:p>
    <w:p>
      <w:pPr>
        <w:spacing w:before="82" w:line="228" w:lineRule="auto"/>
        <w:outlineLvl w:val="2"/>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pPr>
      <w:bookmarkStart w:id="156" w:name="_Toc14073"/>
      <w:bookmarkStart w:id="157" w:name="_Toc25656"/>
      <w:bookmarkStart w:id="158" w:name="_Toc6287"/>
      <w:r>
        <w:rPr>
          <w:rFonts w:hint="default" w:ascii="Times New Roman" w:hAnsi="Times New Roman" w:eastAsia="Times New Roman" w:cs="Times New Roman"/>
          <w:b/>
          <w:bCs/>
          <w:spacing w:val="9"/>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1</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改扩建工程基本情况</w:t>
      </w:r>
      <w:bookmarkEnd w:id="156"/>
      <w:bookmarkEnd w:id="157"/>
      <w:bookmarkEnd w:id="158"/>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（1）项目名称：</w:t>
      </w:r>
      <w:r>
        <w:rPr>
          <w:rFonts w:hint="default" w:ascii="Times New Roman" w:hAnsi="Times New Roman" w:eastAsia="宋体" w:cs="Times New Roman"/>
          <w:spacing w:val="9"/>
          <w:sz w:val="23"/>
          <w:szCs w:val="23"/>
          <w:highlight w:val="none"/>
        </w:rPr>
        <w:t>遵化市势竹矿业有限公司</w:t>
      </w:r>
      <w:r>
        <w:rPr>
          <w:rFonts w:hint="default" w:ascii="Times New Roman" w:hAnsi="Times New Roman" w:eastAsia="宋体" w:cs="Times New Roman"/>
          <w:spacing w:val="4"/>
          <w:sz w:val="23"/>
          <w:szCs w:val="23"/>
          <w:highlight w:val="none"/>
        </w:rPr>
        <w:t>年处理</w:t>
      </w:r>
      <w:r>
        <w:rPr>
          <w:rFonts w:hint="eastAsia" w:ascii="Times New Roman" w:hAnsi="Times New Roman" w:eastAsia="宋体" w:cs="Times New Roman"/>
          <w:spacing w:val="4"/>
          <w:sz w:val="23"/>
          <w:szCs w:val="23"/>
          <w:highlight w:val="none"/>
          <w:lang w:val="en-US" w:eastAsia="zh-CN"/>
        </w:rPr>
        <w:t>110</w:t>
      </w:r>
      <w:r>
        <w:rPr>
          <w:rFonts w:hint="default" w:ascii="Times New Roman" w:hAnsi="Times New Roman" w:eastAsia="宋体" w:cs="Times New Roman"/>
          <w:spacing w:val="4"/>
          <w:sz w:val="23"/>
          <w:szCs w:val="23"/>
          <w:highlight w:val="none"/>
        </w:rPr>
        <w:t>万吨铁矿石</w:t>
      </w:r>
      <w:r>
        <w:rPr>
          <w:rFonts w:hint="eastAsia" w:ascii="Times New Roman" w:hAnsi="Times New Roman" w:eastAsia="宋体" w:cs="Times New Roman"/>
          <w:spacing w:val="4"/>
          <w:sz w:val="23"/>
          <w:szCs w:val="23"/>
          <w:highlight w:val="none"/>
          <w:lang w:val="en-US" w:eastAsia="zh-CN"/>
        </w:rPr>
        <w:t>破碎</w:t>
      </w:r>
      <w:r>
        <w:rPr>
          <w:rFonts w:hint="default" w:ascii="Times New Roman" w:hAnsi="Times New Roman" w:eastAsia="宋体" w:cs="Times New Roman"/>
          <w:spacing w:val="4"/>
          <w:sz w:val="23"/>
          <w:szCs w:val="23"/>
          <w:highlight w:val="none"/>
        </w:rPr>
        <w:t>改扩建项目</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（2）建设性质：</w:t>
      </w:r>
      <w:r>
        <w:rPr>
          <w:rFonts w:hint="eastAsia" w:ascii="Times New Roman" w:hAnsi="Times New Roman" w:eastAsia="宋体" w:cs="Times New Roman"/>
          <w:spacing w:val="4"/>
          <w:sz w:val="23"/>
          <w:szCs w:val="23"/>
          <w:highlight w:val="none"/>
          <w:lang w:val="en-US" w:eastAsia="zh-CN"/>
        </w:rPr>
        <w:t>改扩</w:t>
      </w:r>
      <w:r>
        <w:rPr>
          <w:rFonts w:hint="default" w:ascii="Times New Roman" w:hAnsi="Times New Roman" w:eastAsia="宋体" w:cs="Times New Roman"/>
          <w:spacing w:val="4"/>
          <w:sz w:val="23"/>
          <w:szCs w:val="23"/>
          <w:highlight w:val="none"/>
          <w:lang w:val="en-US" w:eastAsia="zh-CN"/>
        </w:rPr>
        <w:t>建</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（3）建设单位：</w:t>
      </w:r>
      <w:r>
        <w:rPr>
          <w:rFonts w:hint="default" w:ascii="Times New Roman" w:hAnsi="Times New Roman" w:eastAsia="宋体" w:cs="Times New Roman"/>
          <w:spacing w:val="9"/>
          <w:sz w:val="23"/>
          <w:szCs w:val="23"/>
          <w:highlight w:val="none"/>
        </w:rPr>
        <w:t>遵化市势竹矿业有限公司</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（4）建设地点：</w:t>
      </w:r>
      <w:r>
        <w:rPr>
          <w:rFonts w:hint="eastAsia" w:ascii="Times New Roman" w:hAnsi="Times New Roman" w:eastAsia="宋体" w:cs="Times New Roman"/>
          <w:spacing w:val="4"/>
          <w:sz w:val="23"/>
          <w:szCs w:val="23"/>
          <w:highlight w:val="none"/>
          <w:lang w:val="en-US" w:eastAsia="zh-CN"/>
        </w:rPr>
        <w:t>在</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4"/>
          <w:sz w:val="23"/>
          <w:szCs w:val="23"/>
          <w:highlight w:val="none"/>
          <w:lang w:val="en-US" w:eastAsia="zh-CN"/>
        </w:rPr>
        <w:t>现有厂区内建设，不新增占地</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（5）周边关系：</w:t>
      </w:r>
      <w:r>
        <w:rPr>
          <w:rFonts w:hint="default" w:ascii="Times New Roman" w:hAnsi="Times New Roman" w:eastAsia="宋体" w:cs="Times New Roman"/>
          <w:spacing w:val="9"/>
          <w:sz w:val="23"/>
          <w:szCs w:val="23"/>
          <w:highlight w:val="none"/>
        </w:rPr>
        <w:t>遵化市势竹矿业有限公司</w:t>
      </w:r>
      <w:r>
        <w:rPr>
          <w:rFonts w:ascii="宋体" w:hAnsi="宋体" w:eastAsia="宋体" w:cs="宋体"/>
          <w:spacing w:val="7"/>
          <w:sz w:val="23"/>
          <w:szCs w:val="23"/>
          <w:highlight w:val="none"/>
        </w:rPr>
        <w:t>东侧为道路，隔道路为空地；南侧为空地；西侧为空地，并</w:t>
      </w:r>
      <w:r>
        <w:rPr>
          <w:rFonts w:ascii="宋体" w:hAnsi="宋体" w:eastAsia="宋体" w:cs="宋体"/>
          <w:spacing w:val="6"/>
          <w:sz w:val="23"/>
          <w:szCs w:val="23"/>
          <w:highlight w:val="none"/>
        </w:rPr>
        <w:t>设</w:t>
      </w:r>
      <w:r>
        <w:rPr>
          <w:rFonts w:ascii="宋体" w:hAnsi="宋体" w:eastAsia="宋体" w:cs="宋体"/>
          <w:spacing w:val="12"/>
          <w:sz w:val="23"/>
          <w:szCs w:val="23"/>
          <w:highlight w:val="none"/>
        </w:rPr>
        <w:t>有一条</w:t>
      </w:r>
      <w:r>
        <w:rPr>
          <w:rFonts w:ascii="宋体" w:hAnsi="宋体" w:eastAsia="宋体" w:cs="宋体"/>
          <w:spacing w:val="10"/>
          <w:sz w:val="23"/>
          <w:szCs w:val="23"/>
          <w:highlight w:val="none"/>
        </w:rPr>
        <w:t>通</w:t>
      </w:r>
      <w:r>
        <w:rPr>
          <w:rFonts w:ascii="宋体" w:hAnsi="宋体" w:eastAsia="宋体" w:cs="宋体"/>
          <w:spacing w:val="6"/>
          <w:sz w:val="23"/>
          <w:szCs w:val="23"/>
          <w:highlight w:val="none"/>
        </w:rPr>
        <w:t xml:space="preserve">往主干路的道路；北侧为空地，隔空地 </w:t>
      </w:r>
      <w:r>
        <w:rPr>
          <w:rFonts w:ascii="Times New Roman" w:hAnsi="Times New Roman" w:eastAsia="Times New Roman" w:cs="Times New Roman"/>
          <w:spacing w:val="6"/>
          <w:sz w:val="23"/>
          <w:szCs w:val="23"/>
          <w:highlight w:val="none"/>
        </w:rPr>
        <w:t>116</w:t>
      </w:r>
      <w:r>
        <w:rPr>
          <w:rFonts w:ascii="Times New Roman" w:hAnsi="Times New Roman" w:eastAsia="Times New Roman" w:cs="Times New Roman"/>
          <w:sz w:val="23"/>
          <w:szCs w:val="23"/>
          <w:highlight w:val="none"/>
        </w:rPr>
        <w:t>m</w:t>
      </w:r>
      <w:r>
        <w:rPr>
          <w:rFonts w:ascii="Times New Roman" w:hAnsi="Times New Roman" w:eastAsia="Times New Roman" w:cs="Times New Roman"/>
          <w:spacing w:val="6"/>
          <w:sz w:val="23"/>
          <w:szCs w:val="23"/>
          <w:highlight w:val="none"/>
        </w:rPr>
        <w:t xml:space="preserve"> </w:t>
      </w:r>
      <w:r>
        <w:rPr>
          <w:rFonts w:ascii="宋体" w:hAnsi="宋体" w:eastAsia="宋体" w:cs="宋体"/>
          <w:spacing w:val="6"/>
          <w:sz w:val="23"/>
          <w:szCs w:val="23"/>
          <w:highlight w:val="none"/>
        </w:rPr>
        <w:t>为张家坟村。</w:t>
      </w:r>
    </w:p>
    <w:p>
      <w:pPr>
        <w:keepNext w:val="0"/>
        <w:keepLines w:val="0"/>
        <w:pageBreakBefore w:val="0"/>
        <w:widowControl/>
        <w:kinsoku w:val="0"/>
        <w:wordWrap/>
        <w:overflowPunct/>
        <w:topLinePunct w:val="0"/>
        <w:autoSpaceDE w:val="0"/>
        <w:autoSpaceDN w:val="0"/>
        <w:bidi w:val="0"/>
        <w:adjustRightInd w:val="0"/>
        <w:snapToGrid w:val="0"/>
        <w:spacing w:before="75" w:line="460" w:lineRule="exact"/>
        <w:ind w:left="23" w:firstLine="482"/>
        <w:textAlignment w:val="baseline"/>
        <w:rPr>
          <w:rFonts w:hint="default" w:ascii="Times New Roman" w:hAnsi="Times New Roman" w:eastAsia="宋体" w:cs="Times New Roman"/>
          <w:spacing w:val="4"/>
          <w:sz w:val="23"/>
          <w:szCs w:val="23"/>
          <w:highlight w:val="none"/>
        </w:rPr>
      </w:pP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6</w:t>
      </w:r>
      <w:r>
        <w:rPr>
          <w:rFonts w:hint="default" w:ascii="Times New Roman" w:hAnsi="Times New Roman" w:eastAsia="宋体" w:cs="Times New Roman"/>
          <w:spacing w:val="4"/>
          <w:sz w:val="23"/>
          <w:szCs w:val="23"/>
          <w:highlight w:val="none"/>
          <w:lang w:val="en-US" w:eastAsia="zh-CN"/>
        </w:rPr>
        <w:t>）建设内容及规模：</w:t>
      </w:r>
      <w:r>
        <w:rPr>
          <w:rFonts w:hint="eastAsia" w:ascii="Times New Roman" w:hAnsi="Times New Roman" w:eastAsia="宋体" w:cs="Times New Roman"/>
          <w:spacing w:val="4"/>
          <w:sz w:val="23"/>
          <w:szCs w:val="23"/>
          <w:highlight w:val="none"/>
          <w:lang w:val="en-US" w:eastAsia="zh-CN"/>
        </w:rPr>
        <w:t>在</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4"/>
          <w:sz w:val="23"/>
          <w:szCs w:val="23"/>
          <w:highlight w:val="none"/>
          <w:lang w:val="en-US" w:eastAsia="zh-CN"/>
        </w:rPr>
        <w:t>现有厂区内建设，不新增占地</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pacing w:val="4"/>
          <w:sz w:val="23"/>
          <w:szCs w:val="23"/>
          <w:highlight w:val="none"/>
          <w:lang w:val="en-US" w:eastAsia="zh-CN"/>
        </w:rPr>
        <w:t>主要</w:t>
      </w:r>
      <w:r>
        <w:rPr>
          <w:rFonts w:hint="eastAsia" w:ascii="Times New Roman" w:hAnsi="Times New Roman" w:eastAsia="宋体" w:cs="Times New Roman"/>
          <w:spacing w:val="4"/>
          <w:sz w:val="23"/>
          <w:szCs w:val="23"/>
          <w:highlight w:val="none"/>
          <w:lang w:val="en-US" w:eastAsia="zh-CN"/>
        </w:rPr>
        <w:t>在厂区东部生产装置区</w:t>
      </w:r>
      <w:r>
        <w:rPr>
          <w:rFonts w:hint="default" w:ascii="Times New Roman" w:hAnsi="Times New Roman" w:eastAsia="宋体" w:cs="Times New Roman"/>
          <w:spacing w:val="4"/>
          <w:sz w:val="23"/>
          <w:szCs w:val="23"/>
          <w:highlight w:val="none"/>
          <w:lang w:val="en-US" w:eastAsia="zh-CN"/>
        </w:rPr>
        <w:t>新增</w:t>
      </w:r>
      <w:r>
        <w:rPr>
          <w:rFonts w:hint="eastAsia" w:ascii="Times New Roman" w:hAnsi="Times New Roman" w:eastAsia="宋体" w:cs="Times New Roman"/>
          <w:spacing w:val="4"/>
          <w:sz w:val="23"/>
          <w:szCs w:val="23"/>
          <w:highlight w:val="none"/>
          <w:lang w:val="en-US" w:eastAsia="zh-CN"/>
        </w:rPr>
        <w:t>1套破碎设备</w:t>
      </w:r>
      <w:r>
        <w:rPr>
          <w:rFonts w:hint="default" w:ascii="Times New Roman" w:hAnsi="Times New Roman" w:eastAsia="宋体" w:cs="Times New Roman"/>
          <w:spacing w:val="4"/>
          <w:sz w:val="23"/>
          <w:szCs w:val="23"/>
          <w:highlight w:val="none"/>
          <w:lang w:val="en-US" w:eastAsia="zh-CN"/>
        </w:rPr>
        <w:t>，将</w:t>
      </w:r>
      <w:r>
        <w:rPr>
          <w:rFonts w:hint="eastAsia" w:ascii="Times New Roman" w:hAnsi="Times New Roman" w:eastAsia="宋体" w:cs="Times New Roman"/>
          <w:spacing w:val="4"/>
          <w:sz w:val="23"/>
          <w:szCs w:val="23"/>
          <w:highlight w:val="none"/>
          <w:lang w:val="en-US" w:eastAsia="zh-CN"/>
        </w:rPr>
        <w:t>厂区铁矿石年处理能力由5</w:t>
      </w:r>
      <w:r>
        <w:rPr>
          <w:rFonts w:hint="default" w:ascii="Times New Roman" w:hAnsi="Times New Roman" w:eastAsia="宋体" w:cs="Times New Roman"/>
          <w:spacing w:val="4"/>
          <w:sz w:val="23"/>
          <w:szCs w:val="23"/>
          <w:highlight w:val="none"/>
          <w:lang w:val="en-US" w:eastAsia="zh-CN"/>
        </w:rPr>
        <w:t>0万吨提升至</w:t>
      </w:r>
      <w:r>
        <w:rPr>
          <w:rFonts w:hint="eastAsia" w:ascii="Times New Roman" w:hAnsi="Times New Roman" w:eastAsia="宋体" w:cs="Times New Roman"/>
          <w:spacing w:val="4"/>
          <w:sz w:val="23"/>
          <w:szCs w:val="23"/>
          <w:highlight w:val="none"/>
          <w:lang w:val="en-US" w:eastAsia="zh-CN"/>
        </w:rPr>
        <w:t>110</w:t>
      </w:r>
      <w:r>
        <w:rPr>
          <w:rFonts w:hint="default" w:ascii="Times New Roman" w:hAnsi="Times New Roman" w:eastAsia="宋体" w:cs="Times New Roman"/>
          <w:spacing w:val="4"/>
          <w:sz w:val="23"/>
          <w:szCs w:val="23"/>
          <w:highlight w:val="none"/>
          <w:lang w:val="en-US" w:eastAsia="zh-CN"/>
        </w:rPr>
        <w:t>万吨，</w:t>
      </w:r>
      <w:r>
        <w:rPr>
          <w:rFonts w:hint="eastAsia" w:ascii="Times New Roman" w:hAnsi="Times New Roman" w:eastAsia="宋体" w:cs="Times New Roman"/>
          <w:spacing w:val="4"/>
          <w:sz w:val="23"/>
          <w:szCs w:val="23"/>
          <w:highlight w:val="none"/>
          <w:lang w:val="en-US" w:eastAsia="zh-CN"/>
        </w:rPr>
        <w:t>本项目</w:t>
      </w:r>
      <w:r>
        <w:rPr>
          <w:rFonts w:hint="default" w:ascii="Times New Roman" w:hAnsi="Times New Roman" w:eastAsia="宋体" w:cs="Times New Roman"/>
          <w:spacing w:val="4"/>
          <w:sz w:val="23"/>
          <w:szCs w:val="23"/>
          <w:highlight w:val="none"/>
          <w:lang w:val="en-US" w:eastAsia="zh-CN"/>
        </w:rPr>
        <w:t>建设完成后</w:t>
      </w:r>
      <w:r>
        <w:rPr>
          <w:rFonts w:hint="eastAsia" w:ascii="Times New Roman" w:hAnsi="Times New Roman" w:eastAsia="宋体" w:cs="Times New Roman"/>
          <w:spacing w:val="4"/>
          <w:sz w:val="23"/>
          <w:szCs w:val="23"/>
          <w:highlight w:val="none"/>
          <w:lang w:val="en-US" w:eastAsia="zh-CN"/>
        </w:rPr>
        <w:t>公司年产品位60%</w:t>
      </w:r>
      <w:r>
        <w:rPr>
          <w:rFonts w:hint="default" w:ascii="Times New Roman" w:hAnsi="Times New Roman" w:eastAsia="宋体" w:cs="Times New Roman"/>
          <w:spacing w:val="4"/>
          <w:sz w:val="23"/>
          <w:szCs w:val="23"/>
          <w:highlight w:val="none"/>
          <w:lang w:val="en-US" w:eastAsia="zh-CN"/>
        </w:rPr>
        <w:t>粗精矿</w:t>
      </w:r>
      <w:r>
        <w:rPr>
          <w:rFonts w:hint="eastAsia" w:ascii="Times New Roman" w:hAnsi="Times New Roman" w:eastAsia="宋体" w:cs="Times New Roman"/>
          <w:spacing w:val="4"/>
          <w:sz w:val="23"/>
          <w:szCs w:val="23"/>
          <w:highlight w:val="none"/>
          <w:lang w:val="en-US" w:eastAsia="zh-CN"/>
        </w:rPr>
        <w:t>40</w:t>
      </w:r>
      <w:r>
        <w:rPr>
          <w:rFonts w:hint="default" w:ascii="Times New Roman" w:hAnsi="Times New Roman" w:eastAsia="宋体" w:cs="Times New Roman"/>
          <w:spacing w:val="4"/>
          <w:sz w:val="23"/>
          <w:szCs w:val="23"/>
          <w:highlight w:val="none"/>
          <w:lang w:val="en-US" w:eastAsia="zh-CN"/>
        </w:rPr>
        <w:t>万吨</w:t>
      </w:r>
      <w:r>
        <w:rPr>
          <w:rFonts w:hint="default" w:ascii="Times New Roman" w:hAnsi="Times New Roman" w:eastAsia="宋体" w:cs="Times New Roman"/>
          <w:spacing w:val="4"/>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7</w:t>
      </w:r>
      <w:r>
        <w:rPr>
          <w:rFonts w:hint="default" w:ascii="Times New Roman" w:hAnsi="Times New Roman" w:eastAsia="宋体" w:cs="Times New Roman"/>
          <w:spacing w:val="4"/>
          <w:sz w:val="23"/>
          <w:szCs w:val="23"/>
          <w:highlight w:val="none"/>
          <w:lang w:val="en-US" w:eastAsia="zh-CN"/>
        </w:rPr>
        <w:t>）项目投资：本项目总投资为</w:t>
      </w:r>
      <w:r>
        <w:rPr>
          <w:rFonts w:hint="eastAsia" w:ascii="Times New Roman" w:hAnsi="Times New Roman" w:eastAsia="宋体" w:cs="Times New Roman"/>
          <w:spacing w:val="4"/>
          <w:sz w:val="23"/>
          <w:szCs w:val="23"/>
          <w:highlight w:val="none"/>
          <w:lang w:val="en-US" w:eastAsia="zh-CN"/>
        </w:rPr>
        <w:t>36</w:t>
      </w:r>
      <w:r>
        <w:rPr>
          <w:rFonts w:hint="default" w:ascii="Times New Roman" w:hAnsi="Times New Roman" w:eastAsia="宋体" w:cs="Times New Roman"/>
          <w:spacing w:val="4"/>
          <w:sz w:val="23"/>
          <w:szCs w:val="23"/>
          <w:highlight w:val="none"/>
          <w:lang w:val="en-US" w:eastAsia="zh-CN"/>
        </w:rPr>
        <w:t>00万元，其中环保投资估算</w:t>
      </w:r>
      <w:r>
        <w:rPr>
          <w:rFonts w:hint="eastAsia" w:ascii="Times New Roman" w:hAnsi="Times New Roman" w:eastAsia="宋体" w:cs="Times New Roman"/>
          <w:spacing w:val="4"/>
          <w:sz w:val="23"/>
          <w:szCs w:val="23"/>
          <w:highlight w:val="none"/>
          <w:lang w:val="en-US" w:eastAsia="zh-CN"/>
        </w:rPr>
        <w:t>90</w:t>
      </w:r>
      <w:r>
        <w:rPr>
          <w:rFonts w:hint="default" w:ascii="Times New Roman" w:hAnsi="Times New Roman" w:eastAsia="宋体" w:cs="Times New Roman"/>
          <w:spacing w:val="4"/>
          <w:sz w:val="23"/>
          <w:szCs w:val="23"/>
          <w:highlight w:val="none"/>
          <w:lang w:val="en-US" w:eastAsia="zh-CN"/>
        </w:rPr>
        <w:t>万元，占总投资的比例为</w:t>
      </w:r>
      <w:r>
        <w:rPr>
          <w:rFonts w:hint="eastAsia" w:ascii="Times New Roman" w:hAnsi="Times New Roman" w:eastAsia="宋体" w:cs="Times New Roman"/>
          <w:spacing w:val="4"/>
          <w:sz w:val="23"/>
          <w:szCs w:val="23"/>
          <w:highlight w:val="none"/>
          <w:lang w:val="en-US" w:eastAsia="zh-CN"/>
        </w:rPr>
        <w:t>2.5</w:t>
      </w:r>
      <w:r>
        <w:rPr>
          <w:rFonts w:hint="default" w:ascii="Times New Roman" w:hAnsi="Times New Roman" w:eastAsia="宋体" w:cs="Times New Roman"/>
          <w:spacing w:val="4"/>
          <w:sz w:val="23"/>
          <w:szCs w:val="23"/>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8</w:t>
      </w: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劳动定员</w:t>
      </w: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本项目不新增</w:t>
      </w:r>
      <w:r>
        <w:rPr>
          <w:rFonts w:hint="default" w:ascii="Times New Roman" w:hAnsi="Times New Roman" w:eastAsia="宋体" w:cs="Times New Roman"/>
          <w:spacing w:val="4"/>
          <w:sz w:val="23"/>
          <w:szCs w:val="23"/>
          <w:highlight w:val="none"/>
          <w:lang w:val="en-US" w:eastAsia="zh-CN"/>
        </w:rPr>
        <w:t>劳动定员</w:t>
      </w:r>
      <w:r>
        <w:rPr>
          <w:rFonts w:hint="eastAsia" w:ascii="Times New Roman" w:hAnsi="Times New Roman" w:eastAsia="宋体" w:cs="Times New Roman"/>
          <w:spacing w:val="4"/>
          <w:sz w:val="23"/>
          <w:szCs w:val="23"/>
          <w:highlight w:val="none"/>
          <w:lang w:val="en-US" w:eastAsia="zh-CN"/>
        </w:rPr>
        <w:t>，所需员工由厂区调剂</w:t>
      </w: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破碎工序</w:t>
      </w:r>
      <w:r>
        <w:rPr>
          <w:rFonts w:hint="default" w:ascii="Times New Roman" w:hAnsi="Times New Roman" w:eastAsia="宋体" w:cs="Times New Roman"/>
          <w:spacing w:val="4"/>
          <w:sz w:val="23"/>
          <w:szCs w:val="23"/>
          <w:highlight w:val="none"/>
          <w:lang w:val="en-US" w:eastAsia="zh-CN"/>
        </w:rPr>
        <w:t xml:space="preserve">年工作 </w:t>
      </w:r>
      <w:r>
        <w:rPr>
          <w:rFonts w:hint="eastAsia" w:ascii="Times New Roman" w:hAnsi="Times New Roman" w:eastAsia="宋体" w:cs="Times New Roman"/>
          <w:spacing w:val="4"/>
          <w:sz w:val="23"/>
          <w:szCs w:val="23"/>
          <w:highlight w:val="none"/>
          <w:lang w:val="en-US" w:eastAsia="zh-CN"/>
        </w:rPr>
        <w:t>25</w:t>
      </w:r>
      <w:r>
        <w:rPr>
          <w:rFonts w:hint="default" w:ascii="Times New Roman" w:hAnsi="Times New Roman" w:eastAsia="宋体" w:cs="Times New Roman"/>
          <w:spacing w:val="4"/>
          <w:sz w:val="23"/>
          <w:szCs w:val="23"/>
          <w:highlight w:val="none"/>
          <w:lang w:val="en-US" w:eastAsia="zh-CN"/>
        </w:rPr>
        <w:t>0 天，</w:t>
      </w:r>
      <w:r>
        <w:rPr>
          <w:rFonts w:hint="eastAsia" w:ascii="Times New Roman" w:hAnsi="Times New Roman" w:eastAsia="宋体" w:cs="Times New Roman"/>
          <w:spacing w:val="4"/>
          <w:sz w:val="23"/>
          <w:szCs w:val="23"/>
          <w:highlight w:val="none"/>
          <w:lang w:val="en-US" w:eastAsia="zh-CN"/>
        </w:rPr>
        <w:t>1</w:t>
      </w:r>
      <w:r>
        <w:rPr>
          <w:rFonts w:hint="default" w:ascii="Times New Roman" w:hAnsi="Times New Roman" w:eastAsia="宋体" w:cs="Times New Roman"/>
          <w:spacing w:val="4"/>
          <w:sz w:val="23"/>
          <w:szCs w:val="23"/>
          <w:highlight w:val="none"/>
          <w:lang w:val="en-US" w:eastAsia="zh-CN"/>
        </w:rPr>
        <w:t>班 8 小时工作制</w:t>
      </w:r>
      <w:r>
        <w:rPr>
          <w:rFonts w:hint="eastAsia" w:ascii="Times New Roman" w:hAnsi="Times New Roman" w:eastAsia="宋体" w:cs="Times New Roman"/>
          <w:spacing w:val="4"/>
          <w:sz w:val="23"/>
          <w:szCs w:val="23"/>
          <w:highlight w:val="none"/>
          <w:lang w:val="en-US" w:eastAsia="zh-CN"/>
        </w:rPr>
        <w:t>，球磨工序</w:t>
      </w:r>
      <w:r>
        <w:rPr>
          <w:rFonts w:hint="default" w:ascii="Times New Roman" w:hAnsi="Times New Roman" w:eastAsia="宋体" w:cs="Times New Roman"/>
          <w:spacing w:val="4"/>
          <w:sz w:val="23"/>
          <w:szCs w:val="23"/>
          <w:highlight w:val="none"/>
          <w:lang w:val="en-US" w:eastAsia="zh-CN"/>
        </w:rPr>
        <w:t>年工作</w:t>
      </w:r>
      <w:r>
        <w:rPr>
          <w:rFonts w:hint="eastAsia" w:ascii="Times New Roman" w:hAnsi="Times New Roman" w:eastAsia="宋体" w:cs="Times New Roman"/>
          <w:spacing w:val="4"/>
          <w:sz w:val="23"/>
          <w:szCs w:val="23"/>
          <w:highlight w:val="none"/>
          <w:lang w:val="en-US" w:eastAsia="zh-CN"/>
        </w:rPr>
        <w:t>30</w:t>
      </w:r>
      <w:r>
        <w:rPr>
          <w:rFonts w:hint="default" w:ascii="Times New Roman" w:hAnsi="Times New Roman" w:eastAsia="宋体" w:cs="Times New Roman"/>
          <w:spacing w:val="4"/>
          <w:sz w:val="23"/>
          <w:szCs w:val="23"/>
          <w:highlight w:val="none"/>
          <w:lang w:val="en-US" w:eastAsia="zh-CN"/>
        </w:rPr>
        <w:t>0 天，</w:t>
      </w:r>
      <w:r>
        <w:rPr>
          <w:rFonts w:hint="eastAsia" w:ascii="Times New Roman" w:hAnsi="Times New Roman" w:eastAsia="宋体" w:cs="Times New Roman"/>
          <w:spacing w:val="4"/>
          <w:sz w:val="23"/>
          <w:szCs w:val="23"/>
          <w:highlight w:val="none"/>
          <w:lang w:val="en-US" w:eastAsia="zh-CN"/>
        </w:rPr>
        <w:t>3</w:t>
      </w:r>
      <w:r>
        <w:rPr>
          <w:rFonts w:hint="default" w:ascii="Times New Roman" w:hAnsi="Times New Roman" w:eastAsia="宋体" w:cs="Times New Roman"/>
          <w:spacing w:val="4"/>
          <w:sz w:val="23"/>
          <w:szCs w:val="23"/>
          <w:highlight w:val="none"/>
          <w:lang w:val="en-US" w:eastAsia="zh-CN"/>
        </w:rPr>
        <w:t>班 8 小时工作制。</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9</w:t>
      </w:r>
      <w:r>
        <w:rPr>
          <w:rFonts w:hint="default" w:ascii="Times New Roman" w:hAnsi="Times New Roman" w:eastAsia="宋体" w:cs="Times New Roman"/>
          <w:spacing w:val="4"/>
          <w:sz w:val="23"/>
          <w:szCs w:val="23"/>
          <w:highlight w:val="none"/>
          <w:lang w:val="en-US" w:eastAsia="zh-CN"/>
        </w:rPr>
        <w:t>）建设周期：20</w:t>
      </w:r>
      <w:r>
        <w:rPr>
          <w:rFonts w:hint="eastAsia" w:ascii="Times New Roman" w:hAnsi="Times New Roman" w:eastAsia="宋体" w:cs="Times New Roman"/>
          <w:spacing w:val="4"/>
          <w:sz w:val="23"/>
          <w:szCs w:val="23"/>
          <w:highlight w:val="none"/>
          <w:lang w:val="en-US" w:eastAsia="zh-CN"/>
        </w:rPr>
        <w:t>23</w:t>
      </w:r>
      <w:r>
        <w:rPr>
          <w:rFonts w:hint="default" w:ascii="Times New Roman" w:hAnsi="Times New Roman" w:eastAsia="宋体" w:cs="Times New Roman"/>
          <w:spacing w:val="4"/>
          <w:sz w:val="23"/>
          <w:szCs w:val="23"/>
          <w:highlight w:val="none"/>
          <w:lang w:val="en-US" w:eastAsia="zh-CN"/>
        </w:rPr>
        <w:t>年9月-202</w:t>
      </w:r>
      <w:r>
        <w:rPr>
          <w:rFonts w:hint="eastAsia" w:ascii="Times New Roman" w:hAnsi="Times New Roman" w:eastAsia="宋体" w:cs="Times New Roman"/>
          <w:spacing w:val="4"/>
          <w:sz w:val="23"/>
          <w:szCs w:val="23"/>
          <w:highlight w:val="none"/>
          <w:lang w:val="en-US" w:eastAsia="zh-CN"/>
        </w:rPr>
        <w:t>4</w:t>
      </w:r>
      <w:r>
        <w:rPr>
          <w:rFonts w:hint="default" w:ascii="Times New Roman" w:hAnsi="Times New Roman" w:eastAsia="宋体" w:cs="Times New Roman"/>
          <w:spacing w:val="4"/>
          <w:sz w:val="23"/>
          <w:szCs w:val="23"/>
          <w:highlight w:val="none"/>
          <w:lang w:val="en-US" w:eastAsia="zh-CN"/>
        </w:rPr>
        <w:t>年3月</w:t>
      </w:r>
    </w:p>
    <w:p>
      <w:pPr>
        <w:spacing w:before="82" w:line="228" w:lineRule="auto"/>
        <w:outlineLvl w:val="2"/>
        <w:rPr>
          <w:rFonts w:hint="eastAsia" w:ascii="Times New Roman" w:hAnsi="Times New Roman" w:eastAsia="宋体" w:cs="Times New Roman"/>
          <w:sz w:val="23"/>
          <w:szCs w:val="23"/>
          <w:highlight w:val="none"/>
          <w:lang w:eastAsia="zh-CN"/>
        </w:rPr>
      </w:pPr>
      <w:bookmarkStart w:id="159" w:name="_Toc24706"/>
      <w:bookmarkStart w:id="160" w:name="_Toc2363"/>
      <w:bookmarkStart w:id="161" w:name="_Toc19767"/>
      <w:r>
        <w:rPr>
          <w:rFonts w:hint="default" w:ascii="Times New Roman" w:hAnsi="Times New Roman" w:eastAsia="Times New Roman" w:cs="Times New Roman"/>
          <w:b/>
          <w:bCs/>
          <w:spacing w:val="9"/>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改扩建工程</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建设内容</w:t>
      </w:r>
      <w:bookmarkEnd w:id="159"/>
      <w:bookmarkEnd w:id="160"/>
      <w:bookmarkEnd w:id="161"/>
    </w:p>
    <w:p>
      <w:pPr>
        <w:tabs>
          <w:tab w:val="left" w:pos="242"/>
        </w:tabs>
        <w:spacing w:before="288" w:line="386" w:lineRule="auto"/>
        <w:ind w:left="115" w:right="106" w:firstLine="481"/>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3"/>
          <w:sz w:val="23"/>
          <w:szCs w:val="23"/>
          <w:highlight w:val="none"/>
          <w:lang w:val="en-US" w:eastAsia="zh-CN"/>
        </w:rPr>
        <w:t>改扩建工程</w:t>
      </w:r>
      <w:r>
        <w:rPr>
          <w:rFonts w:hint="default" w:ascii="Times New Roman" w:hAnsi="Times New Roman" w:eastAsia="宋体" w:cs="Times New Roman"/>
          <w:spacing w:val="3"/>
          <w:sz w:val="23"/>
          <w:szCs w:val="23"/>
          <w:highlight w:val="none"/>
        </w:rPr>
        <w:t xml:space="preserve">组成及内容详见表 </w:t>
      </w:r>
      <w:r>
        <w:rPr>
          <w:rFonts w:hint="default" w:ascii="Times New Roman" w:hAnsi="Times New Roman" w:eastAsia="Times New Roman" w:cs="Times New Roman"/>
          <w:spacing w:val="3"/>
          <w:sz w:val="23"/>
          <w:szCs w:val="23"/>
          <w:highlight w:val="none"/>
        </w:rPr>
        <w:t>3.</w:t>
      </w:r>
      <w:r>
        <w:rPr>
          <w:rFonts w:hint="eastAsia" w:ascii="Times New Roman" w:hAnsi="Times New Roman" w:eastAsia="宋体" w:cs="Times New Roman"/>
          <w:spacing w:val="3"/>
          <w:sz w:val="23"/>
          <w:szCs w:val="23"/>
          <w:highlight w:val="none"/>
          <w:lang w:val="en-US" w:eastAsia="zh-CN"/>
        </w:rPr>
        <w:t>2</w:t>
      </w:r>
      <w:r>
        <w:rPr>
          <w:rFonts w:hint="default" w:ascii="Times New Roman" w:hAnsi="Times New Roman" w:eastAsia="Times New Roman" w:cs="Times New Roman"/>
          <w:spacing w:val="3"/>
          <w:sz w:val="23"/>
          <w:szCs w:val="23"/>
          <w:highlight w:val="none"/>
        </w:rPr>
        <w:t>-1</w:t>
      </w:r>
      <w:r>
        <w:rPr>
          <w:rFonts w:hint="default" w:ascii="Times New Roman" w:hAnsi="Times New Roman" w:eastAsia="宋体" w:cs="Times New Roman"/>
          <w:spacing w:val="3"/>
          <w:sz w:val="23"/>
          <w:szCs w:val="23"/>
          <w:highlight w:val="none"/>
        </w:rPr>
        <w:t>。</w:t>
      </w:r>
    </w:p>
    <w:p>
      <w:pPr>
        <w:spacing w:before="44" w:line="228" w:lineRule="auto"/>
        <w:ind w:left="2131"/>
        <w:rPr>
          <w:rFonts w:hint="default" w:ascii="Times New Roman" w:hAnsi="Times New Roman" w:eastAsia="宋体" w:cs="Times New Roman"/>
          <w:spacing w:val="1"/>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2"/>
          <w:sz w:val="23"/>
          <w:szCs w:val="23"/>
          <w:highlight w:val="none"/>
        </w:rPr>
        <w:t xml:space="preserve"> </w:t>
      </w:r>
      <w:r>
        <w:rPr>
          <w:rFonts w:hint="default" w:ascii="Times New Roman" w:hAnsi="Times New Roman" w:eastAsia="Times New Roman" w:cs="Times New Roman"/>
          <w:b/>
          <w:bCs/>
          <w:spacing w:val="2"/>
          <w:sz w:val="23"/>
          <w:szCs w:val="23"/>
          <w:highlight w:val="none"/>
        </w:rPr>
        <w:t>3.</w:t>
      </w:r>
      <w:r>
        <w:rPr>
          <w:rFonts w:hint="eastAsia" w:ascii="Times New Roman" w:hAnsi="Times New Roman" w:eastAsia="宋体" w:cs="Times New Roman"/>
          <w:b/>
          <w:bCs/>
          <w:spacing w:val="2"/>
          <w:sz w:val="23"/>
          <w:szCs w:val="23"/>
          <w:highlight w:val="none"/>
          <w:lang w:val="en-US" w:eastAsia="zh-CN"/>
        </w:rPr>
        <w:t>2</w:t>
      </w:r>
      <w:r>
        <w:rPr>
          <w:rFonts w:hint="default" w:ascii="Times New Roman" w:hAnsi="Times New Roman" w:eastAsia="Times New Roman" w:cs="Times New Roman"/>
          <w:b/>
          <w:bCs/>
          <w:spacing w:val="2"/>
          <w:sz w:val="23"/>
          <w:szCs w:val="23"/>
          <w:highlight w:val="none"/>
        </w:rPr>
        <w:t>-1</w:t>
      </w:r>
      <w:r>
        <w:rPr>
          <w:rFonts w:hint="default" w:ascii="Times New Roman" w:hAnsi="Times New Roman" w:eastAsia="Times New Roman" w:cs="Times New Roman"/>
          <w:spacing w:val="2"/>
          <w:sz w:val="23"/>
          <w:szCs w:val="23"/>
          <w:highlight w:val="none"/>
        </w:rPr>
        <w:t xml:space="preserve">              </w:t>
      </w:r>
      <w:r>
        <w:rPr>
          <w:rFonts w:hint="eastAsia" w:ascii="Times New Roman" w:hAnsi="Times New Roman" w:eastAsia="宋体" w:cs="Times New Roman"/>
          <w:spacing w:val="1"/>
          <w:sz w:val="23"/>
          <w:szCs w:val="23"/>
          <w:highlight w:val="none"/>
          <w:lang w:val="en-US" w:eastAsia="zh-CN"/>
          <w14:textOutline w14:w="4358" w14:cap="sq" w14:cmpd="sng">
            <w14:solidFill>
              <w14:srgbClr w14:val="000000"/>
            </w14:solidFill>
            <w14:prstDash w14:val="solid"/>
            <w14:bevel/>
          </w14:textOutline>
        </w:rPr>
        <w:t>改扩建</w:t>
      </w:r>
      <w:r>
        <w:rPr>
          <w:rFonts w:hint="default" w:ascii="Times New Roman" w:hAnsi="Times New Roman" w:eastAsia="宋体" w:cs="Times New Roman"/>
          <w:spacing w:val="1"/>
          <w:sz w:val="23"/>
          <w:szCs w:val="23"/>
          <w:highlight w:val="none"/>
          <w:lang w:val="en-US" w:eastAsia="zh-CN"/>
          <w14:textOutline w14:w="4358" w14:cap="sq" w14:cmpd="sng">
            <w14:solidFill>
              <w14:srgbClr w14:val="000000"/>
            </w14:solidFill>
            <w14:prstDash w14:val="solid"/>
            <w14:bevel/>
          </w14:textOutline>
        </w:rPr>
        <w:t>工程</w:t>
      </w:r>
      <w:r>
        <w:rPr>
          <w:rFonts w:hint="eastAsia" w:ascii="Times New Roman" w:hAnsi="Times New Roman" w:eastAsia="宋体" w:cs="Times New Roman"/>
          <w:spacing w:val="1"/>
          <w:sz w:val="23"/>
          <w:szCs w:val="23"/>
          <w:highlight w:val="none"/>
          <w:lang w:val="en-US" w:eastAsia="zh-CN"/>
          <w14:textOutline w14:w="4358" w14:cap="sq" w14:cmpd="sng">
            <w14:solidFill>
              <w14:srgbClr w14:val="000000"/>
            </w14:solidFill>
            <w14:prstDash w14:val="solid"/>
            <w14:bevel/>
          </w14:textOutline>
        </w:rPr>
        <w:t>项目</w:t>
      </w:r>
      <w:r>
        <w:rPr>
          <w:rFonts w:hint="default" w:ascii="Times New Roman" w:hAnsi="Times New Roman" w:eastAsia="宋体" w:cs="Times New Roman"/>
          <w:spacing w:val="1"/>
          <w:sz w:val="23"/>
          <w:szCs w:val="23"/>
          <w:highlight w:val="none"/>
          <w14:textOutline w14:w="4358" w14:cap="sq" w14:cmpd="sng">
            <w14:solidFill>
              <w14:srgbClr w14:val="000000"/>
            </w14:solidFill>
            <w14:prstDash w14:val="solid"/>
            <w14:bevel/>
          </w14:textOutline>
        </w:rPr>
        <w:t>组成一览表</w:t>
      </w:r>
    </w:p>
    <w:p>
      <w:pPr>
        <w:spacing w:line="21" w:lineRule="exact"/>
        <w:rPr>
          <w:rFonts w:hint="default" w:ascii="Times New Roman" w:hAnsi="Times New Roman" w:cs="Times New Roman"/>
          <w:highlight w:val="none"/>
        </w:rPr>
      </w:pPr>
    </w:p>
    <w:tbl>
      <w:tblPr>
        <w:tblStyle w:val="19"/>
        <w:tblW w:w="849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623"/>
        <w:gridCol w:w="954"/>
        <w:gridCol w:w="62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691" w:type="dxa"/>
            <w:tcBorders>
              <w:left w:val="single" w:color="000000" w:sz="10" w:space="0"/>
              <w:right w:val="single" w:color="000000" w:sz="4" w:space="0"/>
            </w:tcBorders>
            <w:vAlign w:val="top"/>
          </w:tcPr>
          <w:p>
            <w:pPr>
              <w:spacing w:before="101" w:line="319" w:lineRule="exact"/>
              <w:ind w:left="1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t>工</w:t>
            </w:r>
            <w:r>
              <w:rPr>
                <w:rFonts w:hint="default" w:ascii="Times New Roman" w:hAnsi="Times New Roman" w:eastAsia="宋体" w:cs="Times New Roman"/>
                <w:spacing w:val="4"/>
                <w:position w:val="8"/>
                <w:sz w:val="20"/>
                <w:szCs w:val="20"/>
                <w:highlight w:val="none"/>
                <w14:textOutline w14:w="3795" w14:cap="sq" w14:cmpd="sng">
                  <w14:solidFill>
                    <w14:srgbClr w14:val="000000"/>
                  </w14:solidFill>
                  <w14:prstDash w14:val="solid"/>
                  <w14:bevel/>
                </w14:textOutline>
              </w:rPr>
              <w:t>程</w:t>
            </w:r>
          </w:p>
          <w:p>
            <w:pPr>
              <w:spacing w:line="228" w:lineRule="auto"/>
              <w:ind w:left="1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类别</w:t>
            </w:r>
          </w:p>
        </w:tc>
        <w:tc>
          <w:tcPr>
            <w:tcW w:w="1577" w:type="dxa"/>
            <w:gridSpan w:val="2"/>
            <w:tcBorders>
              <w:left w:val="single" w:color="000000" w:sz="4" w:space="0"/>
              <w:right w:val="single" w:color="000000" w:sz="4" w:space="0"/>
            </w:tcBorders>
            <w:vAlign w:val="top"/>
          </w:tcPr>
          <w:p>
            <w:pPr>
              <w:spacing w:before="262" w:line="229" w:lineRule="auto"/>
              <w:ind w:left="3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工程名</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称</w:t>
            </w:r>
          </w:p>
        </w:tc>
        <w:tc>
          <w:tcPr>
            <w:tcW w:w="6231" w:type="dxa"/>
            <w:tcBorders>
              <w:left w:val="single" w:color="000000" w:sz="4" w:space="0"/>
              <w:right w:val="single" w:color="000000" w:sz="10" w:space="0"/>
            </w:tcBorders>
            <w:vAlign w:val="top"/>
          </w:tcPr>
          <w:p>
            <w:pPr>
              <w:spacing w:before="262" w:line="228" w:lineRule="auto"/>
              <w:ind w:left="269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工程内</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91" w:type="dxa"/>
            <w:tcBorders>
              <w:left w:val="single" w:color="000000" w:sz="10" w:space="0"/>
              <w:right w:val="single" w:color="000000" w:sz="4" w:space="0"/>
            </w:tcBorders>
            <w:vAlign w:val="center"/>
          </w:tcPr>
          <w:p>
            <w:pPr>
              <w:spacing w:before="95" w:line="322" w:lineRule="exact"/>
              <w:ind w:left="127"/>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t>主体</w:t>
            </w:r>
          </w:p>
          <w:p>
            <w:pPr>
              <w:spacing w:line="229" w:lineRule="auto"/>
              <w:ind w:left="128"/>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工</w:t>
            </w: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程</w:t>
            </w:r>
          </w:p>
        </w:tc>
        <w:tc>
          <w:tcPr>
            <w:tcW w:w="1577" w:type="dxa"/>
            <w:gridSpan w:val="2"/>
            <w:tcBorders>
              <w:left w:val="single" w:color="000000" w:sz="4" w:space="0"/>
              <w:right w:val="single" w:color="000000" w:sz="4" w:space="0"/>
            </w:tcBorders>
            <w:vAlign w:val="center"/>
          </w:tcPr>
          <w:p>
            <w:pPr>
              <w:spacing w:before="94" w:line="263" w:lineRule="auto"/>
              <w:ind w:left="470" w:right="265" w:hanging="213"/>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铁矿石处</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理</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生产线</w:t>
            </w:r>
          </w:p>
        </w:tc>
        <w:tc>
          <w:tcPr>
            <w:tcW w:w="6231" w:type="dxa"/>
            <w:tcBorders>
              <w:left w:val="single" w:color="000000" w:sz="4" w:space="0"/>
              <w:right w:val="single" w:color="000000" w:sz="10" w:space="0"/>
            </w:tcBorders>
            <w:vAlign w:val="center"/>
          </w:tcPr>
          <w:p>
            <w:pPr>
              <w:spacing w:before="94" w:line="263" w:lineRule="auto"/>
              <w:ind w:left="106" w:right="26"/>
              <w:jc w:val="both"/>
              <w:rPr>
                <w:rFonts w:hint="default"/>
                <w:sz w:val="20"/>
                <w:szCs w:val="20"/>
                <w:highlight w:val="none"/>
                <w:lang w:val="en-US"/>
              </w:rPr>
            </w:pPr>
            <w:r>
              <w:rPr>
                <w:rFonts w:hint="eastAsia" w:ascii="Times New Roman" w:hAnsi="Times New Roman" w:eastAsia="宋体" w:cs="Times New Roman"/>
                <w:sz w:val="20"/>
                <w:szCs w:val="20"/>
                <w:highlight w:val="none"/>
                <w:lang w:val="en-US" w:eastAsia="zh-CN"/>
              </w:rPr>
              <w:t>在</w:t>
            </w:r>
            <w:r>
              <w:rPr>
                <w:rFonts w:hint="default" w:ascii="Times New Roman" w:hAnsi="Times New Roman" w:cs="Times New Roman"/>
                <w:sz w:val="20"/>
                <w:szCs w:val="20"/>
                <w:highlight w:val="none"/>
              </w:rPr>
              <w:t>公司</w:t>
            </w:r>
            <w:r>
              <w:rPr>
                <w:rFonts w:hint="default" w:ascii="Times New Roman" w:hAnsi="Times New Roman" w:cs="Times New Roman"/>
                <w:sz w:val="20"/>
                <w:szCs w:val="20"/>
                <w:highlight w:val="none"/>
                <w:lang w:val="en-US" w:eastAsia="zh-CN"/>
              </w:rPr>
              <w:t>东</w:t>
            </w:r>
            <w:r>
              <w:rPr>
                <w:rFonts w:hint="eastAsia" w:ascii="Times New Roman" w:hAnsi="Times New Roman" w:cs="Times New Roman"/>
                <w:sz w:val="20"/>
                <w:szCs w:val="20"/>
                <w:highlight w:val="none"/>
                <w:lang w:val="en-US" w:eastAsia="zh-CN"/>
              </w:rPr>
              <w:t>部</w:t>
            </w:r>
            <w:r>
              <w:rPr>
                <w:rFonts w:hint="default" w:ascii="Times New Roman" w:hAnsi="Times New Roman" w:cs="Times New Roman"/>
                <w:sz w:val="20"/>
                <w:szCs w:val="20"/>
                <w:highlight w:val="none"/>
                <w:lang w:val="en-US" w:eastAsia="zh-CN"/>
              </w:rPr>
              <w:t>生产装置区</w:t>
            </w:r>
            <w:r>
              <w:rPr>
                <w:rFonts w:hint="eastAsia" w:ascii="Times New Roman" w:hAnsi="Times New Roman" w:cs="Times New Roman"/>
                <w:sz w:val="20"/>
                <w:szCs w:val="20"/>
                <w:highlight w:val="none"/>
                <w:lang w:val="en-US" w:eastAsia="zh-CN"/>
              </w:rPr>
              <w:t>新建1座5#生产车间，车间内部新增1套矿石破碎筛分生产线</w:t>
            </w:r>
            <w:r>
              <w:rPr>
                <w:rFonts w:hint="default" w:ascii="Times New Roman" w:hAnsi="Times New Roman" w:cs="Times New Roman"/>
                <w:sz w:val="20"/>
                <w:szCs w:val="20"/>
                <w:highlight w:val="none"/>
                <w:lang w:val="en-US" w:eastAsia="zh-CN"/>
              </w:rPr>
              <w:t>，对矿石进行破碎、</w:t>
            </w:r>
            <w:r>
              <w:rPr>
                <w:rFonts w:hint="eastAsia" w:ascii="Times New Roman" w:hAnsi="Times New Roman" w:cs="Times New Roman"/>
                <w:sz w:val="20"/>
                <w:szCs w:val="20"/>
                <w:highlight w:val="none"/>
                <w:lang w:val="en-US" w:eastAsia="zh-CN"/>
              </w:rPr>
              <w:t>筛分</w:t>
            </w:r>
            <w:r>
              <w:rPr>
                <w:rFonts w:hint="default" w:ascii="Times New Roman" w:hAnsi="Times New Roman" w:cs="Times New Roman"/>
                <w:sz w:val="20"/>
                <w:szCs w:val="20"/>
                <w:highlight w:val="none"/>
                <w:lang w:val="en-US" w:eastAsia="zh-CN"/>
              </w:rPr>
              <w:t>，</w:t>
            </w:r>
            <w:r>
              <w:rPr>
                <w:rFonts w:hint="eastAsia" w:ascii="Times New Roman" w:hAnsi="Times New Roman" w:cs="Times New Roman"/>
                <w:sz w:val="20"/>
                <w:szCs w:val="20"/>
                <w:highlight w:val="none"/>
                <w:lang w:val="en-US" w:eastAsia="zh-CN"/>
              </w:rPr>
              <w:t>处理后的矿石进入厂区现有</w:t>
            </w:r>
            <w:r>
              <w:rPr>
                <w:rFonts w:hint="default" w:ascii="Times New Roman" w:hAnsi="Times New Roman" w:cs="Times New Roman"/>
                <w:sz w:val="20"/>
                <w:szCs w:val="20"/>
                <w:highlight w:val="none"/>
                <w:lang w:val="en-US" w:eastAsia="zh-CN"/>
              </w:rPr>
              <w:t>6#生产线进行粗选。</w:t>
            </w:r>
            <w:r>
              <w:rPr>
                <w:rFonts w:hint="eastAsia" w:ascii="Times New Roman" w:hAnsi="Times New Roman" w:eastAsia="宋体" w:cs="Times New Roman"/>
                <w:spacing w:val="6"/>
                <w:sz w:val="20"/>
                <w:szCs w:val="20"/>
                <w:highlight w:val="none"/>
                <w:lang w:val="en-US" w:eastAsia="zh-CN"/>
              </w:rPr>
              <w:t>5#</w:t>
            </w:r>
            <w:r>
              <w:rPr>
                <w:rFonts w:hint="default" w:ascii="Times New Roman" w:hAnsi="Times New Roman" w:eastAsia="宋体" w:cs="Times New Roman"/>
                <w:spacing w:val="6"/>
                <w:sz w:val="20"/>
                <w:szCs w:val="20"/>
                <w:highlight w:val="none"/>
                <w:lang w:val="en-US"/>
              </w:rPr>
              <w:t>生产车间</w:t>
            </w:r>
            <w:r>
              <w:rPr>
                <w:rFonts w:hint="default" w:ascii="Times New Roman" w:hAnsi="Times New Roman" w:eastAsia="宋体" w:cs="Times New Roman"/>
                <w:spacing w:val="6"/>
                <w:sz w:val="20"/>
                <w:szCs w:val="20"/>
                <w:highlight w:val="none"/>
                <w:lang w:val="en-US" w:eastAsia="zh-CN"/>
              </w:rPr>
              <w:t>：</w:t>
            </w:r>
            <w:r>
              <w:rPr>
                <w:rFonts w:hint="default" w:ascii="Times New Roman" w:hAnsi="Times New Roman" w:eastAsia="宋体" w:cs="Times New Roman"/>
                <w:spacing w:val="6"/>
                <w:sz w:val="20"/>
                <w:szCs w:val="20"/>
                <w:highlight w:val="none"/>
                <w:lang w:val="en-US"/>
              </w:rPr>
              <w:t xml:space="preserve"> 规格为</w:t>
            </w:r>
            <w:r>
              <w:rPr>
                <w:rFonts w:hint="eastAsia" w:ascii="Times New Roman" w:hAnsi="Times New Roman" w:eastAsia="宋体" w:cs="Times New Roman"/>
                <w:spacing w:val="6"/>
                <w:sz w:val="20"/>
                <w:szCs w:val="20"/>
                <w:highlight w:val="none"/>
                <w:lang w:val="en-US" w:eastAsia="zh-CN"/>
              </w:rPr>
              <w:t>60</w:t>
            </w:r>
            <w:r>
              <w:rPr>
                <w:rFonts w:hint="default" w:ascii="Times New Roman" w:hAnsi="Times New Roman" w:eastAsia="宋体" w:cs="Times New Roman"/>
                <w:spacing w:val="6"/>
                <w:sz w:val="20"/>
                <w:szCs w:val="20"/>
                <w:highlight w:val="none"/>
                <w:lang w:val="en-US"/>
              </w:rPr>
              <w:t>m*</w:t>
            </w:r>
            <w:r>
              <w:rPr>
                <w:rFonts w:hint="eastAsia" w:ascii="Times New Roman" w:hAnsi="Times New Roman" w:eastAsia="宋体" w:cs="Times New Roman"/>
                <w:spacing w:val="6"/>
                <w:sz w:val="20"/>
                <w:szCs w:val="20"/>
                <w:highlight w:val="none"/>
                <w:lang w:val="en-US" w:eastAsia="zh-CN"/>
              </w:rPr>
              <w:t>30</w:t>
            </w:r>
            <w:r>
              <w:rPr>
                <w:rFonts w:hint="default" w:ascii="Times New Roman" w:hAnsi="Times New Roman" w:eastAsia="宋体" w:cs="Times New Roman"/>
                <w:spacing w:val="6"/>
                <w:sz w:val="20"/>
                <w:szCs w:val="20"/>
                <w:highlight w:val="none"/>
                <w:lang w:val="en-US"/>
              </w:rPr>
              <w:t>m*1</w:t>
            </w:r>
            <w:r>
              <w:rPr>
                <w:rFonts w:hint="eastAsia" w:ascii="Times New Roman" w:hAnsi="Times New Roman" w:eastAsia="宋体" w:cs="Times New Roman"/>
                <w:spacing w:val="6"/>
                <w:sz w:val="20"/>
                <w:szCs w:val="20"/>
                <w:highlight w:val="none"/>
                <w:lang w:val="en-US" w:eastAsia="zh-CN"/>
              </w:rPr>
              <w:t>2</w:t>
            </w:r>
            <w:r>
              <w:rPr>
                <w:rFonts w:hint="default" w:ascii="Times New Roman" w:hAnsi="Times New Roman" w:eastAsia="宋体" w:cs="Times New Roman"/>
                <w:spacing w:val="6"/>
                <w:sz w:val="20"/>
                <w:szCs w:val="20"/>
                <w:highlight w:val="none"/>
                <w:lang w:val="en-US"/>
              </w:rPr>
              <w:t>m，</w:t>
            </w:r>
            <w:r>
              <w:rPr>
                <w:rFonts w:hint="eastAsia" w:ascii="Times New Roman" w:hAnsi="Times New Roman" w:eastAsia="宋体" w:cs="Times New Roman"/>
                <w:spacing w:val="6"/>
                <w:sz w:val="20"/>
                <w:szCs w:val="20"/>
                <w:highlight w:val="none"/>
                <w:lang w:val="en-US" w:eastAsia="zh-CN"/>
              </w:rPr>
              <w:t>为</w:t>
            </w:r>
            <w:r>
              <w:rPr>
                <w:rFonts w:hint="default" w:ascii="Times New Roman" w:hAnsi="Times New Roman" w:eastAsia="宋体" w:cs="Times New Roman"/>
                <w:spacing w:val="6"/>
                <w:sz w:val="20"/>
                <w:szCs w:val="20"/>
                <w:highlight w:val="none"/>
                <w:lang w:val="en-US"/>
              </w:rPr>
              <w:t>双层夹芯彩钢结构。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1" w:type="dxa"/>
            <w:vMerge w:val="restart"/>
            <w:tcBorders>
              <w:left w:val="single" w:color="000000" w:sz="10" w:space="0"/>
              <w:right w:val="single" w:color="auto" w:sz="4" w:space="0"/>
            </w:tcBorders>
            <w:vAlign w:val="center"/>
          </w:tcPr>
          <w:p>
            <w:pPr>
              <w:spacing w:before="95" w:line="322" w:lineRule="exact"/>
              <w:ind w:left="127"/>
              <w:jc w:val="center"/>
              <w:rPr>
                <w:rFonts w:hint="eastAsia" w:ascii="Times New Roman" w:hAnsi="Times New Roman" w:eastAsia="宋体" w:cs="Times New Roman"/>
                <w:spacing w:val="5"/>
                <w:position w:val="8"/>
                <w:sz w:val="20"/>
                <w:szCs w:val="20"/>
                <w:highlight w:val="none"/>
                <w:lang w:val="en-US" w:eastAsia="zh-CN"/>
                <w14:textOutline w14:w="3795" w14:cap="sq" w14:cmpd="sng">
                  <w14:solidFill>
                    <w14:srgbClr w14:val="000000"/>
                  </w14:solidFill>
                  <w14:prstDash w14:val="solid"/>
                  <w14:bevel/>
                </w14:textOutline>
              </w:rPr>
            </w:pPr>
            <w:r>
              <w:rPr>
                <w:rFonts w:hint="eastAsia" w:ascii="Times New Roman" w:hAnsi="Times New Roman" w:eastAsia="宋体" w:cs="Times New Roman"/>
                <w:spacing w:val="5"/>
                <w:position w:val="8"/>
                <w:sz w:val="20"/>
                <w:szCs w:val="20"/>
                <w:highlight w:val="none"/>
                <w:lang w:val="en-US" w:eastAsia="zh-CN"/>
                <w14:textOutline w14:w="3795" w14:cap="sq" w14:cmpd="sng">
                  <w14:solidFill>
                    <w14:srgbClr w14:val="000000"/>
                  </w14:solidFill>
                  <w14:prstDash w14:val="solid"/>
                  <w14:bevel/>
                </w14:textOutline>
              </w:rPr>
              <w:t>依托</w:t>
            </w:r>
          </w:p>
          <w:p>
            <w:pPr>
              <w:spacing w:before="95" w:line="322" w:lineRule="exact"/>
              <w:ind w:left="127"/>
              <w:jc w:val="cente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pPr>
            <w: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t>工程</w:t>
            </w:r>
          </w:p>
        </w:tc>
        <w:tc>
          <w:tcPr>
            <w:tcW w:w="623" w:type="dxa"/>
            <w:vMerge w:val="restart"/>
            <w:tcBorders>
              <w:left w:val="single" w:color="auto" w:sz="4" w:space="0"/>
              <w:bottom w:val="nil"/>
              <w:right w:val="single" w:color="000000" w:sz="4" w:space="0"/>
            </w:tcBorders>
            <w:vAlign w:val="center"/>
          </w:tcPr>
          <w:p>
            <w:pPr>
              <w:spacing w:before="95" w:line="322" w:lineRule="exact"/>
              <w:ind w:left="127"/>
              <w:jc w:val="cente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pPr>
            <w: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t>辅助</w:t>
            </w:r>
          </w:p>
          <w:p>
            <w:pPr>
              <w:spacing w:before="95" w:line="322" w:lineRule="exact"/>
              <w:ind w:left="127"/>
              <w:jc w:val="center"/>
              <w:rPr>
                <w:rFonts w:hint="eastAsia" w:ascii="Times New Roman" w:hAnsi="Times New Roman" w:eastAsia="宋体" w:cs="Times New Roman"/>
                <w:spacing w:val="5"/>
                <w:position w:val="8"/>
                <w:sz w:val="20"/>
                <w:szCs w:val="20"/>
                <w:highlight w:val="none"/>
                <w:lang w:val="en-US" w:eastAsia="zh-CN"/>
                <w14:textOutline w14:w="3795" w14:cap="sq" w14:cmpd="sng">
                  <w14:solidFill>
                    <w14:srgbClr w14:val="000000"/>
                  </w14:solidFill>
                  <w14:prstDash w14:val="solid"/>
                  <w14:bevel/>
                </w14:textOutline>
              </w:rPr>
            </w:pPr>
            <w: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t>工</w:t>
            </w:r>
            <w:r>
              <w:rPr>
                <w:rFonts w:hint="eastAsia" w:ascii="Times New Roman" w:hAnsi="Times New Roman" w:eastAsia="宋体" w:cs="Times New Roman"/>
                <w:spacing w:val="5"/>
                <w:position w:val="8"/>
                <w:sz w:val="20"/>
                <w:szCs w:val="20"/>
                <w:highlight w:val="none"/>
                <w:lang w:val="en-US" w:eastAsia="zh-CN"/>
                <w14:textOutline w14:w="3795" w14:cap="sq" w14:cmpd="sng">
                  <w14:solidFill>
                    <w14:srgbClr w14:val="000000"/>
                  </w14:solidFill>
                  <w14:prstDash w14:val="solid"/>
                  <w14:bevel/>
                </w14:textOutline>
              </w:rPr>
              <w:t>程</w:t>
            </w:r>
          </w:p>
        </w:tc>
        <w:tc>
          <w:tcPr>
            <w:tcW w:w="954" w:type="dxa"/>
            <w:tcBorders>
              <w:left w:val="single" w:color="000000" w:sz="4" w:space="0"/>
              <w:right w:val="single" w:color="000000" w:sz="4" w:space="0"/>
            </w:tcBorders>
            <w:vAlign w:val="center"/>
          </w:tcPr>
          <w:p>
            <w:pPr>
              <w:spacing w:before="256" w:line="228" w:lineRule="auto"/>
              <w:ind w:firstLine="218" w:firstLineChars="100"/>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办公</w:t>
            </w:r>
          </w:p>
        </w:tc>
        <w:tc>
          <w:tcPr>
            <w:tcW w:w="6231" w:type="dxa"/>
            <w:tcBorders>
              <w:left w:val="single" w:color="000000" w:sz="4" w:space="0"/>
              <w:right w:val="single" w:color="000000" w:sz="10" w:space="0"/>
            </w:tcBorders>
            <w:vAlign w:val="center"/>
          </w:tcPr>
          <w:p>
            <w:pPr>
              <w:spacing w:before="94" w:line="263" w:lineRule="auto"/>
              <w:ind w:left="106" w:right="26"/>
              <w:jc w:val="both"/>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5"/>
                <w:sz w:val="20"/>
                <w:szCs w:val="20"/>
                <w:highlight w:val="none"/>
                <w:lang w:val="en-US" w:eastAsia="zh-CN"/>
              </w:rPr>
              <w:t>依托厂区现有</w:t>
            </w:r>
            <w:r>
              <w:rPr>
                <w:rFonts w:hint="default" w:ascii="Times New Roman" w:hAnsi="Times New Roman" w:eastAsia="宋体" w:cs="Times New Roman"/>
                <w:spacing w:val="5"/>
                <w:sz w:val="20"/>
                <w:szCs w:val="20"/>
                <w:highlight w:val="none"/>
              </w:rPr>
              <w:t>办公辅助设施：规格为</w:t>
            </w:r>
            <w:r>
              <w:rPr>
                <w:rFonts w:hint="default" w:ascii="Times New Roman" w:hAnsi="Times New Roman" w:eastAsia="Times New Roman" w:cs="Times New Roman"/>
                <w:spacing w:val="5"/>
                <w:sz w:val="20"/>
                <w:szCs w:val="20"/>
                <w:highlight w:val="none"/>
              </w:rPr>
              <w:t>42</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*3</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 xml:space="preserve"> </w:t>
            </w:r>
            <w:r>
              <w:rPr>
                <w:rFonts w:hint="default" w:ascii="Times New Roman" w:hAnsi="Times New Roman" w:eastAsia="宋体" w:cs="Times New Roman"/>
                <w:spacing w:val="5"/>
                <w:sz w:val="20"/>
                <w:szCs w:val="20"/>
                <w:highlight w:val="none"/>
              </w:rPr>
              <w:t>，砖混结构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691" w:type="dxa"/>
            <w:vMerge w:val="continue"/>
            <w:tcBorders>
              <w:left w:val="single" w:color="000000" w:sz="10" w:space="0"/>
              <w:right w:val="single" w:color="auto" w:sz="4" w:space="0"/>
            </w:tcBorders>
            <w:vAlign w:val="top"/>
          </w:tcPr>
          <w:p>
            <w:pPr>
              <w:rPr>
                <w:rFonts w:hint="default" w:ascii="Times New Roman" w:hAnsi="Times New Roman" w:cs="Times New Roman"/>
                <w:sz w:val="21"/>
                <w:highlight w:val="none"/>
              </w:rPr>
            </w:pPr>
          </w:p>
        </w:tc>
        <w:tc>
          <w:tcPr>
            <w:tcW w:w="623" w:type="dxa"/>
            <w:vMerge w:val="continue"/>
            <w:tcBorders>
              <w:top w:val="nil"/>
              <w:left w:val="single" w:color="auto" w:sz="4" w:space="0"/>
              <w:bottom w:val="nil"/>
              <w:right w:val="single" w:color="000000" w:sz="4" w:space="0"/>
            </w:tcBorders>
            <w:vAlign w:val="top"/>
          </w:tcPr>
          <w:p>
            <w:pPr>
              <w:rPr>
                <w:rFonts w:hint="default" w:ascii="Times New Roman" w:hAnsi="Times New Roman" w:cs="Times New Roman"/>
                <w:sz w:val="21"/>
                <w:highlight w:val="none"/>
              </w:rPr>
            </w:pPr>
          </w:p>
        </w:tc>
        <w:tc>
          <w:tcPr>
            <w:tcW w:w="954" w:type="dxa"/>
            <w:vMerge w:val="restart"/>
            <w:tcBorders>
              <w:left w:val="single" w:color="000000" w:sz="4" w:space="0"/>
              <w:bottom w:val="nil"/>
              <w:right w:val="single" w:color="000000" w:sz="4" w:space="0"/>
            </w:tcBorders>
            <w:vAlign w:val="center"/>
          </w:tcPr>
          <w:p>
            <w:pPr>
              <w:spacing w:before="65" w:line="229" w:lineRule="auto"/>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储运工</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程</w:t>
            </w:r>
          </w:p>
        </w:tc>
        <w:tc>
          <w:tcPr>
            <w:tcW w:w="6231" w:type="dxa"/>
            <w:tcBorders>
              <w:left w:val="single" w:color="000000" w:sz="4" w:space="0"/>
              <w:right w:val="single" w:color="000000" w:sz="10" w:space="0"/>
            </w:tcBorders>
            <w:vAlign w:val="top"/>
          </w:tcPr>
          <w:p>
            <w:pPr>
              <w:spacing w:before="94" w:line="263" w:lineRule="auto"/>
              <w:ind w:left="106" w:right="26"/>
              <w:jc w:val="both"/>
              <w:rPr>
                <w:rFonts w:hint="default" w:ascii="Times New Roman" w:hAnsi="Times New Roman" w:eastAsia="宋体" w:cs="Times New Roman"/>
                <w:sz w:val="20"/>
                <w:szCs w:val="20"/>
                <w:highlight w:val="none"/>
              </w:rPr>
            </w:pPr>
            <w:r>
              <w:rPr>
                <w:rFonts w:hint="eastAsia" w:ascii="Times New Roman" w:eastAsia="宋体" w:cs="Times New Roman"/>
                <w:sz w:val="20"/>
                <w:szCs w:val="20"/>
                <w:highlight w:val="none"/>
                <w:lang w:val="en-US" w:eastAsia="zh-CN"/>
              </w:rPr>
              <w:t>原料不在厂区存储，新建1座三面围挡带顶</w:t>
            </w:r>
            <w:r>
              <w:rPr>
                <w:rFonts w:ascii="Times New Roman" w:eastAsia="宋体" w:cs="Times New Roman"/>
                <w:sz w:val="20"/>
                <w:szCs w:val="20"/>
                <w:highlight w:val="none"/>
              </w:rPr>
              <w:t>，</w:t>
            </w:r>
            <w:r>
              <w:rPr>
                <w:rFonts w:hint="eastAsia" w:ascii="Times New Roman" w:eastAsia="宋体" w:cs="Times New Roman"/>
                <w:sz w:val="20"/>
                <w:szCs w:val="20"/>
                <w:highlight w:val="none"/>
                <w:lang w:val="en-US" w:eastAsia="zh-CN"/>
              </w:rPr>
              <w:t>进深不小于8米的原料棚</w:t>
            </w:r>
            <w:r>
              <w:rPr>
                <w:rFonts w:hint="eastAsia" w:ascii="Times New Roman" w:eastAsia="宋体" w:cs="Times New Roman"/>
                <w:sz w:val="20"/>
                <w:szCs w:val="20"/>
                <w:highlight w:val="none"/>
              </w:rPr>
              <w:t>，</w:t>
            </w:r>
            <w:r>
              <w:rPr>
                <w:rFonts w:hint="eastAsia" w:ascii="Times New Roman" w:eastAsia="宋体" w:cs="Times New Roman"/>
                <w:sz w:val="20"/>
                <w:szCs w:val="20"/>
                <w:highlight w:val="none"/>
                <w:lang w:val="en-US" w:eastAsia="zh-CN"/>
              </w:rPr>
              <w:t>鄂破受料仓位于原料棚内，受料仓上方设喷雾抑尘装置；成品料存储依托厂区现有库房</w:t>
            </w:r>
            <w:r>
              <w:rPr>
                <w:rFonts w:hint="eastAsia" w:ascii="Times New Roman" w:hAnsi="Times New Roman" w:cs="Times New Roman"/>
                <w:sz w:val="20"/>
                <w:szCs w:val="20"/>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691" w:type="dxa"/>
            <w:vMerge w:val="continue"/>
            <w:tcBorders>
              <w:left w:val="single" w:color="000000" w:sz="10" w:space="0"/>
              <w:right w:val="single" w:color="auto" w:sz="4" w:space="0"/>
            </w:tcBorders>
            <w:vAlign w:val="top"/>
          </w:tcPr>
          <w:p>
            <w:pPr>
              <w:rPr>
                <w:rFonts w:hint="default" w:ascii="Times New Roman" w:hAnsi="Times New Roman" w:cs="Times New Roman"/>
                <w:sz w:val="21"/>
                <w:highlight w:val="none"/>
              </w:rPr>
            </w:pPr>
          </w:p>
        </w:tc>
        <w:tc>
          <w:tcPr>
            <w:tcW w:w="623" w:type="dxa"/>
            <w:vMerge w:val="continue"/>
            <w:tcBorders>
              <w:top w:val="nil"/>
              <w:left w:val="single" w:color="auto" w:sz="4" w:space="0"/>
              <w:right w:val="single" w:color="000000" w:sz="4" w:space="0"/>
            </w:tcBorders>
            <w:vAlign w:val="top"/>
          </w:tcPr>
          <w:p>
            <w:pPr>
              <w:rPr>
                <w:rFonts w:hint="default" w:ascii="Times New Roman" w:hAnsi="Times New Roman" w:cs="Times New Roman"/>
                <w:sz w:val="21"/>
                <w:highlight w:val="none"/>
              </w:rPr>
            </w:pPr>
          </w:p>
        </w:tc>
        <w:tc>
          <w:tcPr>
            <w:tcW w:w="954" w:type="dxa"/>
            <w:vMerge w:val="continue"/>
            <w:tcBorders>
              <w:top w:val="nil"/>
              <w:left w:val="single" w:color="000000" w:sz="4" w:space="0"/>
              <w:right w:val="single" w:color="000000" w:sz="4" w:space="0"/>
            </w:tcBorders>
            <w:vAlign w:val="top"/>
          </w:tcPr>
          <w:p>
            <w:pPr>
              <w:rPr>
                <w:rFonts w:hint="default" w:ascii="Times New Roman" w:hAnsi="Times New Roman" w:cs="Times New Roman"/>
                <w:sz w:val="21"/>
                <w:highlight w:val="none"/>
              </w:rPr>
            </w:pPr>
          </w:p>
        </w:tc>
        <w:tc>
          <w:tcPr>
            <w:tcW w:w="6231" w:type="dxa"/>
            <w:tcBorders>
              <w:left w:val="single" w:color="000000" w:sz="4" w:space="0"/>
              <w:right w:val="single" w:color="000000" w:sz="10" w:space="0"/>
            </w:tcBorders>
            <w:vAlign w:val="top"/>
          </w:tcPr>
          <w:p>
            <w:pPr>
              <w:spacing w:before="53" w:line="275" w:lineRule="auto"/>
              <w:ind w:left="104" w:right="65" w:firstLine="2"/>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14"/>
                <w:sz w:val="20"/>
                <w:szCs w:val="20"/>
                <w:highlight w:val="none"/>
                <w:lang w:val="en-US" w:eastAsia="zh-CN"/>
              </w:rPr>
              <w:t>危废存储依托厂区现有</w:t>
            </w:r>
            <w:r>
              <w:rPr>
                <w:rFonts w:hint="default" w:ascii="Times New Roman" w:hAnsi="Times New Roman" w:eastAsia="宋体" w:cs="Times New Roman"/>
                <w:spacing w:val="14"/>
                <w:sz w:val="20"/>
                <w:szCs w:val="20"/>
                <w:highlight w:val="none"/>
              </w:rPr>
              <w:t>危废</w:t>
            </w:r>
            <w:r>
              <w:rPr>
                <w:rFonts w:hint="default" w:ascii="Times New Roman" w:hAnsi="Times New Roman" w:eastAsia="宋体" w:cs="Times New Roman"/>
                <w:spacing w:val="12"/>
                <w:sz w:val="20"/>
                <w:szCs w:val="20"/>
                <w:highlight w:val="none"/>
              </w:rPr>
              <w:t>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91" w:type="dxa"/>
            <w:vMerge w:val="continue"/>
            <w:tcBorders>
              <w:left w:val="single" w:color="000000" w:sz="10" w:space="0"/>
              <w:right w:val="single" w:color="auto" w:sz="4" w:space="0"/>
            </w:tcBorders>
            <w:vAlign w:val="top"/>
          </w:tcPr>
          <w:p>
            <w:pPr>
              <w:spacing w:line="229" w:lineRule="auto"/>
              <w:ind w:left="128"/>
              <w:rPr>
                <w:rFonts w:hint="default" w:ascii="Times New Roman" w:hAnsi="Times New Roman" w:eastAsia="宋体" w:cs="Times New Roman"/>
                <w:sz w:val="20"/>
                <w:szCs w:val="20"/>
                <w:highlight w:val="none"/>
              </w:rPr>
            </w:pPr>
          </w:p>
        </w:tc>
        <w:tc>
          <w:tcPr>
            <w:tcW w:w="623" w:type="dxa"/>
            <w:vMerge w:val="restart"/>
            <w:tcBorders>
              <w:left w:val="single" w:color="auto" w:sz="4" w:space="0"/>
              <w:right w:val="single" w:color="000000" w:sz="4" w:space="0"/>
            </w:tcBorders>
            <w:vAlign w:val="center"/>
          </w:tcPr>
          <w:p>
            <w:pPr>
              <w:spacing w:line="229" w:lineRule="auto"/>
              <w:ind w:left="128"/>
              <w:jc w:val="center"/>
              <w:rPr>
                <w:rFonts w:hint="default" w:ascii="Times New Roman" w:hAnsi="Times New Roman" w:eastAsia="宋体" w:cs="Times New Roman"/>
                <w:spacing w:val="5"/>
                <w:sz w:val="20"/>
                <w:szCs w:val="20"/>
                <w:highlight w:val="none"/>
                <w:lang w:val="en-US" w:eastAsia="zh-CN"/>
                <w14:textOutline w14:w="3795" w14:cap="sq" w14:cmpd="sng">
                  <w14:solidFill>
                    <w14:srgbClr w14:val="000000"/>
                  </w14:solidFill>
                  <w14:prstDash w14:val="solid"/>
                  <w14:bevel/>
                </w14:textOutline>
              </w:rPr>
            </w:pPr>
            <w:r>
              <w:rPr>
                <w:rFonts w:hint="eastAsia" w:ascii="Times New Roman" w:hAnsi="Times New Roman" w:eastAsia="宋体" w:cs="Times New Roman"/>
                <w:spacing w:val="5"/>
                <w:sz w:val="20"/>
                <w:szCs w:val="20"/>
                <w:highlight w:val="none"/>
                <w:lang w:val="en-US" w:eastAsia="zh-CN"/>
                <w14:textOutline w14:w="3795" w14:cap="sq" w14:cmpd="sng">
                  <w14:solidFill>
                    <w14:srgbClr w14:val="000000"/>
                  </w14:solidFill>
                  <w14:prstDash w14:val="solid"/>
                  <w14:bevel/>
                </w14:textOutline>
              </w:rPr>
              <w:t>公用工程</w:t>
            </w:r>
          </w:p>
        </w:tc>
        <w:tc>
          <w:tcPr>
            <w:tcW w:w="954" w:type="dxa"/>
            <w:tcBorders>
              <w:left w:val="single" w:color="000000" w:sz="4" w:space="0"/>
              <w:right w:val="single" w:color="000000" w:sz="4" w:space="0"/>
            </w:tcBorders>
            <w:vAlign w:val="top"/>
          </w:tcPr>
          <w:p>
            <w:pPr>
              <w:spacing w:before="82" w:line="228" w:lineRule="auto"/>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供水</w:t>
            </w:r>
          </w:p>
        </w:tc>
        <w:tc>
          <w:tcPr>
            <w:tcW w:w="6231" w:type="dxa"/>
            <w:tcBorders>
              <w:left w:val="single" w:color="000000" w:sz="4" w:space="0"/>
              <w:right w:val="single" w:color="000000" w:sz="10" w:space="0"/>
            </w:tcBorders>
            <w:vAlign w:val="top"/>
          </w:tcPr>
          <w:p>
            <w:pPr>
              <w:spacing w:before="82" w:line="228" w:lineRule="auto"/>
              <w:ind w:left="10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用水由由厂区现有自备水井提供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91" w:type="dxa"/>
            <w:vMerge w:val="continue"/>
            <w:tcBorders>
              <w:left w:val="single" w:color="000000" w:sz="10" w:space="0"/>
              <w:right w:val="single" w:color="auto" w:sz="4" w:space="0"/>
            </w:tcBorders>
            <w:vAlign w:val="top"/>
          </w:tcPr>
          <w:p>
            <w:pPr>
              <w:rPr>
                <w:rFonts w:hint="default" w:ascii="Times New Roman" w:hAnsi="Times New Roman" w:cs="Times New Roman"/>
                <w:sz w:val="21"/>
                <w:highlight w:val="none"/>
              </w:rPr>
            </w:pPr>
          </w:p>
        </w:tc>
        <w:tc>
          <w:tcPr>
            <w:tcW w:w="623" w:type="dxa"/>
            <w:vMerge w:val="continue"/>
            <w:tcBorders>
              <w:left w:val="single" w:color="auto" w:sz="4" w:space="0"/>
              <w:right w:val="single" w:color="000000" w:sz="4" w:space="0"/>
            </w:tcBorders>
            <w:vAlign w:val="top"/>
          </w:tcPr>
          <w:p>
            <w:pPr>
              <w:rPr>
                <w:rFonts w:hint="default" w:ascii="Times New Roman" w:hAnsi="Times New Roman" w:cs="Times New Roman"/>
                <w:sz w:val="21"/>
                <w:highlight w:val="none"/>
              </w:rPr>
            </w:pPr>
          </w:p>
        </w:tc>
        <w:tc>
          <w:tcPr>
            <w:tcW w:w="954" w:type="dxa"/>
            <w:tcBorders>
              <w:left w:val="single" w:color="000000" w:sz="4" w:space="0"/>
              <w:right w:val="single" w:color="000000"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before="0" w:beforeLines="50" w:line="228" w:lineRule="auto"/>
              <w:ind w:left="0"/>
              <w:jc w:val="center"/>
              <w:textAlignment w:val="baseline"/>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供电</w:t>
            </w:r>
          </w:p>
        </w:tc>
        <w:tc>
          <w:tcPr>
            <w:tcW w:w="6231" w:type="dxa"/>
            <w:tcBorders>
              <w:left w:val="single" w:color="000000" w:sz="4" w:space="0"/>
              <w:right w:val="single" w:color="000000" w:sz="10" w:space="0"/>
            </w:tcBorders>
            <w:vAlign w:val="top"/>
          </w:tcPr>
          <w:p>
            <w:pPr>
              <w:spacing w:before="52" w:line="276" w:lineRule="auto"/>
              <w:ind w:left="105" w:righ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用</w:t>
            </w:r>
            <w:r>
              <w:rPr>
                <w:rFonts w:hint="default" w:ascii="Times New Roman" w:hAnsi="Times New Roman" w:eastAsia="宋体" w:cs="Times New Roman"/>
                <w:spacing w:val="7"/>
                <w:sz w:val="20"/>
                <w:szCs w:val="20"/>
                <w:highlight w:val="none"/>
              </w:rPr>
              <w:t>电接自本地电网，</w:t>
            </w:r>
            <w:r>
              <w:rPr>
                <w:rFonts w:hint="eastAsia" w:ascii="Times New Roman" w:hAnsi="Times New Roman" w:eastAsia="宋体" w:cs="Times New Roman"/>
                <w:spacing w:val="7"/>
                <w:sz w:val="20"/>
                <w:szCs w:val="20"/>
                <w:highlight w:val="none"/>
                <w:lang w:val="en-US" w:eastAsia="zh-CN"/>
              </w:rPr>
              <w:t>厂区设有变压器</w:t>
            </w:r>
            <w:r>
              <w:rPr>
                <w:rFonts w:hint="default" w:ascii="Times New Roman" w:hAnsi="Times New Roman" w:eastAsia="Times New Roman" w:cs="Times New Roman"/>
                <w:spacing w:val="7"/>
                <w:sz w:val="20"/>
                <w:szCs w:val="20"/>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91" w:type="dxa"/>
            <w:vMerge w:val="continue"/>
            <w:tcBorders>
              <w:left w:val="single" w:color="000000" w:sz="10" w:space="0"/>
              <w:right w:val="single" w:color="auto" w:sz="4" w:space="0"/>
            </w:tcBorders>
            <w:vAlign w:val="top"/>
          </w:tcPr>
          <w:p>
            <w:pPr>
              <w:rPr>
                <w:rFonts w:hint="default" w:ascii="Times New Roman" w:hAnsi="Times New Roman" w:cs="Times New Roman"/>
                <w:sz w:val="21"/>
                <w:highlight w:val="none"/>
              </w:rPr>
            </w:pPr>
          </w:p>
        </w:tc>
        <w:tc>
          <w:tcPr>
            <w:tcW w:w="623" w:type="dxa"/>
            <w:vMerge w:val="continue"/>
            <w:tcBorders>
              <w:left w:val="single" w:color="auto" w:sz="4" w:space="0"/>
              <w:right w:val="single" w:color="000000" w:sz="4" w:space="0"/>
            </w:tcBorders>
            <w:vAlign w:val="top"/>
          </w:tcPr>
          <w:p>
            <w:pPr>
              <w:rPr>
                <w:rFonts w:hint="default" w:ascii="Times New Roman" w:hAnsi="Times New Roman" w:cs="Times New Roman"/>
                <w:sz w:val="21"/>
                <w:highlight w:val="none"/>
              </w:rPr>
            </w:pPr>
          </w:p>
        </w:tc>
        <w:tc>
          <w:tcPr>
            <w:tcW w:w="954" w:type="dxa"/>
            <w:tcBorders>
              <w:left w:val="single" w:color="000000" w:sz="4" w:space="0"/>
              <w:right w:val="single" w:color="000000" w:sz="4" w:space="0"/>
            </w:tcBorders>
            <w:vAlign w:val="top"/>
          </w:tcPr>
          <w:p>
            <w:pPr>
              <w:spacing w:before="81" w:line="228" w:lineRule="auto"/>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供暖</w:t>
            </w:r>
          </w:p>
        </w:tc>
        <w:tc>
          <w:tcPr>
            <w:tcW w:w="6231" w:type="dxa"/>
            <w:tcBorders>
              <w:left w:val="single" w:color="000000" w:sz="4" w:space="0"/>
              <w:right w:val="single" w:color="000000" w:sz="10" w:space="0"/>
            </w:tcBorders>
            <w:vAlign w:val="top"/>
          </w:tcPr>
          <w:p>
            <w:pPr>
              <w:spacing w:before="81" w:line="228" w:lineRule="auto"/>
              <w:ind w:left="10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生产车间不需要供暖，办公室采用空调方式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7" w:hRule="atLeast"/>
        </w:trPr>
        <w:tc>
          <w:tcPr>
            <w:tcW w:w="691" w:type="dxa"/>
            <w:vMerge w:val="restart"/>
            <w:tcBorders>
              <w:left w:val="single" w:color="000000" w:sz="10" w:space="0"/>
              <w:right w:val="single" w:color="000000" w:sz="4" w:space="0"/>
            </w:tcBorders>
            <w:vAlign w:val="top"/>
          </w:tcPr>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before="65" w:line="319" w:lineRule="exact"/>
              <w:ind w:left="1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position w:val="8"/>
                <w:sz w:val="20"/>
                <w:szCs w:val="20"/>
                <w:highlight w:val="none"/>
                <w14:textOutline w14:w="3795" w14:cap="sq" w14:cmpd="sng">
                  <w14:solidFill>
                    <w14:srgbClr w14:val="000000"/>
                  </w14:solidFill>
                  <w14:prstDash w14:val="solid"/>
                  <w14:bevel/>
                </w14:textOutline>
              </w:rPr>
              <w:t>环保</w:t>
            </w:r>
          </w:p>
          <w:p>
            <w:pPr>
              <w:spacing w:line="229" w:lineRule="auto"/>
              <w:ind w:left="128"/>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pP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工</w:t>
            </w: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程</w:t>
            </w:r>
          </w:p>
        </w:tc>
        <w:tc>
          <w:tcPr>
            <w:tcW w:w="623" w:type="dxa"/>
            <w:tcBorders>
              <w:left w:val="single" w:color="000000" w:sz="4" w:space="0"/>
              <w:bottom w:val="single" w:color="auto" w:sz="4" w:space="0"/>
              <w:right w:val="single" w:color="000000" w:sz="4" w:space="0"/>
            </w:tcBorders>
            <w:vAlign w:val="top"/>
          </w:tcPr>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before="65" w:line="319" w:lineRule="exact"/>
              <w:ind w:left="15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position w:val="8"/>
                <w:sz w:val="20"/>
                <w:szCs w:val="20"/>
                <w:highlight w:val="none"/>
                <w14:textOutline w14:w="3795" w14:cap="sq" w14:cmpd="sng">
                  <w14:solidFill>
                    <w14:srgbClr w14:val="000000"/>
                  </w14:solidFill>
                  <w14:prstDash w14:val="solid"/>
                  <w14:bevel/>
                </w14:textOutline>
              </w:rPr>
              <w:t>大</w:t>
            </w:r>
            <w:r>
              <w:rPr>
                <w:rFonts w:hint="default" w:ascii="Times New Roman" w:hAnsi="Times New Roman" w:eastAsia="宋体" w:cs="Times New Roman"/>
                <w:spacing w:val="4"/>
                <w:position w:val="8"/>
                <w:sz w:val="20"/>
                <w:szCs w:val="20"/>
                <w:highlight w:val="none"/>
                <w14:textOutline w14:w="3795" w14:cap="sq" w14:cmpd="sng">
                  <w14:solidFill>
                    <w14:srgbClr w14:val="000000"/>
                  </w14:solidFill>
                  <w14:prstDash w14:val="solid"/>
                  <w14:bevel/>
                </w14:textOutline>
              </w:rPr>
              <w:t>气</w:t>
            </w:r>
          </w:p>
          <w:p>
            <w:pPr>
              <w:spacing w:line="229" w:lineRule="auto"/>
              <w:ind w:left="1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污染</w:t>
            </w:r>
          </w:p>
          <w:p>
            <w:pPr>
              <w:spacing w:before="70" w:line="233" w:lineRule="auto"/>
              <w:ind w:left="15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治</w:t>
            </w:r>
            <w:r>
              <w:rPr>
                <w:rFonts w:hint="default" w:ascii="Times New Roman" w:hAnsi="Times New Roman" w:eastAsia="宋体" w:cs="Times New Roman"/>
                <w:spacing w:val="3"/>
                <w:sz w:val="20"/>
                <w:szCs w:val="20"/>
                <w:highlight w:val="none"/>
                <w14:textOutline w14:w="3795" w14:cap="sq" w14:cmpd="sng">
                  <w14:solidFill>
                    <w14:srgbClr w14:val="000000"/>
                  </w14:solidFill>
                  <w14:prstDash w14:val="solid"/>
                  <w14:bevel/>
                </w14:textOutline>
              </w:rPr>
              <w:t>理</w:t>
            </w:r>
          </w:p>
        </w:tc>
        <w:tc>
          <w:tcPr>
            <w:tcW w:w="954" w:type="dxa"/>
            <w:tcBorders>
              <w:left w:val="single" w:color="000000" w:sz="4" w:space="0"/>
              <w:right w:val="single" w:color="000000" w:sz="4" w:space="0"/>
            </w:tcBorders>
            <w:vAlign w:val="top"/>
          </w:tcPr>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line="241" w:lineRule="auto"/>
              <w:rPr>
                <w:rFonts w:hint="default" w:ascii="Times New Roman" w:hAnsi="Times New Roman" w:cs="Times New Roman"/>
                <w:sz w:val="21"/>
                <w:highlight w:val="none"/>
              </w:rPr>
            </w:pPr>
          </w:p>
          <w:p>
            <w:pPr>
              <w:spacing w:before="65" w:line="229" w:lineRule="auto"/>
              <w:ind w:left="10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运</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营期</w:t>
            </w:r>
          </w:p>
        </w:tc>
        <w:tc>
          <w:tcPr>
            <w:tcW w:w="6231" w:type="dxa"/>
            <w:tcBorders>
              <w:left w:val="single" w:color="000000" w:sz="4" w:space="0"/>
              <w:right w:val="single" w:color="000000" w:sz="10" w:space="0"/>
            </w:tcBorders>
            <w:vAlign w:val="top"/>
          </w:tcPr>
          <w:p>
            <w:pPr>
              <w:spacing w:before="53" w:line="281" w:lineRule="auto"/>
              <w:ind w:left="105" w:right="99" w:hanging="1"/>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①</w:t>
            </w:r>
            <w:r>
              <w:rPr>
                <w:rFonts w:hint="eastAsia" w:ascii="Times New Roman" w:eastAsia="宋体" w:cs="Times New Roman"/>
                <w:sz w:val="20"/>
                <w:szCs w:val="20"/>
                <w:highlight w:val="none"/>
                <w:lang w:val="en-US" w:eastAsia="zh-CN"/>
              </w:rPr>
              <w:t>原料不在厂区存储，新建1座三面围挡带顶</w:t>
            </w:r>
            <w:r>
              <w:rPr>
                <w:rFonts w:ascii="Times New Roman" w:eastAsia="宋体" w:cs="Times New Roman"/>
                <w:sz w:val="20"/>
                <w:szCs w:val="20"/>
                <w:highlight w:val="none"/>
              </w:rPr>
              <w:t>，</w:t>
            </w:r>
            <w:r>
              <w:rPr>
                <w:rFonts w:hint="eastAsia" w:ascii="Times New Roman" w:eastAsia="宋体" w:cs="Times New Roman"/>
                <w:sz w:val="20"/>
                <w:szCs w:val="20"/>
                <w:highlight w:val="none"/>
                <w:lang w:val="en-US" w:eastAsia="zh-CN"/>
              </w:rPr>
              <w:t>进深不小于8米的原料棚</w:t>
            </w:r>
            <w:r>
              <w:rPr>
                <w:rFonts w:hint="eastAsia" w:ascii="Times New Roman" w:eastAsia="宋体" w:cs="Times New Roman"/>
                <w:sz w:val="20"/>
                <w:szCs w:val="20"/>
                <w:highlight w:val="none"/>
              </w:rPr>
              <w:t>，</w:t>
            </w:r>
            <w:r>
              <w:rPr>
                <w:rFonts w:hint="eastAsia" w:ascii="Times New Roman" w:eastAsia="宋体" w:cs="Times New Roman"/>
                <w:sz w:val="20"/>
                <w:szCs w:val="20"/>
                <w:highlight w:val="none"/>
                <w:lang w:val="en-US" w:eastAsia="zh-CN"/>
              </w:rPr>
              <w:t>鄂破受料仓位于原料棚内，受料仓上方设喷雾抑尘装置</w:t>
            </w:r>
            <w:r>
              <w:rPr>
                <w:rFonts w:hint="default" w:ascii="Times New Roman" w:hAnsi="Times New Roman" w:eastAsia="宋体" w:cs="Times New Roman"/>
                <w:spacing w:val="10"/>
                <w:sz w:val="20"/>
                <w:szCs w:val="20"/>
                <w:highlight w:val="none"/>
              </w:rPr>
              <w:t>物料转运设置封闭的皮带通廊，</w:t>
            </w:r>
            <w:r>
              <w:rPr>
                <w:rFonts w:hint="eastAsia" w:ascii="Times New Roman" w:hAnsi="Times New Roman" w:eastAsia="宋体" w:cs="Times New Roman"/>
                <w:spacing w:val="10"/>
                <w:sz w:val="20"/>
                <w:szCs w:val="20"/>
                <w:highlight w:val="none"/>
                <w:lang w:val="en-US" w:eastAsia="zh-CN"/>
              </w:rPr>
              <w:t>新建生产车间</w:t>
            </w:r>
            <w:r>
              <w:rPr>
                <w:rFonts w:hint="eastAsia" w:ascii="Times New Roman" w:hAnsi="Times New Roman" w:eastAsia="宋体" w:cs="Times New Roman"/>
                <w:spacing w:val="9"/>
                <w:sz w:val="20"/>
                <w:szCs w:val="20"/>
                <w:highlight w:val="none"/>
                <w:lang w:val="en-US" w:eastAsia="zh-CN"/>
              </w:rPr>
              <w:t>为全封闭结构，</w:t>
            </w:r>
            <w:r>
              <w:rPr>
                <w:rFonts w:hint="default" w:ascii="Times New Roman" w:hAnsi="Times New Roman" w:eastAsia="宋体" w:cs="Times New Roman"/>
                <w:spacing w:val="9"/>
                <w:sz w:val="20"/>
                <w:szCs w:val="20"/>
                <w:highlight w:val="none"/>
              </w:rPr>
              <w:t>内均设置喷雾抑尘装置，喷雾面积覆盖整个</w:t>
            </w:r>
            <w:r>
              <w:rPr>
                <w:rFonts w:hint="eastAsia" w:ascii="Times New Roman" w:hAnsi="Times New Roman" w:eastAsia="宋体" w:cs="Times New Roman"/>
                <w:spacing w:val="9"/>
                <w:sz w:val="20"/>
                <w:szCs w:val="20"/>
                <w:highlight w:val="none"/>
                <w:lang w:val="en-US" w:eastAsia="zh-CN"/>
              </w:rPr>
              <w:t>车间</w:t>
            </w:r>
            <w:r>
              <w:rPr>
                <w:rFonts w:hint="default" w:ascii="Times New Roman" w:hAnsi="Times New Roman" w:eastAsia="宋体" w:cs="Times New Roman"/>
                <w:spacing w:val="9"/>
                <w:sz w:val="20"/>
                <w:szCs w:val="20"/>
                <w:highlight w:val="none"/>
              </w:rPr>
              <w:t>；</w:t>
            </w:r>
          </w:p>
          <w:p>
            <w:pPr>
              <w:spacing w:before="47" w:line="293" w:lineRule="auto"/>
              <w:ind w:left="104" w:right="19" w:hanging="1"/>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②</w:t>
            </w:r>
            <w:r>
              <w:rPr>
                <w:rFonts w:hint="eastAsia" w:ascii="Times New Roman" w:hAnsi="Times New Roman" w:eastAsia="宋体" w:cs="Times New Roman"/>
                <w:spacing w:val="12"/>
                <w:sz w:val="20"/>
                <w:szCs w:val="20"/>
                <w:highlight w:val="none"/>
                <w:lang w:val="en-US" w:eastAsia="zh-CN"/>
              </w:rPr>
              <w:t>新建7</w:t>
            </w:r>
            <w:r>
              <w:rPr>
                <w:rFonts w:hint="default" w:ascii="Times New Roman" w:hAnsi="Times New Roman" w:eastAsia="宋体" w:cs="Times New Roman"/>
                <w:spacing w:val="12"/>
                <w:sz w:val="20"/>
                <w:szCs w:val="20"/>
                <w:highlight w:val="none"/>
              </w:rPr>
              <w:t>#生产线的所有产尘节点通过集气罩、集尘管方式引入1套离线脉冲布袋除尘器进行处理，风量为</w:t>
            </w:r>
            <w:r>
              <w:rPr>
                <w:rFonts w:hint="eastAsia" w:ascii="Times New Roman" w:hAnsi="Times New Roman" w:eastAsia="宋体" w:cs="Times New Roman"/>
                <w:spacing w:val="12"/>
                <w:sz w:val="20"/>
                <w:szCs w:val="20"/>
                <w:highlight w:val="none"/>
                <w:lang w:eastAsia="zh-CN"/>
              </w:rPr>
              <w:t>：</w:t>
            </w:r>
            <w:r>
              <w:rPr>
                <w:rFonts w:hint="default" w:ascii="Times New Roman" w:hAnsi="Times New Roman" w:eastAsia="宋体" w:cs="Times New Roman"/>
                <w:spacing w:val="12"/>
                <w:sz w:val="20"/>
                <w:szCs w:val="20"/>
                <w:highlight w:val="none"/>
              </w:rPr>
              <w:t>40000m</w:t>
            </w:r>
            <w:r>
              <w:rPr>
                <w:rFonts w:hint="default" w:ascii="Times New Roman" w:hAnsi="Times New Roman" w:eastAsia="宋体" w:cs="Times New Roman"/>
                <w:spacing w:val="12"/>
                <w:sz w:val="20"/>
                <w:szCs w:val="20"/>
                <w:highlight w:val="none"/>
                <w:vertAlign w:val="superscript"/>
              </w:rPr>
              <w:t>3</w:t>
            </w:r>
            <w:r>
              <w:rPr>
                <w:rFonts w:hint="default" w:ascii="Times New Roman" w:hAnsi="Times New Roman" w:eastAsia="宋体" w:cs="Times New Roman"/>
                <w:spacing w:val="12"/>
                <w:sz w:val="20"/>
                <w:szCs w:val="20"/>
                <w:highlight w:val="none"/>
              </w:rPr>
              <w:t>/h</w:t>
            </w:r>
            <w:r>
              <w:rPr>
                <w:rFonts w:hint="eastAsia" w:ascii="Times New Roman" w:hAnsi="Times New Roman" w:eastAsia="宋体" w:cs="Times New Roman"/>
                <w:spacing w:val="12"/>
                <w:sz w:val="20"/>
                <w:szCs w:val="20"/>
                <w:highlight w:val="none"/>
                <w:lang w:eastAsia="zh-CN"/>
              </w:rPr>
              <w:t>，</w:t>
            </w:r>
            <w:r>
              <w:rPr>
                <w:rFonts w:hint="default" w:ascii="Times New Roman" w:hAnsi="Times New Roman" w:eastAsia="宋体" w:cs="Times New Roman"/>
                <w:spacing w:val="12"/>
                <w:sz w:val="20"/>
                <w:szCs w:val="20"/>
                <w:highlight w:val="none"/>
              </w:rPr>
              <w:t>废气处理后通过1根19m高排气筒排放</w:t>
            </w:r>
            <w:r>
              <w:rPr>
                <w:rFonts w:hint="default" w:ascii="Times New Roman" w:hAnsi="Times New Roman" w:eastAsia="宋体" w:cs="Times New Roman"/>
                <w:spacing w:val="6"/>
                <w:sz w:val="20"/>
                <w:szCs w:val="20"/>
                <w:highlight w:val="none"/>
              </w:rPr>
              <w:t>；</w:t>
            </w:r>
          </w:p>
          <w:p>
            <w:pPr>
              <w:spacing w:before="53" w:line="281" w:lineRule="auto"/>
              <w:ind w:left="105" w:right="99" w:hanging="1"/>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3"/>
                <w:sz w:val="20"/>
                <w:szCs w:val="20"/>
                <w:highlight w:val="none"/>
              </w:rPr>
              <w:t>③</w:t>
            </w:r>
            <w:r>
              <w:rPr>
                <w:rFonts w:hint="default" w:ascii="Times New Roman" w:hAnsi="Times New Roman" w:eastAsia="宋体" w:cs="Times New Roman"/>
                <w:spacing w:val="10"/>
                <w:sz w:val="20"/>
                <w:szCs w:val="20"/>
                <w:highlight w:val="none"/>
              </w:rPr>
              <w:t>厂区出入口设</w:t>
            </w:r>
            <w:r>
              <w:rPr>
                <w:rFonts w:hint="eastAsia" w:ascii="Times New Roman" w:hAnsi="Times New Roman" w:eastAsia="宋体" w:cs="Times New Roman"/>
                <w:spacing w:val="10"/>
                <w:sz w:val="20"/>
                <w:szCs w:val="20"/>
                <w:highlight w:val="none"/>
                <w:lang w:val="en-US" w:eastAsia="zh-CN"/>
              </w:rPr>
              <w:t>有</w:t>
            </w:r>
            <w:r>
              <w:rPr>
                <w:rFonts w:hint="default" w:ascii="Times New Roman" w:hAnsi="Times New Roman" w:eastAsia="宋体" w:cs="Times New Roman"/>
                <w:spacing w:val="10"/>
                <w:sz w:val="20"/>
                <w:szCs w:val="20"/>
                <w:highlight w:val="none"/>
              </w:rPr>
              <w:t>洗车平台，包括沉淀池、清水池和洗车台。设置 红外控制全自动洗车台 1 座，该洗车台包括清洗区、设置在清洗区 两侧的挡墙。排水沟设置在清洗区的中央位置且其底部连通沉淀 池，排水沟顶部设置有防护篦，保证水流及时进入排水沟，避免车 辆陷入排水沟中无法开出。喷水管通过支撑钢架安装在挡墙上，且 该喷水管上安装有朝向清洗区的喷嘴，利用多方位高压水对车轮及车身进行高压冲洗。清洗废水由排水管进入沉淀池，沉淀后进入清 水池循环使用。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 w:hRule="atLeast"/>
        </w:trPr>
        <w:tc>
          <w:tcPr>
            <w:tcW w:w="691" w:type="dxa"/>
            <w:vMerge w:val="continue"/>
            <w:tcBorders>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623" w:type="dxa"/>
            <w:tcBorders>
              <w:top w:val="single" w:color="auto" w:sz="4" w:space="0"/>
              <w:left w:val="single" w:color="000000" w:sz="4" w:space="0"/>
              <w:right w:val="single" w:color="000000" w:sz="4" w:space="0"/>
            </w:tcBorders>
            <w:vAlign w:val="top"/>
          </w:tcPr>
          <w:p>
            <w:pPr>
              <w:spacing w:before="232" w:line="322" w:lineRule="exact"/>
              <w:ind w:left="14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position w:val="8"/>
                <w:sz w:val="20"/>
                <w:szCs w:val="20"/>
                <w:highlight w:val="none"/>
                <w14:textOutline w14:w="3795" w14:cap="sq" w14:cmpd="sng">
                  <w14:solidFill>
                    <w14:srgbClr w14:val="000000"/>
                  </w14:solidFill>
                  <w14:prstDash w14:val="solid"/>
                  <w14:bevel/>
                </w14:textOutline>
              </w:rPr>
              <w:t>废水</w:t>
            </w:r>
          </w:p>
          <w:p>
            <w:pPr>
              <w:spacing w:line="229" w:lineRule="auto"/>
              <w:ind w:left="1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污染</w:t>
            </w:r>
          </w:p>
          <w:p>
            <w:pPr>
              <w:spacing w:before="70" w:line="233" w:lineRule="auto"/>
              <w:ind w:left="15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治</w:t>
            </w:r>
            <w:r>
              <w:rPr>
                <w:rFonts w:hint="default" w:ascii="Times New Roman" w:hAnsi="Times New Roman" w:eastAsia="宋体" w:cs="Times New Roman"/>
                <w:spacing w:val="3"/>
                <w:sz w:val="20"/>
                <w:szCs w:val="20"/>
                <w:highlight w:val="none"/>
                <w14:textOutline w14:w="3795" w14:cap="sq" w14:cmpd="sng">
                  <w14:solidFill>
                    <w14:srgbClr w14:val="000000"/>
                  </w14:solidFill>
                  <w14:prstDash w14:val="solid"/>
                  <w14:bevel/>
                </w14:textOutline>
              </w:rPr>
              <w:t>理</w:t>
            </w:r>
          </w:p>
        </w:tc>
        <w:tc>
          <w:tcPr>
            <w:tcW w:w="954" w:type="dxa"/>
            <w:tcBorders>
              <w:left w:val="single" w:color="000000" w:sz="4" w:space="0"/>
              <w:right w:val="single" w:color="000000" w:sz="4" w:space="0"/>
            </w:tcBorders>
            <w:vAlign w:val="center"/>
          </w:tcPr>
          <w:p>
            <w:pPr>
              <w:spacing w:before="225" w:line="229" w:lineRule="auto"/>
              <w:ind w:left="104"/>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运</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营期</w:t>
            </w:r>
          </w:p>
        </w:tc>
        <w:tc>
          <w:tcPr>
            <w:tcW w:w="6231" w:type="dxa"/>
            <w:tcBorders>
              <w:left w:val="single" w:color="000000" w:sz="4" w:space="0"/>
              <w:right w:val="single" w:color="000000" w:sz="10" w:space="0"/>
            </w:tcBorders>
            <w:vAlign w:val="center"/>
          </w:tcPr>
          <w:p>
            <w:pPr>
              <w:pStyle w:val="10"/>
              <w:rPr>
                <w:rFonts w:hint="default"/>
                <w:highlight w:val="none"/>
                <w:lang w:val="en-US"/>
              </w:rPr>
            </w:pPr>
            <w:r>
              <w:rPr>
                <w:rFonts w:hint="eastAsia" w:ascii="Times New Roman" w:hAnsi="Times New Roman" w:eastAsia="宋体" w:cs="Times New Roman"/>
                <w:snapToGrid w:val="0"/>
                <w:color w:val="000000"/>
                <w:spacing w:val="7"/>
                <w:kern w:val="0"/>
                <w:sz w:val="20"/>
                <w:szCs w:val="20"/>
                <w:highlight w:val="none"/>
                <w:lang w:val="en-US" w:eastAsia="zh-CN"/>
              </w:rPr>
              <w:t>本项目实施后新增选矿废水通过厂区现有</w:t>
            </w:r>
            <w:r>
              <w:rPr>
                <w:rFonts w:hint="default" w:ascii="Times New Roman" w:hAnsi="Times New Roman" w:eastAsia="宋体" w:cs="Times New Roman"/>
                <w:snapToGrid w:val="0"/>
                <w:color w:val="000000"/>
                <w:spacing w:val="7"/>
                <w:kern w:val="0"/>
                <w:sz w:val="20"/>
                <w:szCs w:val="20"/>
                <w:highlight w:val="none"/>
              </w:rPr>
              <w:t>浓密池</w:t>
            </w:r>
            <w:r>
              <w:rPr>
                <w:rFonts w:hint="eastAsia" w:ascii="Times New Roman" w:hAnsi="Times New Roman" w:eastAsia="宋体" w:cs="Times New Roman"/>
                <w:snapToGrid w:val="0"/>
                <w:color w:val="000000"/>
                <w:spacing w:val="7"/>
                <w:kern w:val="0"/>
                <w:sz w:val="20"/>
                <w:szCs w:val="20"/>
                <w:highlight w:val="none"/>
                <w:lang w:val="en-US" w:eastAsia="zh-CN"/>
              </w:rPr>
              <w:t>进行处理后回用于生产</w:t>
            </w:r>
            <w:r>
              <w:rPr>
                <w:rFonts w:hint="eastAsia" w:ascii="Times New Roman" w:hAnsi="Times New Roman" w:eastAsia="宋体" w:cs="Times New Roman"/>
                <w:snapToGrid w:val="0"/>
                <w:color w:val="000000"/>
                <w:spacing w:val="7"/>
                <w:kern w:val="0"/>
                <w:sz w:val="20"/>
                <w:szCs w:val="20"/>
                <w:highlight w:val="none"/>
                <w:lang w:eastAsia="zh-CN"/>
              </w:rPr>
              <w:t>、</w:t>
            </w:r>
            <w:r>
              <w:rPr>
                <w:rFonts w:hint="eastAsia" w:ascii="Times New Roman" w:hAnsi="Times New Roman" w:eastAsia="宋体" w:cs="Times New Roman"/>
                <w:snapToGrid w:val="0"/>
                <w:color w:val="000000"/>
                <w:spacing w:val="7"/>
                <w:kern w:val="0"/>
                <w:sz w:val="20"/>
                <w:szCs w:val="20"/>
                <w:highlight w:val="none"/>
                <w:lang w:val="en-US" w:eastAsia="zh-CN"/>
              </w:rPr>
              <w:t>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691" w:type="dxa"/>
            <w:vMerge w:val="continue"/>
            <w:tcBorders>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623" w:type="dxa"/>
            <w:tcBorders>
              <w:left w:val="single" w:color="000000" w:sz="4" w:space="0"/>
              <w:bottom w:val="single" w:color="auto" w:sz="4" w:space="0"/>
              <w:right w:val="single" w:color="000000" w:sz="4" w:space="0"/>
            </w:tcBorders>
            <w:vAlign w:val="top"/>
          </w:tcPr>
          <w:p>
            <w:pPr>
              <w:spacing w:before="88" w:line="320" w:lineRule="exact"/>
              <w:ind w:left="15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position w:val="8"/>
                <w:sz w:val="20"/>
                <w:szCs w:val="20"/>
                <w:highlight w:val="none"/>
                <w14:textOutline w14:w="3795" w14:cap="sq" w14:cmpd="sng">
                  <w14:solidFill>
                    <w14:srgbClr w14:val="000000"/>
                  </w14:solidFill>
                  <w14:prstDash w14:val="solid"/>
                  <w14:bevel/>
                </w14:textOutline>
              </w:rPr>
              <w:t>噪声</w:t>
            </w:r>
          </w:p>
          <w:p>
            <w:pPr>
              <w:spacing w:line="229" w:lineRule="auto"/>
              <w:ind w:left="16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14:textOutline w14:w="3795" w14:cap="sq" w14:cmpd="sng">
                  <w14:solidFill>
                    <w14:srgbClr w14:val="000000"/>
                  </w14:solidFill>
                  <w14:prstDash w14:val="solid"/>
                  <w14:bevel/>
                </w14:textOutline>
              </w:rPr>
              <w:t>防治</w:t>
            </w:r>
          </w:p>
        </w:tc>
        <w:tc>
          <w:tcPr>
            <w:tcW w:w="954" w:type="dxa"/>
            <w:tcBorders>
              <w:left w:val="single" w:color="000000" w:sz="4" w:space="0"/>
              <w:right w:val="single" w:color="000000" w:sz="4" w:space="0"/>
            </w:tcBorders>
            <w:vAlign w:val="center"/>
          </w:tcPr>
          <w:p>
            <w:pPr>
              <w:spacing w:before="80" w:line="229" w:lineRule="auto"/>
              <w:ind w:left="104"/>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运</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营期</w:t>
            </w:r>
          </w:p>
        </w:tc>
        <w:tc>
          <w:tcPr>
            <w:tcW w:w="6231" w:type="dxa"/>
            <w:tcBorders>
              <w:left w:val="single" w:color="000000" w:sz="4" w:space="0"/>
              <w:right w:val="single" w:color="000000" w:sz="10" w:space="0"/>
            </w:tcBorders>
            <w:vAlign w:val="center"/>
          </w:tcPr>
          <w:p>
            <w:pPr>
              <w:spacing w:before="80" w:line="228" w:lineRule="auto"/>
              <w:ind w:left="103"/>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8"/>
                <w:sz w:val="20"/>
                <w:szCs w:val="20"/>
                <w:highlight w:val="none"/>
              </w:rPr>
              <w:t>将</w:t>
            </w:r>
            <w:r>
              <w:rPr>
                <w:rFonts w:hint="default" w:ascii="Times New Roman" w:hAnsi="Times New Roman" w:eastAsia="宋体" w:cs="Times New Roman"/>
                <w:spacing w:val="15"/>
                <w:sz w:val="20"/>
                <w:szCs w:val="20"/>
                <w:highlight w:val="none"/>
              </w:rPr>
              <w:t>各</w:t>
            </w:r>
            <w:r>
              <w:rPr>
                <w:rFonts w:hint="default" w:ascii="Times New Roman" w:hAnsi="Times New Roman" w:eastAsia="宋体" w:cs="Times New Roman"/>
                <w:spacing w:val="9"/>
                <w:sz w:val="20"/>
                <w:szCs w:val="20"/>
                <w:highlight w:val="none"/>
              </w:rPr>
              <w:t>生产设备置于封闭的厂房内，设备加装减振基础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0" w:hRule="atLeast"/>
        </w:trPr>
        <w:tc>
          <w:tcPr>
            <w:tcW w:w="691" w:type="dxa"/>
            <w:vMerge w:val="continue"/>
            <w:tcBorders>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623" w:type="dxa"/>
            <w:tcBorders>
              <w:top w:val="single" w:color="auto" w:sz="4" w:space="0"/>
              <w:left w:val="single" w:color="000000" w:sz="4" w:space="0"/>
              <w:bottom w:val="single" w:color="auto" w:sz="4" w:space="0"/>
              <w:right w:val="single" w:color="000000" w:sz="4" w:space="0"/>
            </w:tcBorders>
            <w:vAlign w:val="top"/>
          </w:tcPr>
          <w:p>
            <w:pPr>
              <w:spacing w:line="244" w:lineRule="auto"/>
              <w:rPr>
                <w:rFonts w:hint="default" w:ascii="Times New Roman" w:hAnsi="Times New Roman" w:cs="Times New Roman"/>
                <w:sz w:val="21"/>
                <w:highlight w:val="none"/>
              </w:rPr>
            </w:pPr>
          </w:p>
          <w:p>
            <w:pPr>
              <w:spacing w:line="244" w:lineRule="auto"/>
              <w:rPr>
                <w:rFonts w:hint="default" w:ascii="Times New Roman" w:hAnsi="Times New Roman" w:cs="Times New Roman"/>
                <w:sz w:val="21"/>
                <w:highlight w:val="none"/>
              </w:rPr>
            </w:pPr>
          </w:p>
          <w:p>
            <w:pPr>
              <w:spacing w:before="65" w:line="319" w:lineRule="exact"/>
              <w:ind w:left="1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position w:val="8"/>
                <w:sz w:val="20"/>
                <w:szCs w:val="20"/>
                <w:highlight w:val="none"/>
                <w14:textOutline w14:w="3795" w14:cap="sq" w14:cmpd="sng">
                  <w14:solidFill>
                    <w14:srgbClr w14:val="000000"/>
                  </w14:solidFill>
                  <w14:prstDash w14:val="solid"/>
                  <w14:bevel/>
                </w14:textOutline>
              </w:rPr>
              <w:t>固废</w:t>
            </w:r>
          </w:p>
          <w:p>
            <w:pPr>
              <w:spacing w:line="232" w:lineRule="auto"/>
              <w:ind w:left="15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14:textOutline w14:w="3795" w14:cap="sq" w14:cmpd="sng">
                  <w14:solidFill>
                    <w14:srgbClr w14:val="000000"/>
                  </w14:solidFill>
                  <w14:prstDash w14:val="solid"/>
                  <w14:bevel/>
                </w14:textOutline>
              </w:rPr>
              <w:t>处</w:t>
            </w:r>
            <w:r>
              <w:rPr>
                <w:rFonts w:hint="default" w:ascii="Times New Roman" w:hAnsi="Times New Roman" w:eastAsia="宋体" w:cs="Times New Roman"/>
                <w:spacing w:val="3"/>
                <w:sz w:val="20"/>
                <w:szCs w:val="20"/>
                <w:highlight w:val="none"/>
                <w14:textOutline w14:w="3795" w14:cap="sq" w14:cmpd="sng">
                  <w14:solidFill>
                    <w14:srgbClr w14:val="000000"/>
                  </w14:solidFill>
                  <w14:prstDash w14:val="solid"/>
                  <w14:bevel/>
                </w14:textOutline>
              </w:rPr>
              <w:t>理</w:t>
            </w:r>
          </w:p>
        </w:tc>
        <w:tc>
          <w:tcPr>
            <w:tcW w:w="954" w:type="dxa"/>
            <w:tcBorders>
              <w:left w:val="single" w:color="000000" w:sz="4" w:space="0"/>
              <w:right w:val="single" w:color="000000" w:sz="4" w:space="0"/>
            </w:tcBorders>
            <w:vAlign w:val="top"/>
          </w:tcPr>
          <w:p>
            <w:pPr>
              <w:spacing w:line="270" w:lineRule="auto"/>
              <w:rPr>
                <w:rFonts w:hint="default" w:ascii="Times New Roman" w:hAnsi="Times New Roman" w:cs="Times New Roman"/>
                <w:sz w:val="21"/>
                <w:highlight w:val="none"/>
              </w:rPr>
            </w:pPr>
          </w:p>
          <w:p>
            <w:pPr>
              <w:spacing w:line="270" w:lineRule="auto"/>
              <w:rPr>
                <w:rFonts w:hint="default" w:ascii="Times New Roman" w:hAnsi="Times New Roman" w:cs="Times New Roman"/>
                <w:sz w:val="21"/>
                <w:highlight w:val="none"/>
              </w:rPr>
            </w:pPr>
          </w:p>
          <w:p>
            <w:pPr>
              <w:spacing w:before="65" w:line="229" w:lineRule="auto"/>
              <w:ind w:left="10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运</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营期</w:t>
            </w:r>
          </w:p>
        </w:tc>
        <w:tc>
          <w:tcPr>
            <w:tcW w:w="6231" w:type="dxa"/>
            <w:tcBorders>
              <w:left w:val="single" w:color="000000" w:sz="4" w:space="0"/>
              <w:right w:val="single" w:color="000000" w:sz="10" w:space="0"/>
            </w:tcBorders>
            <w:vAlign w:val="top"/>
          </w:tcPr>
          <w:p>
            <w:pPr>
              <w:spacing w:before="83" w:line="295" w:lineRule="auto"/>
              <w:ind w:left="107" w:right="7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14:textOutline w14:w="3795" w14:cap="sq" w14:cmpd="sng">
                  <w14:solidFill>
                    <w14:srgbClr w14:val="000000"/>
                  </w14:solidFill>
                  <w14:prstDash w14:val="solid"/>
                  <w14:bevel/>
                </w14:textOutline>
              </w:rPr>
              <w:t>危</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险固废</w:t>
            </w:r>
            <w:r>
              <w:rPr>
                <w:rFonts w:hint="default" w:ascii="Times New Roman" w:hAnsi="Times New Roman" w:eastAsia="宋体" w:cs="Times New Roman"/>
                <w:spacing w:val="8"/>
                <w:sz w:val="20"/>
                <w:szCs w:val="20"/>
                <w:highlight w:val="none"/>
              </w:rPr>
              <w:t>：生产设备在机修过程会产生废矿物油暂存于危废间内，</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2"/>
                <w:sz w:val="20"/>
                <w:szCs w:val="20"/>
                <w:highlight w:val="none"/>
              </w:rPr>
              <w:t>由</w:t>
            </w:r>
            <w:r>
              <w:rPr>
                <w:rFonts w:hint="default" w:ascii="Times New Roman" w:hAnsi="Times New Roman" w:eastAsia="宋体" w:cs="Times New Roman"/>
                <w:spacing w:val="7"/>
                <w:sz w:val="20"/>
                <w:szCs w:val="20"/>
                <w:highlight w:val="none"/>
              </w:rPr>
              <w:t>有资质的单位处理，废油桶暂存于危废间，由厂家定期回收。</w:t>
            </w:r>
            <w:r>
              <w:rPr>
                <w:rFonts w:hint="default" w:ascii="Times New Roman" w:hAnsi="Times New Roman" w:eastAsia="宋体" w:cs="Times New Roman"/>
                <w:spacing w:val="11"/>
                <w:sz w:val="20"/>
                <w:szCs w:val="20"/>
                <w:highlight w:val="none"/>
              </w:rPr>
              <w:t>危废间按照要求进行</w:t>
            </w:r>
            <w:r>
              <w:rPr>
                <w:rFonts w:hint="eastAsia" w:ascii="Times New Roman" w:hAnsi="Times New Roman" w:eastAsia="宋体" w:cs="Times New Roman"/>
                <w:spacing w:val="11"/>
                <w:sz w:val="20"/>
                <w:szCs w:val="20"/>
                <w:highlight w:val="none"/>
                <w:lang w:val="en-US" w:eastAsia="zh-CN"/>
              </w:rPr>
              <w:t>了</w:t>
            </w:r>
            <w:r>
              <w:rPr>
                <w:rFonts w:hint="default" w:ascii="Times New Roman" w:hAnsi="Times New Roman" w:eastAsia="宋体" w:cs="Times New Roman"/>
                <w:spacing w:val="11"/>
                <w:sz w:val="20"/>
                <w:szCs w:val="20"/>
                <w:highlight w:val="none"/>
              </w:rPr>
              <w:t>防渗处</w:t>
            </w:r>
            <w:r>
              <w:rPr>
                <w:rFonts w:hint="default" w:ascii="Times New Roman" w:hAnsi="Times New Roman" w:eastAsia="宋体" w:cs="Times New Roman"/>
                <w:spacing w:val="-1"/>
                <w:sz w:val="20"/>
                <w:szCs w:val="20"/>
                <w:highlight w:val="none"/>
              </w:rPr>
              <w:t>理。</w:t>
            </w:r>
          </w:p>
          <w:p>
            <w:pPr>
              <w:spacing w:line="263" w:lineRule="auto"/>
              <w:ind w:left="108" w:right="9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4"/>
                <w:sz w:val="20"/>
                <w:szCs w:val="20"/>
                <w:highlight w:val="none"/>
                <w14:textOutline w14:w="3795" w14:cap="sq" w14:cmpd="sng">
                  <w14:solidFill>
                    <w14:srgbClr w14:val="000000"/>
                  </w14:solidFill>
                  <w14:prstDash w14:val="solid"/>
                  <w14:bevel/>
                </w14:textOutline>
              </w:rPr>
              <w:t>一</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般固废</w:t>
            </w:r>
            <w:r>
              <w:rPr>
                <w:rFonts w:hint="default" w:ascii="Times New Roman" w:hAnsi="Times New Roman" w:eastAsia="宋体"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尾矿砂、泥饼</w:t>
            </w:r>
            <w:r>
              <w:rPr>
                <w:rFonts w:hint="default" w:ascii="Times New Roman" w:hAnsi="Times New Roman" w:eastAsia="宋体" w:cs="Times New Roman"/>
                <w:spacing w:val="7"/>
                <w:sz w:val="20"/>
                <w:szCs w:val="20"/>
                <w:highlight w:val="none"/>
              </w:rPr>
              <w:t>作为建筑材料</w:t>
            </w:r>
            <w:r>
              <w:rPr>
                <w:rFonts w:hint="default" w:ascii="Times New Roman" w:hAnsi="Times New Roman" w:eastAsia="宋体" w:cs="Times New Roman"/>
                <w:spacing w:val="2"/>
                <w:sz w:val="20"/>
                <w:szCs w:val="20"/>
                <w:highlight w:val="none"/>
              </w:rPr>
              <w:t>外售</w:t>
            </w:r>
            <w:r>
              <w:rPr>
                <w:rFonts w:hint="eastAsia" w:ascii="Times New Roman" w:hAnsi="Times New Roman" w:eastAsia="宋体" w:cs="Times New Roman"/>
                <w:spacing w:val="2"/>
                <w:sz w:val="20"/>
                <w:szCs w:val="20"/>
                <w:highlight w:val="none"/>
                <w:lang w:val="en-US" w:eastAsia="zh-CN"/>
              </w:rPr>
              <w:t>，废钢球外售废品回收单位</w:t>
            </w:r>
            <w:r>
              <w:rPr>
                <w:rFonts w:hint="default" w:ascii="Times New Roman" w:hAnsi="Times New Roman" w:eastAsia="宋体" w:cs="Times New Roman"/>
                <w:spacing w:val="1"/>
                <w:sz w:val="20"/>
                <w:szCs w:val="20"/>
                <w:highlight w:val="none"/>
              </w:rPr>
              <w:t>。</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eastAsia" w:ascii="Times New Roman" w:hAnsi="Times New Roman" w:eastAsia="宋体" w:cs="Times New Roman"/>
          <w:spacing w:val="4"/>
          <w:sz w:val="23"/>
          <w:szCs w:val="23"/>
          <w:highlight w:val="none"/>
          <w:lang w:val="en-US" w:eastAsia="zh-CN"/>
        </w:rPr>
        <w:t>改扩建工程新增</w:t>
      </w:r>
      <w:r>
        <w:rPr>
          <w:rFonts w:hint="default" w:ascii="Times New Roman" w:hAnsi="Times New Roman" w:eastAsia="宋体" w:cs="Times New Roman"/>
          <w:spacing w:val="4"/>
          <w:sz w:val="23"/>
          <w:szCs w:val="23"/>
          <w:highlight w:val="none"/>
          <w:lang w:val="en-US" w:eastAsia="zh-CN"/>
        </w:rPr>
        <w:t>主要建构筑物一览表见表 3.</w:t>
      </w:r>
      <w:r>
        <w:rPr>
          <w:rFonts w:hint="eastAsia" w:ascii="Times New Roman" w:hAnsi="Times New Roman" w:eastAsia="宋体" w:cs="Times New Roman"/>
          <w:spacing w:val="4"/>
          <w:sz w:val="23"/>
          <w:szCs w:val="23"/>
          <w:highlight w:val="none"/>
          <w:lang w:val="en-US" w:eastAsia="zh-CN"/>
        </w:rPr>
        <w:t>2</w:t>
      </w:r>
      <w:r>
        <w:rPr>
          <w:rFonts w:hint="default" w:ascii="Times New Roman" w:hAnsi="Times New Roman" w:eastAsia="宋体" w:cs="Times New Roman"/>
          <w:spacing w:val="4"/>
          <w:sz w:val="23"/>
          <w:szCs w:val="23"/>
          <w:highlight w:val="none"/>
          <w:lang w:val="en-US" w:eastAsia="zh-CN"/>
        </w:rPr>
        <w:t>-2</w:t>
      </w:r>
      <w:r>
        <w:rPr>
          <w:rFonts w:hint="eastAsia" w:ascii="Times New Roman" w:hAnsi="Times New Roman" w:eastAsia="宋体" w:cs="Times New Roman"/>
          <w:spacing w:val="4"/>
          <w:sz w:val="23"/>
          <w:szCs w:val="23"/>
          <w:highlight w:val="none"/>
          <w:lang w:val="en-US" w:eastAsia="zh-CN"/>
        </w:rPr>
        <w:t>，改扩建工程实施后全厂</w:t>
      </w:r>
      <w:r>
        <w:rPr>
          <w:rFonts w:hint="default" w:ascii="Times New Roman" w:hAnsi="Times New Roman" w:eastAsia="宋体" w:cs="Times New Roman"/>
          <w:spacing w:val="4"/>
          <w:sz w:val="23"/>
          <w:szCs w:val="23"/>
          <w:highlight w:val="none"/>
          <w:lang w:val="en-US" w:eastAsia="zh-CN"/>
        </w:rPr>
        <w:t>主要建构筑物一览表见表 3.</w:t>
      </w:r>
      <w:r>
        <w:rPr>
          <w:rFonts w:hint="eastAsia" w:ascii="Times New Roman" w:hAnsi="Times New Roman" w:eastAsia="宋体" w:cs="Times New Roman"/>
          <w:spacing w:val="4"/>
          <w:sz w:val="23"/>
          <w:szCs w:val="23"/>
          <w:highlight w:val="none"/>
          <w:lang w:val="en-US" w:eastAsia="zh-CN"/>
        </w:rPr>
        <w:t>2</w:t>
      </w: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3</w:t>
      </w:r>
      <w:r>
        <w:rPr>
          <w:rFonts w:hint="default" w:ascii="Times New Roman" w:hAnsi="Times New Roman" w:eastAsia="宋体" w:cs="Times New Roman"/>
          <w:spacing w:val="4"/>
          <w:sz w:val="23"/>
          <w:szCs w:val="23"/>
          <w:highlight w:val="none"/>
          <w:lang w:val="en-US" w:eastAsia="zh-CN"/>
        </w:rPr>
        <w:t>。</w:t>
      </w:r>
    </w:p>
    <w:p>
      <w:pPr>
        <w:spacing w:before="212" w:line="228" w:lineRule="auto"/>
        <w:ind w:left="2431"/>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b/>
          <w:bCs/>
          <w:spacing w:val="6"/>
          <w:sz w:val="23"/>
          <w:szCs w:val="23"/>
          <w:highlight w:val="none"/>
        </w:rPr>
        <w:t>3</w:t>
      </w:r>
      <w:r>
        <w:rPr>
          <w:rFonts w:hint="default" w:ascii="Times New Roman" w:hAnsi="Times New Roman" w:eastAsia="Times New Roman" w:cs="Times New Roman"/>
          <w:b/>
          <w:bCs/>
          <w:spacing w:val="3"/>
          <w:sz w:val="23"/>
          <w:szCs w:val="23"/>
          <w:highlight w:val="none"/>
        </w:rPr>
        <w:t>.</w:t>
      </w:r>
      <w:r>
        <w:rPr>
          <w:rFonts w:hint="eastAsia" w:ascii="Times New Roman" w:hAnsi="Times New Roman" w:eastAsia="宋体" w:cs="Times New Roman"/>
          <w:b/>
          <w:bCs/>
          <w:spacing w:val="3"/>
          <w:sz w:val="23"/>
          <w:szCs w:val="23"/>
          <w:highlight w:val="none"/>
          <w:lang w:val="en-US" w:eastAsia="zh-CN"/>
        </w:rPr>
        <w:t>2</w:t>
      </w:r>
      <w:r>
        <w:rPr>
          <w:rFonts w:hint="default" w:ascii="Times New Roman" w:hAnsi="Times New Roman" w:eastAsia="Times New Roman" w:cs="Times New Roman"/>
          <w:b/>
          <w:bCs/>
          <w:spacing w:val="3"/>
          <w:sz w:val="23"/>
          <w:szCs w:val="23"/>
          <w:highlight w:val="none"/>
        </w:rPr>
        <w:t>-2</w:t>
      </w:r>
      <w:r>
        <w:rPr>
          <w:rFonts w:hint="default" w:ascii="Times New Roman" w:hAnsi="Times New Roman" w:eastAsia="Times New Roman" w:cs="Times New Roman"/>
          <w:spacing w:val="3"/>
          <w:sz w:val="23"/>
          <w:szCs w:val="23"/>
          <w:highlight w:val="none"/>
        </w:rPr>
        <w:t xml:space="preserve">           </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改扩建工程</w:t>
      </w:r>
      <w:r>
        <w:rPr>
          <w:rFonts w:hint="default"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建</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构筑物一览表</w:t>
      </w:r>
    </w:p>
    <w:p>
      <w:pPr>
        <w:spacing w:line="20" w:lineRule="exact"/>
        <w:rPr>
          <w:rFonts w:hint="default" w:ascii="Times New Roman" w:hAnsi="Times New Roman" w:cs="Times New Roman"/>
          <w:highlight w:val="none"/>
        </w:rPr>
      </w:pPr>
    </w:p>
    <w:tbl>
      <w:tblPr>
        <w:tblStyle w:val="19"/>
        <w:tblW w:w="8417"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2"/>
        <w:gridCol w:w="828"/>
        <w:gridCol w:w="968"/>
        <w:gridCol w:w="984"/>
        <w:gridCol w:w="3651"/>
        <w:gridCol w:w="15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412" w:type="dxa"/>
            <w:tcBorders>
              <w:left w:val="single" w:color="000000" w:sz="10" w:space="0"/>
              <w:right w:val="single" w:color="000000" w:sz="4" w:space="0"/>
            </w:tcBorders>
            <w:textDirection w:val="tbRlV"/>
            <w:vAlign w:val="top"/>
          </w:tcPr>
          <w:p>
            <w:pPr>
              <w:spacing w:before="100" w:line="218" w:lineRule="auto"/>
              <w:ind w:left="1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序</w:t>
            </w:r>
            <w:r>
              <w:rPr>
                <w:rFonts w:hint="default" w:ascii="Times New Roman" w:hAnsi="Times New Roman" w:eastAsia="宋体" w:cs="Times New Roman"/>
                <w:spacing w:val="10"/>
                <w:sz w:val="20"/>
                <w:szCs w:val="20"/>
                <w:highlight w:val="none"/>
              </w:rPr>
              <w:t xml:space="preserve"> 号</w:t>
            </w:r>
          </w:p>
        </w:tc>
        <w:tc>
          <w:tcPr>
            <w:tcW w:w="828" w:type="dxa"/>
            <w:tcBorders>
              <w:left w:val="single" w:color="000000" w:sz="4" w:space="0"/>
              <w:right w:val="single" w:color="000000" w:sz="4" w:space="0"/>
            </w:tcBorders>
            <w:vAlign w:val="top"/>
          </w:tcPr>
          <w:p>
            <w:pPr>
              <w:spacing w:before="261" w:line="231" w:lineRule="auto"/>
              <w:ind w:left="19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名</w:t>
            </w:r>
            <w:r>
              <w:rPr>
                <w:rFonts w:hint="default" w:ascii="Times New Roman" w:hAnsi="Times New Roman" w:eastAsia="宋体" w:cs="Times New Roman"/>
                <w:spacing w:val="3"/>
                <w:sz w:val="20"/>
                <w:szCs w:val="20"/>
                <w:highlight w:val="none"/>
              </w:rPr>
              <w:t>称</w:t>
            </w:r>
          </w:p>
        </w:tc>
        <w:tc>
          <w:tcPr>
            <w:tcW w:w="968" w:type="dxa"/>
            <w:tcBorders>
              <w:left w:val="single" w:color="000000" w:sz="4" w:space="0"/>
              <w:right w:val="single" w:color="000000" w:sz="4" w:space="0"/>
            </w:tcBorders>
            <w:vAlign w:val="top"/>
          </w:tcPr>
          <w:p>
            <w:pPr>
              <w:spacing w:before="99" w:line="267" w:lineRule="auto"/>
              <w:ind w:left="363" w:right="97" w:hanging="285"/>
              <w:rPr>
                <w:rFonts w:hint="default" w:ascii="Times New Roman" w:hAnsi="Times New Roman" w:eastAsia="Times New Roman" w:cs="Times New Roman"/>
                <w:sz w:val="13"/>
                <w:szCs w:val="13"/>
                <w:highlight w:val="none"/>
              </w:rPr>
            </w:pPr>
            <w:r>
              <w:rPr>
                <w:rFonts w:hint="default" w:ascii="Times New Roman" w:hAnsi="Times New Roman" w:eastAsia="宋体" w:cs="Times New Roman"/>
                <w:spacing w:val="-1"/>
                <w:sz w:val="20"/>
                <w:szCs w:val="20"/>
                <w:highlight w:val="none"/>
              </w:rPr>
              <w:t>占地面</w:t>
            </w:r>
            <w:r>
              <w:rPr>
                <w:rFonts w:hint="default" w:ascii="Times New Roman" w:hAnsi="Times New Roman" w:eastAsia="宋体" w:cs="Times New Roman"/>
                <w:sz w:val="20"/>
                <w:szCs w:val="20"/>
                <w:highlight w:val="none"/>
              </w:rPr>
              <w:t xml:space="preserve">积 </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9"/>
                <w:position w:val="3"/>
                <w:sz w:val="13"/>
                <w:szCs w:val="13"/>
                <w:highlight w:val="none"/>
              </w:rPr>
              <w:t>2</w:t>
            </w:r>
          </w:p>
        </w:tc>
        <w:tc>
          <w:tcPr>
            <w:tcW w:w="984" w:type="dxa"/>
            <w:tcBorders>
              <w:left w:val="single" w:color="000000" w:sz="4" w:space="0"/>
              <w:right w:val="single" w:color="000000" w:sz="4" w:space="0"/>
            </w:tcBorders>
            <w:vAlign w:val="top"/>
          </w:tcPr>
          <w:p>
            <w:pPr>
              <w:spacing w:before="99" w:line="267" w:lineRule="auto"/>
              <w:ind w:left="368" w:right="94" w:hanging="319"/>
              <w:rPr>
                <w:rFonts w:hint="default" w:ascii="Times New Roman" w:hAnsi="Times New Roman" w:eastAsia="Times New Roman" w:cs="Times New Roman"/>
                <w:sz w:val="13"/>
                <w:szCs w:val="13"/>
                <w:highlight w:val="none"/>
              </w:rPr>
            </w:pPr>
            <w:r>
              <w:rPr>
                <w:rFonts w:hint="default" w:ascii="Times New Roman" w:hAnsi="Times New Roman" w:eastAsia="宋体" w:cs="Times New Roman"/>
                <w:spacing w:val="8"/>
                <w:sz w:val="20"/>
                <w:szCs w:val="20"/>
                <w:highlight w:val="none"/>
              </w:rPr>
              <w:t>建</w:t>
            </w:r>
            <w:r>
              <w:rPr>
                <w:rFonts w:hint="default" w:ascii="Times New Roman" w:hAnsi="Times New Roman" w:eastAsia="宋体" w:cs="Times New Roman"/>
                <w:spacing w:val="7"/>
                <w:sz w:val="20"/>
                <w:szCs w:val="20"/>
                <w:highlight w:val="none"/>
              </w:rPr>
              <w:t>筑面积</w:t>
            </w: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9"/>
                <w:position w:val="3"/>
                <w:sz w:val="13"/>
                <w:szCs w:val="13"/>
                <w:highlight w:val="none"/>
              </w:rPr>
              <w:t>2</w:t>
            </w:r>
          </w:p>
        </w:tc>
        <w:tc>
          <w:tcPr>
            <w:tcW w:w="3651" w:type="dxa"/>
            <w:tcBorders>
              <w:left w:val="single" w:color="000000" w:sz="4" w:space="0"/>
              <w:right w:val="single" w:color="000000" w:sz="4" w:space="0"/>
            </w:tcBorders>
            <w:vAlign w:val="top"/>
          </w:tcPr>
          <w:p>
            <w:pPr>
              <w:spacing w:before="261" w:line="228" w:lineRule="auto"/>
              <w:ind w:left="124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结构及层高</w:t>
            </w:r>
          </w:p>
        </w:tc>
        <w:tc>
          <w:tcPr>
            <w:tcW w:w="1574" w:type="dxa"/>
            <w:tcBorders>
              <w:left w:val="single" w:color="000000" w:sz="4" w:space="0"/>
              <w:right w:val="single" w:color="000000" w:sz="10" w:space="0"/>
            </w:tcBorders>
            <w:vAlign w:val="top"/>
          </w:tcPr>
          <w:p>
            <w:pPr>
              <w:spacing w:before="261" w:line="230" w:lineRule="auto"/>
              <w:ind w:left="6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12" w:type="dxa"/>
            <w:tcBorders>
              <w:left w:val="single" w:color="000000" w:sz="10" w:space="0"/>
              <w:right w:val="single" w:color="000000" w:sz="4" w:space="0"/>
            </w:tcBorders>
            <w:vAlign w:val="top"/>
          </w:tcPr>
          <w:p>
            <w:pPr>
              <w:spacing w:before="275" w:line="195" w:lineRule="auto"/>
              <w:ind w:left="16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828" w:type="dxa"/>
            <w:tcBorders>
              <w:left w:val="single" w:color="000000" w:sz="4" w:space="0"/>
              <w:right w:val="single" w:color="000000" w:sz="4" w:space="0"/>
            </w:tcBorders>
            <w:vAlign w:val="top"/>
          </w:tcPr>
          <w:p>
            <w:pPr>
              <w:spacing w:before="81" w:line="262" w:lineRule="auto"/>
              <w:ind w:left="310" w:leftChars="0" w:right="97" w:rightChars="0" w:hanging="227" w:firstLineChars="0"/>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5"/>
                <w:sz w:val="20"/>
                <w:szCs w:val="20"/>
                <w:highlight w:val="none"/>
                <w:lang w:val="en-US" w:eastAsia="zh-CN"/>
              </w:rPr>
              <w:t>5</w:t>
            </w:r>
            <w:r>
              <w:rPr>
                <w:rFonts w:hint="default" w:ascii="Times New Roman" w:hAnsi="Times New Roman" w:eastAsia="Times New Roman" w:cs="Times New Roman"/>
                <w:spacing w:val="5"/>
                <w:sz w:val="20"/>
                <w:szCs w:val="20"/>
                <w:highlight w:val="none"/>
              </w:rPr>
              <w:t>#</w:t>
            </w:r>
            <w:r>
              <w:rPr>
                <w:rFonts w:hint="default" w:ascii="Times New Roman" w:hAnsi="Times New Roman" w:eastAsia="宋体" w:cs="Times New Roman"/>
                <w:spacing w:val="5"/>
                <w:sz w:val="20"/>
                <w:szCs w:val="20"/>
                <w:highlight w:val="none"/>
              </w:rPr>
              <w:t>生产</w:t>
            </w:r>
            <w:r>
              <w:rPr>
                <w:rFonts w:hint="default" w:ascii="Times New Roman" w:hAnsi="Times New Roman" w:eastAsia="宋体" w:cs="Times New Roman"/>
                <w:sz w:val="20"/>
                <w:szCs w:val="20"/>
                <w:highlight w:val="none"/>
              </w:rPr>
              <w:t xml:space="preserve"> </w:t>
            </w:r>
            <w:r>
              <w:rPr>
                <w:rFonts w:hint="eastAsia" w:ascii="Times New Roman" w:hAnsi="Times New Roman" w:eastAsia="宋体" w:cs="Times New Roman"/>
                <w:sz w:val="20"/>
                <w:szCs w:val="20"/>
                <w:highlight w:val="none"/>
                <w:lang w:val="en-US" w:eastAsia="zh-CN"/>
              </w:rPr>
              <w:t>车</w:t>
            </w:r>
            <w:r>
              <w:rPr>
                <w:rFonts w:hint="default" w:ascii="Times New Roman" w:hAnsi="Times New Roman" w:eastAsia="宋体" w:cs="Times New Roman"/>
                <w:spacing w:val="3"/>
                <w:sz w:val="20"/>
                <w:szCs w:val="20"/>
                <w:highlight w:val="none"/>
              </w:rPr>
              <w:t>间</w:t>
            </w:r>
          </w:p>
        </w:tc>
        <w:tc>
          <w:tcPr>
            <w:tcW w:w="968" w:type="dxa"/>
            <w:tcBorders>
              <w:left w:val="single" w:color="000000" w:sz="4" w:space="0"/>
              <w:right w:val="single" w:color="000000" w:sz="4" w:space="0"/>
            </w:tcBorders>
            <w:vAlign w:val="top"/>
          </w:tcPr>
          <w:p>
            <w:pPr>
              <w:spacing w:before="278" w:line="195" w:lineRule="auto"/>
              <w:ind w:left="252"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1800</w:t>
            </w:r>
          </w:p>
        </w:tc>
        <w:tc>
          <w:tcPr>
            <w:tcW w:w="984" w:type="dxa"/>
            <w:tcBorders>
              <w:left w:val="single" w:color="000000" w:sz="4" w:space="0"/>
              <w:right w:val="single" w:color="000000" w:sz="4" w:space="0"/>
            </w:tcBorders>
            <w:vAlign w:val="top"/>
          </w:tcPr>
          <w:p>
            <w:pPr>
              <w:spacing w:before="278" w:line="195" w:lineRule="auto"/>
              <w:ind w:left="255"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1800</w:t>
            </w:r>
          </w:p>
        </w:tc>
        <w:tc>
          <w:tcPr>
            <w:tcW w:w="3651" w:type="dxa"/>
            <w:tcBorders>
              <w:left w:val="single" w:color="000000" w:sz="4" w:space="0"/>
              <w:right w:val="single" w:color="000000" w:sz="4" w:space="0"/>
            </w:tcBorders>
            <w:vAlign w:val="top"/>
          </w:tcPr>
          <w:p>
            <w:pPr>
              <w:spacing w:before="51" w:line="276" w:lineRule="auto"/>
              <w:ind w:left="805" w:leftChars="0" w:right="40" w:rightChars="0" w:hanging="737" w:firstLineChars="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2"/>
                <w:sz w:val="20"/>
                <w:szCs w:val="20"/>
                <w:highlight w:val="none"/>
              </w:rPr>
              <w:t xml:space="preserve"> </w:t>
            </w:r>
            <w:r>
              <w:rPr>
                <w:rFonts w:hint="default" w:ascii="Times New Roman" w:hAnsi="Times New Roman" w:eastAsia="宋体" w:cs="Times New Roman"/>
                <w:spacing w:val="2"/>
                <w:sz w:val="20"/>
                <w:szCs w:val="20"/>
                <w:highlight w:val="none"/>
              </w:rPr>
              <w:t>混凝土基础</w:t>
            </w:r>
            <w:r>
              <w:rPr>
                <w:rFonts w:hint="default" w:ascii="Times New Roman" w:hAnsi="Times New Roman" w:eastAsia="Times New Roman" w:cs="Times New Roman"/>
                <w:spacing w:val="2"/>
                <w:sz w:val="20"/>
                <w:szCs w:val="20"/>
                <w:highlight w:val="none"/>
              </w:rPr>
              <w:t>+</w:t>
            </w:r>
            <w:r>
              <w:rPr>
                <w:rFonts w:hint="default" w:ascii="Times New Roman" w:hAnsi="Times New Roman" w:eastAsia="宋体" w:cs="Times New Roman"/>
                <w:spacing w:val="2"/>
                <w:sz w:val="20"/>
                <w:szCs w:val="20"/>
                <w:highlight w:val="none"/>
              </w:rPr>
              <w:t>双层夹芯彩钢，规格</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2"/>
                <w:sz w:val="20"/>
                <w:szCs w:val="20"/>
                <w:highlight w:val="none"/>
              </w:rPr>
              <w:t>为</w:t>
            </w:r>
            <w:r>
              <w:rPr>
                <w:rFonts w:hint="default" w:ascii="Times New Roman" w:hAnsi="Times New Roman" w:eastAsia="宋体" w:cs="Times New Roman"/>
                <w:spacing w:val="8"/>
                <w:sz w:val="20"/>
                <w:szCs w:val="20"/>
                <w:highlight w:val="none"/>
              </w:rPr>
              <w:t>：</w:t>
            </w:r>
            <w:r>
              <w:rPr>
                <w:rFonts w:hint="eastAsia" w:ascii="Times New Roman" w:hAnsi="Times New Roman" w:eastAsia="宋体" w:cs="Times New Roman"/>
                <w:spacing w:val="6"/>
                <w:sz w:val="20"/>
                <w:szCs w:val="20"/>
                <w:highlight w:val="none"/>
                <w:lang w:val="en-US" w:eastAsia="zh-CN"/>
              </w:rPr>
              <w:t>60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30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12</w:t>
            </w:r>
            <w:r>
              <w:rPr>
                <w:rFonts w:hint="default" w:ascii="Times New Roman" w:hAnsi="Times New Roman" w:eastAsia="Times New Roman" w:cs="Times New Roman"/>
                <w:sz w:val="20"/>
                <w:szCs w:val="20"/>
                <w:highlight w:val="none"/>
              </w:rPr>
              <w:t>m</w:t>
            </w:r>
          </w:p>
        </w:tc>
        <w:tc>
          <w:tcPr>
            <w:tcW w:w="1574" w:type="dxa"/>
            <w:tcBorders>
              <w:left w:val="single" w:color="000000" w:sz="4" w:space="0"/>
              <w:right w:val="single" w:color="000000" w:sz="10" w:space="0"/>
            </w:tcBorders>
            <w:vAlign w:val="top"/>
          </w:tcPr>
          <w:p>
            <w:pPr>
              <w:spacing w:before="81" w:line="262" w:lineRule="auto"/>
              <w:ind w:left="310" w:leftChars="0" w:right="97" w:rightChars="0" w:hanging="227" w:firstLineChars="0"/>
              <w:jc w:val="center"/>
              <w:rPr>
                <w:rFonts w:hint="default" w:ascii="Times New Roman" w:hAnsi="Times New Roman" w:eastAsia="Times New Roman" w:cs="Times New Roman"/>
                <w:sz w:val="13"/>
                <w:szCs w:val="13"/>
                <w:highlight w:val="none"/>
              </w:rPr>
            </w:pPr>
            <w:r>
              <w:rPr>
                <w:rFonts w:hint="eastAsia" w:ascii="Times New Roman" w:hAnsi="Times New Roman" w:eastAsia="宋体" w:cs="Times New Roman"/>
                <w:spacing w:val="5"/>
                <w:sz w:val="20"/>
                <w:szCs w:val="20"/>
                <w:highlight w:val="none"/>
                <w:lang w:val="en-US" w:eastAsia="zh-CN"/>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12" w:type="dxa"/>
            <w:tcBorders>
              <w:left w:val="single" w:color="000000" w:sz="10" w:space="0"/>
              <w:right w:val="single" w:color="000000" w:sz="4" w:space="0"/>
            </w:tcBorders>
            <w:vAlign w:val="center"/>
          </w:tcPr>
          <w:p>
            <w:pPr>
              <w:spacing w:before="275" w:line="195" w:lineRule="auto"/>
              <w:ind w:left="161"/>
              <w:jc w:val="both"/>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2</w:t>
            </w:r>
          </w:p>
        </w:tc>
        <w:tc>
          <w:tcPr>
            <w:tcW w:w="828" w:type="dxa"/>
            <w:tcBorders>
              <w:left w:val="single" w:color="000000" w:sz="4" w:space="0"/>
              <w:right w:val="single" w:color="000000" w:sz="4" w:space="0"/>
            </w:tcBorders>
            <w:vAlign w:val="center"/>
          </w:tcPr>
          <w:p>
            <w:pPr>
              <w:spacing w:before="81" w:line="262" w:lineRule="auto"/>
              <w:ind w:left="310" w:leftChars="0" w:right="97" w:rightChars="0" w:hanging="227" w:firstLineChars="0"/>
              <w:jc w:val="center"/>
              <w:rPr>
                <w:rFonts w:hint="default" w:ascii="Times New Roman" w:hAnsi="Times New Roman" w:eastAsia="宋体" w:cs="Times New Roman"/>
                <w:spacing w:val="5"/>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原料棚</w:t>
            </w:r>
          </w:p>
        </w:tc>
        <w:tc>
          <w:tcPr>
            <w:tcW w:w="968" w:type="dxa"/>
            <w:tcBorders>
              <w:left w:val="single" w:color="000000" w:sz="4" w:space="0"/>
              <w:right w:val="single" w:color="000000" w:sz="4" w:space="0"/>
            </w:tcBorders>
            <w:vAlign w:val="center"/>
          </w:tcPr>
          <w:p>
            <w:pPr>
              <w:spacing w:before="278" w:line="195" w:lineRule="auto"/>
              <w:ind w:left="252" w:leftChars="0"/>
              <w:jc w:val="center"/>
              <w:rPr>
                <w:rFonts w:hint="default" w:ascii="Times New Roman" w:hAnsi="Times New Roman" w:eastAsia="宋体" w:cs="Times New Roman"/>
                <w:spacing w:val="4"/>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50</w:t>
            </w:r>
          </w:p>
        </w:tc>
        <w:tc>
          <w:tcPr>
            <w:tcW w:w="984" w:type="dxa"/>
            <w:tcBorders>
              <w:left w:val="single" w:color="000000" w:sz="4" w:space="0"/>
              <w:right w:val="single" w:color="000000" w:sz="4" w:space="0"/>
            </w:tcBorders>
            <w:vAlign w:val="center"/>
          </w:tcPr>
          <w:p>
            <w:pPr>
              <w:spacing w:before="278" w:line="195" w:lineRule="auto"/>
              <w:ind w:left="255" w:leftChars="0"/>
              <w:jc w:val="center"/>
              <w:rPr>
                <w:rFonts w:hint="default" w:ascii="Times New Roman" w:hAnsi="Times New Roman" w:eastAsia="宋体" w:cs="Times New Roman"/>
                <w:spacing w:val="4"/>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50</w:t>
            </w:r>
          </w:p>
        </w:tc>
        <w:tc>
          <w:tcPr>
            <w:tcW w:w="3651" w:type="dxa"/>
            <w:tcBorders>
              <w:left w:val="single" w:color="000000" w:sz="4" w:space="0"/>
              <w:right w:val="single" w:color="000000" w:sz="4" w:space="0"/>
            </w:tcBorders>
            <w:vAlign w:val="center"/>
          </w:tcPr>
          <w:p>
            <w:pPr>
              <w:spacing w:before="51" w:line="276" w:lineRule="auto"/>
              <w:ind w:left="805" w:leftChars="0" w:right="40" w:rightChars="0" w:hanging="737" w:firstLineChars="0"/>
              <w:jc w:val="center"/>
              <w:rPr>
                <w:rFonts w:hint="default" w:ascii="Times New Roman" w:hAnsi="Times New Roman" w:eastAsia="Times New Roman" w:cs="Times New Roman"/>
                <w:spacing w:val="2"/>
                <w:sz w:val="20"/>
                <w:szCs w:val="20"/>
                <w:highlight w:val="none"/>
              </w:rPr>
            </w:pPr>
            <w:r>
              <w:rPr>
                <w:rFonts w:hint="eastAsia" w:ascii="Times New Roman" w:hAnsi="Times New Roman" w:eastAsia="Times New Roman" w:cs="Times New Roman"/>
                <w:spacing w:val="2"/>
                <w:sz w:val="20"/>
                <w:szCs w:val="20"/>
                <w:highlight w:val="none"/>
                <w:lang w:val="en-US" w:eastAsia="zh-CN"/>
              </w:rPr>
              <w:t>三面围挡带顶</w:t>
            </w:r>
            <w:r>
              <w:rPr>
                <w:rFonts w:hint="default" w:ascii="Times New Roman" w:hAnsi="Times New Roman" w:eastAsia="Times New Roman" w:cs="Times New Roman"/>
                <w:spacing w:val="2"/>
                <w:sz w:val="20"/>
                <w:szCs w:val="20"/>
                <w:highlight w:val="none"/>
              </w:rPr>
              <w:t>，</w:t>
            </w:r>
            <w:r>
              <w:rPr>
                <w:rFonts w:hint="eastAsia" w:ascii="Times New Roman" w:hAnsi="Times New Roman" w:eastAsia="Times New Roman" w:cs="Times New Roman"/>
                <w:spacing w:val="2"/>
                <w:sz w:val="20"/>
                <w:szCs w:val="20"/>
                <w:highlight w:val="none"/>
                <w:lang w:val="en-US" w:eastAsia="zh-CN"/>
              </w:rPr>
              <w:t>进深不小于8米</w:t>
            </w:r>
            <w:r>
              <w:rPr>
                <w:rFonts w:hint="eastAsia" w:ascii="Times New Roman" w:hAnsi="Times New Roman" w:eastAsia="Times New Roman" w:cs="Times New Roman"/>
                <w:spacing w:val="2"/>
                <w:sz w:val="20"/>
                <w:szCs w:val="20"/>
                <w:highlight w:val="none"/>
              </w:rPr>
              <w:t>，</w:t>
            </w:r>
            <w:r>
              <w:rPr>
                <w:rFonts w:hint="eastAsia" w:ascii="Times New Roman" w:hAnsi="Times New Roman" w:eastAsia="Times New Roman" w:cs="Times New Roman"/>
                <w:spacing w:val="2"/>
                <w:sz w:val="20"/>
                <w:szCs w:val="20"/>
                <w:highlight w:val="none"/>
                <w:lang w:val="en-US" w:eastAsia="zh-CN"/>
              </w:rPr>
              <w:t>受料仓设喷雾抑尘装置</w:t>
            </w:r>
          </w:p>
          <w:p>
            <w:pPr>
              <w:spacing w:before="51" w:line="276" w:lineRule="auto"/>
              <w:ind w:left="805" w:leftChars="0" w:right="40" w:rightChars="0" w:hanging="737" w:firstLineChars="0"/>
              <w:jc w:val="center"/>
              <w:rPr>
                <w:rFonts w:hint="default" w:ascii="Times New Roman" w:hAnsi="Times New Roman" w:eastAsia="Times New Roman" w:cs="Times New Roman"/>
                <w:spacing w:val="3"/>
                <w:sz w:val="20"/>
                <w:szCs w:val="20"/>
                <w:highlight w:val="none"/>
              </w:rPr>
            </w:pPr>
            <w:r>
              <w:rPr>
                <w:rFonts w:hint="eastAsia" w:ascii="Times New Roman" w:hAnsi="Times New Roman" w:eastAsia="Times New Roman" w:cs="Times New Roman"/>
                <w:spacing w:val="2"/>
                <w:sz w:val="20"/>
                <w:szCs w:val="20"/>
                <w:highlight w:val="none"/>
              </w:rPr>
              <w:t>规格：</w:t>
            </w:r>
            <w:r>
              <w:rPr>
                <w:rFonts w:hint="eastAsia" w:ascii="Times New Roman" w:hAnsi="Times New Roman" w:eastAsia="Times New Roman" w:cs="Times New Roman"/>
                <w:spacing w:val="2"/>
                <w:sz w:val="20"/>
                <w:szCs w:val="20"/>
                <w:highlight w:val="none"/>
                <w:lang w:val="en-US" w:eastAsia="zh-CN"/>
              </w:rPr>
              <w:t>1</w:t>
            </w:r>
            <w:r>
              <w:rPr>
                <w:rFonts w:hint="eastAsia" w:ascii="Times New Roman" w:hAnsi="Times New Roman" w:eastAsia="Times New Roman" w:cs="Times New Roman"/>
                <w:spacing w:val="2"/>
                <w:sz w:val="20"/>
                <w:szCs w:val="20"/>
                <w:highlight w:val="none"/>
              </w:rPr>
              <w:t>0</w:t>
            </w:r>
            <w:r>
              <w:rPr>
                <w:rFonts w:hint="default" w:ascii="Times New Roman" w:hAnsi="Times New Roman" w:eastAsia="Times New Roman" w:cs="Times New Roman"/>
                <w:spacing w:val="2"/>
                <w:sz w:val="20"/>
                <w:szCs w:val="20"/>
                <w:highlight w:val="none"/>
              </w:rPr>
              <w:t>m×</w:t>
            </w:r>
            <w:r>
              <w:rPr>
                <w:rFonts w:hint="eastAsia" w:ascii="Times New Roman" w:hAnsi="Times New Roman" w:eastAsia="Times New Roman" w:cs="Times New Roman"/>
                <w:spacing w:val="2"/>
                <w:sz w:val="20"/>
                <w:szCs w:val="20"/>
                <w:highlight w:val="none"/>
                <w:lang w:val="en-US" w:eastAsia="zh-CN"/>
              </w:rPr>
              <w:t>5</w:t>
            </w:r>
            <w:r>
              <w:rPr>
                <w:rFonts w:hint="default" w:ascii="Times New Roman" w:hAnsi="Times New Roman" w:eastAsia="Times New Roman" w:cs="Times New Roman"/>
                <w:spacing w:val="2"/>
                <w:sz w:val="20"/>
                <w:szCs w:val="20"/>
                <w:highlight w:val="none"/>
              </w:rPr>
              <w:t>m×1</w:t>
            </w:r>
            <w:r>
              <w:rPr>
                <w:rFonts w:hint="eastAsia" w:ascii="Times New Roman" w:hAnsi="Times New Roman" w:eastAsia="宋体" w:cs="Times New Roman"/>
                <w:spacing w:val="2"/>
                <w:sz w:val="20"/>
                <w:szCs w:val="20"/>
                <w:highlight w:val="none"/>
                <w:lang w:val="en-US" w:eastAsia="zh-CN"/>
              </w:rPr>
              <w:t>2.4</w:t>
            </w:r>
            <w:r>
              <w:rPr>
                <w:rFonts w:hint="default" w:ascii="Times New Roman" w:hAnsi="Times New Roman" w:eastAsia="Times New Roman" w:cs="Times New Roman"/>
                <w:spacing w:val="2"/>
                <w:sz w:val="20"/>
                <w:szCs w:val="20"/>
                <w:highlight w:val="none"/>
              </w:rPr>
              <w:t>m</w:t>
            </w:r>
          </w:p>
        </w:tc>
        <w:tc>
          <w:tcPr>
            <w:tcW w:w="1574" w:type="dxa"/>
            <w:tcBorders>
              <w:left w:val="single" w:color="000000" w:sz="4" w:space="0"/>
              <w:right w:val="single" w:color="000000" w:sz="10" w:space="0"/>
            </w:tcBorders>
            <w:vAlign w:val="center"/>
          </w:tcPr>
          <w:p>
            <w:pPr>
              <w:spacing w:before="81" w:line="262" w:lineRule="auto"/>
              <w:ind w:left="310" w:leftChars="0" w:right="97" w:rightChars="0" w:hanging="227" w:firstLineChars="0"/>
              <w:jc w:val="center"/>
              <w:rPr>
                <w:rFonts w:hint="eastAsia" w:ascii="Times New Roman" w:hAnsi="Times New Roman" w:eastAsia="宋体" w:cs="Times New Roman"/>
                <w:spacing w:val="5"/>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新建</w:t>
            </w:r>
          </w:p>
        </w:tc>
      </w:tr>
    </w:tbl>
    <w:p>
      <w:pPr>
        <w:spacing w:before="212" w:line="228" w:lineRule="auto"/>
        <w:ind w:left="2431"/>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pPr>
    </w:p>
    <w:p>
      <w:pPr>
        <w:spacing w:before="212" w:line="228" w:lineRule="auto"/>
        <w:ind w:left="2431"/>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b/>
          <w:bCs/>
          <w:spacing w:val="6"/>
          <w:sz w:val="23"/>
          <w:szCs w:val="23"/>
          <w:highlight w:val="none"/>
        </w:rPr>
        <w:t>3</w:t>
      </w:r>
      <w:r>
        <w:rPr>
          <w:rFonts w:hint="default" w:ascii="Times New Roman" w:hAnsi="Times New Roman" w:eastAsia="Times New Roman" w:cs="Times New Roman"/>
          <w:b/>
          <w:bCs/>
          <w:spacing w:val="3"/>
          <w:sz w:val="23"/>
          <w:szCs w:val="23"/>
          <w:highlight w:val="none"/>
        </w:rPr>
        <w:t>.</w:t>
      </w:r>
      <w:r>
        <w:rPr>
          <w:rFonts w:hint="eastAsia" w:ascii="Times New Roman" w:hAnsi="Times New Roman" w:eastAsia="宋体" w:cs="Times New Roman"/>
          <w:b/>
          <w:bCs/>
          <w:spacing w:val="3"/>
          <w:sz w:val="23"/>
          <w:szCs w:val="23"/>
          <w:highlight w:val="none"/>
          <w:lang w:val="en-US" w:eastAsia="zh-CN"/>
        </w:rPr>
        <w:t>2</w:t>
      </w:r>
      <w:r>
        <w:rPr>
          <w:rFonts w:hint="default" w:ascii="Times New Roman" w:hAnsi="Times New Roman" w:eastAsia="Times New Roman" w:cs="Times New Roman"/>
          <w:b/>
          <w:bCs/>
          <w:spacing w:val="3"/>
          <w:sz w:val="23"/>
          <w:szCs w:val="23"/>
          <w:highlight w:val="none"/>
        </w:rPr>
        <w:t>-</w:t>
      </w:r>
      <w:r>
        <w:rPr>
          <w:rFonts w:hint="eastAsia" w:ascii="Times New Roman" w:hAnsi="Times New Roman" w:eastAsia="宋体" w:cs="Times New Roman"/>
          <w:b/>
          <w:bCs/>
          <w:spacing w:val="3"/>
          <w:sz w:val="23"/>
          <w:szCs w:val="23"/>
          <w:highlight w:val="none"/>
          <w:lang w:val="en-US" w:eastAsia="zh-CN"/>
        </w:rPr>
        <w:t>3</w:t>
      </w:r>
      <w:r>
        <w:rPr>
          <w:rFonts w:hint="default" w:ascii="Times New Roman" w:hAnsi="Times New Roman" w:eastAsia="Times New Roman" w:cs="Times New Roman"/>
          <w:spacing w:val="3"/>
          <w:sz w:val="23"/>
          <w:szCs w:val="23"/>
          <w:highlight w:val="none"/>
        </w:rPr>
        <w:t xml:space="preserve">          </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改扩建后全厂</w:t>
      </w:r>
      <w:r>
        <w:rPr>
          <w:rFonts w:hint="default"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建</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构筑物一览表</w:t>
      </w:r>
    </w:p>
    <w:p>
      <w:pPr>
        <w:spacing w:line="20" w:lineRule="exact"/>
        <w:rPr>
          <w:rFonts w:hint="default" w:ascii="Times New Roman" w:hAnsi="Times New Roman" w:cs="Times New Roman"/>
          <w:highlight w:val="none"/>
        </w:rPr>
      </w:pPr>
    </w:p>
    <w:tbl>
      <w:tblPr>
        <w:tblStyle w:val="19"/>
        <w:tblW w:w="8417"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2"/>
        <w:gridCol w:w="828"/>
        <w:gridCol w:w="968"/>
        <w:gridCol w:w="16"/>
        <w:gridCol w:w="968"/>
        <w:gridCol w:w="16"/>
        <w:gridCol w:w="3635"/>
        <w:gridCol w:w="15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412" w:type="dxa"/>
            <w:tcBorders>
              <w:left w:val="single" w:color="000000" w:sz="10" w:space="0"/>
              <w:right w:val="single" w:color="000000" w:sz="4" w:space="0"/>
            </w:tcBorders>
            <w:textDirection w:val="tbRlV"/>
            <w:vAlign w:val="top"/>
          </w:tcPr>
          <w:p>
            <w:pPr>
              <w:spacing w:before="100" w:line="218" w:lineRule="auto"/>
              <w:ind w:left="1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序</w:t>
            </w:r>
            <w:r>
              <w:rPr>
                <w:rFonts w:hint="default" w:ascii="Times New Roman" w:hAnsi="Times New Roman" w:eastAsia="宋体" w:cs="Times New Roman"/>
                <w:spacing w:val="10"/>
                <w:sz w:val="20"/>
                <w:szCs w:val="20"/>
                <w:highlight w:val="none"/>
              </w:rPr>
              <w:t xml:space="preserve"> 号</w:t>
            </w:r>
          </w:p>
        </w:tc>
        <w:tc>
          <w:tcPr>
            <w:tcW w:w="828" w:type="dxa"/>
            <w:tcBorders>
              <w:left w:val="single" w:color="000000" w:sz="4" w:space="0"/>
              <w:right w:val="single" w:color="000000" w:sz="4" w:space="0"/>
            </w:tcBorders>
            <w:vAlign w:val="top"/>
          </w:tcPr>
          <w:p>
            <w:pPr>
              <w:spacing w:before="261" w:line="231" w:lineRule="auto"/>
              <w:ind w:left="19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名</w:t>
            </w:r>
            <w:r>
              <w:rPr>
                <w:rFonts w:hint="default" w:ascii="Times New Roman" w:hAnsi="Times New Roman" w:eastAsia="宋体" w:cs="Times New Roman"/>
                <w:spacing w:val="3"/>
                <w:sz w:val="20"/>
                <w:szCs w:val="20"/>
                <w:highlight w:val="none"/>
              </w:rPr>
              <w:t>称</w:t>
            </w:r>
          </w:p>
        </w:tc>
        <w:tc>
          <w:tcPr>
            <w:tcW w:w="968" w:type="dxa"/>
            <w:tcBorders>
              <w:left w:val="single" w:color="000000" w:sz="4" w:space="0"/>
              <w:right w:val="single" w:color="000000" w:sz="4" w:space="0"/>
            </w:tcBorders>
            <w:vAlign w:val="top"/>
          </w:tcPr>
          <w:p>
            <w:pPr>
              <w:spacing w:before="99" w:line="267" w:lineRule="auto"/>
              <w:ind w:left="363" w:right="97" w:hanging="285"/>
              <w:rPr>
                <w:rFonts w:hint="default" w:ascii="Times New Roman" w:hAnsi="Times New Roman" w:eastAsia="Times New Roman" w:cs="Times New Roman"/>
                <w:sz w:val="13"/>
                <w:szCs w:val="13"/>
                <w:highlight w:val="none"/>
              </w:rPr>
            </w:pPr>
            <w:r>
              <w:rPr>
                <w:rFonts w:hint="default" w:ascii="Times New Roman" w:hAnsi="Times New Roman" w:eastAsia="宋体" w:cs="Times New Roman"/>
                <w:spacing w:val="-1"/>
                <w:sz w:val="20"/>
                <w:szCs w:val="20"/>
                <w:highlight w:val="none"/>
              </w:rPr>
              <w:t>占地面</w:t>
            </w:r>
            <w:r>
              <w:rPr>
                <w:rFonts w:hint="default" w:ascii="Times New Roman" w:hAnsi="Times New Roman" w:eastAsia="宋体" w:cs="Times New Roman"/>
                <w:sz w:val="20"/>
                <w:szCs w:val="20"/>
                <w:highlight w:val="none"/>
              </w:rPr>
              <w:t xml:space="preserve">积 </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9"/>
                <w:position w:val="3"/>
                <w:sz w:val="13"/>
                <w:szCs w:val="13"/>
                <w:highlight w:val="none"/>
              </w:rPr>
              <w:t>2</w:t>
            </w:r>
          </w:p>
        </w:tc>
        <w:tc>
          <w:tcPr>
            <w:tcW w:w="984" w:type="dxa"/>
            <w:gridSpan w:val="2"/>
            <w:tcBorders>
              <w:left w:val="single" w:color="000000" w:sz="4" w:space="0"/>
              <w:right w:val="single" w:color="000000" w:sz="4" w:space="0"/>
            </w:tcBorders>
            <w:vAlign w:val="top"/>
          </w:tcPr>
          <w:p>
            <w:pPr>
              <w:spacing w:before="99" w:line="267" w:lineRule="auto"/>
              <w:ind w:left="368" w:right="94" w:hanging="319"/>
              <w:rPr>
                <w:rFonts w:hint="default" w:ascii="Times New Roman" w:hAnsi="Times New Roman" w:eastAsia="Times New Roman" w:cs="Times New Roman"/>
                <w:sz w:val="13"/>
                <w:szCs w:val="13"/>
                <w:highlight w:val="none"/>
              </w:rPr>
            </w:pPr>
            <w:r>
              <w:rPr>
                <w:rFonts w:hint="default" w:ascii="Times New Roman" w:hAnsi="Times New Roman" w:eastAsia="宋体" w:cs="Times New Roman"/>
                <w:spacing w:val="8"/>
                <w:sz w:val="20"/>
                <w:szCs w:val="20"/>
                <w:highlight w:val="none"/>
              </w:rPr>
              <w:t>建</w:t>
            </w:r>
            <w:r>
              <w:rPr>
                <w:rFonts w:hint="default" w:ascii="Times New Roman" w:hAnsi="Times New Roman" w:eastAsia="宋体" w:cs="Times New Roman"/>
                <w:spacing w:val="7"/>
                <w:sz w:val="20"/>
                <w:szCs w:val="20"/>
                <w:highlight w:val="none"/>
              </w:rPr>
              <w:t>筑面积</w:t>
            </w: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9"/>
                <w:position w:val="3"/>
                <w:sz w:val="13"/>
                <w:szCs w:val="13"/>
                <w:highlight w:val="none"/>
              </w:rPr>
              <w:t>2</w:t>
            </w:r>
          </w:p>
        </w:tc>
        <w:tc>
          <w:tcPr>
            <w:tcW w:w="3651" w:type="dxa"/>
            <w:gridSpan w:val="2"/>
            <w:tcBorders>
              <w:left w:val="single" w:color="000000" w:sz="4" w:space="0"/>
              <w:right w:val="single" w:color="000000" w:sz="4" w:space="0"/>
            </w:tcBorders>
            <w:vAlign w:val="top"/>
          </w:tcPr>
          <w:p>
            <w:pPr>
              <w:spacing w:before="261" w:line="228" w:lineRule="auto"/>
              <w:ind w:left="124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结构及层高</w:t>
            </w:r>
          </w:p>
        </w:tc>
        <w:tc>
          <w:tcPr>
            <w:tcW w:w="1574" w:type="dxa"/>
            <w:tcBorders>
              <w:left w:val="single" w:color="000000" w:sz="4" w:space="0"/>
              <w:right w:val="single" w:color="000000" w:sz="10" w:space="0"/>
            </w:tcBorders>
            <w:vAlign w:val="top"/>
          </w:tcPr>
          <w:p>
            <w:pPr>
              <w:spacing w:before="261" w:line="230" w:lineRule="auto"/>
              <w:ind w:left="6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412" w:type="dxa"/>
            <w:tcBorders>
              <w:left w:val="single" w:color="000000" w:sz="10" w:space="0"/>
              <w:right w:val="single" w:color="000000" w:sz="4" w:space="0"/>
            </w:tcBorders>
            <w:vAlign w:val="top"/>
          </w:tcPr>
          <w:p>
            <w:pPr>
              <w:spacing w:before="275" w:line="195" w:lineRule="auto"/>
              <w:ind w:left="16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828" w:type="dxa"/>
            <w:tcBorders>
              <w:left w:val="single" w:color="000000" w:sz="4" w:space="0"/>
              <w:right w:val="single" w:color="000000" w:sz="4" w:space="0"/>
            </w:tcBorders>
            <w:vAlign w:val="top"/>
          </w:tcPr>
          <w:p>
            <w:pPr>
              <w:spacing w:before="47" w:line="277" w:lineRule="auto"/>
              <w:ind w:left="190" w:right="97" w:hanging="90"/>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
                <w:sz w:val="20"/>
                <w:szCs w:val="20"/>
                <w:highlight w:val="none"/>
              </w:rPr>
              <w:t>1#</w:t>
            </w:r>
            <w:r>
              <w:rPr>
                <w:rFonts w:hint="eastAsia" w:ascii="Times New Roman" w:hAnsi="Times New Roman" w:eastAsia="宋体" w:cs="Times New Roman"/>
                <w:spacing w:val="1"/>
                <w:sz w:val="20"/>
                <w:szCs w:val="20"/>
                <w:highlight w:val="none"/>
                <w:lang w:val="en-US" w:eastAsia="zh-CN"/>
              </w:rPr>
              <w:t>生产</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4"/>
                <w:sz w:val="20"/>
                <w:szCs w:val="20"/>
                <w:highlight w:val="none"/>
              </w:rPr>
              <w:t>车</w:t>
            </w:r>
            <w:r>
              <w:rPr>
                <w:rFonts w:hint="default" w:ascii="Times New Roman" w:hAnsi="Times New Roman" w:eastAsia="宋体" w:cs="Times New Roman"/>
                <w:spacing w:val="3"/>
                <w:sz w:val="20"/>
                <w:szCs w:val="20"/>
                <w:highlight w:val="none"/>
              </w:rPr>
              <w:t>间</w:t>
            </w:r>
          </w:p>
        </w:tc>
        <w:tc>
          <w:tcPr>
            <w:tcW w:w="968" w:type="dxa"/>
            <w:tcBorders>
              <w:left w:val="single" w:color="000000" w:sz="4" w:space="0"/>
              <w:right w:val="single" w:color="000000" w:sz="4" w:space="0"/>
            </w:tcBorders>
            <w:vAlign w:val="top"/>
          </w:tcPr>
          <w:p>
            <w:pPr>
              <w:spacing w:before="275" w:line="195" w:lineRule="auto"/>
              <w:ind w:left="329"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4800</w:t>
            </w:r>
          </w:p>
        </w:tc>
        <w:tc>
          <w:tcPr>
            <w:tcW w:w="984" w:type="dxa"/>
            <w:gridSpan w:val="2"/>
            <w:tcBorders>
              <w:left w:val="single" w:color="000000" w:sz="4" w:space="0"/>
              <w:right w:val="single" w:color="000000" w:sz="4" w:space="0"/>
            </w:tcBorders>
            <w:vAlign w:val="top"/>
          </w:tcPr>
          <w:p>
            <w:pPr>
              <w:spacing w:before="275" w:line="195" w:lineRule="auto"/>
              <w:ind w:left="332"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4800</w:t>
            </w:r>
          </w:p>
        </w:tc>
        <w:tc>
          <w:tcPr>
            <w:tcW w:w="3651" w:type="dxa"/>
            <w:gridSpan w:val="2"/>
            <w:tcBorders>
              <w:left w:val="single" w:color="000000" w:sz="4" w:space="0"/>
              <w:right w:val="single" w:color="000000" w:sz="4" w:space="0"/>
            </w:tcBorders>
            <w:vAlign w:val="top"/>
          </w:tcPr>
          <w:p>
            <w:pPr>
              <w:spacing w:before="48" w:line="277" w:lineRule="auto"/>
              <w:ind w:left="882" w:leftChars="0" w:right="40" w:rightChars="0" w:hanging="814" w:firstLineChars="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2"/>
                <w:sz w:val="20"/>
                <w:szCs w:val="20"/>
                <w:highlight w:val="none"/>
              </w:rPr>
              <w:t xml:space="preserve"> </w:t>
            </w:r>
            <w:r>
              <w:rPr>
                <w:rFonts w:hint="default" w:ascii="Times New Roman" w:hAnsi="Times New Roman" w:eastAsia="宋体" w:cs="Times New Roman"/>
                <w:spacing w:val="2"/>
                <w:sz w:val="20"/>
                <w:szCs w:val="20"/>
                <w:highlight w:val="none"/>
              </w:rPr>
              <w:t>混凝土基础</w:t>
            </w:r>
            <w:r>
              <w:rPr>
                <w:rFonts w:hint="default" w:ascii="Times New Roman" w:hAnsi="Times New Roman" w:eastAsia="Times New Roman" w:cs="Times New Roman"/>
                <w:spacing w:val="2"/>
                <w:sz w:val="20"/>
                <w:szCs w:val="20"/>
                <w:highlight w:val="none"/>
              </w:rPr>
              <w:t>+</w:t>
            </w:r>
            <w:r>
              <w:rPr>
                <w:rFonts w:hint="default" w:ascii="Times New Roman" w:hAnsi="Times New Roman" w:eastAsia="宋体" w:cs="Times New Roman"/>
                <w:spacing w:val="2"/>
                <w:sz w:val="20"/>
                <w:szCs w:val="20"/>
                <w:highlight w:val="none"/>
              </w:rPr>
              <w:t>双层夹芯彩钢，规格</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1"/>
                <w:sz w:val="20"/>
                <w:szCs w:val="20"/>
                <w:highlight w:val="none"/>
              </w:rPr>
              <w:t>为</w:t>
            </w:r>
            <w:r>
              <w:rPr>
                <w:rFonts w:hint="default" w:ascii="Times New Roman" w:hAnsi="Times New Roman" w:eastAsia="宋体"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80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60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12.4</w:t>
            </w:r>
            <w:r>
              <w:rPr>
                <w:rFonts w:hint="default" w:ascii="Times New Roman" w:hAnsi="Times New Roman" w:eastAsia="Times New Roman" w:cs="Times New Roman"/>
                <w:sz w:val="20"/>
                <w:szCs w:val="20"/>
                <w:highlight w:val="none"/>
              </w:rPr>
              <w:t>m</w:t>
            </w:r>
          </w:p>
        </w:tc>
        <w:tc>
          <w:tcPr>
            <w:tcW w:w="1574" w:type="dxa"/>
            <w:vMerge w:val="restart"/>
            <w:tcBorders>
              <w:left w:val="single" w:color="000000" w:sz="4" w:space="0"/>
              <w:right w:val="single" w:color="000000" w:sz="10" w:space="0"/>
            </w:tcBorders>
            <w:vAlign w:val="center"/>
          </w:tcPr>
          <w:p>
            <w:pPr>
              <w:spacing w:before="65" w:line="310" w:lineRule="auto"/>
              <w:ind w:left="227" w:right="39" w:hanging="165"/>
              <w:jc w:val="center"/>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现有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12" w:type="dxa"/>
            <w:tcBorders>
              <w:left w:val="single" w:color="000000" w:sz="10" w:space="0"/>
              <w:right w:val="single" w:color="000000" w:sz="4" w:space="0"/>
            </w:tcBorders>
            <w:vAlign w:val="top"/>
          </w:tcPr>
          <w:p>
            <w:pPr>
              <w:spacing w:before="276" w:line="195" w:lineRule="auto"/>
              <w:ind w:left="14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828" w:type="dxa"/>
            <w:tcBorders>
              <w:left w:val="single" w:color="000000" w:sz="4" w:space="0"/>
              <w:right w:val="single" w:color="000000" w:sz="4" w:space="0"/>
            </w:tcBorders>
            <w:vAlign w:val="top"/>
          </w:tcPr>
          <w:p>
            <w:pPr>
              <w:spacing w:before="49" w:line="273" w:lineRule="auto"/>
              <w:ind w:left="191" w:right="97" w:hanging="111"/>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6"/>
                <w:sz w:val="20"/>
                <w:szCs w:val="20"/>
                <w:highlight w:val="none"/>
              </w:rPr>
              <w:t>2#</w:t>
            </w:r>
            <w:r>
              <w:rPr>
                <w:rFonts w:hint="default" w:ascii="Times New Roman" w:hAnsi="Times New Roman" w:eastAsia="宋体" w:cs="Times New Roman"/>
                <w:spacing w:val="6"/>
                <w:sz w:val="20"/>
                <w:szCs w:val="20"/>
                <w:highlight w:val="none"/>
              </w:rPr>
              <w:t>生产</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4"/>
                <w:sz w:val="20"/>
                <w:szCs w:val="20"/>
                <w:highlight w:val="none"/>
              </w:rPr>
              <w:t>车</w:t>
            </w:r>
            <w:r>
              <w:rPr>
                <w:rFonts w:hint="default" w:ascii="Times New Roman" w:hAnsi="Times New Roman" w:eastAsia="宋体" w:cs="Times New Roman"/>
                <w:spacing w:val="3"/>
                <w:sz w:val="20"/>
                <w:szCs w:val="20"/>
                <w:highlight w:val="none"/>
              </w:rPr>
              <w:t>间</w:t>
            </w:r>
          </w:p>
        </w:tc>
        <w:tc>
          <w:tcPr>
            <w:tcW w:w="968" w:type="dxa"/>
            <w:tcBorders>
              <w:left w:val="single" w:color="000000" w:sz="4" w:space="0"/>
              <w:right w:val="single" w:color="000000" w:sz="4" w:space="0"/>
            </w:tcBorders>
            <w:vAlign w:val="top"/>
          </w:tcPr>
          <w:p>
            <w:pPr>
              <w:spacing w:before="276" w:line="195" w:lineRule="auto"/>
              <w:ind w:left="334"/>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300</w:t>
            </w:r>
          </w:p>
        </w:tc>
        <w:tc>
          <w:tcPr>
            <w:tcW w:w="984" w:type="dxa"/>
            <w:gridSpan w:val="2"/>
            <w:tcBorders>
              <w:left w:val="single" w:color="000000" w:sz="4" w:space="0"/>
              <w:right w:val="single" w:color="000000" w:sz="4" w:space="0"/>
            </w:tcBorders>
            <w:vAlign w:val="top"/>
          </w:tcPr>
          <w:p>
            <w:pPr>
              <w:spacing w:before="276" w:line="195" w:lineRule="auto"/>
              <w:ind w:left="337"/>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300</w:t>
            </w:r>
          </w:p>
        </w:tc>
        <w:tc>
          <w:tcPr>
            <w:tcW w:w="3651" w:type="dxa"/>
            <w:gridSpan w:val="2"/>
            <w:tcBorders>
              <w:left w:val="single" w:color="000000" w:sz="4" w:space="0"/>
              <w:right w:val="single" w:color="000000" w:sz="4" w:space="0"/>
            </w:tcBorders>
            <w:vAlign w:val="top"/>
          </w:tcPr>
          <w:p>
            <w:pPr>
              <w:spacing w:before="49" w:line="273" w:lineRule="auto"/>
              <w:ind w:left="726" w:right="40" w:hanging="65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2"/>
                <w:sz w:val="20"/>
                <w:szCs w:val="20"/>
                <w:highlight w:val="none"/>
              </w:rPr>
              <w:t xml:space="preserve"> </w:t>
            </w:r>
            <w:r>
              <w:rPr>
                <w:rFonts w:hint="default" w:ascii="Times New Roman" w:hAnsi="Times New Roman" w:eastAsia="宋体" w:cs="Times New Roman"/>
                <w:spacing w:val="2"/>
                <w:sz w:val="20"/>
                <w:szCs w:val="20"/>
                <w:highlight w:val="none"/>
              </w:rPr>
              <w:t>混凝土基础</w:t>
            </w:r>
            <w:r>
              <w:rPr>
                <w:rFonts w:hint="default" w:ascii="Times New Roman" w:hAnsi="Times New Roman" w:eastAsia="Times New Roman" w:cs="Times New Roman"/>
                <w:spacing w:val="2"/>
                <w:sz w:val="20"/>
                <w:szCs w:val="20"/>
                <w:highlight w:val="none"/>
              </w:rPr>
              <w:t>+</w:t>
            </w:r>
            <w:r>
              <w:rPr>
                <w:rFonts w:hint="default" w:ascii="Times New Roman" w:hAnsi="Times New Roman" w:eastAsia="宋体" w:cs="Times New Roman"/>
                <w:spacing w:val="2"/>
                <w:sz w:val="20"/>
                <w:szCs w:val="20"/>
                <w:highlight w:val="none"/>
              </w:rPr>
              <w:t>双层夹芯彩钢，规格</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1"/>
                <w:sz w:val="20"/>
                <w:szCs w:val="20"/>
                <w:highlight w:val="none"/>
              </w:rPr>
              <w:t>为</w:t>
            </w:r>
            <w:r>
              <w:rPr>
                <w:rFonts w:hint="default" w:ascii="Times New Roman" w:hAnsi="Times New Roman" w:eastAsia="宋体"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20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15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×12 4</w:t>
            </w:r>
            <w:r>
              <w:rPr>
                <w:rFonts w:hint="default" w:ascii="Times New Roman" w:hAnsi="Times New Roman" w:eastAsia="Times New Roman" w:cs="Times New Roman"/>
                <w:sz w:val="20"/>
                <w:szCs w:val="20"/>
                <w:highlight w:val="none"/>
              </w:rPr>
              <w:t>m</w:t>
            </w:r>
          </w:p>
        </w:tc>
        <w:tc>
          <w:tcPr>
            <w:tcW w:w="1574" w:type="dxa"/>
            <w:vMerge w:val="continue"/>
            <w:tcBorders>
              <w:left w:val="single" w:color="000000" w:sz="4" w:space="0"/>
              <w:right w:val="single" w:color="000000" w:sz="10" w:space="0"/>
            </w:tcBorders>
            <w:vAlign w:val="top"/>
          </w:tcPr>
          <w:p>
            <w:pPr>
              <w:spacing w:before="65" w:line="310" w:lineRule="auto"/>
              <w:ind w:left="227" w:right="39" w:hanging="165"/>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12" w:type="dxa"/>
            <w:tcBorders>
              <w:left w:val="single" w:color="000000" w:sz="10" w:space="0"/>
              <w:right w:val="single" w:color="000000" w:sz="4" w:space="0"/>
            </w:tcBorders>
            <w:vAlign w:val="top"/>
          </w:tcPr>
          <w:p>
            <w:pPr>
              <w:spacing w:before="285" w:line="195" w:lineRule="auto"/>
              <w:ind w:left="14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828" w:type="dxa"/>
            <w:tcBorders>
              <w:left w:val="single" w:color="000000" w:sz="4" w:space="0"/>
              <w:right w:val="single" w:color="000000" w:sz="4" w:space="0"/>
            </w:tcBorders>
            <w:vAlign w:val="top"/>
          </w:tcPr>
          <w:p>
            <w:pPr>
              <w:spacing w:before="57" w:line="276" w:lineRule="auto"/>
              <w:ind w:left="190" w:right="97" w:hanging="106"/>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5"/>
                <w:sz w:val="20"/>
                <w:szCs w:val="20"/>
                <w:highlight w:val="none"/>
              </w:rPr>
              <w:t>3#</w:t>
            </w:r>
            <w:r>
              <w:rPr>
                <w:rFonts w:hint="default" w:ascii="Times New Roman" w:hAnsi="Times New Roman" w:eastAsia="宋体" w:cs="Times New Roman"/>
                <w:spacing w:val="5"/>
                <w:sz w:val="20"/>
                <w:szCs w:val="20"/>
                <w:highlight w:val="none"/>
              </w:rPr>
              <w:t>生产</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4"/>
                <w:sz w:val="20"/>
                <w:szCs w:val="20"/>
                <w:highlight w:val="none"/>
              </w:rPr>
              <w:t>车</w:t>
            </w:r>
            <w:r>
              <w:rPr>
                <w:rFonts w:hint="default" w:ascii="Times New Roman" w:hAnsi="Times New Roman" w:eastAsia="宋体" w:cs="Times New Roman"/>
                <w:spacing w:val="3"/>
                <w:sz w:val="20"/>
                <w:szCs w:val="20"/>
                <w:highlight w:val="none"/>
              </w:rPr>
              <w:t>间</w:t>
            </w:r>
          </w:p>
        </w:tc>
        <w:tc>
          <w:tcPr>
            <w:tcW w:w="968" w:type="dxa"/>
            <w:tcBorders>
              <w:left w:val="single" w:color="000000" w:sz="4" w:space="0"/>
              <w:right w:val="single" w:color="000000" w:sz="4" w:space="0"/>
            </w:tcBorders>
            <w:vAlign w:val="top"/>
          </w:tcPr>
          <w:p>
            <w:pPr>
              <w:spacing w:before="285" w:line="195" w:lineRule="auto"/>
              <w:ind w:left="33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87</w:t>
            </w:r>
            <w:r>
              <w:rPr>
                <w:rFonts w:hint="default" w:ascii="Times New Roman" w:hAnsi="Times New Roman" w:eastAsia="Times New Roman" w:cs="Times New Roman"/>
                <w:sz w:val="20"/>
                <w:szCs w:val="20"/>
                <w:highlight w:val="none"/>
              </w:rPr>
              <w:t>6</w:t>
            </w:r>
          </w:p>
        </w:tc>
        <w:tc>
          <w:tcPr>
            <w:tcW w:w="984" w:type="dxa"/>
            <w:gridSpan w:val="2"/>
            <w:tcBorders>
              <w:left w:val="single" w:color="000000" w:sz="4" w:space="0"/>
              <w:right w:val="single" w:color="000000" w:sz="4" w:space="0"/>
            </w:tcBorders>
            <w:vAlign w:val="top"/>
          </w:tcPr>
          <w:p>
            <w:pPr>
              <w:spacing w:before="285" w:line="195" w:lineRule="auto"/>
              <w:ind w:left="33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87</w:t>
            </w:r>
            <w:r>
              <w:rPr>
                <w:rFonts w:hint="default" w:ascii="Times New Roman" w:hAnsi="Times New Roman" w:eastAsia="Times New Roman" w:cs="Times New Roman"/>
                <w:sz w:val="20"/>
                <w:szCs w:val="20"/>
                <w:highlight w:val="none"/>
              </w:rPr>
              <w:t>6</w:t>
            </w:r>
          </w:p>
        </w:tc>
        <w:tc>
          <w:tcPr>
            <w:tcW w:w="3651" w:type="dxa"/>
            <w:gridSpan w:val="2"/>
            <w:tcBorders>
              <w:left w:val="single" w:color="000000" w:sz="4" w:space="0"/>
              <w:right w:val="single" w:color="000000" w:sz="4" w:space="0"/>
            </w:tcBorders>
            <w:vAlign w:val="top"/>
          </w:tcPr>
          <w:p>
            <w:pPr>
              <w:spacing w:before="59" w:line="276" w:lineRule="auto"/>
              <w:ind w:left="726" w:right="40" w:hanging="65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2"/>
                <w:sz w:val="20"/>
                <w:szCs w:val="20"/>
                <w:highlight w:val="none"/>
              </w:rPr>
              <w:t xml:space="preserve"> </w:t>
            </w:r>
            <w:r>
              <w:rPr>
                <w:rFonts w:hint="default" w:ascii="Times New Roman" w:hAnsi="Times New Roman" w:eastAsia="宋体" w:cs="Times New Roman"/>
                <w:spacing w:val="2"/>
                <w:sz w:val="20"/>
                <w:szCs w:val="20"/>
                <w:highlight w:val="none"/>
              </w:rPr>
              <w:t>混凝土基础</w:t>
            </w:r>
            <w:r>
              <w:rPr>
                <w:rFonts w:hint="default" w:ascii="Times New Roman" w:hAnsi="Times New Roman" w:eastAsia="Times New Roman" w:cs="Times New Roman"/>
                <w:spacing w:val="2"/>
                <w:sz w:val="20"/>
                <w:szCs w:val="20"/>
                <w:highlight w:val="none"/>
              </w:rPr>
              <w:t>+</w:t>
            </w:r>
            <w:r>
              <w:rPr>
                <w:rFonts w:hint="default" w:ascii="Times New Roman" w:hAnsi="Times New Roman" w:eastAsia="宋体" w:cs="Times New Roman"/>
                <w:spacing w:val="2"/>
                <w:sz w:val="20"/>
                <w:szCs w:val="20"/>
                <w:highlight w:val="none"/>
              </w:rPr>
              <w:t>双层夹芯彩钢，规格</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1"/>
                <w:sz w:val="20"/>
                <w:szCs w:val="20"/>
                <w:highlight w:val="none"/>
              </w:rPr>
              <w:t>为</w:t>
            </w:r>
            <w:r>
              <w:rPr>
                <w:rFonts w:hint="default" w:ascii="Times New Roman" w:hAnsi="Times New Roman" w:eastAsia="宋体" w:cs="Times New Roman"/>
                <w:spacing w:val="6"/>
                <w:sz w:val="20"/>
                <w:szCs w:val="20"/>
                <w:highlight w:val="none"/>
              </w:rPr>
              <w:t>：</w:t>
            </w:r>
            <w:r>
              <w:rPr>
                <w:rFonts w:hint="default" w:ascii="Times New Roman" w:hAnsi="Times New Roman" w:eastAsia="Times New Roman" w:cs="Times New Roman"/>
                <w:spacing w:val="6"/>
                <w:sz w:val="20"/>
                <w:szCs w:val="20"/>
                <w:highlight w:val="none"/>
              </w:rPr>
              <w:t>60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×14.6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×12.4</w:t>
            </w:r>
            <w:r>
              <w:rPr>
                <w:rFonts w:hint="default" w:ascii="Times New Roman" w:hAnsi="Times New Roman" w:eastAsia="Times New Roman" w:cs="Times New Roman"/>
                <w:sz w:val="20"/>
                <w:szCs w:val="20"/>
                <w:highlight w:val="none"/>
              </w:rPr>
              <w:t>m</w:t>
            </w:r>
          </w:p>
        </w:tc>
        <w:tc>
          <w:tcPr>
            <w:tcW w:w="1574" w:type="dxa"/>
            <w:vMerge w:val="continue"/>
            <w:tcBorders>
              <w:left w:val="single" w:color="000000" w:sz="4" w:space="0"/>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12" w:type="dxa"/>
            <w:tcBorders>
              <w:left w:val="single" w:color="000000" w:sz="10" w:space="0"/>
              <w:right w:val="single" w:color="000000" w:sz="4" w:space="0"/>
            </w:tcBorders>
            <w:vAlign w:val="top"/>
          </w:tcPr>
          <w:p>
            <w:pPr>
              <w:spacing w:before="278" w:line="195" w:lineRule="auto"/>
              <w:ind w:left="14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4</w:t>
            </w:r>
          </w:p>
        </w:tc>
        <w:tc>
          <w:tcPr>
            <w:tcW w:w="828" w:type="dxa"/>
            <w:tcBorders>
              <w:left w:val="single" w:color="000000" w:sz="4" w:space="0"/>
              <w:right w:val="single" w:color="000000" w:sz="4" w:space="0"/>
            </w:tcBorders>
            <w:vAlign w:val="top"/>
          </w:tcPr>
          <w:p>
            <w:pPr>
              <w:spacing w:before="81" w:line="262" w:lineRule="auto"/>
              <w:ind w:left="310" w:right="97" w:hanging="227"/>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5"/>
                <w:sz w:val="20"/>
                <w:szCs w:val="20"/>
                <w:highlight w:val="none"/>
                <w:lang w:val="en-US" w:eastAsia="zh-CN"/>
              </w:rPr>
              <w:t>4</w:t>
            </w:r>
            <w:r>
              <w:rPr>
                <w:rFonts w:hint="default" w:ascii="Times New Roman" w:hAnsi="Times New Roman" w:eastAsia="Times New Roman" w:cs="Times New Roman"/>
                <w:spacing w:val="5"/>
                <w:sz w:val="20"/>
                <w:szCs w:val="20"/>
                <w:highlight w:val="none"/>
              </w:rPr>
              <w:t>#</w:t>
            </w:r>
            <w:r>
              <w:rPr>
                <w:rFonts w:hint="default" w:ascii="Times New Roman" w:hAnsi="Times New Roman" w:eastAsia="宋体" w:cs="Times New Roman"/>
                <w:spacing w:val="5"/>
                <w:sz w:val="20"/>
                <w:szCs w:val="20"/>
                <w:highlight w:val="none"/>
              </w:rPr>
              <w:t>生产</w:t>
            </w:r>
            <w:r>
              <w:rPr>
                <w:rFonts w:hint="default" w:ascii="Times New Roman" w:hAnsi="Times New Roman" w:eastAsia="宋体" w:cs="Times New Roman"/>
                <w:sz w:val="20"/>
                <w:szCs w:val="20"/>
                <w:highlight w:val="none"/>
              </w:rPr>
              <w:t xml:space="preserve"> </w:t>
            </w:r>
            <w:r>
              <w:rPr>
                <w:rFonts w:hint="eastAsia" w:ascii="Times New Roman" w:hAnsi="Times New Roman" w:eastAsia="宋体" w:cs="Times New Roman"/>
                <w:sz w:val="20"/>
                <w:szCs w:val="20"/>
                <w:highlight w:val="none"/>
                <w:lang w:val="en-US" w:eastAsia="zh-CN"/>
              </w:rPr>
              <w:t>车</w:t>
            </w:r>
            <w:r>
              <w:rPr>
                <w:rFonts w:hint="default" w:ascii="Times New Roman" w:hAnsi="Times New Roman" w:eastAsia="宋体" w:cs="Times New Roman"/>
                <w:spacing w:val="3"/>
                <w:sz w:val="20"/>
                <w:szCs w:val="20"/>
                <w:highlight w:val="none"/>
              </w:rPr>
              <w:t>间</w:t>
            </w:r>
          </w:p>
        </w:tc>
        <w:tc>
          <w:tcPr>
            <w:tcW w:w="968" w:type="dxa"/>
            <w:tcBorders>
              <w:left w:val="single" w:color="000000" w:sz="4" w:space="0"/>
              <w:right w:val="single" w:color="000000" w:sz="4" w:space="0"/>
            </w:tcBorders>
            <w:vAlign w:val="top"/>
          </w:tcPr>
          <w:p>
            <w:pPr>
              <w:spacing w:before="278" w:line="195" w:lineRule="auto"/>
              <w:ind w:left="252"/>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876</w:t>
            </w:r>
          </w:p>
        </w:tc>
        <w:tc>
          <w:tcPr>
            <w:tcW w:w="984" w:type="dxa"/>
            <w:gridSpan w:val="2"/>
            <w:tcBorders>
              <w:left w:val="single" w:color="000000" w:sz="4" w:space="0"/>
              <w:right w:val="single" w:color="000000" w:sz="4" w:space="0"/>
            </w:tcBorders>
            <w:vAlign w:val="top"/>
          </w:tcPr>
          <w:p>
            <w:pPr>
              <w:spacing w:before="278" w:line="195" w:lineRule="auto"/>
              <w:ind w:left="255"/>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876</w:t>
            </w:r>
          </w:p>
        </w:tc>
        <w:tc>
          <w:tcPr>
            <w:tcW w:w="3651" w:type="dxa"/>
            <w:gridSpan w:val="2"/>
            <w:tcBorders>
              <w:left w:val="single" w:color="000000" w:sz="4" w:space="0"/>
              <w:right w:val="single" w:color="000000" w:sz="4" w:space="0"/>
            </w:tcBorders>
            <w:vAlign w:val="top"/>
          </w:tcPr>
          <w:p>
            <w:pPr>
              <w:spacing w:before="51" w:line="276" w:lineRule="auto"/>
              <w:ind w:left="805" w:right="40" w:hanging="73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2"/>
                <w:sz w:val="20"/>
                <w:szCs w:val="20"/>
                <w:highlight w:val="none"/>
              </w:rPr>
              <w:t xml:space="preserve"> </w:t>
            </w:r>
            <w:r>
              <w:rPr>
                <w:rFonts w:hint="default" w:ascii="Times New Roman" w:hAnsi="Times New Roman" w:eastAsia="宋体" w:cs="Times New Roman"/>
                <w:spacing w:val="2"/>
                <w:sz w:val="20"/>
                <w:szCs w:val="20"/>
                <w:highlight w:val="none"/>
              </w:rPr>
              <w:t>混凝土基础</w:t>
            </w:r>
            <w:r>
              <w:rPr>
                <w:rFonts w:hint="default" w:ascii="Times New Roman" w:hAnsi="Times New Roman" w:eastAsia="Times New Roman" w:cs="Times New Roman"/>
                <w:spacing w:val="2"/>
                <w:sz w:val="20"/>
                <w:szCs w:val="20"/>
                <w:highlight w:val="none"/>
              </w:rPr>
              <w:t>+</w:t>
            </w:r>
            <w:r>
              <w:rPr>
                <w:rFonts w:hint="default" w:ascii="Times New Roman" w:hAnsi="Times New Roman" w:eastAsia="宋体" w:cs="Times New Roman"/>
                <w:spacing w:val="2"/>
                <w:sz w:val="20"/>
                <w:szCs w:val="20"/>
                <w:highlight w:val="none"/>
              </w:rPr>
              <w:t>双层夹芯彩钢，规格</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2"/>
                <w:sz w:val="20"/>
                <w:szCs w:val="20"/>
                <w:highlight w:val="none"/>
              </w:rPr>
              <w:t>为</w:t>
            </w:r>
            <w:r>
              <w:rPr>
                <w:rFonts w:hint="default" w:ascii="Times New Roman" w:hAnsi="Times New Roman" w:eastAsia="宋体" w:cs="Times New Roman"/>
                <w:spacing w:val="8"/>
                <w:sz w:val="20"/>
                <w:szCs w:val="20"/>
                <w:highlight w:val="none"/>
              </w:rPr>
              <w:t>：</w:t>
            </w:r>
            <w:r>
              <w:rPr>
                <w:rFonts w:hint="eastAsia" w:ascii="Times New Roman" w:hAnsi="Times New Roman" w:eastAsia="宋体" w:cs="Times New Roman"/>
                <w:spacing w:val="6"/>
                <w:sz w:val="20"/>
                <w:szCs w:val="20"/>
                <w:highlight w:val="none"/>
                <w:lang w:val="en-US" w:eastAsia="zh-CN"/>
              </w:rPr>
              <w:t>60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14.6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12.4</w:t>
            </w:r>
            <w:r>
              <w:rPr>
                <w:rFonts w:hint="default" w:ascii="Times New Roman" w:hAnsi="Times New Roman" w:eastAsia="Times New Roman" w:cs="Times New Roman"/>
                <w:sz w:val="20"/>
                <w:szCs w:val="20"/>
                <w:highlight w:val="none"/>
              </w:rPr>
              <w:t>m</w:t>
            </w:r>
          </w:p>
        </w:tc>
        <w:tc>
          <w:tcPr>
            <w:tcW w:w="1574" w:type="dxa"/>
            <w:vMerge w:val="continue"/>
            <w:tcBorders>
              <w:left w:val="single" w:color="000000" w:sz="4" w:space="0"/>
              <w:right w:val="single" w:color="000000" w:sz="10" w:space="0"/>
            </w:tcBorders>
            <w:vAlign w:val="top"/>
          </w:tcPr>
          <w:p>
            <w:pPr>
              <w:spacing w:before="81" w:line="262" w:lineRule="auto"/>
              <w:ind w:left="639" w:hanging="578"/>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12" w:type="dxa"/>
            <w:tcBorders>
              <w:left w:val="single" w:color="000000" w:sz="10" w:space="0"/>
              <w:right w:val="single" w:color="000000" w:sz="4" w:space="0"/>
            </w:tcBorders>
            <w:vAlign w:val="top"/>
          </w:tcPr>
          <w:p>
            <w:pPr>
              <w:spacing w:before="279" w:line="195" w:lineRule="auto"/>
              <w:ind w:left="145" w:leftChars="0"/>
              <w:rPr>
                <w:rFonts w:hint="default"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5</w:t>
            </w:r>
          </w:p>
        </w:tc>
        <w:tc>
          <w:tcPr>
            <w:tcW w:w="828" w:type="dxa"/>
            <w:tcBorders>
              <w:left w:val="single" w:color="000000" w:sz="4" w:space="0"/>
              <w:right w:val="single" w:color="000000" w:sz="4" w:space="0"/>
            </w:tcBorders>
            <w:vAlign w:val="top"/>
          </w:tcPr>
          <w:p>
            <w:pPr>
              <w:spacing w:before="81" w:line="262" w:lineRule="auto"/>
              <w:ind w:left="310" w:leftChars="0" w:right="97" w:rightChars="0" w:hanging="227" w:firstLine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5</w:t>
            </w:r>
            <w:r>
              <w:rPr>
                <w:rFonts w:hint="default" w:ascii="Times New Roman" w:hAnsi="Times New Roman" w:eastAsia="Times New Roman" w:cs="Times New Roman"/>
                <w:spacing w:val="5"/>
                <w:sz w:val="20"/>
                <w:szCs w:val="20"/>
                <w:highlight w:val="none"/>
              </w:rPr>
              <w:t>#</w:t>
            </w:r>
            <w:r>
              <w:rPr>
                <w:rFonts w:hint="default" w:ascii="Times New Roman" w:hAnsi="Times New Roman" w:eastAsia="宋体" w:cs="Times New Roman"/>
                <w:spacing w:val="5"/>
                <w:sz w:val="20"/>
                <w:szCs w:val="20"/>
                <w:highlight w:val="none"/>
              </w:rPr>
              <w:t>生产</w:t>
            </w:r>
            <w:r>
              <w:rPr>
                <w:rFonts w:hint="default" w:ascii="Times New Roman" w:hAnsi="Times New Roman" w:eastAsia="宋体" w:cs="Times New Roman"/>
                <w:sz w:val="20"/>
                <w:szCs w:val="20"/>
                <w:highlight w:val="none"/>
              </w:rPr>
              <w:t xml:space="preserve"> </w:t>
            </w:r>
            <w:r>
              <w:rPr>
                <w:rFonts w:hint="eastAsia" w:ascii="Times New Roman" w:hAnsi="Times New Roman" w:eastAsia="宋体" w:cs="Times New Roman"/>
                <w:sz w:val="20"/>
                <w:szCs w:val="20"/>
                <w:highlight w:val="none"/>
                <w:lang w:val="en-US" w:eastAsia="zh-CN"/>
              </w:rPr>
              <w:t>车</w:t>
            </w:r>
            <w:r>
              <w:rPr>
                <w:rFonts w:hint="default" w:ascii="Times New Roman" w:hAnsi="Times New Roman" w:eastAsia="宋体" w:cs="Times New Roman"/>
                <w:spacing w:val="3"/>
                <w:sz w:val="20"/>
                <w:szCs w:val="20"/>
                <w:highlight w:val="none"/>
              </w:rPr>
              <w:t>间</w:t>
            </w:r>
          </w:p>
        </w:tc>
        <w:tc>
          <w:tcPr>
            <w:tcW w:w="968" w:type="dxa"/>
            <w:tcBorders>
              <w:left w:val="single" w:color="000000" w:sz="4" w:space="0"/>
              <w:right w:val="single" w:color="000000" w:sz="4" w:space="0"/>
            </w:tcBorders>
            <w:vAlign w:val="top"/>
          </w:tcPr>
          <w:p>
            <w:pPr>
              <w:spacing w:before="278" w:line="195" w:lineRule="auto"/>
              <w:ind w:left="252"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1800</w:t>
            </w:r>
          </w:p>
        </w:tc>
        <w:tc>
          <w:tcPr>
            <w:tcW w:w="984" w:type="dxa"/>
            <w:gridSpan w:val="2"/>
            <w:tcBorders>
              <w:left w:val="single" w:color="000000" w:sz="4" w:space="0"/>
              <w:right w:val="single" w:color="000000" w:sz="4" w:space="0"/>
            </w:tcBorders>
            <w:vAlign w:val="top"/>
          </w:tcPr>
          <w:p>
            <w:pPr>
              <w:spacing w:before="278" w:line="195" w:lineRule="auto"/>
              <w:ind w:left="255"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1800</w:t>
            </w:r>
          </w:p>
        </w:tc>
        <w:tc>
          <w:tcPr>
            <w:tcW w:w="3651" w:type="dxa"/>
            <w:gridSpan w:val="2"/>
            <w:tcBorders>
              <w:left w:val="single" w:color="000000" w:sz="4" w:space="0"/>
              <w:right w:val="single" w:color="000000" w:sz="4" w:space="0"/>
            </w:tcBorders>
            <w:vAlign w:val="top"/>
          </w:tcPr>
          <w:p>
            <w:pPr>
              <w:spacing w:before="51" w:line="276" w:lineRule="auto"/>
              <w:ind w:left="805" w:leftChars="0" w:right="40" w:rightChars="0" w:hanging="737" w:firstLine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2"/>
                <w:sz w:val="20"/>
                <w:szCs w:val="20"/>
                <w:highlight w:val="none"/>
              </w:rPr>
              <w:t xml:space="preserve"> </w:t>
            </w:r>
            <w:r>
              <w:rPr>
                <w:rFonts w:hint="default" w:ascii="Times New Roman" w:hAnsi="Times New Roman" w:eastAsia="宋体" w:cs="Times New Roman"/>
                <w:spacing w:val="2"/>
                <w:sz w:val="20"/>
                <w:szCs w:val="20"/>
                <w:highlight w:val="none"/>
              </w:rPr>
              <w:t>混凝土基础</w:t>
            </w:r>
            <w:r>
              <w:rPr>
                <w:rFonts w:hint="default" w:ascii="Times New Roman" w:hAnsi="Times New Roman" w:eastAsia="Times New Roman" w:cs="Times New Roman"/>
                <w:spacing w:val="2"/>
                <w:sz w:val="20"/>
                <w:szCs w:val="20"/>
                <w:highlight w:val="none"/>
              </w:rPr>
              <w:t>+</w:t>
            </w:r>
            <w:r>
              <w:rPr>
                <w:rFonts w:hint="default" w:ascii="Times New Roman" w:hAnsi="Times New Roman" w:eastAsia="宋体" w:cs="Times New Roman"/>
                <w:spacing w:val="2"/>
                <w:sz w:val="20"/>
                <w:szCs w:val="20"/>
                <w:highlight w:val="none"/>
              </w:rPr>
              <w:t>双层夹芯彩钢，规格</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2"/>
                <w:sz w:val="20"/>
                <w:szCs w:val="20"/>
                <w:highlight w:val="none"/>
              </w:rPr>
              <w:t>为</w:t>
            </w:r>
            <w:r>
              <w:rPr>
                <w:rFonts w:hint="default" w:ascii="Times New Roman" w:hAnsi="Times New Roman" w:eastAsia="宋体" w:cs="Times New Roman"/>
                <w:spacing w:val="8"/>
                <w:sz w:val="20"/>
                <w:szCs w:val="20"/>
                <w:highlight w:val="none"/>
              </w:rPr>
              <w:t>：</w:t>
            </w:r>
            <w:r>
              <w:rPr>
                <w:rFonts w:hint="eastAsia" w:ascii="Times New Roman" w:hAnsi="Times New Roman" w:eastAsia="宋体" w:cs="Times New Roman"/>
                <w:spacing w:val="6"/>
                <w:sz w:val="20"/>
                <w:szCs w:val="20"/>
                <w:highlight w:val="none"/>
                <w:lang w:val="en-US" w:eastAsia="zh-CN"/>
              </w:rPr>
              <w:t>60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30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w:t>
            </w:r>
            <w:r>
              <w:rPr>
                <w:rFonts w:hint="eastAsia" w:ascii="Times New Roman" w:hAnsi="Times New Roman" w:eastAsia="宋体" w:cs="Times New Roman"/>
                <w:spacing w:val="6"/>
                <w:sz w:val="20"/>
                <w:szCs w:val="20"/>
                <w:highlight w:val="none"/>
                <w:lang w:val="en-US" w:eastAsia="zh-CN"/>
              </w:rPr>
              <w:t>12</w:t>
            </w:r>
            <w:r>
              <w:rPr>
                <w:rFonts w:hint="default" w:ascii="Times New Roman" w:hAnsi="Times New Roman" w:eastAsia="Times New Roman" w:cs="Times New Roman"/>
                <w:sz w:val="20"/>
                <w:szCs w:val="20"/>
                <w:highlight w:val="none"/>
              </w:rPr>
              <w:t>m</w:t>
            </w:r>
          </w:p>
        </w:tc>
        <w:tc>
          <w:tcPr>
            <w:tcW w:w="1574" w:type="dxa"/>
            <w:vMerge w:val="restart"/>
            <w:tcBorders>
              <w:left w:val="single" w:color="000000" w:sz="4" w:space="0"/>
              <w:right w:val="single" w:color="000000" w:sz="10" w:space="0"/>
            </w:tcBorders>
            <w:vAlign w:val="center"/>
          </w:tcPr>
          <w:p>
            <w:pPr>
              <w:spacing w:before="81" w:line="262" w:lineRule="auto"/>
              <w:ind w:left="639" w:hanging="578"/>
              <w:jc w:val="center"/>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12" w:type="dxa"/>
            <w:tcBorders>
              <w:left w:val="single" w:color="000000" w:sz="10" w:space="0"/>
              <w:right w:val="single" w:color="000000" w:sz="4" w:space="0"/>
            </w:tcBorders>
            <w:vAlign w:val="top"/>
          </w:tcPr>
          <w:p>
            <w:pPr>
              <w:spacing w:before="281" w:line="195" w:lineRule="auto"/>
              <w:ind w:left="149"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6</w:t>
            </w:r>
          </w:p>
        </w:tc>
        <w:tc>
          <w:tcPr>
            <w:tcW w:w="828" w:type="dxa"/>
            <w:tcBorders>
              <w:left w:val="single" w:color="000000" w:sz="4" w:space="0"/>
              <w:right w:val="single" w:color="000000" w:sz="4" w:space="0"/>
            </w:tcBorders>
            <w:vAlign w:val="center"/>
          </w:tcPr>
          <w:p>
            <w:pPr>
              <w:spacing w:before="81" w:line="262" w:lineRule="auto"/>
              <w:ind w:left="310" w:leftChars="0" w:right="97" w:rightChars="0" w:hanging="227" w:firstLineChars="0"/>
              <w:jc w:val="center"/>
              <w:rPr>
                <w:rFonts w:hint="eastAsia" w:ascii="Times New Roman" w:hAnsi="Times New Roman" w:eastAsia="宋体" w:cs="Times New Roman"/>
                <w:spacing w:val="5"/>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原料棚</w:t>
            </w:r>
          </w:p>
        </w:tc>
        <w:tc>
          <w:tcPr>
            <w:tcW w:w="968" w:type="dxa"/>
            <w:tcBorders>
              <w:left w:val="single" w:color="000000" w:sz="4" w:space="0"/>
              <w:right w:val="single" w:color="000000" w:sz="4" w:space="0"/>
            </w:tcBorders>
            <w:vAlign w:val="center"/>
          </w:tcPr>
          <w:p>
            <w:pPr>
              <w:spacing w:before="278" w:line="195" w:lineRule="auto"/>
              <w:ind w:left="252" w:leftChars="0"/>
              <w:jc w:val="center"/>
              <w:rPr>
                <w:rFonts w:hint="eastAsia" w:ascii="Times New Roman" w:hAnsi="Times New Roman" w:eastAsia="宋体" w:cs="Times New Roman"/>
                <w:spacing w:val="4"/>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50</w:t>
            </w:r>
          </w:p>
        </w:tc>
        <w:tc>
          <w:tcPr>
            <w:tcW w:w="984" w:type="dxa"/>
            <w:gridSpan w:val="2"/>
            <w:tcBorders>
              <w:left w:val="single" w:color="000000" w:sz="4" w:space="0"/>
              <w:right w:val="single" w:color="000000" w:sz="4" w:space="0"/>
            </w:tcBorders>
            <w:vAlign w:val="center"/>
          </w:tcPr>
          <w:p>
            <w:pPr>
              <w:spacing w:before="278" w:line="195" w:lineRule="auto"/>
              <w:ind w:left="255" w:leftChars="0"/>
              <w:jc w:val="center"/>
              <w:rPr>
                <w:rFonts w:hint="eastAsia" w:ascii="Times New Roman" w:hAnsi="Times New Roman" w:eastAsia="宋体" w:cs="Times New Roman"/>
                <w:spacing w:val="4"/>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50</w:t>
            </w:r>
          </w:p>
        </w:tc>
        <w:tc>
          <w:tcPr>
            <w:tcW w:w="3651" w:type="dxa"/>
            <w:gridSpan w:val="2"/>
            <w:tcBorders>
              <w:left w:val="single" w:color="000000" w:sz="4" w:space="0"/>
              <w:right w:val="single" w:color="000000" w:sz="4" w:space="0"/>
            </w:tcBorders>
            <w:vAlign w:val="center"/>
          </w:tcPr>
          <w:p>
            <w:pPr>
              <w:spacing w:before="51" w:line="276" w:lineRule="auto"/>
              <w:ind w:left="805" w:leftChars="0" w:right="40" w:rightChars="0" w:hanging="737" w:firstLineChars="0"/>
              <w:jc w:val="center"/>
              <w:rPr>
                <w:rFonts w:hint="default" w:ascii="Times New Roman" w:hAnsi="Times New Roman" w:eastAsia="Times New Roman" w:cs="Times New Roman"/>
                <w:spacing w:val="2"/>
                <w:sz w:val="20"/>
                <w:szCs w:val="20"/>
                <w:highlight w:val="none"/>
              </w:rPr>
            </w:pPr>
            <w:r>
              <w:rPr>
                <w:rFonts w:hint="eastAsia" w:ascii="Times New Roman" w:hAnsi="Times New Roman" w:eastAsia="Times New Roman" w:cs="Times New Roman"/>
                <w:spacing w:val="2"/>
                <w:sz w:val="20"/>
                <w:szCs w:val="20"/>
                <w:highlight w:val="none"/>
                <w:lang w:val="en-US" w:eastAsia="zh-CN"/>
              </w:rPr>
              <w:t>三面围挡带顶</w:t>
            </w:r>
            <w:r>
              <w:rPr>
                <w:rFonts w:hint="default" w:ascii="Times New Roman" w:hAnsi="Times New Roman" w:eastAsia="Times New Roman" w:cs="Times New Roman"/>
                <w:spacing w:val="2"/>
                <w:sz w:val="20"/>
                <w:szCs w:val="20"/>
                <w:highlight w:val="none"/>
              </w:rPr>
              <w:t>，</w:t>
            </w:r>
            <w:r>
              <w:rPr>
                <w:rFonts w:hint="eastAsia" w:ascii="Times New Roman" w:hAnsi="Times New Roman" w:eastAsia="Times New Roman" w:cs="Times New Roman"/>
                <w:spacing w:val="2"/>
                <w:sz w:val="20"/>
                <w:szCs w:val="20"/>
                <w:highlight w:val="none"/>
                <w:lang w:val="en-US" w:eastAsia="zh-CN"/>
              </w:rPr>
              <w:t>进深不小于8米</w:t>
            </w:r>
            <w:r>
              <w:rPr>
                <w:rFonts w:hint="eastAsia" w:ascii="Times New Roman" w:hAnsi="Times New Roman" w:eastAsia="Times New Roman" w:cs="Times New Roman"/>
                <w:spacing w:val="2"/>
                <w:sz w:val="20"/>
                <w:szCs w:val="20"/>
                <w:highlight w:val="none"/>
              </w:rPr>
              <w:t>，</w:t>
            </w:r>
            <w:r>
              <w:rPr>
                <w:rFonts w:hint="eastAsia" w:ascii="Times New Roman" w:hAnsi="Times New Roman" w:eastAsia="Times New Roman" w:cs="Times New Roman"/>
                <w:spacing w:val="2"/>
                <w:sz w:val="20"/>
                <w:szCs w:val="20"/>
                <w:highlight w:val="none"/>
                <w:lang w:val="en-US" w:eastAsia="zh-CN"/>
              </w:rPr>
              <w:t>受料仓设喷雾抑尘装置</w:t>
            </w:r>
          </w:p>
          <w:p>
            <w:pPr>
              <w:spacing w:before="51" w:line="276" w:lineRule="auto"/>
              <w:ind w:left="805" w:leftChars="0" w:right="40" w:rightChars="0" w:hanging="737" w:firstLineChars="0"/>
              <w:jc w:val="center"/>
              <w:rPr>
                <w:rFonts w:hint="default" w:ascii="Times New Roman" w:hAnsi="Times New Roman" w:eastAsia="Times New Roman" w:cs="Times New Roman"/>
                <w:spacing w:val="3"/>
                <w:sz w:val="20"/>
                <w:szCs w:val="20"/>
                <w:highlight w:val="none"/>
              </w:rPr>
            </w:pPr>
            <w:r>
              <w:rPr>
                <w:rFonts w:hint="eastAsia" w:ascii="Times New Roman" w:hAnsi="Times New Roman" w:eastAsia="Times New Roman" w:cs="Times New Roman"/>
                <w:spacing w:val="2"/>
                <w:sz w:val="20"/>
                <w:szCs w:val="20"/>
                <w:highlight w:val="none"/>
              </w:rPr>
              <w:t>规格：</w:t>
            </w:r>
            <w:r>
              <w:rPr>
                <w:rFonts w:hint="eastAsia" w:ascii="Times New Roman" w:hAnsi="Times New Roman" w:eastAsia="Times New Roman" w:cs="Times New Roman"/>
                <w:spacing w:val="2"/>
                <w:sz w:val="20"/>
                <w:szCs w:val="20"/>
                <w:highlight w:val="none"/>
                <w:lang w:val="en-US" w:eastAsia="zh-CN"/>
              </w:rPr>
              <w:t>1</w:t>
            </w:r>
            <w:r>
              <w:rPr>
                <w:rFonts w:hint="eastAsia" w:ascii="Times New Roman" w:hAnsi="Times New Roman" w:eastAsia="Times New Roman" w:cs="Times New Roman"/>
                <w:spacing w:val="2"/>
                <w:sz w:val="20"/>
                <w:szCs w:val="20"/>
                <w:highlight w:val="none"/>
              </w:rPr>
              <w:t>0</w:t>
            </w:r>
            <w:r>
              <w:rPr>
                <w:rFonts w:hint="default" w:ascii="Times New Roman" w:hAnsi="Times New Roman" w:eastAsia="Times New Roman" w:cs="Times New Roman"/>
                <w:spacing w:val="2"/>
                <w:sz w:val="20"/>
                <w:szCs w:val="20"/>
                <w:highlight w:val="none"/>
              </w:rPr>
              <w:t>m×</w:t>
            </w:r>
            <w:r>
              <w:rPr>
                <w:rFonts w:hint="eastAsia" w:ascii="Times New Roman" w:hAnsi="Times New Roman" w:eastAsia="Times New Roman" w:cs="Times New Roman"/>
                <w:spacing w:val="2"/>
                <w:sz w:val="20"/>
                <w:szCs w:val="20"/>
                <w:highlight w:val="none"/>
                <w:lang w:val="en-US" w:eastAsia="zh-CN"/>
              </w:rPr>
              <w:t>5</w:t>
            </w:r>
            <w:r>
              <w:rPr>
                <w:rFonts w:hint="default" w:ascii="Times New Roman" w:hAnsi="Times New Roman" w:eastAsia="Times New Roman" w:cs="Times New Roman"/>
                <w:spacing w:val="2"/>
                <w:sz w:val="20"/>
                <w:szCs w:val="20"/>
                <w:highlight w:val="none"/>
              </w:rPr>
              <w:t>m×1</w:t>
            </w:r>
            <w:r>
              <w:rPr>
                <w:rFonts w:hint="eastAsia" w:ascii="Times New Roman" w:hAnsi="Times New Roman" w:eastAsia="宋体" w:cs="Times New Roman"/>
                <w:spacing w:val="2"/>
                <w:sz w:val="20"/>
                <w:szCs w:val="20"/>
                <w:highlight w:val="none"/>
                <w:lang w:val="en-US" w:eastAsia="zh-CN"/>
              </w:rPr>
              <w:t>2.4</w:t>
            </w:r>
            <w:r>
              <w:rPr>
                <w:rFonts w:hint="default" w:ascii="Times New Roman" w:hAnsi="Times New Roman" w:eastAsia="Times New Roman" w:cs="Times New Roman"/>
                <w:spacing w:val="2"/>
                <w:sz w:val="20"/>
                <w:szCs w:val="20"/>
                <w:highlight w:val="none"/>
              </w:rPr>
              <w:t>m</w:t>
            </w:r>
          </w:p>
        </w:tc>
        <w:tc>
          <w:tcPr>
            <w:tcW w:w="1574" w:type="dxa"/>
            <w:vMerge w:val="continue"/>
            <w:tcBorders>
              <w:left w:val="single" w:color="000000" w:sz="4" w:space="0"/>
              <w:right w:val="single" w:color="000000" w:sz="10" w:space="0"/>
            </w:tcBorders>
            <w:vAlign w:val="center"/>
          </w:tcPr>
          <w:p>
            <w:pPr>
              <w:spacing w:before="81" w:line="262" w:lineRule="auto"/>
              <w:ind w:left="310" w:leftChars="0" w:right="97" w:rightChars="0" w:hanging="227" w:firstLineChars="0"/>
              <w:jc w:val="center"/>
              <w:rPr>
                <w:rFonts w:hint="eastAsia" w:ascii="Times New Roman" w:hAnsi="Times New Roman" w:eastAsia="宋体" w:cs="Times New Roman"/>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12" w:type="dxa"/>
            <w:tcBorders>
              <w:left w:val="single" w:color="000000" w:sz="10" w:space="0"/>
              <w:right w:val="single" w:color="000000" w:sz="4" w:space="0"/>
            </w:tcBorders>
            <w:vAlign w:val="top"/>
          </w:tcPr>
          <w:p>
            <w:pPr>
              <w:spacing w:before="281" w:line="195" w:lineRule="auto"/>
              <w:ind w:left="14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7</w:t>
            </w:r>
          </w:p>
        </w:tc>
        <w:tc>
          <w:tcPr>
            <w:tcW w:w="828" w:type="dxa"/>
            <w:tcBorders>
              <w:left w:val="single" w:color="000000" w:sz="4" w:space="0"/>
              <w:right w:val="single" w:color="000000" w:sz="4" w:space="0"/>
            </w:tcBorders>
            <w:vAlign w:val="center"/>
          </w:tcPr>
          <w:p>
            <w:pPr>
              <w:spacing w:before="53" w:line="275" w:lineRule="auto"/>
              <w:ind w:left="295" w:right="97" w:hanging="195"/>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1"/>
                <w:sz w:val="20"/>
                <w:szCs w:val="20"/>
                <w:highlight w:val="none"/>
                <w:lang w:val="en-US" w:eastAsia="zh-CN"/>
              </w:rPr>
              <w:t>成品</w:t>
            </w:r>
            <w:r>
              <w:rPr>
                <w:rFonts w:hint="default" w:ascii="Times New Roman" w:hAnsi="Times New Roman" w:eastAsia="宋体" w:cs="Times New Roman"/>
                <w:sz w:val="20"/>
                <w:szCs w:val="20"/>
                <w:highlight w:val="none"/>
              </w:rPr>
              <w:t>库</w:t>
            </w:r>
          </w:p>
        </w:tc>
        <w:tc>
          <w:tcPr>
            <w:tcW w:w="968" w:type="dxa"/>
            <w:tcBorders>
              <w:left w:val="single" w:color="000000" w:sz="4" w:space="0"/>
              <w:right w:val="single" w:color="000000" w:sz="4" w:space="0"/>
            </w:tcBorders>
            <w:vAlign w:val="top"/>
          </w:tcPr>
          <w:p>
            <w:pPr>
              <w:spacing w:before="279" w:line="195" w:lineRule="auto"/>
              <w:ind w:left="277" w:leftChars="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3"/>
                <w:sz w:val="20"/>
                <w:szCs w:val="20"/>
                <w:highlight w:val="none"/>
                <w:lang w:val="en-US" w:eastAsia="zh-CN"/>
              </w:rPr>
              <w:t>18</w:t>
            </w:r>
            <w:r>
              <w:rPr>
                <w:rFonts w:hint="default" w:ascii="Times New Roman" w:hAnsi="Times New Roman" w:eastAsia="Times New Roman" w:cs="Times New Roman"/>
                <w:spacing w:val="3"/>
                <w:sz w:val="20"/>
                <w:szCs w:val="20"/>
                <w:highlight w:val="none"/>
              </w:rPr>
              <w:t>00</w:t>
            </w:r>
          </w:p>
        </w:tc>
        <w:tc>
          <w:tcPr>
            <w:tcW w:w="984" w:type="dxa"/>
            <w:gridSpan w:val="2"/>
            <w:tcBorders>
              <w:left w:val="single" w:color="000000" w:sz="4" w:space="0"/>
              <w:right w:val="single" w:color="000000" w:sz="4" w:space="0"/>
            </w:tcBorders>
            <w:vAlign w:val="top"/>
          </w:tcPr>
          <w:p>
            <w:pPr>
              <w:spacing w:before="279" w:line="195" w:lineRule="auto"/>
              <w:ind w:left="280" w:leftChars="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3"/>
                <w:sz w:val="20"/>
                <w:szCs w:val="20"/>
                <w:highlight w:val="none"/>
                <w:lang w:val="en-US" w:eastAsia="zh-CN"/>
              </w:rPr>
              <w:t>18</w:t>
            </w:r>
            <w:r>
              <w:rPr>
                <w:rFonts w:hint="default" w:ascii="Times New Roman" w:hAnsi="Times New Roman" w:eastAsia="Times New Roman" w:cs="Times New Roman"/>
                <w:spacing w:val="3"/>
                <w:sz w:val="20"/>
                <w:szCs w:val="20"/>
                <w:highlight w:val="none"/>
              </w:rPr>
              <w:t>00</w:t>
            </w:r>
          </w:p>
        </w:tc>
        <w:tc>
          <w:tcPr>
            <w:tcW w:w="3651" w:type="dxa"/>
            <w:gridSpan w:val="2"/>
            <w:tcBorders>
              <w:left w:val="single" w:color="000000" w:sz="4" w:space="0"/>
              <w:right w:val="single" w:color="000000" w:sz="4" w:space="0"/>
            </w:tcBorders>
            <w:vAlign w:val="top"/>
          </w:tcPr>
          <w:p>
            <w:pPr>
              <w:spacing w:before="52" w:line="274" w:lineRule="exact"/>
              <w:ind w:left="48"/>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9"/>
                <w:position w:val="1"/>
                <w:sz w:val="20"/>
                <w:szCs w:val="20"/>
                <w:highlight w:val="none"/>
              </w:rPr>
              <w:t>2</w:t>
            </w:r>
            <w:r>
              <w:rPr>
                <w:rFonts w:hint="default" w:ascii="Times New Roman" w:hAnsi="Times New Roman" w:eastAsia="Times New Roman" w:cs="Times New Roman"/>
                <w:spacing w:val="5"/>
                <w:position w:val="1"/>
                <w:sz w:val="20"/>
                <w:szCs w:val="20"/>
                <w:highlight w:val="none"/>
              </w:rPr>
              <w:t>.0</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5"/>
                <w:position w:val="1"/>
                <w:sz w:val="20"/>
                <w:szCs w:val="20"/>
                <w:highlight w:val="none"/>
              </w:rPr>
              <w:t xml:space="preserve"> </w:t>
            </w:r>
            <w:r>
              <w:rPr>
                <w:rFonts w:hint="default" w:ascii="Times New Roman" w:hAnsi="Times New Roman" w:eastAsia="宋体" w:cs="Times New Roman"/>
                <w:spacing w:val="5"/>
                <w:position w:val="1"/>
                <w:sz w:val="20"/>
                <w:szCs w:val="20"/>
                <w:highlight w:val="none"/>
              </w:rPr>
              <w:t>混凝土基础</w:t>
            </w:r>
            <w:r>
              <w:rPr>
                <w:rFonts w:hint="default" w:ascii="Times New Roman" w:hAnsi="Times New Roman" w:eastAsia="Times New Roman" w:cs="Times New Roman"/>
                <w:spacing w:val="5"/>
                <w:position w:val="1"/>
                <w:sz w:val="20"/>
                <w:szCs w:val="20"/>
                <w:highlight w:val="none"/>
              </w:rPr>
              <w:t>+</w:t>
            </w:r>
            <w:r>
              <w:rPr>
                <w:rFonts w:hint="default" w:ascii="Times New Roman" w:hAnsi="Times New Roman" w:eastAsia="宋体" w:cs="Times New Roman"/>
                <w:spacing w:val="5"/>
                <w:position w:val="1"/>
                <w:sz w:val="20"/>
                <w:szCs w:val="20"/>
                <w:highlight w:val="none"/>
              </w:rPr>
              <w:t>单层彩钢，规格为：</w:t>
            </w:r>
          </w:p>
          <w:p>
            <w:pPr>
              <w:spacing w:before="111" w:line="195" w:lineRule="auto"/>
              <w:ind w:left="1092" w:leftChars="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7"/>
                <w:sz w:val="20"/>
                <w:szCs w:val="20"/>
                <w:highlight w:val="none"/>
                <w:lang w:val="en-US" w:eastAsia="zh-CN"/>
              </w:rPr>
              <w:t>6</w:t>
            </w:r>
            <w:r>
              <w:rPr>
                <w:rFonts w:hint="default" w:ascii="Times New Roman" w:hAnsi="Times New Roman" w:eastAsia="Times New Roman" w:cs="Times New Roman"/>
                <w:spacing w:val="7"/>
                <w:sz w:val="20"/>
                <w:szCs w:val="20"/>
                <w:highlight w:val="none"/>
              </w:rPr>
              <w:t>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×30×1</w:t>
            </w:r>
            <w:r>
              <w:rPr>
                <w:rFonts w:hint="eastAsia" w:ascii="Times New Roman" w:hAnsi="Times New Roman" w:eastAsia="宋体" w:cs="Times New Roman"/>
                <w:spacing w:val="6"/>
                <w:sz w:val="20"/>
                <w:szCs w:val="20"/>
                <w:highlight w:val="none"/>
                <w:lang w:val="en-US" w:eastAsia="zh-CN"/>
              </w:rPr>
              <w:t>2</w:t>
            </w:r>
            <w:r>
              <w:rPr>
                <w:rFonts w:hint="default" w:ascii="Times New Roman" w:hAnsi="Times New Roman" w:eastAsia="Times New Roman" w:cs="Times New Roman"/>
                <w:sz w:val="20"/>
                <w:szCs w:val="20"/>
                <w:highlight w:val="none"/>
              </w:rPr>
              <w:t>m</w:t>
            </w:r>
          </w:p>
        </w:tc>
        <w:tc>
          <w:tcPr>
            <w:tcW w:w="1574" w:type="dxa"/>
            <w:vMerge w:val="restart"/>
            <w:tcBorders>
              <w:left w:val="single" w:color="000000" w:sz="4" w:space="0"/>
              <w:right w:val="single" w:color="000000" w:sz="10" w:space="0"/>
            </w:tcBorders>
            <w:vAlign w:val="center"/>
          </w:tcPr>
          <w:p>
            <w:pPr>
              <w:spacing w:line="333" w:lineRule="auto"/>
              <w:jc w:val="center"/>
              <w:rPr>
                <w:rFonts w:hint="default" w:ascii="Times New Roman" w:hAnsi="Times New Roman" w:cs="Times New Roman"/>
                <w:sz w:val="21"/>
                <w:highlight w:val="none"/>
              </w:rPr>
            </w:pPr>
            <w:r>
              <w:rPr>
                <w:rFonts w:hint="eastAsia" w:ascii="Times New Roman" w:hAnsi="Times New Roman" w:eastAsia="宋体" w:cs="Times New Roman"/>
                <w:spacing w:val="-4"/>
                <w:sz w:val="20"/>
                <w:szCs w:val="20"/>
                <w:highlight w:val="none"/>
                <w:lang w:val="en-US" w:eastAsia="zh-CN"/>
              </w:rPr>
              <w:t>现有</w:t>
            </w:r>
          </w:p>
          <w:p>
            <w:pPr>
              <w:spacing w:before="65" w:line="229" w:lineRule="auto"/>
              <w:ind w:left="647"/>
              <w:jc w:val="center"/>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412" w:type="dxa"/>
            <w:tcBorders>
              <w:left w:val="single" w:color="000000" w:sz="10" w:space="0"/>
              <w:right w:val="single" w:color="000000" w:sz="4" w:space="0"/>
            </w:tcBorders>
            <w:vAlign w:val="top"/>
          </w:tcPr>
          <w:p>
            <w:pPr>
              <w:spacing w:before="279" w:line="195" w:lineRule="auto"/>
              <w:ind w:left="108"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8</w:t>
            </w:r>
          </w:p>
        </w:tc>
        <w:tc>
          <w:tcPr>
            <w:tcW w:w="828" w:type="dxa"/>
            <w:tcBorders>
              <w:left w:val="single" w:color="000000" w:sz="4" w:space="0"/>
              <w:right w:val="single" w:color="000000" w:sz="4" w:space="0"/>
            </w:tcBorders>
            <w:vAlign w:val="top"/>
          </w:tcPr>
          <w:p>
            <w:pPr>
              <w:spacing w:before="84" w:line="261" w:lineRule="auto"/>
              <w:ind w:left="295" w:right="97" w:hanging="21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砂石料</w:t>
            </w:r>
            <w:r>
              <w:rPr>
                <w:rFonts w:hint="default" w:ascii="Times New Roman" w:hAnsi="Times New Roman" w:eastAsia="宋体" w:cs="Times New Roman"/>
                <w:sz w:val="20"/>
                <w:szCs w:val="20"/>
                <w:highlight w:val="none"/>
              </w:rPr>
              <w:t xml:space="preserve"> 库</w:t>
            </w:r>
          </w:p>
        </w:tc>
        <w:tc>
          <w:tcPr>
            <w:tcW w:w="968" w:type="dxa"/>
            <w:tcBorders>
              <w:left w:val="single" w:color="000000" w:sz="4" w:space="0"/>
              <w:right w:val="single" w:color="000000" w:sz="4" w:space="0"/>
            </w:tcBorders>
            <w:vAlign w:val="top"/>
          </w:tcPr>
          <w:p>
            <w:pPr>
              <w:spacing w:before="281" w:line="195" w:lineRule="auto"/>
              <w:ind w:left="279"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6750</w:t>
            </w:r>
          </w:p>
        </w:tc>
        <w:tc>
          <w:tcPr>
            <w:tcW w:w="984" w:type="dxa"/>
            <w:gridSpan w:val="2"/>
            <w:tcBorders>
              <w:left w:val="single" w:color="000000" w:sz="4" w:space="0"/>
              <w:right w:val="single" w:color="000000" w:sz="4" w:space="0"/>
            </w:tcBorders>
            <w:vAlign w:val="top"/>
          </w:tcPr>
          <w:p>
            <w:pPr>
              <w:spacing w:before="281" w:line="195" w:lineRule="auto"/>
              <w:ind w:left="281"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6750</w:t>
            </w:r>
          </w:p>
        </w:tc>
        <w:tc>
          <w:tcPr>
            <w:tcW w:w="3651" w:type="dxa"/>
            <w:gridSpan w:val="2"/>
            <w:tcBorders>
              <w:left w:val="single" w:color="000000" w:sz="4" w:space="0"/>
              <w:right w:val="single" w:color="000000" w:sz="4" w:space="0"/>
            </w:tcBorders>
            <w:vAlign w:val="top"/>
          </w:tcPr>
          <w:p>
            <w:pPr>
              <w:spacing w:before="53" w:line="274" w:lineRule="exact"/>
              <w:ind w:left="48"/>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9"/>
                <w:position w:val="1"/>
                <w:sz w:val="20"/>
                <w:szCs w:val="20"/>
                <w:highlight w:val="none"/>
              </w:rPr>
              <w:t>2</w:t>
            </w:r>
            <w:r>
              <w:rPr>
                <w:rFonts w:hint="default" w:ascii="Times New Roman" w:hAnsi="Times New Roman" w:eastAsia="Times New Roman" w:cs="Times New Roman"/>
                <w:spacing w:val="5"/>
                <w:position w:val="1"/>
                <w:sz w:val="20"/>
                <w:szCs w:val="20"/>
                <w:highlight w:val="none"/>
              </w:rPr>
              <w:t>.0</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5"/>
                <w:position w:val="1"/>
                <w:sz w:val="20"/>
                <w:szCs w:val="20"/>
                <w:highlight w:val="none"/>
              </w:rPr>
              <w:t xml:space="preserve"> </w:t>
            </w:r>
            <w:r>
              <w:rPr>
                <w:rFonts w:hint="default" w:ascii="Times New Roman" w:hAnsi="Times New Roman" w:eastAsia="宋体" w:cs="Times New Roman"/>
                <w:spacing w:val="5"/>
                <w:position w:val="1"/>
                <w:sz w:val="20"/>
                <w:szCs w:val="20"/>
                <w:highlight w:val="none"/>
              </w:rPr>
              <w:t>混凝土基础</w:t>
            </w:r>
            <w:r>
              <w:rPr>
                <w:rFonts w:hint="default" w:ascii="Times New Roman" w:hAnsi="Times New Roman" w:eastAsia="Times New Roman" w:cs="Times New Roman"/>
                <w:spacing w:val="5"/>
                <w:position w:val="1"/>
                <w:sz w:val="20"/>
                <w:szCs w:val="20"/>
                <w:highlight w:val="none"/>
              </w:rPr>
              <w:t>+</w:t>
            </w:r>
            <w:r>
              <w:rPr>
                <w:rFonts w:hint="default" w:ascii="Times New Roman" w:hAnsi="Times New Roman" w:eastAsia="宋体" w:cs="Times New Roman"/>
                <w:spacing w:val="5"/>
                <w:position w:val="1"/>
                <w:sz w:val="20"/>
                <w:szCs w:val="20"/>
                <w:highlight w:val="none"/>
              </w:rPr>
              <w:t>单层彩钢，规格为：</w:t>
            </w:r>
          </w:p>
          <w:p>
            <w:pPr>
              <w:spacing w:before="111" w:line="195" w:lineRule="auto"/>
              <w:ind w:left="1054" w:leftChars="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sz w:val="20"/>
                <w:szCs w:val="20"/>
                <w:highlight w:val="none"/>
                <w:lang w:val="en-US" w:eastAsia="zh-CN"/>
              </w:rPr>
              <w:t>90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5"/>
                <w:sz w:val="20"/>
                <w:szCs w:val="20"/>
                <w:highlight w:val="none"/>
                <w:lang w:val="en-US" w:eastAsia="zh-CN"/>
              </w:rPr>
              <w:t>75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×1</w:t>
            </w:r>
            <w:r>
              <w:rPr>
                <w:rFonts w:hint="default" w:ascii="Times New Roman" w:hAnsi="Times New Roman" w:eastAsia="Times New Roman" w:cs="Times New Roman"/>
                <w:spacing w:val="4"/>
                <w:sz w:val="20"/>
                <w:szCs w:val="20"/>
                <w:highlight w:val="none"/>
              </w:rPr>
              <w:t>2</w:t>
            </w:r>
            <w:r>
              <w:rPr>
                <w:rFonts w:hint="default" w:ascii="Times New Roman" w:hAnsi="Times New Roman" w:eastAsia="Times New Roman" w:cs="Times New Roman"/>
                <w:sz w:val="20"/>
                <w:szCs w:val="20"/>
                <w:highlight w:val="none"/>
              </w:rPr>
              <w:t>m</w:t>
            </w:r>
          </w:p>
        </w:tc>
        <w:tc>
          <w:tcPr>
            <w:tcW w:w="1574" w:type="dxa"/>
            <w:vMerge w:val="continue"/>
            <w:tcBorders>
              <w:left w:val="single" w:color="000000" w:sz="4" w:space="0"/>
              <w:right w:val="single" w:color="000000" w:sz="10" w:space="0"/>
            </w:tcBorders>
            <w:vAlign w:val="top"/>
          </w:tcPr>
          <w:p>
            <w:pPr>
              <w:spacing w:before="245" w:line="229"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412" w:type="dxa"/>
            <w:tcBorders>
              <w:left w:val="single" w:color="000000" w:sz="10" w:space="0"/>
              <w:right w:val="single" w:color="000000" w:sz="4" w:space="0"/>
            </w:tcBorders>
            <w:vAlign w:val="top"/>
          </w:tcPr>
          <w:p>
            <w:pPr>
              <w:spacing w:before="121" w:line="195" w:lineRule="auto"/>
              <w:ind w:left="111"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11"/>
                <w:sz w:val="20"/>
                <w:szCs w:val="20"/>
                <w:highlight w:val="none"/>
                <w:lang w:val="en-US" w:eastAsia="zh-CN"/>
              </w:rPr>
              <w:t>9</w:t>
            </w:r>
          </w:p>
        </w:tc>
        <w:tc>
          <w:tcPr>
            <w:tcW w:w="828" w:type="dxa"/>
            <w:tcBorders>
              <w:left w:val="single" w:color="000000" w:sz="4" w:space="0"/>
              <w:right w:val="single" w:color="000000" w:sz="4" w:space="0"/>
            </w:tcBorders>
            <w:vAlign w:val="top"/>
          </w:tcPr>
          <w:p>
            <w:pPr>
              <w:spacing w:before="245" w:line="228" w:lineRule="auto"/>
              <w:ind w:left="83"/>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中转</w:t>
            </w:r>
            <w:r>
              <w:rPr>
                <w:rFonts w:hint="default" w:ascii="Times New Roman" w:hAnsi="Times New Roman" w:eastAsia="宋体" w:cs="Times New Roman"/>
                <w:spacing w:val="6"/>
                <w:sz w:val="20"/>
                <w:szCs w:val="20"/>
                <w:highlight w:val="none"/>
              </w:rPr>
              <w:t>库</w:t>
            </w:r>
          </w:p>
        </w:tc>
        <w:tc>
          <w:tcPr>
            <w:tcW w:w="968" w:type="dxa"/>
            <w:tcBorders>
              <w:left w:val="single" w:color="000000" w:sz="4" w:space="0"/>
              <w:right w:val="single" w:color="000000" w:sz="4" w:space="0"/>
            </w:tcBorders>
            <w:vAlign w:val="top"/>
          </w:tcPr>
          <w:p>
            <w:pPr>
              <w:spacing w:before="281" w:line="195" w:lineRule="auto"/>
              <w:ind w:left="293"/>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1"/>
                <w:sz w:val="20"/>
                <w:szCs w:val="20"/>
                <w:highlight w:val="none"/>
                <w:lang w:val="en-US" w:eastAsia="zh-CN"/>
              </w:rPr>
              <w:t>80</w:t>
            </w:r>
          </w:p>
        </w:tc>
        <w:tc>
          <w:tcPr>
            <w:tcW w:w="984" w:type="dxa"/>
            <w:gridSpan w:val="2"/>
            <w:tcBorders>
              <w:left w:val="single" w:color="000000" w:sz="4" w:space="0"/>
              <w:right w:val="single" w:color="000000" w:sz="4" w:space="0"/>
            </w:tcBorders>
            <w:vAlign w:val="top"/>
          </w:tcPr>
          <w:p>
            <w:pPr>
              <w:spacing w:before="281" w:line="195" w:lineRule="auto"/>
              <w:ind w:left="296"/>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1"/>
                <w:sz w:val="20"/>
                <w:szCs w:val="20"/>
                <w:highlight w:val="none"/>
                <w:lang w:val="en-US" w:eastAsia="zh-CN"/>
              </w:rPr>
              <w:t>8</w:t>
            </w:r>
            <w:r>
              <w:rPr>
                <w:rFonts w:hint="default" w:ascii="Times New Roman" w:hAnsi="Times New Roman" w:eastAsia="Times New Roman" w:cs="Times New Roman"/>
                <w:spacing w:val="-1"/>
                <w:sz w:val="20"/>
                <w:szCs w:val="20"/>
                <w:highlight w:val="none"/>
              </w:rPr>
              <w:t>0</w:t>
            </w:r>
          </w:p>
        </w:tc>
        <w:tc>
          <w:tcPr>
            <w:tcW w:w="3651" w:type="dxa"/>
            <w:gridSpan w:val="2"/>
            <w:tcBorders>
              <w:left w:val="single" w:color="000000" w:sz="4" w:space="0"/>
              <w:right w:val="single" w:color="000000" w:sz="4" w:space="0"/>
            </w:tcBorders>
            <w:vAlign w:val="top"/>
          </w:tcPr>
          <w:p>
            <w:pPr>
              <w:spacing w:before="53" w:line="275" w:lineRule="exact"/>
              <w:ind w:left="48"/>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9"/>
                <w:position w:val="1"/>
                <w:sz w:val="20"/>
                <w:szCs w:val="20"/>
                <w:highlight w:val="none"/>
              </w:rPr>
              <w:t>2</w:t>
            </w:r>
            <w:r>
              <w:rPr>
                <w:rFonts w:hint="default" w:ascii="Times New Roman" w:hAnsi="Times New Roman" w:eastAsia="Times New Roman" w:cs="Times New Roman"/>
                <w:spacing w:val="5"/>
                <w:position w:val="1"/>
                <w:sz w:val="20"/>
                <w:szCs w:val="20"/>
                <w:highlight w:val="none"/>
              </w:rPr>
              <w:t>.0</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5"/>
                <w:position w:val="1"/>
                <w:sz w:val="20"/>
                <w:szCs w:val="20"/>
                <w:highlight w:val="none"/>
              </w:rPr>
              <w:t xml:space="preserve"> </w:t>
            </w:r>
            <w:r>
              <w:rPr>
                <w:rFonts w:hint="default" w:ascii="Times New Roman" w:hAnsi="Times New Roman" w:eastAsia="宋体" w:cs="Times New Roman"/>
                <w:spacing w:val="5"/>
                <w:position w:val="1"/>
                <w:sz w:val="20"/>
                <w:szCs w:val="20"/>
                <w:highlight w:val="none"/>
              </w:rPr>
              <w:t>混凝土基础</w:t>
            </w:r>
            <w:r>
              <w:rPr>
                <w:rFonts w:hint="default" w:ascii="Times New Roman" w:hAnsi="Times New Roman" w:eastAsia="Times New Roman" w:cs="Times New Roman"/>
                <w:spacing w:val="5"/>
                <w:position w:val="1"/>
                <w:sz w:val="20"/>
                <w:szCs w:val="20"/>
                <w:highlight w:val="none"/>
              </w:rPr>
              <w:t>+</w:t>
            </w:r>
            <w:r>
              <w:rPr>
                <w:rFonts w:hint="default" w:ascii="Times New Roman" w:hAnsi="Times New Roman" w:eastAsia="宋体" w:cs="Times New Roman"/>
                <w:spacing w:val="5"/>
                <w:position w:val="1"/>
                <w:sz w:val="20"/>
                <w:szCs w:val="20"/>
                <w:highlight w:val="none"/>
              </w:rPr>
              <w:t>单层彩钢，规格为：</w:t>
            </w:r>
          </w:p>
          <w:p>
            <w:pPr>
              <w:spacing w:before="111" w:line="195" w:lineRule="auto"/>
              <w:ind w:left="1092"/>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7"/>
                <w:sz w:val="20"/>
                <w:szCs w:val="20"/>
                <w:highlight w:val="none"/>
                <w:lang w:val="en-US" w:eastAsia="zh-CN"/>
              </w:rPr>
              <w:t>10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8</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1574" w:type="dxa"/>
            <w:vMerge w:val="continue"/>
            <w:tcBorders>
              <w:left w:val="single" w:color="000000" w:sz="4" w:space="0"/>
              <w:right w:val="single" w:color="000000" w:sz="10" w:space="0"/>
            </w:tcBorders>
            <w:vAlign w:val="top"/>
          </w:tcPr>
          <w:p>
            <w:pPr>
              <w:spacing w:before="245" w:line="229"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412" w:type="dxa"/>
            <w:tcBorders>
              <w:left w:val="single" w:color="000000" w:sz="10" w:space="0"/>
              <w:right w:val="single" w:color="000000" w:sz="4" w:space="0"/>
            </w:tcBorders>
            <w:vAlign w:val="center"/>
          </w:tcPr>
          <w:p>
            <w:pPr>
              <w:spacing w:before="58" w:line="195" w:lineRule="auto"/>
              <w:jc w:val="center"/>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10</w:t>
            </w:r>
          </w:p>
        </w:tc>
        <w:tc>
          <w:tcPr>
            <w:tcW w:w="828" w:type="dxa"/>
            <w:tcBorders>
              <w:left w:val="single" w:color="000000" w:sz="4" w:space="0"/>
              <w:right w:val="single" w:color="000000" w:sz="4" w:space="0"/>
            </w:tcBorders>
            <w:vAlign w:val="top"/>
          </w:tcPr>
          <w:p>
            <w:pPr>
              <w:spacing w:before="84" w:line="261" w:lineRule="auto"/>
              <w:ind w:left="83" w:right="97" w:firstLine="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办</w:t>
            </w:r>
            <w:r>
              <w:rPr>
                <w:rFonts w:hint="default" w:ascii="Times New Roman" w:hAnsi="Times New Roman" w:eastAsia="宋体" w:cs="Times New Roman"/>
                <w:spacing w:val="5"/>
                <w:sz w:val="20"/>
                <w:szCs w:val="20"/>
                <w:highlight w:val="none"/>
              </w:rPr>
              <w:t>公辅</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7"/>
                <w:sz w:val="20"/>
                <w:szCs w:val="20"/>
                <w:highlight w:val="none"/>
              </w:rPr>
              <w:t>助用</w:t>
            </w:r>
            <w:r>
              <w:rPr>
                <w:rFonts w:hint="default" w:ascii="Times New Roman" w:hAnsi="Times New Roman" w:eastAsia="宋体" w:cs="Times New Roman"/>
                <w:spacing w:val="6"/>
                <w:sz w:val="20"/>
                <w:szCs w:val="20"/>
                <w:highlight w:val="none"/>
              </w:rPr>
              <w:t>房</w:t>
            </w:r>
          </w:p>
        </w:tc>
        <w:tc>
          <w:tcPr>
            <w:tcW w:w="968" w:type="dxa"/>
            <w:tcBorders>
              <w:left w:val="single" w:color="000000" w:sz="4" w:space="0"/>
              <w:right w:val="single" w:color="000000" w:sz="4" w:space="0"/>
            </w:tcBorders>
            <w:vAlign w:val="top"/>
          </w:tcPr>
          <w:p>
            <w:pPr>
              <w:spacing w:before="279" w:line="195" w:lineRule="auto"/>
              <w:ind w:left="32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10</w:t>
            </w:r>
          </w:p>
        </w:tc>
        <w:tc>
          <w:tcPr>
            <w:tcW w:w="984" w:type="dxa"/>
            <w:gridSpan w:val="2"/>
            <w:tcBorders>
              <w:left w:val="single" w:color="000000" w:sz="4" w:space="0"/>
              <w:right w:val="single" w:color="000000" w:sz="4" w:space="0"/>
            </w:tcBorders>
            <w:vAlign w:val="top"/>
          </w:tcPr>
          <w:p>
            <w:pPr>
              <w:spacing w:before="279" w:line="195" w:lineRule="auto"/>
              <w:ind w:left="32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10</w:t>
            </w:r>
          </w:p>
        </w:tc>
        <w:tc>
          <w:tcPr>
            <w:tcW w:w="3651" w:type="dxa"/>
            <w:gridSpan w:val="2"/>
            <w:tcBorders>
              <w:left w:val="single" w:color="000000" w:sz="4" w:space="0"/>
              <w:right w:val="single" w:color="000000" w:sz="4" w:space="0"/>
            </w:tcBorders>
            <w:vAlign w:val="top"/>
          </w:tcPr>
          <w:p>
            <w:pPr>
              <w:spacing w:before="242" w:line="228" w:lineRule="auto"/>
              <w:ind w:left="134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砖</w:t>
            </w:r>
            <w:r>
              <w:rPr>
                <w:rFonts w:hint="default" w:ascii="Times New Roman" w:hAnsi="Times New Roman" w:eastAsia="宋体" w:cs="Times New Roman"/>
                <w:spacing w:val="7"/>
                <w:sz w:val="20"/>
                <w:szCs w:val="20"/>
                <w:highlight w:val="none"/>
              </w:rPr>
              <w:t>混结构</w:t>
            </w:r>
          </w:p>
        </w:tc>
        <w:tc>
          <w:tcPr>
            <w:tcW w:w="1574" w:type="dxa"/>
            <w:vMerge w:val="continue"/>
            <w:tcBorders>
              <w:left w:val="single" w:color="000000" w:sz="4" w:space="0"/>
              <w:right w:val="single" w:color="000000" w:sz="10" w:space="0"/>
            </w:tcBorders>
            <w:vAlign w:val="center"/>
          </w:tcPr>
          <w:p>
            <w:pPr>
              <w:spacing w:before="84" w:line="261" w:lineRule="auto"/>
              <w:ind w:left="649" w:right="39" w:hanging="588"/>
              <w:jc w:val="center"/>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12" w:type="dxa"/>
            <w:tcBorders>
              <w:left w:val="single" w:color="000000" w:sz="10" w:space="0"/>
              <w:right w:val="single" w:color="000000" w:sz="4" w:space="0"/>
            </w:tcBorders>
            <w:vAlign w:val="center"/>
          </w:tcPr>
          <w:p>
            <w:pPr>
              <w:spacing w:before="58" w:line="195" w:lineRule="auto"/>
              <w:ind w:left="108" w:leftChars="0"/>
              <w:jc w:val="center"/>
              <w:rPr>
                <w:rFonts w:hint="eastAsia" w:ascii="Times New Roman" w:hAnsi="Times New Roman" w:eastAsia="宋体" w:cs="Times New Roman"/>
                <w:snapToGrid w:val="0"/>
                <w:color w:val="000000"/>
                <w:spacing w:val="-8"/>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11</w:t>
            </w:r>
          </w:p>
        </w:tc>
        <w:tc>
          <w:tcPr>
            <w:tcW w:w="828" w:type="dxa"/>
            <w:tcBorders>
              <w:left w:val="single" w:color="000000" w:sz="4" w:space="0"/>
              <w:right w:val="single" w:color="000000" w:sz="4" w:space="0"/>
            </w:tcBorders>
            <w:vAlign w:val="top"/>
          </w:tcPr>
          <w:p>
            <w:pPr>
              <w:spacing w:before="85" w:line="232" w:lineRule="auto"/>
              <w:ind w:left="8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配电</w:t>
            </w:r>
            <w:r>
              <w:rPr>
                <w:rFonts w:hint="default" w:ascii="Times New Roman" w:hAnsi="Times New Roman" w:eastAsia="宋体" w:cs="Times New Roman"/>
                <w:spacing w:val="6"/>
                <w:sz w:val="20"/>
                <w:szCs w:val="20"/>
                <w:highlight w:val="none"/>
              </w:rPr>
              <w:t>室</w:t>
            </w:r>
          </w:p>
        </w:tc>
        <w:tc>
          <w:tcPr>
            <w:tcW w:w="968" w:type="dxa"/>
            <w:tcBorders>
              <w:left w:val="single" w:color="000000" w:sz="4" w:space="0"/>
              <w:right w:val="single" w:color="000000" w:sz="4" w:space="0"/>
            </w:tcBorders>
            <w:vAlign w:val="top"/>
          </w:tcPr>
          <w:p>
            <w:pPr>
              <w:spacing w:before="85" w:line="228" w:lineRule="auto"/>
              <w:ind w:left="141"/>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7"/>
                <w:sz w:val="20"/>
                <w:szCs w:val="20"/>
                <w:highlight w:val="none"/>
              </w:rPr>
              <w:t>2</w:t>
            </w:r>
            <w:r>
              <w:rPr>
                <w:rFonts w:hint="default" w:ascii="Times New Roman" w:hAnsi="Times New Roman" w:eastAsia="Times New Roman" w:cs="Times New Roman"/>
                <w:spacing w:val="4"/>
                <w:sz w:val="20"/>
                <w:szCs w:val="20"/>
                <w:highlight w:val="none"/>
              </w:rPr>
              <w:t xml:space="preserve">8*3 </w:t>
            </w:r>
            <w:r>
              <w:rPr>
                <w:rFonts w:hint="default" w:ascii="Times New Roman" w:hAnsi="Times New Roman" w:eastAsia="宋体" w:cs="Times New Roman"/>
                <w:spacing w:val="4"/>
                <w:sz w:val="20"/>
                <w:szCs w:val="20"/>
                <w:highlight w:val="none"/>
              </w:rPr>
              <w:t>个</w:t>
            </w:r>
          </w:p>
        </w:tc>
        <w:tc>
          <w:tcPr>
            <w:tcW w:w="984" w:type="dxa"/>
            <w:gridSpan w:val="2"/>
            <w:tcBorders>
              <w:left w:val="single" w:color="000000" w:sz="4" w:space="0"/>
              <w:right w:val="single" w:color="000000" w:sz="4" w:space="0"/>
            </w:tcBorders>
            <w:vAlign w:val="top"/>
          </w:tcPr>
          <w:p>
            <w:pPr>
              <w:spacing w:before="85" w:line="228" w:lineRule="auto"/>
              <w:ind w:left="144"/>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7"/>
                <w:sz w:val="20"/>
                <w:szCs w:val="20"/>
                <w:highlight w:val="none"/>
              </w:rPr>
              <w:t>2</w:t>
            </w:r>
            <w:r>
              <w:rPr>
                <w:rFonts w:hint="default" w:ascii="Times New Roman" w:hAnsi="Times New Roman" w:eastAsia="Times New Roman" w:cs="Times New Roman"/>
                <w:spacing w:val="4"/>
                <w:sz w:val="20"/>
                <w:szCs w:val="20"/>
                <w:highlight w:val="none"/>
              </w:rPr>
              <w:t xml:space="preserve">8*3 </w:t>
            </w:r>
            <w:r>
              <w:rPr>
                <w:rFonts w:hint="default" w:ascii="Times New Roman" w:hAnsi="Times New Roman" w:eastAsia="宋体" w:cs="Times New Roman"/>
                <w:spacing w:val="4"/>
                <w:sz w:val="20"/>
                <w:szCs w:val="20"/>
                <w:highlight w:val="none"/>
              </w:rPr>
              <w:t>个</w:t>
            </w:r>
          </w:p>
        </w:tc>
        <w:tc>
          <w:tcPr>
            <w:tcW w:w="3651" w:type="dxa"/>
            <w:gridSpan w:val="2"/>
            <w:tcBorders>
              <w:left w:val="single" w:color="000000" w:sz="4" w:space="0"/>
              <w:right w:val="single" w:color="000000" w:sz="4" w:space="0"/>
            </w:tcBorders>
            <w:vAlign w:val="top"/>
          </w:tcPr>
          <w:p>
            <w:pPr>
              <w:spacing w:before="84" w:line="228" w:lineRule="auto"/>
              <w:ind w:left="134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砖</w:t>
            </w:r>
            <w:r>
              <w:rPr>
                <w:rFonts w:hint="default" w:ascii="Times New Roman" w:hAnsi="Times New Roman" w:eastAsia="宋体" w:cs="Times New Roman"/>
                <w:spacing w:val="7"/>
                <w:sz w:val="20"/>
                <w:szCs w:val="20"/>
                <w:highlight w:val="none"/>
              </w:rPr>
              <w:t>混结构</w:t>
            </w:r>
          </w:p>
        </w:tc>
        <w:tc>
          <w:tcPr>
            <w:tcW w:w="1574" w:type="dxa"/>
            <w:vMerge w:val="continue"/>
            <w:tcBorders>
              <w:left w:val="single" w:color="000000" w:sz="4" w:space="0"/>
              <w:right w:val="single" w:color="000000" w:sz="10" w:space="0"/>
            </w:tcBorders>
            <w:vAlign w:val="top"/>
          </w:tcPr>
          <w:p>
            <w:pPr>
              <w:spacing w:before="85" w:line="229" w:lineRule="auto"/>
              <w:ind w:left="648"/>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412" w:type="dxa"/>
            <w:tcBorders>
              <w:left w:val="single" w:color="000000" w:sz="10" w:space="0"/>
              <w:right w:val="single" w:color="000000" w:sz="4" w:space="0"/>
            </w:tcBorders>
            <w:vAlign w:val="center"/>
          </w:tcPr>
          <w:p>
            <w:pPr>
              <w:spacing w:before="117" w:line="195" w:lineRule="auto"/>
              <w:ind w:left="108" w:leftChars="0"/>
              <w:jc w:val="both"/>
              <w:rPr>
                <w:rFonts w:hint="default" w:ascii="Times New Roman" w:hAnsi="Times New Roman" w:eastAsia="宋体" w:cs="Times New Roman"/>
                <w:snapToGrid w:val="0"/>
                <w:color w:val="000000"/>
                <w:kern w:val="0"/>
                <w:sz w:val="20"/>
                <w:szCs w:val="20"/>
                <w:highlight w:val="none"/>
                <w:lang w:val="en-US" w:eastAsia="zh-CN"/>
              </w:rPr>
            </w:pPr>
            <w:r>
              <w:rPr>
                <w:rFonts w:hint="default" w:ascii="Times New Roman" w:hAnsi="Times New Roman" w:eastAsia="Times New Roman" w:cs="Times New Roman"/>
                <w:spacing w:val="-8"/>
                <w:sz w:val="20"/>
                <w:szCs w:val="20"/>
                <w:highlight w:val="none"/>
              </w:rPr>
              <w:t>1</w:t>
            </w:r>
            <w:r>
              <w:rPr>
                <w:rFonts w:hint="eastAsia" w:ascii="Times New Roman" w:hAnsi="Times New Roman" w:eastAsia="宋体" w:cs="Times New Roman"/>
                <w:spacing w:val="-7"/>
                <w:sz w:val="20"/>
                <w:szCs w:val="20"/>
                <w:highlight w:val="none"/>
                <w:lang w:val="en-US" w:eastAsia="zh-CN"/>
              </w:rPr>
              <w:t>2</w:t>
            </w:r>
          </w:p>
        </w:tc>
        <w:tc>
          <w:tcPr>
            <w:tcW w:w="828" w:type="dxa"/>
            <w:tcBorders>
              <w:left w:val="single" w:color="000000" w:sz="4" w:space="0"/>
              <w:right w:val="single" w:color="000000" w:sz="4" w:space="0"/>
            </w:tcBorders>
            <w:vAlign w:val="center"/>
          </w:tcPr>
          <w:p>
            <w:pPr>
              <w:spacing w:before="71" w:line="228" w:lineRule="auto"/>
              <w:ind w:left="85"/>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5"/>
                <w:sz w:val="20"/>
                <w:szCs w:val="20"/>
                <w:highlight w:val="none"/>
                <w:lang w:val="en-US" w:eastAsia="zh-CN"/>
              </w:rPr>
              <w:t>1#干排</w:t>
            </w:r>
            <w:r>
              <w:rPr>
                <w:rFonts w:hint="default" w:ascii="Times New Roman" w:hAnsi="Times New Roman" w:eastAsia="宋体" w:cs="Times New Roman"/>
                <w:spacing w:val="6"/>
                <w:sz w:val="20"/>
                <w:szCs w:val="20"/>
                <w:highlight w:val="none"/>
              </w:rPr>
              <w:t>车</w:t>
            </w:r>
            <w:r>
              <w:rPr>
                <w:rFonts w:hint="default" w:ascii="Times New Roman" w:hAnsi="Times New Roman" w:eastAsia="宋体" w:cs="Times New Roman"/>
                <w:sz w:val="20"/>
                <w:szCs w:val="20"/>
                <w:highlight w:val="none"/>
              </w:rPr>
              <w:t>间</w:t>
            </w:r>
          </w:p>
        </w:tc>
        <w:tc>
          <w:tcPr>
            <w:tcW w:w="984" w:type="dxa"/>
            <w:gridSpan w:val="2"/>
            <w:tcBorders>
              <w:left w:val="single" w:color="000000" w:sz="4" w:space="0"/>
              <w:right w:val="single" w:color="000000" w:sz="4" w:space="0"/>
            </w:tcBorders>
            <w:vAlign w:val="top"/>
          </w:tcPr>
          <w:p>
            <w:pPr>
              <w:spacing w:line="376" w:lineRule="auto"/>
              <w:rPr>
                <w:rFonts w:hint="default" w:ascii="Times New Roman" w:hAnsi="Times New Roman" w:cs="Times New Roman"/>
                <w:sz w:val="21"/>
                <w:highlight w:val="none"/>
              </w:rPr>
            </w:pPr>
          </w:p>
          <w:p>
            <w:pPr>
              <w:spacing w:before="58" w:line="195" w:lineRule="auto"/>
              <w:ind w:left="346"/>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2070</w:t>
            </w:r>
          </w:p>
        </w:tc>
        <w:tc>
          <w:tcPr>
            <w:tcW w:w="984" w:type="dxa"/>
            <w:gridSpan w:val="2"/>
            <w:tcBorders>
              <w:left w:val="single" w:color="000000" w:sz="4" w:space="0"/>
              <w:right w:val="single" w:color="000000" w:sz="4" w:space="0"/>
            </w:tcBorders>
            <w:vAlign w:val="top"/>
          </w:tcPr>
          <w:p>
            <w:pPr>
              <w:spacing w:line="376" w:lineRule="auto"/>
              <w:rPr>
                <w:rFonts w:hint="default" w:ascii="Times New Roman" w:hAnsi="Times New Roman" w:cs="Times New Roman"/>
                <w:sz w:val="21"/>
                <w:highlight w:val="none"/>
              </w:rPr>
            </w:pPr>
          </w:p>
          <w:p>
            <w:pPr>
              <w:spacing w:before="58" w:line="195" w:lineRule="auto"/>
              <w:ind w:left="348"/>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2070</w:t>
            </w:r>
          </w:p>
        </w:tc>
        <w:tc>
          <w:tcPr>
            <w:tcW w:w="3635" w:type="dxa"/>
            <w:tcBorders>
              <w:left w:val="single" w:color="000000" w:sz="4" w:space="0"/>
              <w:right w:val="single" w:color="000000" w:sz="4" w:space="0"/>
            </w:tcBorders>
            <w:vAlign w:val="top"/>
          </w:tcPr>
          <w:p>
            <w:pPr>
              <w:spacing w:before="208" w:line="275" w:lineRule="exact"/>
              <w:ind w:left="123"/>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2"/>
                <w:position w:val="1"/>
                <w:sz w:val="20"/>
                <w:szCs w:val="20"/>
                <w:highlight w:val="none"/>
              </w:rPr>
              <w:t>1.</w:t>
            </w:r>
            <w:r>
              <w:rPr>
                <w:rFonts w:hint="default" w:ascii="Times New Roman" w:hAnsi="Times New Roman" w:eastAsia="Times New Roman" w:cs="Times New Roman"/>
                <w:spacing w:val="6"/>
                <w:position w:val="1"/>
                <w:sz w:val="20"/>
                <w:szCs w:val="20"/>
                <w:highlight w:val="none"/>
              </w:rPr>
              <w:t>5</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6"/>
                <w:position w:val="1"/>
                <w:sz w:val="20"/>
                <w:szCs w:val="20"/>
                <w:highlight w:val="none"/>
              </w:rPr>
              <w:t xml:space="preserve"> </w:t>
            </w:r>
            <w:r>
              <w:rPr>
                <w:rFonts w:hint="default" w:ascii="Times New Roman" w:hAnsi="Times New Roman" w:eastAsia="宋体" w:cs="Times New Roman"/>
                <w:spacing w:val="6"/>
                <w:position w:val="1"/>
                <w:sz w:val="20"/>
                <w:szCs w:val="20"/>
                <w:highlight w:val="none"/>
              </w:rPr>
              <w:t>混凝土基础墙</w:t>
            </w:r>
            <w:r>
              <w:rPr>
                <w:rFonts w:hint="default" w:ascii="Times New Roman" w:hAnsi="Times New Roman" w:eastAsia="Times New Roman" w:cs="Times New Roman"/>
                <w:spacing w:val="6"/>
                <w:position w:val="1"/>
                <w:sz w:val="20"/>
                <w:szCs w:val="20"/>
                <w:highlight w:val="none"/>
              </w:rPr>
              <w:t>+</w:t>
            </w:r>
            <w:r>
              <w:rPr>
                <w:rFonts w:hint="default" w:ascii="Times New Roman" w:hAnsi="Times New Roman" w:eastAsia="宋体" w:cs="Times New Roman"/>
                <w:spacing w:val="6"/>
                <w:position w:val="1"/>
                <w:sz w:val="20"/>
                <w:szCs w:val="20"/>
                <w:highlight w:val="none"/>
              </w:rPr>
              <w:t>双层夹芯彩钢，</w:t>
            </w:r>
          </w:p>
          <w:p>
            <w:pPr>
              <w:spacing w:before="114" w:line="195" w:lineRule="auto"/>
              <w:ind w:left="1107"/>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sz w:val="20"/>
                <w:szCs w:val="20"/>
                <w:highlight w:val="none"/>
                <w:lang w:val="en-US" w:eastAsia="zh-CN"/>
              </w:rPr>
              <w:t>46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5"/>
                <w:sz w:val="20"/>
                <w:szCs w:val="20"/>
                <w:highlight w:val="none"/>
                <w:lang w:val="en-US" w:eastAsia="zh-CN"/>
              </w:rPr>
              <w:t>45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×12</w:t>
            </w:r>
            <w:r>
              <w:rPr>
                <w:rFonts w:hint="default" w:ascii="Times New Roman" w:hAnsi="Times New Roman" w:eastAsia="Times New Roman" w:cs="Times New Roman"/>
                <w:sz w:val="20"/>
                <w:szCs w:val="20"/>
                <w:highlight w:val="none"/>
              </w:rPr>
              <w:t>m</w:t>
            </w:r>
          </w:p>
        </w:tc>
        <w:tc>
          <w:tcPr>
            <w:tcW w:w="1574" w:type="dxa"/>
            <w:vMerge w:val="continue"/>
            <w:tcBorders>
              <w:left w:val="single" w:color="000000" w:sz="4" w:space="0"/>
              <w:right w:val="single" w:color="000000" w:sz="10" w:space="0"/>
            </w:tcBorders>
            <w:vAlign w:val="top"/>
          </w:tcPr>
          <w:p>
            <w:pPr>
              <w:spacing w:before="65" w:line="229"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412" w:type="dxa"/>
            <w:tcBorders>
              <w:left w:val="single" w:color="000000" w:sz="10" w:space="0"/>
              <w:right w:val="single" w:color="000000" w:sz="4" w:space="0"/>
            </w:tcBorders>
            <w:vAlign w:val="center"/>
          </w:tcPr>
          <w:p>
            <w:pPr>
              <w:spacing w:before="117" w:line="195" w:lineRule="auto"/>
              <w:ind w:left="108" w:leftChars="0"/>
              <w:jc w:val="both"/>
              <w:rPr>
                <w:rFonts w:hint="default" w:ascii="Times New Roman" w:hAnsi="Times New Roman" w:eastAsia="宋体" w:cs="Times New Roman"/>
                <w:snapToGrid w:val="0"/>
                <w:color w:val="000000"/>
                <w:spacing w:val="-8"/>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13</w:t>
            </w:r>
          </w:p>
        </w:tc>
        <w:tc>
          <w:tcPr>
            <w:tcW w:w="828" w:type="dxa"/>
            <w:tcBorders>
              <w:left w:val="single" w:color="000000" w:sz="4" w:space="0"/>
              <w:right w:val="single" w:color="000000" w:sz="4" w:space="0"/>
            </w:tcBorders>
            <w:vAlign w:val="center"/>
          </w:tcPr>
          <w:p>
            <w:pPr>
              <w:spacing w:before="71" w:line="228" w:lineRule="auto"/>
              <w:ind w:left="85" w:leftChars="0"/>
              <w:jc w:val="center"/>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2#干排</w:t>
            </w:r>
            <w:r>
              <w:rPr>
                <w:rFonts w:hint="default" w:ascii="Times New Roman" w:hAnsi="Times New Roman" w:eastAsia="宋体" w:cs="Times New Roman"/>
                <w:spacing w:val="6"/>
                <w:sz w:val="20"/>
                <w:szCs w:val="20"/>
                <w:highlight w:val="none"/>
              </w:rPr>
              <w:t>车</w:t>
            </w:r>
            <w:r>
              <w:rPr>
                <w:rFonts w:hint="default" w:ascii="Times New Roman" w:hAnsi="Times New Roman" w:eastAsia="宋体" w:cs="Times New Roman"/>
                <w:sz w:val="20"/>
                <w:szCs w:val="20"/>
                <w:highlight w:val="none"/>
              </w:rPr>
              <w:t>间</w:t>
            </w:r>
          </w:p>
        </w:tc>
        <w:tc>
          <w:tcPr>
            <w:tcW w:w="984" w:type="dxa"/>
            <w:gridSpan w:val="2"/>
            <w:tcBorders>
              <w:left w:val="single" w:color="000000" w:sz="4" w:space="0"/>
              <w:right w:val="single" w:color="000000" w:sz="4" w:space="0"/>
            </w:tcBorders>
            <w:vAlign w:val="top"/>
          </w:tcPr>
          <w:p>
            <w:pPr>
              <w:spacing w:line="376" w:lineRule="auto"/>
              <w:rPr>
                <w:rFonts w:hint="default" w:ascii="Times New Roman" w:hAnsi="Times New Roman" w:cs="Times New Roman"/>
                <w:sz w:val="21"/>
                <w:highlight w:val="none"/>
              </w:rPr>
            </w:pPr>
          </w:p>
          <w:p>
            <w:pPr>
              <w:spacing w:before="58" w:line="195" w:lineRule="auto"/>
              <w:ind w:left="346"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260</w:t>
            </w:r>
          </w:p>
        </w:tc>
        <w:tc>
          <w:tcPr>
            <w:tcW w:w="984" w:type="dxa"/>
            <w:gridSpan w:val="2"/>
            <w:tcBorders>
              <w:left w:val="single" w:color="000000" w:sz="4" w:space="0"/>
              <w:right w:val="single" w:color="000000" w:sz="4" w:space="0"/>
            </w:tcBorders>
            <w:vAlign w:val="top"/>
          </w:tcPr>
          <w:p>
            <w:pPr>
              <w:spacing w:line="376" w:lineRule="auto"/>
              <w:rPr>
                <w:rFonts w:hint="default" w:ascii="Times New Roman" w:hAnsi="Times New Roman" w:cs="Times New Roman"/>
                <w:sz w:val="21"/>
                <w:highlight w:val="none"/>
              </w:rPr>
            </w:pPr>
          </w:p>
          <w:p>
            <w:pPr>
              <w:spacing w:before="58" w:line="195" w:lineRule="auto"/>
              <w:ind w:left="348"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260</w:t>
            </w:r>
          </w:p>
        </w:tc>
        <w:tc>
          <w:tcPr>
            <w:tcW w:w="3635" w:type="dxa"/>
            <w:tcBorders>
              <w:left w:val="single" w:color="000000" w:sz="4" w:space="0"/>
              <w:right w:val="single" w:color="000000" w:sz="4" w:space="0"/>
            </w:tcBorders>
            <w:vAlign w:val="top"/>
          </w:tcPr>
          <w:p>
            <w:pPr>
              <w:spacing w:before="208" w:line="275" w:lineRule="exact"/>
              <w:ind w:left="123"/>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2"/>
                <w:position w:val="1"/>
                <w:sz w:val="20"/>
                <w:szCs w:val="20"/>
                <w:highlight w:val="none"/>
              </w:rPr>
              <w:t>1.</w:t>
            </w:r>
            <w:r>
              <w:rPr>
                <w:rFonts w:hint="default" w:ascii="Times New Roman" w:hAnsi="Times New Roman" w:eastAsia="Times New Roman" w:cs="Times New Roman"/>
                <w:spacing w:val="6"/>
                <w:position w:val="1"/>
                <w:sz w:val="20"/>
                <w:szCs w:val="20"/>
                <w:highlight w:val="none"/>
              </w:rPr>
              <w:t>5</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6"/>
                <w:position w:val="1"/>
                <w:sz w:val="20"/>
                <w:szCs w:val="20"/>
                <w:highlight w:val="none"/>
              </w:rPr>
              <w:t xml:space="preserve"> </w:t>
            </w:r>
            <w:r>
              <w:rPr>
                <w:rFonts w:hint="default" w:ascii="Times New Roman" w:hAnsi="Times New Roman" w:eastAsia="宋体" w:cs="Times New Roman"/>
                <w:spacing w:val="6"/>
                <w:position w:val="1"/>
                <w:sz w:val="20"/>
                <w:szCs w:val="20"/>
                <w:highlight w:val="none"/>
              </w:rPr>
              <w:t>混凝土基础墙</w:t>
            </w:r>
            <w:r>
              <w:rPr>
                <w:rFonts w:hint="default" w:ascii="Times New Roman" w:hAnsi="Times New Roman" w:eastAsia="Times New Roman" w:cs="Times New Roman"/>
                <w:spacing w:val="6"/>
                <w:position w:val="1"/>
                <w:sz w:val="20"/>
                <w:szCs w:val="20"/>
                <w:highlight w:val="none"/>
              </w:rPr>
              <w:t>+</w:t>
            </w:r>
            <w:r>
              <w:rPr>
                <w:rFonts w:hint="default" w:ascii="Times New Roman" w:hAnsi="Times New Roman" w:eastAsia="宋体" w:cs="Times New Roman"/>
                <w:spacing w:val="6"/>
                <w:position w:val="1"/>
                <w:sz w:val="20"/>
                <w:szCs w:val="20"/>
                <w:highlight w:val="none"/>
              </w:rPr>
              <w:t>双层夹芯彩钢，</w:t>
            </w:r>
          </w:p>
          <w:p>
            <w:pPr>
              <w:spacing w:before="114" w:line="195" w:lineRule="auto"/>
              <w:ind w:left="1107" w:leftChars="0"/>
              <w:rPr>
                <w:rFonts w:hint="eastAsia" w:ascii="Times New Roman" w:hAnsi="Times New Roman" w:eastAsia="Times New Roman" w:cs="Times New Roman"/>
                <w:snapToGrid w:val="0"/>
                <w:color w:val="000000"/>
                <w:kern w:val="0"/>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26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5"/>
                <w:sz w:val="20"/>
                <w:szCs w:val="20"/>
                <w:highlight w:val="none"/>
                <w:lang w:val="en-US" w:eastAsia="zh-CN"/>
              </w:rPr>
              <w:t>10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×12</w:t>
            </w:r>
            <w:r>
              <w:rPr>
                <w:rFonts w:hint="default" w:ascii="Times New Roman" w:hAnsi="Times New Roman" w:eastAsia="Times New Roman" w:cs="Times New Roman"/>
                <w:sz w:val="20"/>
                <w:szCs w:val="20"/>
                <w:highlight w:val="none"/>
              </w:rPr>
              <w:t>m</w:t>
            </w:r>
          </w:p>
        </w:tc>
        <w:tc>
          <w:tcPr>
            <w:tcW w:w="1574" w:type="dxa"/>
            <w:vMerge w:val="continue"/>
            <w:tcBorders>
              <w:left w:val="single" w:color="000000" w:sz="4" w:space="0"/>
              <w:right w:val="single" w:color="000000" w:sz="10" w:space="0"/>
            </w:tcBorders>
            <w:vAlign w:val="top"/>
          </w:tcPr>
          <w:p>
            <w:pPr>
              <w:spacing w:before="65" w:line="229" w:lineRule="auto"/>
              <w:ind w:left="647"/>
              <w:rPr>
                <w:rFonts w:hint="default" w:ascii="Times New Roman" w:hAnsi="Times New Roman" w:eastAsia="宋体" w:cs="Times New Roman"/>
                <w:spacing w:val="4"/>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12" w:type="dxa"/>
            <w:tcBorders>
              <w:left w:val="single" w:color="000000" w:sz="10" w:space="0"/>
              <w:right w:val="single" w:color="000000" w:sz="4" w:space="0"/>
            </w:tcBorders>
            <w:vAlign w:val="top"/>
          </w:tcPr>
          <w:p>
            <w:pPr>
              <w:spacing w:before="119" w:line="195" w:lineRule="auto"/>
              <w:ind w:left="108" w:leftChars="0"/>
              <w:rPr>
                <w:rFonts w:hint="eastAsia" w:ascii="Times New Roman" w:hAnsi="Times New Roman" w:eastAsia="宋体" w:cs="Times New Roman"/>
                <w:snapToGrid w:val="0"/>
                <w:color w:val="000000"/>
                <w:kern w:val="0"/>
                <w:sz w:val="20"/>
                <w:szCs w:val="20"/>
                <w:highlight w:val="none"/>
                <w:lang w:val="en-US" w:eastAsia="zh-CN"/>
              </w:rPr>
            </w:pPr>
            <w:r>
              <w:rPr>
                <w:rFonts w:hint="default" w:ascii="Times New Roman" w:hAnsi="Times New Roman" w:eastAsia="Times New Roman" w:cs="Times New Roman"/>
                <w:spacing w:val="-8"/>
                <w:sz w:val="20"/>
                <w:szCs w:val="20"/>
                <w:highlight w:val="none"/>
              </w:rPr>
              <w:t>1</w:t>
            </w:r>
            <w:r>
              <w:rPr>
                <w:rFonts w:hint="eastAsia" w:ascii="Times New Roman" w:hAnsi="Times New Roman" w:eastAsia="宋体" w:cs="Times New Roman"/>
                <w:spacing w:val="-7"/>
                <w:sz w:val="20"/>
                <w:szCs w:val="20"/>
                <w:highlight w:val="none"/>
                <w:lang w:val="en-US" w:eastAsia="zh-CN"/>
              </w:rPr>
              <w:t>4</w:t>
            </w:r>
          </w:p>
        </w:tc>
        <w:tc>
          <w:tcPr>
            <w:tcW w:w="828" w:type="dxa"/>
            <w:tcBorders>
              <w:left w:val="single" w:color="000000" w:sz="4" w:space="0"/>
              <w:right w:val="single" w:color="000000" w:sz="4" w:space="0"/>
            </w:tcBorders>
            <w:vAlign w:val="top"/>
          </w:tcPr>
          <w:p>
            <w:pPr>
              <w:spacing w:before="80" w:line="229" w:lineRule="auto"/>
              <w:ind w:left="83"/>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1</w:t>
            </w:r>
            <w:r>
              <w:rPr>
                <w:rFonts w:hint="default" w:ascii="Times New Roman" w:hAnsi="Times New Roman" w:eastAsia="宋体" w:cs="Times New Roman"/>
                <w:spacing w:val="7"/>
                <w:sz w:val="20"/>
                <w:szCs w:val="20"/>
                <w:highlight w:val="none"/>
              </w:rPr>
              <w:t>浓密</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17" w:line="195" w:lineRule="auto"/>
              <w:ind w:left="214"/>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2"/>
                <w:sz w:val="20"/>
                <w:szCs w:val="20"/>
                <w:highlight w:val="none"/>
                <w:lang w:val="en-US" w:eastAsia="zh-CN"/>
              </w:rPr>
              <w:t>1809</w:t>
            </w:r>
          </w:p>
        </w:tc>
        <w:tc>
          <w:tcPr>
            <w:tcW w:w="984" w:type="dxa"/>
            <w:gridSpan w:val="2"/>
            <w:tcBorders>
              <w:left w:val="single" w:color="000000" w:sz="4" w:space="0"/>
              <w:right w:val="single" w:color="000000" w:sz="4" w:space="0"/>
            </w:tcBorders>
            <w:vAlign w:val="top"/>
          </w:tcPr>
          <w:p>
            <w:pPr>
              <w:spacing w:before="205" w:line="124" w:lineRule="exact"/>
              <w:ind w:left="45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0" w:line="229" w:lineRule="auto"/>
              <w:ind w:left="65"/>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4"/>
                <w:sz w:val="20"/>
                <w:szCs w:val="20"/>
                <w:highlight w:val="none"/>
              </w:rPr>
              <w:t>防渗混</w:t>
            </w:r>
            <w:r>
              <w:rPr>
                <w:rFonts w:hint="default" w:ascii="Times New Roman" w:hAnsi="Times New Roman" w:eastAsia="宋体" w:cs="Times New Roman"/>
                <w:spacing w:val="-2"/>
                <w:sz w:val="20"/>
                <w:szCs w:val="20"/>
                <w:highlight w:val="none"/>
              </w:rPr>
              <w:t>凝土浇筑，规格：</w:t>
            </w:r>
            <w:r>
              <w:rPr>
                <w:rFonts w:hint="default" w:ascii="Times New Roman" w:hAnsi="Times New Roman" w:eastAsia="Times New Roman" w:cs="Times New Roman"/>
                <w:spacing w:val="-2"/>
                <w:sz w:val="20"/>
                <w:szCs w:val="20"/>
                <w:highlight w:val="none"/>
              </w:rPr>
              <w:t>Φ</w:t>
            </w:r>
            <w:r>
              <w:rPr>
                <w:rFonts w:hint="eastAsia" w:ascii="Times New Roman" w:hAnsi="Times New Roman" w:eastAsia="宋体" w:cs="Times New Roman"/>
                <w:spacing w:val="-2"/>
                <w:sz w:val="20"/>
                <w:szCs w:val="20"/>
                <w:highlight w:val="none"/>
                <w:lang w:val="en-US" w:eastAsia="zh-CN"/>
              </w:rPr>
              <w:t>48</w:t>
            </w:r>
            <w:r>
              <w:rPr>
                <w:rFonts w:hint="default" w:ascii="Times New Roman" w:hAnsi="Times New Roman" w:eastAsia="Times New Roman" w:cs="Times New Roman"/>
                <w:spacing w:val="-2"/>
                <w:sz w:val="20"/>
                <w:szCs w:val="20"/>
                <w:highlight w:val="none"/>
              </w:rPr>
              <w:t>m</w:t>
            </w:r>
            <w:r>
              <w:rPr>
                <w:rFonts w:hint="default" w:ascii="Times New Roman" w:hAnsi="Times New Roman" w:eastAsia="宋体" w:cs="Times New Roman"/>
                <w:spacing w:val="-2"/>
                <w:sz w:val="20"/>
                <w:szCs w:val="20"/>
                <w:highlight w:val="none"/>
              </w:rPr>
              <w:t xml:space="preserve">、深 </w:t>
            </w:r>
            <w:r>
              <w:rPr>
                <w:rFonts w:hint="eastAsia" w:ascii="Times New Roman" w:hAnsi="Times New Roman" w:eastAsia="宋体" w:cs="Times New Roman"/>
                <w:spacing w:val="-2"/>
                <w:sz w:val="20"/>
                <w:szCs w:val="20"/>
                <w:highlight w:val="none"/>
                <w:lang w:val="en-US" w:eastAsia="zh-CN"/>
              </w:rPr>
              <w:t>11</w:t>
            </w:r>
            <w:r>
              <w:rPr>
                <w:rFonts w:hint="default" w:ascii="Times New Roman" w:hAnsi="Times New Roman" w:eastAsia="Times New Roman" w:cs="Times New Roman"/>
                <w:spacing w:val="-2"/>
                <w:sz w:val="20"/>
                <w:szCs w:val="20"/>
                <w:highlight w:val="none"/>
              </w:rPr>
              <w:t>m</w:t>
            </w:r>
          </w:p>
        </w:tc>
        <w:tc>
          <w:tcPr>
            <w:tcW w:w="1574" w:type="dxa"/>
            <w:vMerge w:val="continue"/>
            <w:tcBorders>
              <w:left w:val="single" w:color="000000" w:sz="4" w:space="0"/>
              <w:right w:val="single" w:color="000000" w:sz="10" w:space="0"/>
            </w:tcBorders>
            <w:vAlign w:val="top"/>
          </w:tcPr>
          <w:p>
            <w:pPr>
              <w:spacing w:before="80" w:line="229"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12" w:type="dxa"/>
            <w:tcBorders>
              <w:left w:val="single" w:color="000000" w:sz="10" w:space="0"/>
              <w:right w:val="single" w:color="000000" w:sz="4" w:space="0"/>
            </w:tcBorders>
            <w:vAlign w:val="top"/>
          </w:tcPr>
          <w:p>
            <w:pPr>
              <w:spacing w:before="119" w:line="195" w:lineRule="auto"/>
              <w:ind w:left="108" w:leftChars="0"/>
              <w:rPr>
                <w:rFonts w:hint="default" w:ascii="Times New Roman" w:hAnsi="Times New Roman" w:eastAsia="宋体" w:cs="Times New Roman"/>
                <w:snapToGrid w:val="0"/>
                <w:color w:val="000000"/>
                <w:spacing w:val="-8"/>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15</w:t>
            </w:r>
          </w:p>
        </w:tc>
        <w:tc>
          <w:tcPr>
            <w:tcW w:w="828" w:type="dxa"/>
            <w:tcBorders>
              <w:left w:val="single" w:color="000000" w:sz="4" w:space="0"/>
              <w:right w:val="single" w:color="000000" w:sz="4" w:space="0"/>
            </w:tcBorders>
            <w:vAlign w:val="top"/>
          </w:tcPr>
          <w:p>
            <w:pPr>
              <w:spacing w:before="80" w:line="229" w:lineRule="auto"/>
              <w:ind w:left="83" w:leftChars="0"/>
              <w:rPr>
                <w:rFonts w:hint="default" w:ascii="Times New Roman" w:hAnsi="Times New Roman" w:eastAsia="宋体" w:cs="Times New Roman"/>
                <w:snapToGrid w:val="0"/>
                <w:color w:val="000000"/>
                <w:kern w:val="0"/>
                <w:sz w:val="20"/>
                <w:szCs w:val="20"/>
                <w:highlight w:val="none"/>
              </w:rPr>
            </w:pPr>
            <w:r>
              <w:rPr>
                <w:rFonts w:hint="eastAsia" w:ascii="Times New Roman" w:hAnsi="Times New Roman" w:eastAsia="宋体" w:cs="Times New Roman"/>
                <w:spacing w:val="7"/>
                <w:sz w:val="20"/>
                <w:szCs w:val="20"/>
                <w:highlight w:val="none"/>
                <w:lang w:val="en-US" w:eastAsia="zh-CN"/>
              </w:rPr>
              <w:t>2</w:t>
            </w:r>
            <w:r>
              <w:rPr>
                <w:rFonts w:hint="default" w:ascii="Times New Roman" w:hAnsi="Times New Roman" w:eastAsia="宋体" w:cs="Times New Roman"/>
                <w:spacing w:val="7"/>
                <w:sz w:val="20"/>
                <w:szCs w:val="20"/>
                <w:highlight w:val="none"/>
              </w:rPr>
              <w:t>浓密</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17" w:line="195" w:lineRule="auto"/>
              <w:ind w:left="214"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2"/>
                <w:sz w:val="20"/>
                <w:szCs w:val="20"/>
                <w:highlight w:val="none"/>
                <w:lang w:val="en-US" w:eastAsia="zh-CN"/>
              </w:rPr>
              <w:t>908</w:t>
            </w:r>
          </w:p>
        </w:tc>
        <w:tc>
          <w:tcPr>
            <w:tcW w:w="984" w:type="dxa"/>
            <w:gridSpan w:val="2"/>
            <w:tcBorders>
              <w:left w:val="single" w:color="000000" w:sz="4" w:space="0"/>
              <w:right w:val="single" w:color="000000" w:sz="4" w:space="0"/>
            </w:tcBorders>
            <w:vAlign w:val="top"/>
          </w:tcPr>
          <w:p>
            <w:pPr>
              <w:spacing w:before="205" w:line="124" w:lineRule="exact"/>
              <w:ind w:left="455"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0" w:line="229" w:lineRule="auto"/>
              <w:ind w:left="65"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宋体" w:cs="Times New Roman"/>
                <w:spacing w:val="-4"/>
                <w:sz w:val="20"/>
                <w:szCs w:val="20"/>
                <w:highlight w:val="none"/>
              </w:rPr>
              <w:t>防渗混</w:t>
            </w:r>
            <w:r>
              <w:rPr>
                <w:rFonts w:hint="default" w:ascii="Times New Roman" w:hAnsi="Times New Roman" w:eastAsia="宋体" w:cs="Times New Roman"/>
                <w:spacing w:val="-2"/>
                <w:sz w:val="20"/>
                <w:szCs w:val="20"/>
                <w:highlight w:val="none"/>
              </w:rPr>
              <w:t>凝土浇筑，规格：</w:t>
            </w:r>
            <w:r>
              <w:rPr>
                <w:rFonts w:hint="default" w:ascii="Times New Roman" w:hAnsi="Times New Roman" w:eastAsia="Times New Roman" w:cs="Times New Roman"/>
                <w:spacing w:val="-2"/>
                <w:sz w:val="20"/>
                <w:szCs w:val="20"/>
                <w:highlight w:val="none"/>
              </w:rPr>
              <w:t>Φ</w:t>
            </w:r>
            <w:r>
              <w:rPr>
                <w:rFonts w:hint="eastAsia" w:ascii="Times New Roman" w:hAnsi="Times New Roman" w:eastAsia="宋体" w:cs="Times New Roman"/>
                <w:spacing w:val="-2"/>
                <w:sz w:val="20"/>
                <w:szCs w:val="20"/>
                <w:highlight w:val="none"/>
                <w:lang w:val="en-US" w:eastAsia="zh-CN"/>
              </w:rPr>
              <w:t>34</w:t>
            </w:r>
            <w:r>
              <w:rPr>
                <w:rFonts w:hint="default" w:ascii="Times New Roman" w:hAnsi="Times New Roman" w:eastAsia="Times New Roman" w:cs="Times New Roman"/>
                <w:spacing w:val="-2"/>
                <w:sz w:val="20"/>
                <w:szCs w:val="20"/>
                <w:highlight w:val="none"/>
              </w:rPr>
              <w:t>m</w:t>
            </w:r>
            <w:r>
              <w:rPr>
                <w:rFonts w:hint="default" w:ascii="Times New Roman" w:hAnsi="Times New Roman" w:eastAsia="宋体" w:cs="Times New Roman"/>
                <w:spacing w:val="-2"/>
                <w:sz w:val="20"/>
                <w:szCs w:val="20"/>
                <w:highlight w:val="none"/>
              </w:rPr>
              <w:t xml:space="preserve">、深 </w:t>
            </w:r>
            <w:r>
              <w:rPr>
                <w:rFonts w:hint="eastAsia" w:ascii="Times New Roman" w:hAnsi="Times New Roman" w:eastAsia="宋体" w:cs="Times New Roman"/>
                <w:spacing w:val="-2"/>
                <w:sz w:val="20"/>
                <w:szCs w:val="20"/>
                <w:highlight w:val="none"/>
                <w:lang w:val="en-US" w:eastAsia="zh-CN"/>
              </w:rPr>
              <w:t>5</w:t>
            </w:r>
            <w:r>
              <w:rPr>
                <w:rFonts w:hint="default" w:ascii="Times New Roman" w:hAnsi="Times New Roman" w:eastAsia="Times New Roman" w:cs="Times New Roman"/>
                <w:spacing w:val="-2"/>
                <w:sz w:val="20"/>
                <w:szCs w:val="20"/>
                <w:highlight w:val="none"/>
              </w:rPr>
              <w:t>m</w:t>
            </w:r>
          </w:p>
        </w:tc>
        <w:tc>
          <w:tcPr>
            <w:tcW w:w="1574" w:type="dxa"/>
            <w:vMerge w:val="continue"/>
            <w:tcBorders>
              <w:left w:val="single" w:color="000000" w:sz="4" w:space="0"/>
              <w:right w:val="single" w:color="000000" w:sz="10" w:space="0"/>
            </w:tcBorders>
            <w:vAlign w:val="top"/>
          </w:tcPr>
          <w:p>
            <w:pPr>
              <w:spacing w:before="80" w:line="229" w:lineRule="auto"/>
              <w:ind w:left="647"/>
              <w:rPr>
                <w:rFonts w:hint="default" w:ascii="Times New Roman" w:hAnsi="Times New Roman" w:eastAsia="宋体" w:cs="Times New Roman"/>
                <w:spacing w:val="4"/>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12" w:type="dxa"/>
            <w:tcBorders>
              <w:left w:val="single" w:color="000000" w:sz="10" w:space="0"/>
              <w:right w:val="single" w:color="000000" w:sz="4" w:space="0"/>
            </w:tcBorders>
            <w:vAlign w:val="top"/>
          </w:tcPr>
          <w:p>
            <w:pPr>
              <w:spacing w:before="121" w:line="195" w:lineRule="auto"/>
              <w:ind w:left="108" w:leftChars="0"/>
              <w:rPr>
                <w:rFonts w:hint="eastAsia" w:ascii="Times New Roman" w:hAnsi="Times New Roman" w:eastAsia="Times New Roman" w:cs="Times New Roman"/>
                <w:snapToGrid w:val="0"/>
                <w:color w:val="000000"/>
                <w:kern w:val="0"/>
                <w:sz w:val="20"/>
                <w:szCs w:val="20"/>
                <w:highlight w:val="none"/>
                <w:lang w:val="en-US" w:eastAsia="zh-CN"/>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7"/>
                <w:sz w:val="20"/>
                <w:szCs w:val="20"/>
                <w:highlight w:val="none"/>
              </w:rPr>
              <w:t>6</w:t>
            </w:r>
          </w:p>
        </w:tc>
        <w:tc>
          <w:tcPr>
            <w:tcW w:w="828" w:type="dxa"/>
            <w:tcBorders>
              <w:left w:val="single" w:color="000000" w:sz="4" w:space="0"/>
              <w:right w:val="single" w:color="000000" w:sz="4" w:space="0"/>
            </w:tcBorders>
            <w:vAlign w:val="top"/>
          </w:tcPr>
          <w:p>
            <w:pPr>
              <w:spacing w:before="83" w:line="227" w:lineRule="auto"/>
              <w:ind w:left="83"/>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1</w:t>
            </w:r>
            <w:r>
              <w:rPr>
                <w:rFonts w:hint="default" w:ascii="Times New Roman" w:hAnsi="Times New Roman" w:eastAsia="宋体" w:cs="Times New Roman"/>
                <w:spacing w:val="7"/>
                <w:sz w:val="20"/>
                <w:szCs w:val="20"/>
                <w:highlight w:val="none"/>
              </w:rPr>
              <w:t>清水</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19" w:line="195" w:lineRule="auto"/>
              <w:ind w:left="383"/>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120</w:t>
            </w:r>
          </w:p>
        </w:tc>
        <w:tc>
          <w:tcPr>
            <w:tcW w:w="984" w:type="dxa"/>
            <w:gridSpan w:val="2"/>
            <w:tcBorders>
              <w:left w:val="single" w:color="000000" w:sz="4" w:space="0"/>
              <w:right w:val="single" w:color="000000" w:sz="4" w:space="0"/>
            </w:tcBorders>
            <w:vAlign w:val="top"/>
          </w:tcPr>
          <w:p>
            <w:pPr>
              <w:spacing w:before="207" w:line="122" w:lineRule="exact"/>
              <w:ind w:left="45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3" w:line="227" w:lineRule="auto"/>
              <w:ind w:left="369"/>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8"/>
                <w:sz w:val="20"/>
                <w:szCs w:val="20"/>
                <w:highlight w:val="none"/>
              </w:rPr>
              <w:t>防渗混凝土浇筑，</w:t>
            </w:r>
            <w:r>
              <w:rPr>
                <w:rFonts w:hint="eastAsia" w:ascii="Times New Roman" w:hAnsi="Times New Roman" w:eastAsia="宋体" w:cs="Times New Roman"/>
                <w:spacing w:val="8"/>
                <w:sz w:val="20"/>
                <w:szCs w:val="20"/>
                <w:highlight w:val="none"/>
                <w:lang w:val="en-US" w:eastAsia="zh-CN"/>
              </w:rPr>
              <w:t>20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8"/>
                <w:sz w:val="20"/>
                <w:szCs w:val="20"/>
                <w:highlight w:val="none"/>
              </w:rPr>
              <w:t>×</w:t>
            </w:r>
            <w:r>
              <w:rPr>
                <w:rFonts w:hint="eastAsia" w:ascii="Times New Roman" w:hAnsi="Times New Roman" w:eastAsia="宋体" w:cs="Times New Roman"/>
                <w:spacing w:val="8"/>
                <w:sz w:val="20"/>
                <w:szCs w:val="20"/>
                <w:highlight w:val="none"/>
                <w:lang w:val="en-US" w:eastAsia="zh-CN"/>
              </w:rPr>
              <w:t>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8"/>
                <w:sz w:val="20"/>
                <w:szCs w:val="20"/>
                <w:highlight w:val="none"/>
              </w:rPr>
              <w:t>×</w:t>
            </w:r>
            <w:r>
              <w:rPr>
                <w:rFonts w:hint="eastAsia" w:ascii="Times New Roman" w:hAnsi="Times New Roman" w:eastAsia="宋体" w:cs="Times New Roman"/>
                <w:spacing w:val="8"/>
                <w:sz w:val="20"/>
                <w:szCs w:val="20"/>
                <w:highlight w:val="none"/>
                <w:lang w:val="en-US" w:eastAsia="zh-CN"/>
              </w:rPr>
              <w:t>6</w:t>
            </w:r>
            <w:r>
              <w:rPr>
                <w:rFonts w:hint="default" w:ascii="Times New Roman" w:hAnsi="Times New Roman" w:eastAsia="Times New Roman" w:cs="Times New Roman"/>
                <w:sz w:val="20"/>
                <w:szCs w:val="20"/>
                <w:highlight w:val="none"/>
              </w:rPr>
              <w:t>m</w:t>
            </w:r>
          </w:p>
        </w:tc>
        <w:tc>
          <w:tcPr>
            <w:tcW w:w="1574" w:type="dxa"/>
            <w:vMerge w:val="continue"/>
            <w:tcBorders>
              <w:left w:val="single" w:color="000000" w:sz="4" w:space="0"/>
              <w:right w:val="single" w:color="000000" w:sz="10" w:space="0"/>
            </w:tcBorders>
            <w:vAlign w:val="top"/>
          </w:tcPr>
          <w:p>
            <w:pPr>
              <w:spacing w:before="83" w:line="227"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12" w:type="dxa"/>
            <w:tcBorders>
              <w:left w:val="single" w:color="000000" w:sz="10" w:space="0"/>
              <w:right w:val="single" w:color="000000" w:sz="4" w:space="0"/>
            </w:tcBorders>
            <w:vAlign w:val="top"/>
          </w:tcPr>
          <w:p>
            <w:pPr>
              <w:spacing w:before="121" w:line="195" w:lineRule="auto"/>
              <w:ind w:left="108" w:leftChars="0"/>
              <w:rPr>
                <w:rFonts w:hint="default" w:ascii="Times New Roman" w:hAnsi="Times New Roman" w:eastAsia="宋体" w:cs="Times New Roman"/>
                <w:snapToGrid w:val="0"/>
                <w:color w:val="000000"/>
                <w:spacing w:val="-8"/>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17</w:t>
            </w:r>
          </w:p>
        </w:tc>
        <w:tc>
          <w:tcPr>
            <w:tcW w:w="828" w:type="dxa"/>
            <w:tcBorders>
              <w:left w:val="single" w:color="000000" w:sz="4" w:space="0"/>
              <w:right w:val="single" w:color="000000" w:sz="4" w:space="0"/>
            </w:tcBorders>
            <w:vAlign w:val="top"/>
          </w:tcPr>
          <w:p>
            <w:pPr>
              <w:spacing w:before="83" w:line="227" w:lineRule="auto"/>
              <w:ind w:left="83" w:leftChars="0"/>
              <w:rPr>
                <w:rFonts w:hint="default" w:ascii="Times New Roman" w:hAnsi="Times New Roman" w:eastAsia="宋体" w:cs="Times New Roman"/>
                <w:snapToGrid w:val="0"/>
                <w:color w:val="000000"/>
                <w:kern w:val="0"/>
                <w:sz w:val="20"/>
                <w:szCs w:val="20"/>
                <w:highlight w:val="none"/>
              </w:rPr>
            </w:pPr>
            <w:r>
              <w:rPr>
                <w:rFonts w:hint="eastAsia" w:ascii="Times New Roman" w:hAnsi="Times New Roman" w:eastAsia="宋体" w:cs="Times New Roman"/>
                <w:spacing w:val="7"/>
                <w:sz w:val="20"/>
                <w:szCs w:val="20"/>
                <w:highlight w:val="none"/>
                <w:lang w:val="en-US" w:eastAsia="zh-CN"/>
              </w:rPr>
              <w:t>2</w:t>
            </w:r>
            <w:r>
              <w:rPr>
                <w:rFonts w:hint="default" w:ascii="Times New Roman" w:hAnsi="Times New Roman" w:eastAsia="宋体" w:cs="Times New Roman"/>
                <w:spacing w:val="7"/>
                <w:sz w:val="20"/>
                <w:szCs w:val="20"/>
                <w:highlight w:val="none"/>
              </w:rPr>
              <w:t>清水</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19" w:line="195" w:lineRule="auto"/>
              <w:ind w:left="383"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50</w:t>
            </w:r>
          </w:p>
        </w:tc>
        <w:tc>
          <w:tcPr>
            <w:tcW w:w="984" w:type="dxa"/>
            <w:gridSpan w:val="2"/>
            <w:tcBorders>
              <w:left w:val="single" w:color="000000" w:sz="4" w:space="0"/>
              <w:right w:val="single" w:color="000000" w:sz="4" w:space="0"/>
            </w:tcBorders>
            <w:vAlign w:val="top"/>
          </w:tcPr>
          <w:p>
            <w:pPr>
              <w:spacing w:before="207" w:line="122" w:lineRule="exact"/>
              <w:ind w:left="455"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3" w:line="227" w:lineRule="auto"/>
              <w:ind w:left="369"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防渗混凝土浇筑，</w:t>
            </w:r>
            <w:r>
              <w:rPr>
                <w:rFonts w:hint="eastAsia" w:ascii="Times New Roman" w:hAnsi="Times New Roman" w:eastAsia="宋体" w:cs="Times New Roman"/>
                <w:spacing w:val="8"/>
                <w:sz w:val="20"/>
                <w:szCs w:val="20"/>
                <w:highlight w:val="none"/>
                <w:lang w:val="en-US" w:eastAsia="zh-CN"/>
              </w:rPr>
              <w:t>10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8"/>
                <w:sz w:val="20"/>
                <w:szCs w:val="20"/>
                <w:highlight w:val="none"/>
              </w:rPr>
              <w:t>×</w:t>
            </w:r>
            <w:r>
              <w:rPr>
                <w:rFonts w:hint="eastAsia" w:ascii="Times New Roman" w:hAnsi="Times New Roman" w:eastAsia="宋体" w:cs="Times New Roman"/>
                <w:spacing w:val="8"/>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8"/>
                <w:sz w:val="20"/>
                <w:szCs w:val="20"/>
                <w:highlight w:val="none"/>
              </w:rPr>
              <w:t>×</w:t>
            </w:r>
            <w:r>
              <w:rPr>
                <w:rFonts w:hint="eastAsia" w:ascii="Times New Roman" w:hAnsi="Times New Roman" w:eastAsia="宋体" w:cs="Times New Roman"/>
                <w:spacing w:val="8"/>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1574" w:type="dxa"/>
            <w:vMerge w:val="continue"/>
            <w:tcBorders>
              <w:left w:val="single" w:color="000000" w:sz="4" w:space="0"/>
              <w:right w:val="single" w:color="000000" w:sz="10" w:space="0"/>
            </w:tcBorders>
            <w:vAlign w:val="top"/>
          </w:tcPr>
          <w:p>
            <w:pPr>
              <w:spacing w:before="83" w:line="227" w:lineRule="auto"/>
              <w:ind w:left="647" w:leftChars="0"/>
              <w:rPr>
                <w:rFonts w:hint="default" w:ascii="Times New Roman" w:hAnsi="Times New Roman" w:eastAsia="宋体" w:cs="Times New Roman"/>
                <w:snapToGrid w:val="0"/>
                <w:color w:val="000000"/>
                <w:kern w:val="0"/>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12" w:type="dxa"/>
            <w:tcBorders>
              <w:left w:val="single" w:color="000000" w:sz="10" w:space="0"/>
              <w:right w:val="single" w:color="000000" w:sz="4" w:space="0"/>
            </w:tcBorders>
            <w:vAlign w:val="top"/>
          </w:tcPr>
          <w:p>
            <w:pPr>
              <w:spacing w:before="121" w:line="195" w:lineRule="auto"/>
              <w:ind w:left="108" w:leftChars="0"/>
              <w:rPr>
                <w:rFonts w:hint="default" w:ascii="Times New Roman" w:hAnsi="Times New Roman" w:eastAsia="宋体" w:cs="Times New Roman"/>
                <w:snapToGrid w:val="0"/>
                <w:color w:val="000000"/>
                <w:spacing w:val="-8"/>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18</w:t>
            </w:r>
          </w:p>
        </w:tc>
        <w:tc>
          <w:tcPr>
            <w:tcW w:w="828" w:type="dxa"/>
            <w:tcBorders>
              <w:left w:val="single" w:color="000000" w:sz="4" w:space="0"/>
              <w:right w:val="single" w:color="000000" w:sz="4" w:space="0"/>
            </w:tcBorders>
            <w:vAlign w:val="top"/>
          </w:tcPr>
          <w:p>
            <w:pPr>
              <w:spacing w:before="85" w:line="226" w:lineRule="auto"/>
              <w:ind w:left="83"/>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1</w:t>
            </w:r>
            <w:r>
              <w:rPr>
                <w:rFonts w:hint="default" w:ascii="Times New Roman" w:hAnsi="Times New Roman" w:eastAsia="宋体" w:cs="Times New Roman"/>
                <w:spacing w:val="7"/>
                <w:sz w:val="20"/>
                <w:szCs w:val="20"/>
                <w:highlight w:val="none"/>
              </w:rPr>
              <w:t>事故</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21" w:line="195" w:lineRule="auto"/>
              <w:ind w:left="346"/>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70</w:t>
            </w:r>
          </w:p>
        </w:tc>
        <w:tc>
          <w:tcPr>
            <w:tcW w:w="984" w:type="dxa"/>
            <w:gridSpan w:val="2"/>
            <w:tcBorders>
              <w:left w:val="single" w:color="000000" w:sz="4" w:space="0"/>
              <w:right w:val="single" w:color="000000" w:sz="4" w:space="0"/>
            </w:tcBorders>
            <w:vAlign w:val="top"/>
          </w:tcPr>
          <w:p>
            <w:pPr>
              <w:spacing w:before="209" w:line="121" w:lineRule="exact"/>
              <w:ind w:left="45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5" w:line="226" w:lineRule="auto"/>
              <w:ind w:left="317"/>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4"/>
                <w:sz w:val="20"/>
                <w:szCs w:val="20"/>
                <w:highlight w:val="none"/>
              </w:rPr>
              <w:t>防</w:t>
            </w:r>
            <w:r>
              <w:rPr>
                <w:rFonts w:hint="default" w:ascii="Times New Roman" w:hAnsi="Times New Roman" w:eastAsia="宋体" w:cs="Times New Roman"/>
                <w:spacing w:val="10"/>
                <w:sz w:val="20"/>
                <w:szCs w:val="20"/>
                <w:highlight w:val="none"/>
              </w:rPr>
              <w:t>渗</w:t>
            </w:r>
            <w:r>
              <w:rPr>
                <w:rFonts w:hint="default" w:ascii="Times New Roman" w:hAnsi="Times New Roman" w:eastAsia="宋体" w:cs="Times New Roman"/>
                <w:spacing w:val="7"/>
                <w:sz w:val="20"/>
                <w:szCs w:val="20"/>
                <w:highlight w:val="none"/>
              </w:rPr>
              <w:t>混凝土浇筑，</w:t>
            </w:r>
            <w:r>
              <w:rPr>
                <w:rFonts w:hint="eastAsia" w:ascii="Times New Roman" w:hAnsi="Times New Roman" w:eastAsia="宋体" w:cs="Times New Roman"/>
                <w:spacing w:val="7"/>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4</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3.5</w:t>
            </w:r>
            <w:r>
              <w:rPr>
                <w:rFonts w:hint="default" w:ascii="Times New Roman" w:hAnsi="Times New Roman" w:eastAsia="Times New Roman" w:cs="Times New Roman"/>
                <w:sz w:val="20"/>
                <w:szCs w:val="20"/>
                <w:highlight w:val="none"/>
              </w:rPr>
              <w:t>m</w:t>
            </w:r>
          </w:p>
        </w:tc>
        <w:tc>
          <w:tcPr>
            <w:tcW w:w="1574" w:type="dxa"/>
            <w:vMerge w:val="continue"/>
            <w:tcBorders>
              <w:left w:val="single" w:color="000000" w:sz="4" w:space="0"/>
              <w:right w:val="single" w:color="000000" w:sz="10" w:space="0"/>
            </w:tcBorders>
            <w:vAlign w:val="top"/>
          </w:tcPr>
          <w:p>
            <w:pPr>
              <w:spacing w:before="85" w:line="226" w:lineRule="auto"/>
              <w:ind w:left="64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12" w:type="dxa"/>
            <w:tcBorders>
              <w:left w:val="single" w:color="000000" w:sz="10" w:space="0"/>
              <w:right w:val="single" w:color="000000" w:sz="4" w:space="0"/>
            </w:tcBorders>
            <w:vAlign w:val="top"/>
          </w:tcPr>
          <w:p>
            <w:pPr>
              <w:spacing w:before="121" w:line="195" w:lineRule="auto"/>
              <w:ind w:left="108"/>
              <w:rPr>
                <w:rFonts w:hint="default"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19</w:t>
            </w:r>
          </w:p>
        </w:tc>
        <w:tc>
          <w:tcPr>
            <w:tcW w:w="828" w:type="dxa"/>
            <w:tcBorders>
              <w:left w:val="single" w:color="000000" w:sz="4" w:space="0"/>
              <w:right w:val="single" w:color="000000" w:sz="4" w:space="0"/>
            </w:tcBorders>
            <w:vAlign w:val="top"/>
          </w:tcPr>
          <w:p>
            <w:pPr>
              <w:spacing w:before="85" w:line="226" w:lineRule="auto"/>
              <w:ind w:left="83" w:leftChars="0"/>
              <w:rPr>
                <w:rFonts w:hint="default" w:ascii="Times New Roman" w:hAnsi="Times New Roman" w:eastAsia="宋体" w:cs="Times New Roman"/>
                <w:snapToGrid w:val="0"/>
                <w:color w:val="000000"/>
                <w:kern w:val="0"/>
                <w:sz w:val="20"/>
                <w:szCs w:val="20"/>
                <w:highlight w:val="none"/>
              </w:rPr>
            </w:pPr>
            <w:r>
              <w:rPr>
                <w:rFonts w:hint="eastAsia" w:ascii="Times New Roman" w:hAnsi="Times New Roman" w:eastAsia="宋体" w:cs="Times New Roman"/>
                <w:spacing w:val="7"/>
                <w:sz w:val="20"/>
                <w:szCs w:val="20"/>
                <w:highlight w:val="none"/>
                <w:lang w:val="en-US" w:eastAsia="zh-CN"/>
              </w:rPr>
              <w:t>2</w:t>
            </w:r>
            <w:r>
              <w:rPr>
                <w:rFonts w:hint="default" w:ascii="Times New Roman" w:hAnsi="Times New Roman" w:eastAsia="宋体" w:cs="Times New Roman"/>
                <w:spacing w:val="7"/>
                <w:sz w:val="20"/>
                <w:szCs w:val="20"/>
                <w:highlight w:val="none"/>
              </w:rPr>
              <w:t>事故</w:t>
            </w:r>
            <w:r>
              <w:rPr>
                <w:rFonts w:hint="default" w:ascii="Times New Roman" w:hAnsi="Times New Roman" w:eastAsia="宋体" w:cs="Times New Roman"/>
                <w:spacing w:val="6"/>
                <w:sz w:val="20"/>
                <w:szCs w:val="20"/>
                <w:highlight w:val="none"/>
              </w:rPr>
              <w:t>池</w:t>
            </w:r>
          </w:p>
        </w:tc>
        <w:tc>
          <w:tcPr>
            <w:tcW w:w="984" w:type="dxa"/>
            <w:gridSpan w:val="2"/>
            <w:tcBorders>
              <w:left w:val="single" w:color="000000" w:sz="4" w:space="0"/>
              <w:right w:val="single" w:color="000000" w:sz="4" w:space="0"/>
            </w:tcBorders>
            <w:vAlign w:val="top"/>
          </w:tcPr>
          <w:p>
            <w:pPr>
              <w:spacing w:before="121" w:line="195" w:lineRule="auto"/>
              <w:ind w:left="346"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36</w:t>
            </w:r>
          </w:p>
        </w:tc>
        <w:tc>
          <w:tcPr>
            <w:tcW w:w="984" w:type="dxa"/>
            <w:gridSpan w:val="2"/>
            <w:tcBorders>
              <w:left w:val="single" w:color="000000" w:sz="4" w:space="0"/>
              <w:right w:val="single" w:color="000000" w:sz="4" w:space="0"/>
            </w:tcBorders>
            <w:vAlign w:val="top"/>
          </w:tcPr>
          <w:p>
            <w:pPr>
              <w:spacing w:before="209" w:line="121" w:lineRule="exact"/>
              <w:ind w:left="455"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position w:val="-1"/>
                <w:sz w:val="20"/>
                <w:szCs w:val="20"/>
                <w:highlight w:val="none"/>
              </w:rPr>
              <w:t>-</w:t>
            </w:r>
          </w:p>
        </w:tc>
        <w:tc>
          <w:tcPr>
            <w:tcW w:w="3635" w:type="dxa"/>
            <w:tcBorders>
              <w:left w:val="single" w:color="000000" w:sz="4" w:space="0"/>
              <w:right w:val="single" w:color="000000" w:sz="4" w:space="0"/>
            </w:tcBorders>
            <w:vAlign w:val="top"/>
          </w:tcPr>
          <w:p>
            <w:pPr>
              <w:spacing w:before="85" w:line="226" w:lineRule="auto"/>
              <w:ind w:left="317"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宋体" w:cs="Times New Roman"/>
                <w:spacing w:val="14"/>
                <w:sz w:val="20"/>
                <w:szCs w:val="20"/>
                <w:highlight w:val="none"/>
              </w:rPr>
              <w:t>防</w:t>
            </w:r>
            <w:r>
              <w:rPr>
                <w:rFonts w:hint="default" w:ascii="Times New Roman" w:hAnsi="Times New Roman" w:eastAsia="宋体" w:cs="Times New Roman"/>
                <w:spacing w:val="10"/>
                <w:sz w:val="20"/>
                <w:szCs w:val="20"/>
                <w:highlight w:val="none"/>
              </w:rPr>
              <w:t>渗</w:t>
            </w:r>
            <w:r>
              <w:rPr>
                <w:rFonts w:hint="default" w:ascii="Times New Roman" w:hAnsi="Times New Roman" w:eastAsia="宋体" w:cs="Times New Roman"/>
                <w:spacing w:val="7"/>
                <w:sz w:val="20"/>
                <w:szCs w:val="20"/>
                <w:highlight w:val="none"/>
              </w:rPr>
              <w:t>混凝土浇筑，</w:t>
            </w:r>
            <w:r>
              <w:rPr>
                <w:rFonts w:hint="eastAsia" w:ascii="Times New Roman" w:hAnsi="Times New Roman" w:eastAsia="宋体" w:cs="Times New Roman"/>
                <w:spacing w:val="7"/>
                <w:sz w:val="20"/>
                <w:szCs w:val="20"/>
                <w:highlight w:val="none"/>
                <w:lang w:val="en-US" w:eastAsia="zh-CN"/>
              </w:rPr>
              <w:t>3</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3</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4</w:t>
            </w:r>
            <w:r>
              <w:rPr>
                <w:rFonts w:hint="default" w:ascii="Times New Roman" w:hAnsi="Times New Roman" w:eastAsia="Times New Roman" w:cs="Times New Roman"/>
                <w:sz w:val="20"/>
                <w:szCs w:val="20"/>
                <w:highlight w:val="none"/>
              </w:rPr>
              <w:t>m</w:t>
            </w:r>
          </w:p>
        </w:tc>
        <w:tc>
          <w:tcPr>
            <w:tcW w:w="1574" w:type="dxa"/>
            <w:vMerge w:val="continue"/>
            <w:tcBorders>
              <w:left w:val="single" w:color="000000" w:sz="4" w:space="0"/>
              <w:right w:val="single" w:color="000000" w:sz="10" w:space="0"/>
            </w:tcBorders>
            <w:vAlign w:val="top"/>
          </w:tcPr>
          <w:p>
            <w:pPr>
              <w:spacing w:before="85" w:line="226" w:lineRule="auto"/>
              <w:ind w:left="647"/>
              <w:rPr>
                <w:rFonts w:hint="default" w:ascii="Times New Roman" w:hAnsi="Times New Roman" w:eastAsia="宋体" w:cs="Times New Roman"/>
                <w:spacing w:val="4"/>
                <w:sz w:val="20"/>
                <w:szCs w:val="20"/>
                <w:highlight w:val="none"/>
              </w:rPr>
            </w:pPr>
          </w:p>
        </w:tc>
      </w:tr>
    </w:tbl>
    <w:p>
      <w:pPr>
        <w:spacing w:before="314" w:line="228" w:lineRule="auto"/>
        <w:ind w:left="126"/>
        <w:outlineLvl w:val="2"/>
        <w:rPr>
          <w:rFonts w:hint="default" w:ascii="Times New Roman" w:hAnsi="Times New Roman" w:eastAsia="宋体" w:cs="Times New Roman"/>
          <w:sz w:val="23"/>
          <w:szCs w:val="23"/>
          <w:highlight w:val="none"/>
        </w:rPr>
      </w:pPr>
      <w:bookmarkStart w:id="162" w:name="_Toc30206"/>
      <w:bookmarkStart w:id="163" w:name="_Toc11413"/>
      <w:bookmarkStart w:id="164" w:name="_Toc11845"/>
      <w:r>
        <w:rPr>
          <w:rFonts w:hint="default" w:ascii="Times New Roman" w:hAnsi="Times New Roman" w:eastAsia="Times New Roman" w:cs="Times New Roman"/>
          <w:b/>
          <w:bCs/>
          <w:spacing w:val="7"/>
          <w:sz w:val="23"/>
          <w:szCs w:val="23"/>
          <w:highlight w:val="none"/>
        </w:rPr>
        <w:t>3.</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3</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产品方</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案</w:t>
      </w:r>
      <w:bookmarkEnd w:id="162"/>
      <w:bookmarkEnd w:id="163"/>
      <w:bookmarkEnd w:id="164"/>
    </w:p>
    <w:p>
      <w:pPr>
        <w:spacing w:before="214" w:line="402" w:lineRule="auto"/>
        <w:ind w:left="133" w:right="122" w:firstLine="482"/>
        <w:rPr>
          <w:rFonts w:hint="default" w:ascii="Times New Roman" w:hAnsi="Times New Roman" w:eastAsia="宋体" w:cs="Times New Roman"/>
          <w:spacing w:val="7"/>
          <w:sz w:val="23"/>
          <w:szCs w:val="23"/>
          <w:highlight w:val="none"/>
        </w:rPr>
      </w:pPr>
      <w:r>
        <w:rPr>
          <w:rFonts w:hint="eastAsia" w:ascii="Times New Roman" w:hAnsi="Times New Roman" w:eastAsia="宋体" w:cs="Times New Roman"/>
          <w:spacing w:val="7"/>
          <w:sz w:val="23"/>
          <w:szCs w:val="23"/>
          <w:highlight w:val="none"/>
          <w:lang w:val="en-US" w:eastAsia="zh-CN"/>
        </w:rPr>
        <w:t>改扩建工程建设完成后全厂</w:t>
      </w:r>
      <w:r>
        <w:rPr>
          <w:rFonts w:hint="default" w:ascii="Times New Roman" w:hAnsi="Times New Roman" w:eastAsia="宋体" w:cs="Times New Roman"/>
          <w:spacing w:val="7"/>
          <w:sz w:val="23"/>
          <w:szCs w:val="23"/>
          <w:highlight w:val="none"/>
        </w:rPr>
        <w:t>生产规模为年处理</w:t>
      </w:r>
      <w:r>
        <w:rPr>
          <w:rFonts w:hint="eastAsia" w:ascii="Times New Roman" w:hAnsi="Times New Roman" w:eastAsia="宋体" w:cs="Times New Roman"/>
          <w:spacing w:val="7"/>
          <w:sz w:val="23"/>
          <w:szCs w:val="23"/>
          <w:highlight w:val="none"/>
          <w:lang w:val="en-US" w:eastAsia="zh-CN"/>
        </w:rPr>
        <w:t>110</w:t>
      </w:r>
      <w:r>
        <w:rPr>
          <w:rFonts w:hint="default" w:ascii="Times New Roman" w:hAnsi="Times New Roman" w:eastAsia="宋体" w:cs="Times New Roman"/>
          <w:spacing w:val="7"/>
          <w:sz w:val="23"/>
          <w:szCs w:val="23"/>
          <w:highlight w:val="none"/>
        </w:rPr>
        <w:t>万吨铁矿石</w:t>
      </w:r>
      <w:r>
        <w:rPr>
          <w:rFonts w:hint="eastAsia" w:ascii="Times New Roman" w:hAnsi="Times New Roman" w:eastAsia="宋体" w:cs="Times New Roman"/>
          <w:spacing w:val="7"/>
          <w:sz w:val="23"/>
          <w:szCs w:val="23"/>
          <w:highlight w:val="none"/>
        </w:rPr>
        <w:t>，</w:t>
      </w:r>
      <w:r>
        <w:rPr>
          <w:rFonts w:hint="default" w:ascii="Times New Roman" w:hAnsi="Times New Roman" w:eastAsia="宋体" w:cs="Times New Roman"/>
          <w:spacing w:val="7"/>
          <w:sz w:val="23"/>
          <w:szCs w:val="23"/>
          <w:highlight w:val="none"/>
        </w:rPr>
        <w:t>年产</w:t>
      </w:r>
      <w:r>
        <w:rPr>
          <w:rFonts w:hint="eastAsia" w:ascii="Times New Roman" w:hAnsi="Times New Roman" w:eastAsia="宋体" w:cs="Times New Roman"/>
          <w:spacing w:val="7"/>
          <w:sz w:val="23"/>
          <w:szCs w:val="23"/>
          <w:highlight w:val="none"/>
          <w:lang w:val="en-US" w:eastAsia="zh-CN"/>
        </w:rPr>
        <w:t>60</w:t>
      </w:r>
      <w:r>
        <w:rPr>
          <w:rFonts w:hint="default" w:ascii="Times New Roman" w:hAnsi="Times New Roman" w:eastAsia="宋体" w:cs="Times New Roman"/>
          <w:spacing w:val="7"/>
          <w:sz w:val="23"/>
          <w:szCs w:val="23"/>
          <w:highlight w:val="none"/>
        </w:rPr>
        <w:t>%铁精粉</w:t>
      </w:r>
      <w:r>
        <w:rPr>
          <w:rFonts w:hint="eastAsia" w:ascii="Times New Roman" w:hAnsi="Times New Roman" w:eastAsia="宋体" w:cs="Times New Roman"/>
          <w:spacing w:val="7"/>
          <w:sz w:val="23"/>
          <w:szCs w:val="23"/>
          <w:highlight w:val="none"/>
          <w:lang w:val="en-US" w:eastAsia="zh-CN"/>
        </w:rPr>
        <w:t>40</w:t>
      </w:r>
      <w:r>
        <w:rPr>
          <w:rFonts w:hint="default" w:ascii="Times New Roman" w:hAnsi="Times New Roman" w:eastAsia="宋体" w:cs="Times New Roman"/>
          <w:spacing w:val="7"/>
          <w:sz w:val="23"/>
          <w:szCs w:val="23"/>
          <w:highlight w:val="none"/>
        </w:rPr>
        <w:t>万吨</w:t>
      </w:r>
      <w:r>
        <w:rPr>
          <w:rFonts w:hint="eastAsia" w:ascii="Times New Roman" w:hAnsi="Times New Roman" w:eastAsia="宋体" w:cs="Times New Roman"/>
          <w:spacing w:val="7"/>
          <w:sz w:val="23"/>
          <w:szCs w:val="23"/>
          <w:highlight w:val="none"/>
          <w:lang w:eastAsia="zh-CN"/>
        </w:rPr>
        <w:t>，</w:t>
      </w:r>
      <w:r>
        <w:rPr>
          <w:rFonts w:hint="default" w:ascii="Times New Roman" w:hAnsi="Times New Roman" w:eastAsia="宋体" w:cs="Times New Roman"/>
          <w:spacing w:val="7"/>
          <w:sz w:val="23"/>
          <w:szCs w:val="23"/>
          <w:highlight w:val="none"/>
        </w:rPr>
        <w:t>产品方案详见表3.</w:t>
      </w:r>
      <w:r>
        <w:rPr>
          <w:rFonts w:hint="eastAsia" w:ascii="Times New Roman" w:hAnsi="Times New Roman" w:eastAsia="宋体" w:cs="Times New Roman"/>
          <w:spacing w:val="7"/>
          <w:sz w:val="23"/>
          <w:szCs w:val="23"/>
          <w:highlight w:val="none"/>
          <w:lang w:val="en-US" w:eastAsia="zh-CN"/>
        </w:rPr>
        <w:t>2</w:t>
      </w:r>
      <w:r>
        <w:rPr>
          <w:rFonts w:hint="default" w:ascii="Times New Roman" w:hAnsi="Times New Roman" w:eastAsia="宋体" w:cs="Times New Roman"/>
          <w:spacing w:val="7"/>
          <w:sz w:val="23"/>
          <w:szCs w:val="23"/>
          <w:highlight w:val="none"/>
        </w:rPr>
        <w:t>-</w:t>
      </w:r>
      <w:r>
        <w:rPr>
          <w:rFonts w:hint="eastAsia" w:ascii="Times New Roman" w:hAnsi="Times New Roman" w:eastAsia="宋体" w:cs="Times New Roman"/>
          <w:spacing w:val="7"/>
          <w:sz w:val="23"/>
          <w:szCs w:val="23"/>
          <w:highlight w:val="none"/>
          <w:lang w:val="en-US" w:eastAsia="zh-CN"/>
        </w:rPr>
        <w:t>4</w:t>
      </w:r>
      <w:r>
        <w:rPr>
          <w:rFonts w:hint="default" w:ascii="Times New Roman" w:hAnsi="Times New Roman" w:eastAsia="宋体" w:cs="Times New Roman"/>
          <w:spacing w:val="7"/>
          <w:sz w:val="23"/>
          <w:szCs w:val="23"/>
          <w:highlight w:val="none"/>
        </w:rPr>
        <w:t>。</w:t>
      </w:r>
    </w:p>
    <w:p>
      <w:pPr>
        <w:pStyle w:val="2"/>
        <w:rPr>
          <w:rFonts w:hint="default"/>
          <w:highlight w:val="none"/>
        </w:rPr>
      </w:pPr>
    </w:p>
    <w:p>
      <w:pPr>
        <w:keepNext w:val="0"/>
        <w:keepLines w:val="0"/>
        <w:pageBreakBefore w:val="0"/>
        <w:widowControl/>
        <w:kinsoku w:val="0"/>
        <w:wordWrap/>
        <w:overflowPunct/>
        <w:topLinePunct w:val="0"/>
        <w:autoSpaceDE w:val="0"/>
        <w:autoSpaceDN w:val="0"/>
        <w:bidi w:val="0"/>
        <w:adjustRightInd w:val="0"/>
        <w:snapToGrid w:val="0"/>
        <w:spacing w:before="40" w:line="228" w:lineRule="auto"/>
        <w:ind w:left="2432" w:firstLine="236" w:firstLineChars="100"/>
        <w:jc w:val="both"/>
        <w:textAlignment w:val="baseline"/>
        <w:rPr>
          <w:rFonts w:hint="default"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pPr>
      <w:r>
        <w:rPr>
          <w:rFonts w:hint="default"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表3.2-4    产品方案</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1"/>
        <w:gridCol w:w="2081"/>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2441" w:type="dxa"/>
            <w:tcBorders>
              <w:tl2br w:val="nil"/>
              <w:tr2bl w:val="nil"/>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产品名称</w:t>
            </w:r>
          </w:p>
        </w:tc>
        <w:tc>
          <w:tcPr>
            <w:tcW w:w="2081" w:type="dxa"/>
            <w:tcBorders>
              <w:tl2br w:val="nil"/>
              <w:tr2bl w:val="nil"/>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产量（t/a）</w:t>
            </w:r>
          </w:p>
        </w:tc>
        <w:tc>
          <w:tcPr>
            <w:tcW w:w="4000" w:type="dxa"/>
            <w:tcBorders>
              <w:tl2br w:val="nil"/>
              <w:tr2bl w:val="nil"/>
            </w:tcBorders>
            <w:vAlign w:val="center"/>
          </w:tcPr>
          <w:p>
            <w:pPr>
              <w:spacing w:line="240" w:lineRule="auto"/>
              <w:ind w:firstLine="142" w:firstLineChars="71"/>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441" w:type="dxa"/>
            <w:tcBorders>
              <w:tl2br w:val="nil"/>
              <w:tr2bl w:val="nil"/>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铁精粉</w:t>
            </w:r>
          </w:p>
        </w:tc>
        <w:tc>
          <w:tcPr>
            <w:tcW w:w="2081" w:type="dxa"/>
            <w:tcBorders>
              <w:tl2br w:val="nil"/>
              <w:tr2bl w:val="nil"/>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eastAsia="宋体" w:cs="Times New Roman"/>
                <w:sz w:val="20"/>
                <w:szCs w:val="20"/>
                <w:highlight w:val="none"/>
                <w:lang w:val="en-US" w:eastAsia="zh-CN"/>
              </w:rPr>
              <w:t>40</w:t>
            </w:r>
            <w:r>
              <w:rPr>
                <w:rFonts w:hint="default" w:ascii="Times New Roman" w:hAnsi="Times New Roman" w:cs="Times New Roman"/>
                <w:sz w:val="20"/>
                <w:szCs w:val="20"/>
                <w:highlight w:val="none"/>
              </w:rPr>
              <w:t>万</w:t>
            </w:r>
          </w:p>
        </w:tc>
        <w:tc>
          <w:tcPr>
            <w:tcW w:w="4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cs="Times New Roman"/>
                <w:sz w:val="20"/>
                <w:szCs w:val="20"/>
                <w:highlight w:val="none"/>
              </w:rPr>
              <w:t>平均品位为6</w:t>
            </w:r>
            <w:r>
              <w:rPr>
                <w:rFonts w:hint="default" w:ascii="Times New Roman" w:hAnsi="Times New Roman" w:eastAsia="宋体" w:cs="Times New Roman"/>
                <w:sz w:val="20"/>
                <w:szCs w:val="20"/>
                <w:highlight w:val="none"/>
                <w:lang w:val="en-US" w:eastAsia="zh-CN"/>
              </w:rPr>
              <w:t>0</w:t>
            </w:r>
            <w:r>
              <w:rPr>
                <w:rFonts w:hint="default" w:ascii="Times New Roman" w:hAnsi="Times New Roman" w:cs="Times New Roman"/>
                <w:sz w:val="20"/>
                <w:szCs w:val="20"/>
                <w:highlight w:val="none"/>
              </w:rPr>
              <w:t>%</w:t>
            </w:r>
            <w:r>
              <w:rPr>
                <w:rFonts w:hint="eastAsia" w:ascii="Times New Roman" w:hAnsi="Times New Roman" w:eastAsia="宋体" w:cs="Times New Roman"/>
                <w:sz w:val="20"/>
                <w:szCs w:val="20"/>
                <w:highlight w:val="none"/>
                <w:lang w:eastAsia="zh-CN"/>
              </w:rPr>
              <w:t>，</w:t>
            </w:r>
            <w:r>
              <w:rPr>
                <w:rFonts w:hint="eastAsia" w:ascii="Times New Roman" w:hAnsi="Times New Roman" w:eastAsia="宋体" w:cs="Times New Roman"/>
                <w:sz w:val="20"/>
                <w:szCs w:val="20"/>
                <w:highlight w:val="none"/>
                <w:lang w:val="en-US" w:eastAsia="zh-CN"/>
              </w:rPr>
              <w:t>含水率10%</w:t>
            </w:r>
          </w:p>
        </w:tc>
      </w:tr>
    </w:tbl>
    <w:p>
      <w:pPr>
        <w:pStyle w:val="10"/>
        <w:rPr>
          <w:rFonts w:hint="default"/>
          <w:highlight w:val="none"/>
        </w:rPr>
      </w:pPr>
    </w:p>
    <w:p>
      <w:pPr>
        <w:spacing w:before="74" w:line="227" w:lineRule="auto"/>
        <w:ind w:left="126"/>
        <w:outlineLvl w:val="2"/>
        <w:rPr>
          <w:rFonts w:hint="default" w:ascii="Times New Roman" w:hAnsi="Times New Roman" w:eastAsia="宋体" w:cs="Times New Roman"/>
          <w:sz w:val="23"/>
          <w:szCs w:val="23"/>
          <w:highlight w:val="none"/>
        </w:rPr>
      </w:pPr>
      <w:bookmarkStart w:id="165" w:name="_Toc12304"/>
      <w:bookmarkStart w:id="166" w:name="_Toc21875"/>
      <w:bookmarkStart w:id="167" w:name="_Toc3153"/>
      <w:r>
        <w:rPr>
          <w:rFonts w:hint="default" w:ascii="Times New Roman" w:hAnsi="Times New Roman" w:eastAsia="Times New Roman" w:cs="Times New Roman"/>
          <w:b/>
          <w:bCs/>
          <w:spacing w:val="16"/>
          <w:sz w:val="23"/>
          <w:szCs w:val="23"/>
          <w:highlight w:val="none"/>
        </w:rPr>
        <w:t>3</w:t>
      </w:r>
      <w:r>
        <w:rPr>
          <w:rFonts w:hint="default" w:ascii="Times New Roman" w:hAnsi="Times New Roman" w:eastAsia="Times New Roman" w:cs="Times New Roman"/>
          <w:b/>
          <w:bCs/>
          <w:spacing w:val="8"/>
          <w:sz w:val="23"/>
          <w:szCs w:val="23"/>
          <w:highlight w:val="none"/>
        </w:rPr>
        <w:t>.</w:t>
      </w:r>
      <w:r>
        <w:rPr>
          <w:rFonts w:hint="eastAsia" w:ascii="Times New Roman" w:hAnsi="Times New Roman" w:eastAsia="宋体" w:cs="Times New Roman"/>
          <w:b/>
          <w:bCs/>
          <w:spacing w:val="8"/>
          <w:sz w:val="23"/>
          <w:szCs w:val="23"/>
          <w:highlight w:val="none"/>
          <w:lang w:val="en-US" w:eastAsia="zh-CN"/>
        </w:rPr>
        <w:t>2</w:t>
      </w:r>
      <w:r>
        <w:rPr>
          <w:rFonts w:hint="default" w:ascii="Times New Roman" w:hAnsi="Times New Roman" w:eastAsia="Times New Roman" w:cs="Times New Roman"/>
          <w:b/>
          <w:bCs/>
          <w:spacing w:val="8"/>
          <w:sz w:val="23"/>
          <w:szCs w:val="23"/>
          <w:highlight w:val="none"/>
        </w:rPr>
        <w:t>.</w:t>
      </w:r>
      <w:r>
        <w:rPr>
          <w:rFonts w:hint="eastAsia" w:ascii="Times New Roman" w:hAnsi="Times New Roman" w:eastAsia="宋体" w:cs="Times New Roman"/>
          <w:b/>
          <w:bCs/>
          <w:spacing w:val="8"/>
          <w:sz w:val="23"/>
          <w:szCs w:val="23"/>
          <w:highlight w:val="none"/>
          <w:lang w:val="en-US" w:eastAsia="zh-CN"/>
        </w:rPr>
        <w:t>4</w:t>
      </w:r>
      <w:r>
        <w:rPr>
          <w:rFonts w:hint="default" w:ascii="Times New Roman" w:hAnsi="Times New Roman" w:eastAsia="Times New Roman" w:cs="Times New Roman"/>
          <w:spacing w:val="8"/>
          <w:sz w:val="23"/>
          <w:szCs w:val="23"/>
          <w:highlight w:val="none"/>
        </w:rPr>
        <w:t xml:space="preserve"> </w:t>
      </w:r>
      <w:r>
        <w:rPr>
          <w:rFonts w:hint="eastAsia" w:ascii="Times New Roman" w:hAnsi="Times New Roman" w:eastAsia="宋体" w:cs="Times New Roman"/>
          <w:spacing w:val="8"/>
          <w:sz w:val="23"/>
          <w:szCs w:val="23"/>
          <w:highlight w:val="none"/>
          <w:lang w:val="en-US" w:eastAsia="zh-CN"/>
          <w14:textOutline w14:w="4358" w14:cap="sq" w14:cmpd="sng">
            <w14:solidFill>
              <w14:srgbClr w14:val="000000"/>
            </w14:solidFill>
            <w14:prstDash w14:val="solid"/>
            <w14:bevel/>
          </w14:textOutline>
        </w:rPr>
        <w:t>改扩建工程</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生产原辅材料及能源消耗</w:t>
      </w:r>
      <w:bookmarkEnd w:id="165"/>
      <w:bookmarkEnd w:id="166"/>
      <w:bookmarkEnd w:id="167"/>
    </w:p>
    <w:p>
      <w:pPr>
        <w:keepNext w:val="0"/>
        <w:keepLines w:val="0"/>
        <w:pageBreakBefore w:val="0"/>
        <w:widowControl/>
        <w:kinsoku w:val="0"/>
        <w:wordWrap/>
        <w:overflowPunct/>
        <w:topLinePunct w:val="0"/>
        <w:autoSpaceDE w:val="0"/>
        <w:autoSpaceDN w:val="0"/>
        <w:bidi w:val="0"/>
        <w:adjustRightInd w:val="0"/>
        <w:snapToGrid w:val="0"/>
        <w:spacing w:before="0" w:beforeLines="50" w:line="228" w:lineRule="auto"/>
        <w:ind w:left="618"/>
        <w:textAlignment w:val="baseline"/>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8"/>
          <w:sz w:val="23"/>
          <w:szCs w:val="23"/>
          <w:highlight w:val="none"/>
          <w:lang w:val="en-US" w:eastAsia="zh-CN"/>
        </w:rPr>
        <w:t>改扩建工程完成后全厂</w:t>
      </w:r>
      <w:r>
        <w:rPr>
          <w:rFonts w:hint="default" w:ascii="Times New Roman" w:hAnsi="Times New Roman" w:eastAsia="宋体" w:cs="Times New Roman"/>
          <w:spacing w:val="8"/>
          <w:sz w:val="23"/>
          <w:szCs w:val="23"/>
          <w:highlight w:val="none"/>
        </w:rPr>
        <w:t>主</w:t>
      </w:r>
      <w:r>
        <w:rPr>
          <w:rFonts w:hint="default" w:ascii="Times New Roman" w:hAnsi="Times New Roman" w:eastAsia="宋体" w:cs="Times New Roman"/>
          <w:spacing w:val="5"/>
          <w:sz w:val="23"/>
          <w:szCs w:val="23"/>
          <w:highlight w:val="none"/>
        </w:rPr>
        <w:t>要</w:t>
      </w:r>
      <w:r>
        <w:rPr>
          <w:rFonts w:hint="default" w:ascii="Times New Roman" w:hAnsi="Times New Roman" w:eastAsia="宋体" w:cs="Times New Roman"/>
          <w:spacing w:val="4"/>
          <w:sz w:val="23"/>
          <w:szCs w:val="23"/>
          <w:highlight w:val="none"/>
        </w:rPr>
        <w:t xml:space="preserve">原辅材料及能源消耗见表 </w:t>
      </w:r>
      <w:r>
        <w:rPr>
          <w:rFonts w:hint="default" w:ascii="Times New Roman" w:hAnsi="Times New Roman" w:eastAsia="Times New Roman" w:cs="Times New Roman"/>
          <w:spacing w:val="4"/>
          <w:sz w:val="23"/>
          <w:szCs w:val="23"/>
          <w:highlight w:val="none"/>
        </w:rPr>
        <w:t>3.</w:t>
      </w:r>
      <w:r>
        <w:rPr>
          <w:rFonts w:hint="eastAsia" w:ascii="Times New Roman" w:hAnsi="Times New Roman" w:eastAsia="宋体" w:cs="Times New Roman"/>
          <w:spacing w:val="4"/>
          <w:sz w:val="23"/>
          <w:szCs w:val="23"/>
          <w:highlight w:val="none"/>
          <w:lang w:val="en-US" w:eastAsia="zh-CN"/>
        </w:rPr>
        <w:t>2</w:t>
      </w:r>
      <w:r>
        <w:rPr>
          <w:rFonts w:hint="default" w:ascii="Times New Roman" w:hAnsi="Times New Roman" w:eastAsia="Times New Roman" w:cs="Times New Roman"/>
          <w:spacing w:val="4"/>
          <w:sz w:val="23"/>
          <w:szCs w:val="23"/>
          <w:highlight w:val="none"/>
        </w:rPr>
        <w:t>-</w:t>
      </w:r>
      <w:r>
        <w:rPr>
          <w:rFonts w:hint="eastAsia" w:ascii="Times New Roman" w:hAnsi="Times New Roman" w:eastAsia="宋体" w:cs="Times New Roman"/>
          <w:spacing w:val="4"/>
          <w:sz w:val="23"/>
          <w:szCs w:val="23"/>
          <w:highlight w:val="none"/>
          <w:lang w:val="en-US" w:eastAsia="zh-CN"/>
        </w:rPr>
        <w:t>5</w:t>
      </w:r>
      <w:r>
        <w:rPr>
          <w:rFonts w:hint="default" w:ascii="Times New Roman" w:hAnsi="Times New Roman" w:eastAsia="宋体" w:cs="Times New Roman"/>
          <w:spacing w:val="4"/>
          <w:sz w:val="23"/>
          <w:szCs w:val="23"/>
          <w:highlight w:val="none"/>
        </w:rPr>
        <w:t>。</w:t>
      </w:r>
    </w:p>
    <w:p>
      <w:pPr>
        <w:spacing w:before="219" w:line="227" w:lineRule="auto"/>
        <w:ind w:firstLine="1476" w:firstLineChars="60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8"/>
          <w:sz w:val="23"/>
          <w:szCs w:val="23"/>
          <w:highlight w:val="none"/>
        </w:rPr>
        <w:t>3</w:t>
      </w:r>
      <w:r>
        <w:rPr>
          <w:rFonts w:hint="default" w:ascii="Times New Roman" w:hAnsi="Times New Roman" w:eastAsia="Times New Roman" w:cs="Times New Roman"/>
          <w:b/>
          <w:bCs/>
          <w:spacing w:val="5"/>
          <w:sz w:val="23"/>
          <w:szCs w:val="23"/>
          <w:highlight w:val="none"/>
        </w:rPr>
        <w:t>.</w:t>
      </w:r>
      <w:r>
        <w:rPr>
          <w:rFonts w:hint="eastAsia" w:ascii="Times New Roman" w:hAnsi="Times New Roman" w:eastAsia="宋体" w:cs="Times New Roman"/>
          <w:b/>
          <w:bCs/>
          <w:spacing w:val="4"/>
          <w:sz w:val="23"/>
          <w:szCs w:val="23"/>
          <w:highlight w:val="none"/>
          <w:lang w:val="en-US" w:eastAsia="zh-CN"/>
        </w:rPr>
        <w:t>2</w:t>
      </w:r>
      <w:r>
        <w:rPr>
          <w:rFonts w:hint="default" w:ascii="Times New Roman" w:hAnsi="Times New Roman" w:eastAsia="Times New Roman" w:cs="Times New Roman"/>
          <w:b/>
          <w:bCs/>
          <w:spacing w:val="4"/>
          <w:sz w:val="23"/>
          <w:szCs w:val="23"/>
          <w:highlight w:val="none"/>
        </w:rPr>
        <w:t>-</w:t>
      </w:r>
      <w:r>
        <w:rPr>
          <w:rFonts w:hint="eastAsia" w:ascii="Times New Roman" w:hAnsi="Times New Roman" w:eastAsia="宋体" w:cs="Times New Roman"/>
          <w:b/>
          <w:bCs/>
          <w:spacing w:val="4"/>
          <w:sz w:val="23"/>
          <w:szCs w:val="23"/>
          <w:highlight w:val="none"/>
          <w:lang w:val="en-US" w:eastAsia="zh-CN"/>
        </w:rPr>
        <w:t>5</w:t>
      </w:r>
      <w:r>
        <w:rPr>
          <w:rFonts w:hint="default" w:ascii="Times New Roman" w:hAnsi="Times New Roman" w:eastAsia="Times New Roman" w:cs="Times New Roman"/>
          <w:spacing w:val="4"/>
          <w:sz w:val="23"/>
          <w:szCs w:val="23"/>
          <w:highlight w:val="none"/>
        </w:rPr>
        <w:t xml:space="preserve">         </w:t>
      </w:r>
      <w:r>
        <w:rPr>
          <w:rFonts w:hint="eastAsia" w:ascii="Times New Roman" w:hAnsi="Times New Roman" w:eastAsia="宋体" w:cs="Times New Roman"/>
          <w:spacing w:val="4"/>
          <w:sz w:val="23"/>
          <w:szCs w:val="23"/>
          <w:highlight w:val="none"/>
          <w:lang w:val="en-US" w:eastAsia="zh-CN"/>
          <w14:textOutline w14:w="4358" w14:cap="sq" w14:cmpd="sng">
            <w14:solidFill>
              <w14:srgbClr w14:val="000000"/>
            </w14:solidFill>
            <w14:prstDash w14:val="solid"/>
            <w14:bevel/>
          </w14:textOutline>
        </w:rPr>
        <w:t>改扩建工程完成后全厂</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主要原辅材料及能源消耗</w:t>
      </w:r>
    </w:p>
    <w:p>
      <w:pPr>
        <w:spacing w:line="21" w:lineRule="exact"/>
        <w:rPr>
          <w:rFonts w:hint="default" w:ascii="Times New Roman" w:hAnsi="Times New Roman" w:cs="Times New Roman"/>
          <w:highlight w:val="none"/>
        </w:rPr>
      </w:pPr>
    </w:p>
    <w:tbl>
      <w:tblPr>
        <w:tblStyle w:val="19"/>
        <w:tblW w:w="845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899"/>
        <w:gridCol w:w="1222"/>
        <w:gridCol w:w="990"/>
        <w:gridCol w:w="30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305" w:type="dxa"/>
            <w:tcBorders>
              <w:left w:val="single" w:color="000000" w:sz="10" w:space="0"/>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序号</w:t>
            </w:r>
          </w:p>
        </w:tc>
        <w:tc>
          <w:tcPr>
            <w:tcW w:w="1899" w:type="dxa"/>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名称</w:t>
            </w:r>
          </w:p>
        </w:tc>
        <w:tc>
          <w:tcPr>
            <w:tcW w:w="1222" w:type="dxa"/>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单位</w:t>
            </w:r>
          </w:p>
        </w:tc>
        <w:tc>
          <w:tcPr>
            <w:tcW w:w="990" w:type="dxa"/>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消耗量</w:t>
            </w:r>
          </w:p>
        </w:tc>
        <w:tc>
          <w:tcPr>
            <w:tcW w:w="3043" w:type="dxa"/>
            <w:tcBorders>
              <w:right w:val="single" w:color="000000" w:sz="10" w:space="0"/>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305" w:type="dxa"/>
            <w:tcBorders>
              <w:left w:val="single" w:color="000000" w:sz="10" w:space="0"/>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w:t>
            </w:r>
          </w:p>
        </w:tc>
        <w:tc>
          <w:tcPr>
            <w:tcW w:w="1899" w:type="dxa"/>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原铁矿石</w:t>
            </w:r>
          </w:p>
        </w:tc>
        <w:tc>
          <w:tcPr>
            <w:tcW w:w="1222" w:type="dxa"/>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万 t/a</w:t>
            </w:r>
          </w:p>
        </w:tc>
        <w:tc>
          <w:tcPr>
            <w:tcW w:w="990" w:type="dxa"/>
            <w:vAlign w:val="center"/>
          </w:tcPr>
          <w:p>
            <w:pPr>
              <w:spacing w:line="240" w:lineRule="auto"/>
              <w:ind w:firstLine="0" w:firstLineChars="0"/>
              <w:jc w:val="center"/>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110</w:t>
            </w:r>
          </w:p>
        </w:tc>
        <w:tc>
          <w:tcPr>
            <w:tcW w:w="3043" w:type="dxa"/>
            <w:tcBorders>
              <w:right w:val="single" w:color="000000" w:sz="10" w:space="0"/>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平均品位 25% ，来自</w:t>
            </w:r>
          </w:p>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本地矿区，汽车运输，</w:t>
            </w:r>
          </w:p>
          <w:p>
            <w:pPr>
              <w:spacing w:line="240" w:lineRule="auto"/>
              <w:ind w:firstLine="0" w:firstLineChars="0"/>
              <w:jc w:val="center"/>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直接卸至原料棚内的受料仓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5" w:type="dxa"/>
            <w:tcBorders>
              <w:left w:val="single" w:color="000000" w:sz="10" w:space="0"/>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w:t>
            </w:r>
          </w:p>
        </w:tc>
        <w:tc>
          <w:tcPr>
            <w:tcW w:w="1899" w:type="dxa"/>
            <w:vAlign w:val="center"/>
          </w:tcPr>
          <w:p>
            <w:pPr>
              <w:spacing w:line="240" w:lineRule="auto"/>
              <w:ind w:firstLine="0" w:firstLineChars="0"/>
              <w:jc w:val="center"/>
              <w:rPr>
                <w:rFonts w:hint="default" w:ascii="Times New Roman" w:hAnsi="Times New Roman" w:cs="Times New Roman"/>
                <w:sz w:val="20"/>
                <w:szCs w:val="20"/>
                <w:highlight w:val="none"/>
              </w:rPr>
            </w:pPr>
            <w:r>
              <w:rPr>
                <w:rFonts w:hint="eastAsia" w:ascii="Times New Roman" w:hAnsi="Times New Roman" w:eastAsia="宋体" w:cs="Times New Roman"/>
                <w:sz w:val="20"/>
                <w:szCs w:val="20"/>
                <w:highlight w:val="none"/>
                <w:lang w:val="en-US" w:eastAsia="zh-CN"/>
              </w:rPr>
              <w:t>新</w:t>
            </w:r>
            <w:r>
              <w:rPr>
                <w:rFonts w:hint="default" w:ascii="Times New Roman" w:hAnsi="Times New Roman" w:cs="Times New Roman"/>
                <w:sz w:val="20"/>
                <w:szCs w:val="20"/>
                <w:highlight w:val="none"/>
              </w:rPr>
              <w:t>水</w:t>
            </w:r>
          </w:p>
        </w:tc>
        <w:tc>
          <w:tcPr>
            <w:tcW w:w="1222" w:type="dxa"/>
            <w:vAlign w:val="center"/>
          </w:tcPr>
          <w:p>
            <w:pPr>
              <w:spacing w:line="240" w:lineRule="auto"/>
              <w:ind w:firstLine="0" w:firstLineChars="0"/>
              <w:jc w:val="both"/>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 xml:space="preserve">        </w:t>
            </w:r>
            <w:r>
              <w:rPr>
                <w:rFonts w:hint="default" w:ascii="Times New Roman" w:hAnsi="Times New Roman" w:cs="Times New Roman"/>
                <w:sz w:val="20"/>
                <w:szCs w:val="20"/>
                <w:highlight w:val="none"/>
              </w:rPr>
              <w:t xml:space="preserve"> t/a</w:t>
            </w:r>
          </w:p>
        </w:tc>
        <w:tc>
          <w:tcPr>
            <w:tcW w:w="990" w:type="dxa"/>
            <w:vAlign w:val="center"/>
          </w:tcPr>
          <w:p>
            <w:pPr>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89820</w:t>
            </w:r>
          </w:p>
        </w:tc>
        <w:tc>
          <w:tcPr>
            <w:tcW w:w="3043" w:type="dxa"/>
            <w:tcBorders>
              <w:right w:val="single" w:color="000000" w:sz="10" w:space="0"/>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自备水井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5" w:type="dxa"/>
            <w:tcBorders>
              <w:left w:val="single" w:color="000000" w:sz="10" w:space="0"/>
            </w:tcBorders>
            <w:vAlign w:val="center"/>
          </w:tcPr>
          <w:p>
            <w:pPr>
              <w:spacing w:line="240" w:lineRule="auto"/>
              <w:ind w:firstLine="0" w:firstLineChars="0"/>
              <w:jc w:val="center"/>
              <w:rPr>
                <w:rFonts w:hint="default" w:ascii="Times New Roman" w:hAnsi="Times New Roman" w:eastAsia="Arial" w:cs="Times New Roman"/>
                <w:snapToGrid w:val="0"/>
                <w:color w:val="000000"/>
                <w:kern w:val="0"/>
                <w:sz w:val="20"/>
                <w:szCs w:val="20"/>
                <w:highlight w:val="none"/>
              </w:rPr>
            </w:pPr>
            <w:r>
              <w:rPr>
                <w:rFonts w:hint="default" w:ascii="Times New Roman" w:hAnsi="Times New Roman" w:cs="Times New Roman"/>
                <w:sz w:val="20"/>
                <w:szCs w:val="20"/>
                <w:highlight w:val="none"/>
              </w:rPr>
              <w:t>3</w:t>
            </w:r>
          </w:p>
        </w:tc>
        <w:tc>
          <w:tcPr>
            <w:tcW w:w="1899" w:type="dxa"/>
            <w:vAlign w:val="center"/>
          </w:tcPr>
          <w:p>
            <w:pPr>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絮凝剂</w:t>
            </w:r>
          </w:p>
        </w:tc>
        <w:tc>
          <w:tcPr>
            <w:tcW w:w="1222" w:type="dxa"/>
            <w:vAlign w:val="center"/>
          </w:tcPr>
          <w:p>
            <w:pPr>
              <w:spacing w:line="240" w:lineRule="auto"/>
              <w:ind w:firstLine="0" w:firstLineChars="0"/>
              <w:jc w:val="both"/>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 xml:space="preserve">        </w:t>
            </w:r>
            <w:r>
              <w:rPr>
                <w:rFonts w:hint="default" w:ascii="Times New Roman" w:hAnsi="Times New Roman" w:cs="Times New Roman"/>
                <w:sz w:val="20"/>
                <w:szCs w:val="20"/>
                <w:highlight w:val="none"/>
              </w:rPr>
              <w:t xml:space="preserve"> t/a</w:t>
            </w:r>
          </w:p>
        </w:tc>
        <w:tc>
          <w:tcPr>
            <w:tcW w:w="990" w:type="dxa"/>
            <w:vAlign w:val="center"/>
          </w:tcPr>
          <w:p>
            <w:pPr>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3</w:t>
            </w:r>
          </w:p>
        </w:tc>
        <w:tc>
          <w:tcPr>
            <w:tcW w:w="3043" w:type="dxa"/>
            <w:tcBorders>
              <w:right w:val="single" w:color="000000" w:sz="10" w:space="0"/>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eastAsia" w:ascii="Times New Roman" w:hAnsi="Times New Roman" w:eastAsia="宋体" w:cs="Times New Roman"/>
                <w:sz w:val="20"/>
                <w:szCs w:val="20"/>
                <w:highlight w:val="none"/>
                <w:lang w:val="en-US" w:eastAsia="zh-CN"/>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5" w:type="dxa"/>
            <w:tcBorders>
              <w:left w:val="single" w:color="000000" w:sz="10" w:space="0"/>
            </w:tcBorders>
            <w:vAlign w:val="center"/>
          </w:tcPr>
          <w:p>
            <w:pPr>
              <w:spacing w:line="240" w:lineRule="auto"/>
              <w:ind w:firstLine="0" w:firstLineChars="0"/>
              <w:jc w:val="center"/>
              <w:rPr>
                <w:rFonts w:hint="default" w:ascii="Times New Roman" w:hAnsi="Times New Roman" w:eastAsia="Arial" w:cs="Times New Roman"/>
                <w:snapToGrid w:val="0"/>
                <w:color w:val="000000"/>
                <w:kern w:val="0"/>
                <w:sz w:val="20"/>
                <w:szCs w:val="20"/>
                <w:highlight w:val="none"/>
              </w:rPr>
            </w:pPr>
            <w:r>
              <w:rPr>
                <w:rFonts w:hint="default" w:ascii="Times New Roman" w:hAnsi="Times New Roman" w:cs="Times New Roman"/>
                <w:sz w:val="20"/>
                <w:szCs w:val="20"/>
                <w:highlight w:val="none"/>
              </w:rPr>
              <w:t>4</w:t>
            </w:r>
          </w:p>
        </w:tc>
        <w:tc>
          <w:tcPr>
            <w:tcW w:w="1899" w:type="dxa"/>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电</w:t>
            </w:r>
          </w:p>
        </w:tc>
        <w:tc>
          <w:tcPr>
            <w:tcW w:w="1222" w:type="dxa"/>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万 kWh/a</w:t>
            </w:r>
          </w:p>
        </w:tc>
        <w:tc>
          <w:tcPr>
            <w:tcW w:w="990" w:type="dxa"/>
            <w:vAlign w:val="center"/>
          </w:tcPr>
          <w:p>
            <w:pPr>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900</w:t>
            </w:r>
          </w:p>
        </w:tc>
        <w:tc>
          <w:tcPr>
            <w:tcW w:w="3043" w:type="dxa"/>
            <w:tcBorders>
              <w:right w:val="single" w:color="000000" w:sz="10" w:space="0"/>
            </w:tcBorders>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当地供电系统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05" w:type="dxa"/>
            <w:tcBorders>
              <w:left w:val="single" w:color="000000" w:sz="10" w:space="0"/>
            </w:tcBorders>
            <w:vAlign w:val="center"/>
          </w:tcPr>
          <w:p>
            <w:pPr>
              <w:spacing w:line="240" w:lineRule="auto"/>
              <w:ind w:firstLine="0" w:firstLineChars="0"/>
              <w:jc w:val="center"/>
              <w:rPr>
                <w:rFonts w:hint="default"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5</w:t>
            </w:r>
          </w:p>
        </w:tc>
        <w:tc>
          <w:tcPr>
            <w:tcW w:w="1899" w:type="dxa"/>
            <w:vAlign w:val="center"/>
          </w:tcPr>
          <w:p>
            <w:pPr>
              <w:spacing w:line="240" w:lineRule="auto"/>
              <w:ind w:firstLine="0" w:firstLineChars="0"/>
              <w:jc w:val="center"/>
              <w:rPr>
                <w:rFonts w:hint="default" w:ascii="Times New Roman" w:hAnsi="Times New Roman" w:eastAsia="Arial" w:cs="Times New Roman"/>
                <w:snapToGrid w:val="0"/>
                <w:color w:val="000000"/>
                <w:kern w:val="0"/>
                <w:sz w:val="20"/>
                <w:szCs w:val="20"/>
                <w:highlight w:val="none"/>
              </w:rPr>
            </w:pPr>
            <w:r>
              <w:rPr>
                <w:rFonts w:hint="eastAsia" w:ascii="Times New Roman" w:hAnsi="Times New Roman" w:eastAsia="宋体" w:cs="Times New Roman"/>
                <w:sz w:val="20"/>
                <w:szCs w:val="20"/>
                <w:highlight w:val="none"/>
                <w:lang w:val="en-US" w:eastAsia="zh-CN"/>
              </w:rPr>
              <w:t>钢球</w:t>
            </w:r>
          </w:p>
        </w:tc>
        <w:tc>
          <w:tcPr>
            <w:tcW w:w="1222" w:type="dxa"/>
            <w:vAlign w:val="center"/>
          </w:tcPr>
          <w:p>
            <w:pPr>
              <w:spacing w:line="240" w:lineRule="auto"/>
              <w:ind w:firstLine="0" w:firstLineChars="0"/>
              <w:jc w:val="center"/>
              <w:rPr>
                <w:rFonts w:hint="default" w:ascii="Times New Roman" w:hAnsi="Times New Roman" w:eastAsia="Arial" w:cs="Times New Roman"/>
                <w:snapToGrid w:val="0"/>
                <w:color w:val="000000"/>
                <w:kern w:val="0"/>
                <w:sz w:val="20"/>
                <w:szCs w:val="20"/>
                <w:highlight w:val="none"/>
              </w:rPr>
            </w:pPr>
            <w:r>
              <w:rPr>
                <w:rFonts w:hint="default" w:ascii="Times New Roman" w:hAnsi="Times New Roman" w:cs="Times New Roman"/>
                <w:sz w:val="20"/>
                <w:szCs w:val="20"/>
                <w:highlight w:val="none"/>
              </w:rPr>
              <w:t xml:space="preserve"> t/a</w:t>
            </w:r>
          </w:p>
        </w:tc>
        <w:tc>
          <w:tcPr>
            <w:tcW w:w="990" w:type="dxa"/>
            <w:vAlign w:val="center"/>
          </w:tcPr>
          <w:p>
            <w:pPr>
              <w:spacing w:line="240" w:lineRule="auto"/>
              <w:ind w:firstLine="0" w:firstLineChars="0"/>
              <w:jc w:val="center"/>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105</w:t>
            </w:r>
          </w:p>
        </w:tc>
        <w:tc>
          <w:tcPr>
            <w:tcW w:w="3043" w:type="dxa"/>
            <w:tcBorders>
              <w:right w:val="single" w:color="000000" w:sz="10" w:space="0"/>
            </w:tcBorders>
            <w:vAlign w:val="center"/>
          </w:tcPr>
          <w:p>
            <w:pPr>
              <w:spacing w:line="240" w:lineRule="auto"/>
              <w:ind w:firstLine="0" w:firstLineChars="0"/>
              <w:jc w:val="center"/>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305" w:type="dxa"/>
            <w:tcBorders>
              <w:left w:val="single" w:color="000000" w:sz="10" w:space="0"/>
            </w:tcBorders>
            <w:vAlign w:val="center"/>
          </w:tcPr>
          <w:p>
            <w:pPr>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6</w:t>
            </w:r>
          </w:p>
        </w:tc>
        <w:tc>
          <w:tcPr>
            <w:tcW w:w="1899" w:type="dxa"/>
            <w:vAlign w:val="center"/>
          </w:tcPr>
          <w:p>
            <w:pPr>
              <w:spacing w:line="240" w:lineRule="auto"/>
              <w:ind w:firstLine="0" w:firstLineChars="0"/>
              <w:jc w:val="center"/>
              <w:rPr>
                <w:rFonts w:hint="default" w:ascii="Times New Roman" w:hAnsi="Times New Roman" w:cs="Times New Roman"/>
                <w:sz w:val="20"/>
                <w:szCs w:val="20"/>
                <w:highlight w:val="none"/>
              </w:rPr>
            </w:pPr>
            <w:r>
              <w:rPr>
                <w:rFonts w:hint="eastAsia" w:ascii="Times New Roman" w:hAnsi="Times New Roman" w:eastAsia="宋体" w:cs="Times New Roman"/>
                <w:sz w:val="20"/>
                <w:szCs w:val="20"/>
                <w:highlight w:val="none"/>
                <w:lang w:val="en-US" w:eastAsia="zh-CN"/>
              </w:rPr>
              <w:t>矿物</w:t>
            </w:r>
            <w:r>
              <w:rPr>
                <w:rFonts w:hint="default" w:ascii="Times New Roman" w:hAnsi="Times New Roman" w:cs="Times New Roman"/>
                <w:sz w:val="20"/>
                <w:szCs w:val="20"/>
                <w:highlight w:val="none"/>
              </w:rPr>
              <w:t>油</w:t>
            </w:r>
          </w:p>
        </w:tc>
        <w:tc>
          <w:tcPr>
            <w:tcW w:w="1222" w:type="dxa"/>
            <w:vAlign w:val="center"/>
          </w:tcPr>
          <w:p>
            <w:pPr>
              <w:spacing w:line="240" w:lineRule="auto"/>
              <w:ind w:firstLine="0" w:firstLineChars="0"/>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 t/a</w:t>
            </w:r>
          </w:p>
        </w:tc>
        <w:tc>
          <w:tcPr>
            <w:tcW w:w="990" w:type="dxa"/>
            <w:vAlign w:val="center"/>
          </w:tcPr>
          <w:p>
            <w:pPr>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0.4</w:t>
            </w:r>
          </w:p>
        </w:tc>
        <w:tc>
          <w:tcPr>
            <w:tcW w:w="3043" w:type="dxa"/>
            <w:tcBorders>
              <w:right w:val="single" w:color="000000" w:sz="10" w:space="0"/>
            </w:tcBorders>
            <w:vAlign w:val="center"/>
          </w:tcPr>
          <w:p>
            <w:pPr>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润滑油和液压油</w:t>
            </w:r>
          </w:p>
        </w:tc>
      </w:tr>
    </w:tbl>
    <w:p>
      <w:pPr>
        <w:spacing w:line="480" w:lineRule="exact"/>
        <w:ind w:firstLine="480"/>
        <w:jc w:val="both"/>
        <w:rPr>
          <w:rFonts w:hint="default"/>
          <w:highlight w:val="none"/>
        </w:rPr>
      </w:pPr>
      <w:bookmarkStart w:id="168" w:name="_Hlk532162744"/>
      <w:r>
        <w:rPr>
          <w:rFonts w:hint="default" w:ascii="Times New Roman" w:hAnsi="Times New Roman" w:cs="Times New Roman"/>
          <w:sz w:val="23"/>
          <w:szCs w:val="23"/>
          <w:highlight w:val="none"/>
        </w:rPr>
        <w:t>本项目原料矿均来自</w:t>
      </w:r>
      <w:r>
        <w:rPr>
          <w:rFonts w:hint="default" w:ascii="Times New Roman" w:hAnsi="Times New Roman" w:eastAsia="宋体" w:cs="Times New Roman"/>
          <w:sz w:val="23"/>
          <w:szCs w:val="23"/>
          <w:highlight w:val="none"/>
          <w:lang w:val="en-US" w:eastAsia="zh-CN"/>
        </w:rPr>
        <w:t>本地矿区</w:t>
      </w:r>
      <w:r>
        <w:rPr>
          <w:rFonts w:hint="default" w:ascii="Times New Roman" w:hAnsi="Times New Roman" w:cs="Times New Roman"/>
          <w:sz w:val="23"/>
          <w:szCs w:val="23"/>
          <w:highlight w:val="none"/>
        </w:rPr>
        <w:t>，铁矿种类为磁铁矿，主要成分为</w:t>
      </w:r>
      <w:r>
        <w:rPr>
          <w:rFonts w:hint="default" w:ascii="Times New Roman" w:hAnsi="Times New Roman" w:cs="Times New Roman"/>
          <w:sz w:val="23"/>
          <w:szCs w:val="23"/>
          <w:highlight w:val="none"/>
        </w:rPr>
        <w:fldChar w:fldCharType="begin"/>
      </w:r>
      <w:r>
        <w:rPr>
          <w:rFonts w:hint="default" w:ascii="Times New Roman" w:hAnsi="Times New Roman" w:cs="Times New Roman"/>
          <w:sz w:val="23"/>
          <w:szCs w:val="23"/>
          <w:highlight w:val="none"/>
        </w:rPr>
        <w:instrText xml:space="preserve"> HYPERLINK "https://baike.baidu.com/item/Fe3O4" \t "_blank" </w:instrText>
      </w:r>
      <w:r>
        <w:rPr>
          <w:rFonts w:hint="default" w:ascii="Times New Roman" w:hAnsi="Times New Roman" w:cs="Times New Roman"/>
          <w:sz w:val="23"/>
          <w:szCs w:val="23"/>
          <w:highlight w:val="none"/>
        </w:rPr>
        <w:fldChar w:fldCharType="separate"/>
      </w:r>
      <w:r>
        <w:rPr>
          <w:rStyle w:val="18"/>
          <w:rFonts w:hint="default" w:ascii="Times New Roman" w:hAnsi="Times New Roman" w:cs="Times New Roman"/>
          <w:color w:val="auto"/>
          <w:sz w:val="23"/>
          <w:szCs w:val="23"/>
          <w:highlight w:val="none"/>
          <w:u w:val="none"/>
        </w:rPr>
        <w:t>Fe</w:t>
      </w:r>
      <w:r>
        <w:rPr>
          <w:rStyle w:val="18"/>
          <w:rFonts w:hint="default" w:ascii="Times New Roman" w:hAnsi="Times New Roman" w:cs="Times New Roman"/>
          <w:color w:val="auto"/>
          <w:sz w:val="23"/>
          <w:szCs w:val="23"/>
          <w:highlight w:val="none"/>
          <w:u w:val="none"/>
          <w:vertAlign w:val="subscript"/>
        </w:rPr>
        <w:t>3</w:t>
      </w:r>
      <w:r>
        <w:rPr>
          <w:rStyle w:val="18"/>
          <w:rFonts w:hint="default" w:ascii="Times New Roman" w:hAnsi="Times New Roman" w:cs="Times New Roman"/>
          <w:color w:val="auto"/>
          <w:sz w:val="23"/>
          <w:szCs w:val="23"/>
          <w:highlight w:val="none"/>
          <w:u w:val="none"/>
        </w:rPr>
        <w:t>O</w:t>
      </w:r>
      <w:r>
        <w:rPr>
          <w:rStyle w:val="18"/>
          <w:rFonts w:hint="default" w:ascii="Times New Roman" w:hAnsi="Times New Roman" w:cs="Times New Roman"/>
          <w:color w:val="auto"/>
          <w:sz w:val="23"/>
          <w:szCs w:val="23"/>
          <w:highlight w:val="none"/>
          <w:u w:val="none"/>
          <w:vertAlign w:val="subscript"/>
        </w:rPr>
        <w:t>4</w:t>
      </w:r>
      <w:r>
        <w:rPr>
          <w:rStyle w:val="18"/>
          <w:rFonts w:hint="default" w:ascii="Times New Roman" w:hAnsi="Times New Roman" w:cs="Times New Roman"/>
          <w:color w:val="auto"/>
          <w:sz w:val="23"/>
          <w:szCs w:val="23"/>
          <w:highlight w:val="none"/>
          <w:u w:val="none"/>
          <w:vertAlign w:val="subscript"/>
        </w:rPr>
        <w:fldChar w:fldCharType="end"/>
      </w:r>
      <w:r>
        <w:rPr>
          <w:rFonts w:hint="default" w:ascii="Times New Roman" w:hAnsi="Times New Roman" w:cs="Times New Roman"/>
          <w:sz w:val="23"/>
          <w:szCs w:val="23"/>
          <w:highlight w:val="none"/>
        </w:rPr>
        <w:t>，矿石粒径30cm左右，与迁西县</w:t>
      </w:r>
      <w:r>
        <w:rPr>
          <w:rFonts w:hint="eastAsia" w:ascii="Times New Roman" w:hAnsi="Times New Roman" w:cs="Times New Roman"/>
          <w:sz w:val="23"/>
          <w:szCs w:val="23"/>
          <w:highlight w:val="none"/>
          <w:lang w:val="en-US" w:eastAsia="zh-CN"/>
        </w:rPr>
        <w:t>上营乡复兴铁矿</w:t>
      </w:r>
      <w:r>
        <w:rPr>
          <w:rFonts w:hint="default" w:ascii="Times New Roman" w:hAnsi="Times New Roman" w:cs="Times New Roman"/>
          <w:sz w:val="23"/>
          <w:szCs w:val="23"/>
          <w:highlight w:val="none"/>
        </w:rPr>
        <w:t>地质成因相同，同一区域内矿石成分基本项目，所以本项目矿石可类比迁西县</w:t>
      </w:r>
      <w:r>
        <w:rPr>
          <w:rFonts w:hint="eastAsia" w:ascii="Times New Roman" w:hAnsi="Times New Roman" w:cs="Times New Roman"/>
          <w:sz w:val="23"/>
          <w:szCs w:val="23"/>
          <w:highlight w:val="none"/>
          <w:lang w:val="en-US" w:eastAsia="zh-CN"/>
        </w:rPr>
        <w:t>上营乡复兴铁矿</w:t>
      </w:r>
      <w:r>
        <w:rPr>
          <w:rFonts w:hint="default" w:ascii="Times New Roman" w:hAnsi="Times New Roman" w:cs="Times New Roman"/>
          <w:sz w:val="23"/>
          <w:szCs w:val="23"/>
          <w:highlight w:val="none"/>
        </w:rPr>
        <w:t>矿石，根据迁西县</w:t>
      </w:r>
      <w:r>
        <w:rPr>
          <w:rFonts w:hint="eastAsia" w:ascii="Times New Roman" w:hAnsi="Times New Roman" w:cs="Times New Roman"/>
          <w:sz w:val="23"/>
          <w:szCs w:val="23"/>
          <w:highlight w:val="none"/>
          <w:lang w:val="en-US" w:eastAsia="zh-CN"/>
        </w:rPr>
        <w:t>上营乡复兴铁矿</w:t>
      </w:r>
      <w:r>
        <w:rPr>
          <w:rFonts w:hint="default" w:ascii="Times New Roman" w:hAnsi="Times New Roman" w:cs="Times New Roman"/>
          <w:sz w:val="23"/>
          <w:szCs w:val="23"/>
          <w:highlight w:val="none"/>
        </w:rPr>
        <w:t>矿石检测报告可知，矿石不含放射性，所以通过类比可知，本项目矿石不含放射性。要求企业一旦更换原料来源，应进行矿石放射性检测，须采用无放射性原料进行生产。</w:t>
      </w:r>
    </w:p>
    <w:p>
      <w:pPr>
        <w:spacing w:line="480" w:lineRule="exact"/>
        <w:ind w:firstLine="48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根据建设单位提供的资料，原料矿的具体成分见表3.</w:t>
      </w:r>
      <w:r>
        <w:rPr>
          <w:rFonts w:hint="default" w:ascii="Times New Roman" w:hAnsi="Times New Roman" w:cs="Times New Roman"/>
          <w:sz w:val="23"/>
          <w:szCs w:val="23"/>
          <w:highlight w:val="none"/>
          <w:lang w:val="en-US" w:eastAsia="zh-CN"/>
        </w:rPr>
        <w:t>2</w:t>
      </w:r>
      <w:r>
        <w:rPr>
          <w:rFonts w:hint="default" w:ascii="Times New Roman" w:hAnsi="Times New Roman" w:cs="Times New Roman"/>
          <w:sz w:val="23"/>
          <w:szCs w:val="23"/>
          <w:highlight w:val="none"/>
        </w:rPr>
        <w:t>-</w:t>
      </w:r>
      <w:r>
        <w:rPr>
          <w:rFonts w:hint="default" w:ascii="Times New Roman" w:hAnsi="Times New Roman" w:cs="Times New Roman"/>
          <w:sz w:val="23"/>
          <w:szCs w:val="23"/>
          <w:highlight w:val="none"/>
          <w:lang w:val="en-US" w:eastAsia="zh-CN"/>
        </w:rPr>
        <w:t>6</w:t>
      </w:r>
      <w:r>
        <w:rPr>
          <w:rFonts w:hint="default" w:ascii="Times New Roman" w:hAnsi="Times New Roman" w:cs="Times New Roman"/>
          <w:sz w:val="23"/>
          <w:szCs w:val="23"/>
          <w:highlight w:val="none"/>
        </w:rPr>
        <w:t>。</w:t>
      </w:r>
    </w:p>
    <w:p>
      <w:pPr>
        <w:spacing w:before="219" w:line="227" w:lineRule="auto"/>
        <w:ind w:firstLine="2856" w:firstLineChars="1200"/>
        <w:jc w:val="both"/>
        <w:rPr>
          <w:rFonts w:hint="eastAsia" w:ascii="Times New Roman" w:hAnsi="Times New Roman" w:eastAsia="宋体" w:cs="Times New Roman"/>
          <w:spacing w:val="4"/>
          <w:sz w:val="23"/>
          <w:szCs w:val="23"/>
          <w:highlight w:val="none"/>
          <w:lang w:val="en-US" w:eastAsia="zh-CN"/>
          <w14:textOutline w14:w="4358" w14:cap="sq" w14:cmpd="sng">
            <w14:solidFill>
              <w14:srgbClr w14:val="000000"/>
            </w14:solidFill>
            <w14:prstDash w14:val="solid"/>
            <w14:bevel/>
          </w14:textOutline>
        </w:rPr>
      </w:pPr>
      <w:r>
        <w:rPr>
          <w:rFonts w:hint="eastAsia" w:ascii="Times New Roman" w:hAnsi="Times New Roman" w:eastAsia="宋体" w:cs="Times New Roman"/>
          <w:spacing w:val="4"/>
          <w:sz w:val="23"/>
          <w:szCs w:val="23"/>
          <w:highlight w:val="none"/>
          <w:lang w:val="en-US" w:eastAsia="zh-CN"/>
          <w14:textOutline w14:w="4358" w14:cap="sq" w14:cmpd="sng">
            <w14:solidFill>
              <w14:srgbClr w14:val="000000"/>
            </w14:solidFill>
            <w14:prstDash w14:val="solid"/>
            <w14:bevel/>
          </w14:textOutline>
        </w:rPr>
        <w:t>表3.2-6      原料矿成分表</w:t>
      </w:r>
    </w:p>
    <w:tbl>
      <w:tblPr>
        <w:tblStyle w:val="15"/>
        <w:tblW w:w="8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02"/>
        <w:gridCol w:w="602"/>
        <w:gridCol w:w="602"/>
        <w:gridCol w:w="603"/>
        <w:gridCol w:w="603"/>
        <w:gridCol w:w="603"/>
        <w:gridCol w:w="603"/>
        <w:gridCol w:w="603"/>
        <w:gridCol w:w="603"/>
        <w:gridCol w:w="603"/>
        <w:gridCol w:w="603"/>
        <w:gridCol w:w="603"/>
        <w:gridCol w:w="603"/>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602" w:type="dxa"/>
            <w:vMerge w:val="restart"/>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送样号</w:t>
            </w:r>
          </w:p>
        </w:tc>
        <w:tc>
          <w:tcPr>
            <w:tcW w:w="7862" w:type="dxa"/>
            <w:gridSpan w:val="13"/>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分析结果%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602" w:type="dxa"/>
            <w:vMerge w:val="continue"/>
            <w:tcBorders>
              <w:tl2br w:val="nil"/>
              <w:tr2bl w:val="nil"/>
            </w:tcBorders>
            <w:vAlign w:val="center"/>
          </w:tcPr>
          <w:p>
            <w:pPr>
              <w:widowControl/>
              <w:spacing w:line="240" w:lineRule="auto"/>
              <w:ind w:firstLine="0" w:firstLineChars="0"/>
              <w:textAlignment w:val="auto"/>
              <w:rPr>
                <w:rFonts w:hint="default" w:ascii="Times New Roman" w:hAnsi="Times New Roman" w:eastAsia="宋体" w:cs="Times New Roman"/>
                <w:sz w:val="20"/>
                <w:szCs w:val="20"/>
                <w:highlight w:val="none"/>
              </w:rPr>
            </w:pPr>
          </w:p>
        </w:tc>
        <w:tc>
          <w:tcPr>
            <w:tcW w:w="602"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TFe</w:t>
            </w:r>
          </w:p>
        </w:tc>
        <w:tc>
          <w:tcPr>
            <w:tcW w:w="602"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FeO</w:t>
            </w:r>
          </w:p>
        </w:tc>
        <w:tc>
          <w:tcPr>
            <w:tcW w:w="603"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SiO</w:t>
            </w:r>
            <w:r>
              <w:rPr>
                <w:rFonts w:hint="default" w:ascii="Times New Roman" w:hAnsi="Times New Roman" w:eastAsia="宋体" w:cs="Times New Roman"/>
                <w:sz w:val="20"/>
                <w:szCs w:val="20"/>
                <w:highlight w:val="none"/>
                <w:vertAlign w:val="subscript"/>
              </w:rPr>
              <w:t>2</w:t>
            </w:r>
          </w:p>
        </w:tc>
        <w:tc>
          <w:tcPr>
            <w:tcW w:w="603"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CaO</w:t>
            </w:r>
          </w:p>
        </w:tc>
        <w:tc>
          <w:tcPr>
            <w:tcW w:w="603"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MgO</w:t>
            </w:r>
          </w:p>
        </w:tc>
        <w:tc>
          <w:tcPr>
            <w:tcW w:w="603"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Al</w:t>
            </w:r>
            <w:r>
              <w:rPr>
                <w:rFonts w:hint="default" w:ascii="Times New Roman" w:hAnsi="Times New Roman" w:eastAsia="宋体" w:cs="Times New Roman"/>
                <w:sz w:val="20"/>
                <w:szCs w:val="20"/>
                <w:highlight w:val="none"/>
                <w:vertAlign w:val="subscript"/>
              </w:rPr>
              <w:t>2</w:t>
            </w:r>
            <w:r>
              <w:rPr>
                <w:rFonts w:hint="default" w:ascii="Times New Roman" w:hAnsi="Times New Roman" w:eastAsia="宋体" w:cs="Times New Roman"/>
                <w:sz w:val="20"/>
                <w:szCs w:val="20"/>
                <w:highlight w:val="none"/>
              </w:rPr>
              <w:t>O</w:t>
            </w:r>
            <w:r>
              <w:rPr>
                <w:rFonts w:hint="default" w:ascii="Times New Roman" w:hAnsi="Times New Roman" w:eastAsia="宋体" w:cs="Times New Roman"/>
                <w:sz w:val="20"/>
                <w:szCs w:val="20"/>
                <w:highlight w:val="none"/>
                <w:vertAlign w:val="subscript"/>
              </w:rPr>
              <w:t>3</w:t>
            </w:r>
          </w:p>
        </w:tc>
        <w:tc>
          <w:tcPr>
            <w:tcW w:w="603"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TiO</w:t>
            </w:r>
            <w:r>
              <w:rPr>
                <w:rFonts w:hint="default" w:ascii="Times New Roman" w:hAnsi="Times New Roman" w:eastAsia="宋体" w:cs="Times New Roman"/>
                <w:sz w:val="20"/>
                <w:szCs w:val="20"/>
                <w:highlight w:val="none"/>
                <w:vertAlign w:val="subscript"/>
              </w:rPr>
              <w:t>2</w:t>
            </w:r>
          </w:p>
        </w:tc>
        <w:tc>
          <w:tcPr>
            <w:tcW w:w="603"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MnO</w:t>
            </w:r>
          </w:p>
        </w:tc>
        <w:tc>
          <w:tcPr>
            <w:tcW w:w="603"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K</w:t>
            </w:r>
            <w:r>
              <w:rPr>
                <w:rFonts w:hint="default" w:ascii="Times New Roman" w:hAnsi="Times New Roman" w:eastAsia="宋体" w:cs="Times New Roman"/>
                <w:sz w:val="20"/>
                <w:szCs w:val="20"/>
                <w:highlight w:val="none"/>
                <w:vertAlign w:val="subscript"/>
              </w:rPr>
              <w:t>2</w:t>
            </w:r>
            <w:r>
              <w:rPr>
                <w:rFonts w:hint="default" w:ascii="Times New Roman" w:hAnsi="Times New Roman" w:eastAsia="宋体" w:cs="Times New Roman"/>
                <w:sz w:val="20"/>
                <w:szCs w:val="20"/>
                <w:highlight w:val="none"/>
              </w:rPr>
              <w:t>O</w:t>
            </w:r>
          </w:p>
        </w:tc>
        <w:tc>
          <w:tcPr>
            <w:tcW w:w="603"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Na</w:t>
            </w:r>
            <w:r>
              <w:rPr>
                <w:rFonts w:hint="default" w:ascii="Times New Roman" w:hAnsi="Times New Roman" w:eastAsia="宋体" w:cs="Times New Roman"/>
                <w:sz w:val="20"/>
                <w:szCs w:val="20"/>
                <w:highlight w:val="none"/>
                <w:vertAlign w:val="subscript"/>
              </w:rPr>
              <w:t>2</w:t>
            </w:r>
            <w:r>
              <w:rPr>
                <w:rFonts w:hint="default" w:ascii="Times New Roman" w:hAnsi="Times New Roman" w:eastAsia="宋体" w:cs="Times New Roman"/>
                <w:sz w:val="20"/>
                <w:szCs w:val="20"/>
                <w:highlight w:val="none"/>
              </w:rPr>
              <w:t>O</w:t>
            </w:r>
          </w:p>
        </w:tc>
        <w:tc>
          <w:tcPr>
            <w:tcW w:w="603"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S</w:t>
            </w:r>
          </w:p>
        </w:tc>
        <w:tc>
          <w:tcPr>
            <w:tcW w:w="603"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P</w:t>
            </w:r>
          </w:p>
        </w:tc>
        <w:tc>
          <w:tcPr>
            <w:tcW w:w="628"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LoI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602"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HQ1</w:t>
            </w:r>
          </w:p>
        </w:tc>
        <w:tc>
          <w:tcPr>
            <w:tcW w:w="602"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25.58</w:t>
            </w:r>
          </w:p>
        </w:tc>
        <w:tc>
          <w:tcPr>
            <w:tcW w:w="602"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10</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48.91</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0.86</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2.54</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6.12</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0.32</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0.05</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0.74</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0.43</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0.009</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0.25</w:t>
            </w:r>
          </w:p>
        </w:tc>
        <w:tc>
          <w:tcPr>
            <w:tcW w:w="628"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602"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HQ2</w:t>
            </w:r>
          </w:p>
        </w:tc>
        <w:tc>
          <w:tcPr>
            <w:tcW w:w="602"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2</w:t>
            </w:r>
            <w:r>
              <w:rPr>
                <w:rFonts w:hint="eastAsia" w:ascii="Times New Roman" w:hAnsi="Times New Roman" w:eastAsia="宋体" w:cs="Times New Roman"/>
                <w:sz w:val="20"/>
                <w:szCs w:val="20"/>
                <w:highlight w:val="none"/>
                <w:lang w:val="en-US" w:eastAsia="zh-CN"/>
              </w:rPr>
              <w:t>4</w:t>
            </w:r>
            <w:r>
              <w:rPr>
                <w:rFonts w:hint="default" w:ascii="Times New Roman" w:hAnsi="Times New Roman" w:eastAsia="宋体" w:cs="Times New Roman"/>
                <w:sz w:val="20"/>
                <w:szCs w:val="20"/>
                <w:highlight w:val="none"/>
              </w:rPr>
              <w:t>.42</w:t>
            </w:r>
          </w:p>
        </w:tc>
        <w:tc>
          <w:tcPr>
            <w:tcW w:w="602"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9.66</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48.82</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0.78</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2.48</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6.02</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0.26</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0.06</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0.74</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0.42</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0.007</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0.22</w:t>
            </w:r>
          </w:p>
        </w:tc>
        <w:tc>
          <w:tcPr>
            <w:tcW w:w="628"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602"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平均品位</w:t>
            </w:r>
          </w:p>
        </w:tc>
        <w:tc>
          <w:tcPr>
            <w:tcW w:w="602"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2</w:t>
            </w:r>
            <w:r>
              <w:rPr>
                <w:rFonts w:hint="eastAsia" w:ascii="Times New Roman" w:hAnsi="Times New Roman" w:eastAsia="宋体" w:cs="Times New Roman"/>
                <w:sz w:val="20"/>
                <w:szCs w:val="20"/>
                <w:highlight w:val="none"/>
                <w:lang w:val="en-US" w:eastAsia="zh-CN"/>
              </w:rPr>
              <w:t>5</w:t>
            </w:r>
            <w:r>
              <w:rPr>
                <w:rFonts w:hint="default" w:ascii="Times New Roman" w:hAnsi="Times New Roman" w:eastAsia="宋体" w:cs="Times New Roman"/>
                <w:sz w:val="20"/>
                <w:szCs w:val="20"/>
                <w:highlight w:val="none"/>
              </w:rPr>
              <w:t>.00</w:t>
            </w:r>
          </w:p>
        </w:tc>
        <w:tc>
          <w:tcPr>
            <w:tcW w:w="602"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9.83</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48.86</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0.82</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2.51</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6.07</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0.29</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0.055</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0.74</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0.425</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0.008</w:t>
            </w:r>
          </w:p>
        </w:tc>
        <w:tc>
          <w:tcPr>
            <w:tcW w:w="603"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0.235</w:t>
            </w:r>
          </w:p>
        </w:tc>
        <w:tc>
          <w:tcPr>
            <w:tcW w:w="628"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rPr>
            </w:pPr>
            <w:r>
              <w:rPr>
                <w:rFonts w:hint="default" w:ascii="Times New Roman" w:hAnsi="Times New Roman" w:eastAsia="宋体" w:cs="Times New Roman"/>
                <w:sz w:val="20"/>
                <w:szCs w:val="20"/>
                <w:highlight w:val="none"/>
              </w:rPr>
              <w:t>4.15</w:t>
            </w:r>
          </w:p>
        </w:tc>
      </w:tr>
    </w:tbl>
    <w:p>
      <w:pPr>
        <w:spacing w:line="480" w:lineRule="exact"/>
        <w:ind w:firstLine="480"/>
        <w:jc w:val="both"/>
        <w:rPr>
          <w:rFonts w:hint="eastAsia"/>
          <w:sz w:val="23"/>
          <w:szCs w:val="23"/>
          <w:highlight w:val="none"/>
        </w:rPr>
      </w:pPr>
      <w:r>
        <w:rPr>
          <w:rFonts w:hint="eastAsia"/>
          <w:sz w:val="23"/>
          <w:szCs w:val="23"/>
          <w:highlight w:val="none"/>
        </w:rPr>
        <w:t>根据铁矿石全成分分析结果，原料未检出含砷、铜、铅等重金属。因铁矿石不含重金属，且铁矿石选矿过程为物理过程，不添加化学药剂，因此本项目原料不含重金属等有害元素。</w:t>
      </w:r>
      <w:bookmarkEnd w:id="168"/>
    </w:p>
    <w:p>
      <w:pPr>
        <w:keepNext w:val="0"/>
        <w:keepLines w:val="0"/>
        <w:pageBreakBefore w:val="0"/>
        <w:widowControl/>
        <w:kinsoku w:val="0"/>
        <w:wordWrap/>
        <w:overflowPunct/>
        <w:topLinePunct w:val="0"/>
        <w:autoSpaceDE w:val="0"/>
        <w:autoSpaceDN w:val="0"/>
        <w:bidi w:val="0"/>
        <w:adjustRightInd w:val="0"/>
        <w:snapToGrid w:val="0"/>
        <w:spacing w:before="0" w:beforeLines="100" w:line="228" w:lineRule="auto"/>
        <w:ind w:left="125"/>
        <w:textAlignment w:val="baseline"/>
        <w:outlineLvl w:val="2"/>
        <w:rPr>
          <w:rFonts w:hint="default" w:ascii="Times New Roman" w:hAnsi="Times New Roman" w:eastAsia="宋体" w:cs="Times New Roman"/>
          <w:sz w:val="23"/>
          <w:szCs w:val="23"/>
          <w:highlight w:val="none"/>
        </w:rPr>
      </w:pPr>
      <w:bookmarkStart w:id="169" w:name="_Toc2748"/>
      <w:bookmarkStart w:id="170" w:name="_Toc16753"/>
      <w:bookmarkStart w:id="171" w:name="_Toc967"/>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 xml:space="preserve">5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改扩建工程</w:t>
      </w:r>
      <w:r>
        <w:rPr>
          <w:rFonts w:hint="default"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主</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要生产设备</w:t>
      </w:r>
      <w:bookmarkEnd w:id="169"/>
      <w:bookmarkEnd w:id="170"/>
      <w:bookmarkEnd w:id="171"/>
    </w:p>
    <w:p>
      <w:pPr>
        <w:spacing w:line="480" w:lineRule="exact"/>
        <w:ind w:firstLine="48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lang w:val="en-US" w:eastAsia="zh-CN"/>
        </w:rPr>
        <w:t>改扩建工程新增</w:t>
      </w:r>
      <w:r>
        <w:rPr>
          <w:rFonts w:hint="default" w:ascii="Times New Roman" w:hAnsi="Times New Roman" w:cs="Times New Roman"/>
          <w:sz w:val="23"/>
          <w:szCs w:val="23"/>
          <w:highlight w:val="none"/>
        </w:rPr>
        <w:t>主要生产设备见表 3.</w:t>
      </w:r>
      <w:r>
        <w:rPr>
          <w:rFonts w:hint="default" w:ascii="Times New Roman" w:hAnsi="Times New Roman" w:cs="Times New Roman"/>
          <w:sz w:val="23"/>
          <w:szCs w:val="23"/>
          <w:highlight w:val="none"/>
          <w:lang w:val="en-US" w:eastAsia="zh-CN"/>
        </w:rPr>
        <w:t>2</w:t>
      </w:r>
      <w:r>
        <w:rPr>
          <w:rFonts w:hint="default" w:ascii="Times New Roman" w:hAnsi="Times New Roman" w:cs="Times New Roman"/>
          <w:sz w:val="23"/>
          <w:szCs w:val="23"/>
          <w:highlight w:val="none"/>
        </w:rPr>
        <w:t>-</w:t>
      </w:r>
      <w:r>
        <w:rPr>
          <w:rFonts w:hint="default" w:ascii="Times New Roman" w:hAnsi="Times New Roman" w:cs="Times New Roman"/>
          <w:sz w:val="23"/>
          <w:szCs w:val="23"/>
          <w:highlight w:val="none"/>
          <w:lang w:val="en-US" w:eastAsia="zh-CN"/>
        </w:rPr>
        <w:t>7，改扩建工程完成后全厂主要生产设备见表3.2-8</w:t>
      </w:r>
      <w:r>
        <w:rPr>
          <w:rFonts w:hint="default" w:ascii="Times New Roman" w:hAnsi="Times New Roman" w:cs="Times New Roman"/>
          <w:sz w:val="23"/>
          <w:szCs w:val="23"/>
          <w:highlight w:val="none"/>
        </w:rPr>
        <w:t>。</w:t>
      </w:r>
    </w:p>
    <w:p>
      <w:pPr>
        <w:spacing w:before="214" w:line="228" w:lineRule="auto"/>
        <w:ind w:left="2171"/>
        <w:rPr>
          <w:rFonts w:hint="default" w:ascii="Times New Roman" w:hAnsi="Times New Roman" w:eastAsia="宋体" w:cs="Times New Roman"/>
          <w:sz w:val="23"/>
          <w:szCs w:val="23"/>
          <w:highlight w:val="none"/>
        </w:rPr>
      </w:pPr>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10"/>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7</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改扩建工程新增</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生产设备设施一览表</w:t>
      </w:r>
    </w:p>
    <w:p>
      <w:pPr>
        <w:spacing w:line="21" w:lineRule="exact"/>
        <w:rPr>
          <w:rFonts w:hint="default" w:ascii="Times New Roman" w:hAnsi="Times New Roman" w:cs="Times New Roman"/>
          <w:highlight w:val="none"/>
        </w:rPr>
      </w:pPr>
    </w:p>
    <w:tbl>
      <w:tblPr>
        <w:tblStyle w:val="19"/>
        <w:tblW w:w="852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575"/>
        <w:gridCol w:w="1"/>
        <w:gridCol w:w="1368"/>
        <w:gridCol w:w="1"/>
        <w:gridCol w:w="2019"/>
        <w:gridCol w:w="1"/>
        <w:gridCol w:w="772"/>
        <w:gridCol w:w="1"/>
        <w:gridCol w:w="778"/>
        <w:gridCol w:w="2"/>
        <w:gridCol w:w="3006"/>
        <w:gridCol w:w="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66" w:hRule="atLeast"/>
        </w:trPr>
        <w:tc>
          <w:tcPr>
            <w:tcW w:w="576" w:type="dxa"/>
            <w:gridSpan w:val="2"/>
            <w:tcBorders>
              <w:left w:val="single" w:color="000000" w:sz="10" w:space="0"/>
            </w:tcBorders>
            <w:textDirection w:val="tbRlV"/>
            <w:vAlign w:val="top"/>
          </w:tcPr>
          <w:p>
            <w:pPr>
              <w:spacing w:before="186" w:line="218" w:lineRule="auto"/>
              <w:ind w:left="1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序</w:t>
            </w:r>
            <w:r>
              <w:rPr>
                <w:rFonts w:hint="default" w:ascii="Times New Roman" w:hAnsi="Times New Roman" w:eastAsia="宋体" w:cs="Times New Roman"/>
                <w:spacing w:val="10"/>
                <w:sz w:val="20"/>
                <w:szCs w:val="20"/>
                <w:highlight w:val="none"/>
              </w:rPr>
              <w:t xml:space="preserve"> 号</w:t>
            </w:r>
          </w:p>
        </w:tc>
        <w:tc>
          <w:tcPr>
            <w:tcW w:w="1369" w:type="dxa"/>
            <w:gridSpan w:val="2"/>
            <w:vAlign w:val="top"/>
          </w:tcPr>
          <w:p>
            <w:pPr>
              <w:spacing w:before="261" w:line="230" w:lineRule="auto"/>
              <w:ind w:left="26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设</w:t>
            </w:r>
            <w:r>
              <w:rPr>
                <w:rFonts w:hint="default" w:ascii="Times New Roman" w:hAnsi="Times New Roman" w:eastAsia="宋体" w:cs="Times New Roman"/>
                <w:spacing w:val="6"/>
                <w:sz w:val="20"/>
                <w:szCs w:val="20"/>
                <w:highlight w:val="none"/>
              </w:rPr>
              <w:t>备名称</w:t>
            </w:r>
          </w:p>
        </w:tc>
        <w:tc>
          <w:tcPr>
            <w:tcW w:w="2020" w:type="dxa"/>
            <w:gridSpan w:val="2"/>
            <w:vAlign w:val="top"/>
          </w:tcPr>
          <w:p>
            <w:pPr>
              <w:spacing w:before="261" w:line="228" w:lineRule="auto"/>
              <w:ind w:left="593"/>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pacing w:val="7"/>
                <w:sz w:val="20"/>
                <w:szCs w:val="20"/>
                <w:highlight w:val="none"/>
              </w:rPr>
              <w:t>型号</w:t>
            </w:r>
            <w:r>
              <w:rPr>
                <w:rFonts w:hint="eastAsia" w:ascii="Times New Roman" w:hAnsi="Times New Roman" w:eastAsia="宋体" w:cs="Times New Roman"/>
                <w:spacing w:val="7"/>
                <w:sz w:val="20"/>
                <w:szCs w:val="20"/>
                <w:highlight w:val="none"/>
                <w:lang w:val="en-US" w:eastAsia="zh-CN"/>
              </w:rPr>
              <w:t>/参数</w:t>
            </w:r>
          </w:p>
        </w:tc>
        <w:tc>
          <w:tcPr>
            <w:tcW w:w="773" w:type="dxa"/>
            <w:gridSpan w:val="2"/>
            <w:vAlign w:val="top"/>
          </w:tcPr>
          <w:p>
            <w:pPr>
              <w:spacing w:before="261" w:line="229" w:lineRule="auto"/>
              <w:ind w:left="18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单</w:t>
            </w:r>
            <w:r>
              <w:rPr>
                <w:rFonts w:hint="default" w:ascii="Times New Roman" w:hAnsi="Times New Roman" w:eastAsia="宋体" w:cs="Times New Roman"/>
                <w:spacing w:val="3"/>
                <w:sz w:val="20"/>
                <w:szCs w:val="20"/>
                <w:highlight w:val="none"/>
              </w:rPr>
              <w:t>位</w:t>
            </w:r>
          </w:p>
        </w:tc>
        <w:tc>
          <w:tcPr>
            <w:tcW w:w="780" w:type="dxa"/>
            <w:gridSpan w:val="2"/>
            <w:vAlign w:val="top"/>
          </w:tcPr>
          <w:p>
            <w:pPr>
              <w:spacing w:before="261" w:line="228" w:lineRule="auto"/>
              <w:ind w:left="18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数</w:t>
            </w:r>
            <w:r>
              <w:rPr>
                <w:rFonts w:hint="default" w:ascii="Times New Roman" w:hAnsi="Times New Roman" w:eastAsia="宋体" w:cs="Times New Roman"/>
                <w:spacing w:val="3"/>
                <w:sz w:val="20"/>
                <w:szCs w:val="20"/>
                <w:highlight w:val="none"/>
              </w:rPr>
              <w:t>量</w:t>
            </w:r>
          </w:p>
        </w:tc>
        <w:tc>
          <w:tcPr>
            <w:tcW w:w="3008" w:type="dxa"/>
            <w:gridSpan w:val="2"/>
            <w:tcBorders>
              <w:right w:val="single" w:color="000000" w:sz="10" w:space="0"/>
            </w:tcBorders>
            <w:vAlign w:val="top"/>
          </w:tcPr>
          <w:p>
            <w:pPr>
              <w:spacing w:before="261" w:line="230" w:lineRule="auto"/>
              <w:ind w:left="130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2"/>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1</w:t>
            </w:r>
          </w:p>
        </w:tc>
        <w:tc>
          <w:tcPr>
            <w:tcW w:w="1369" w:type="dxa"/>
            <w:gridSpan w:val="2"/>
            <w:vAlign w:val="top"/>
          </w:tcPr>
          <w:p>
            <w:pPr>
              <w:spacing w:before="76" w:line="229" w:lineRule="auto"/>
              <w:ind w:left="369"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6"/>
                <w:sz w:val="20"/>
                <w:szCs w:val="20"/>
                <w:highlight w:val="none"/>
              </w:rPr>
              <w:t>受</w:t>
            </w:r>
            <w:r>
              <w:rPr>
                <w:rFonts w:hint="default" w:ascii="Times New Roman" w:hAnsi="Times New Roman" w:eastAsia="宋体" w:cs="Times New Roman"/>
                <w:spacing w:val="5"/>
                <w:sz w:val="20"/>
                <w:szCs w:val="20"/>
                <w:highlight w:val="none"/>
              </w:rPr>
              <w:t>料仓</w:t>
            </w:r>
          </w:p>
        </w:tc>
        <w:tc>
          <w:tcPr>
            <w:tcW w:w="2020" w:type="dxa"/>
            <w:gridSpan w:val="2"/>
            <w:vAlign w:val="top"/>
          </w:tcPr>
          <w:p>
            <w:pPr>
              <w:spacing w:before="113" w:line="195" w:lineRule="auto"/>
              <w:ind w:left="685" w:leftChars="0"/>
              <w:rPr>
                <w:rFonts w:hint="default" w:ascii="Times New Roman" w:hAnsi="Times New Roman" w:eastAsia="Times New Roman" w:cs="Times New Roman"/>
                <w:snapToGrid w:val="0"/>
                <w:color w:val="000000"/>
                <w:kern w:val="0"/>
                <w:sz w:val="20"/>
                <w:szCs w:val="20"/>
                <w:highlight w:val="none"/>
              </w:rPr>
            </w:pPr>
            <w:r>
              <w:rPr>
                <w:rFonts w:hint="eastAsia" w:ascii="Times New Roman" w:hAnsi="Times New Roman" w:eastAsia="宋体" w:cs="Times New Roman"/>
                <w:spacing w:val="7"/>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6"/>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77" w:line="228" w:lineRule="auto"/>
              <w:ind w:left="28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座</w:t>
            </w:r>
          </w:p>
        </w:tc>
        <w:tc>
          <w:tcPr>
            <w:tcW w:w="779" w:type="dxa"/>
            <w:gridSpan w:val="2"/>
            <w:vAlign w:val="top"/>
          </w:tcPr>
          <w:p>
            <w:pPr>
              <w:spacing w:before="113" w:line="195" w:lineRule="auto"/>
              <w:ind w:left="34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1</w:t>
            </w:r>
          </w:p>
        </w:tc>
        <w:tc>
          <w:tcPr>
            <w:tcW w:w="3008" w:type="dxa"/>
            <w:gridSpan w:val="2"/>
            <w:vMerge w:val="restart"/>
            <w:tcBorders>
              <w:right w:val="single" w:color="000000" w:sz="10" w:space="0"/>
            </w:tcBorders>
            <w:vAlign w:val="center"/>
          </w:tcPr>
          <w:p>
            <w:pPr>
              <w:jc w:val="center"/>
              <w:rPr>
                <w:rFonts w:hint="default"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全部为7#生产线新增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2"/>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2</w:t>
            </w:r>
          </w:p>
        </w:tc>
        <w:tc>
          <w:tcPr>
            <w:tcW w:w="1369" w:type="dxa"/>
            <w:gridSpan w:val="2"/>
            <w:vAlign w:val="top"/>
          </w:tcPr>
          <w:p>
            <w:pPr>
              <w:spacing w:before="78" w:line="228" w:lineRule="auto"/>
              <w:ind w:left="156"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鄂式破碎机</w:t>
            </w:r>
          </w:p>
        </w:tc>
        <w:tc>
          <w:tcPr>
            <w:tcW w:w="2020" w:type="dxa"/>
            <w:gridSpan w:val="2"/>
            <w:vAlign w:val="top"/>
          </w:tcPr>
          <w:p>
            <w:pPr>
              <w:spacing w:before="114" w:line="195" w:lineRule="auto"/>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95</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1250/150-320t/h</w:t>
            </w:r>
          </w:p>
        </w:tc>
        <w:tc>
          <w:tcPr>
            <w:tcW w:w="773" w:type="dxa"/>
            <w:gridSpan w:val="2"/>
            <w:vAlign w:val="top"/>
          </w:tcPr>
          <w:p>
            <w:pPr>
              <w:spacing w:before="78" w:line="228" w:lineRule="auto"/>
              <w:ind w:left="302" w:leftChars="0"/>
              <w:rPr>
                <w:rFonts w:hint="eastAsia" w:ascii="Times New Roman" w:hAnsi="Times New Roman" w:eastAsia="宋体" w:cs="Times New Roman"/>
                <w:snapToGrid w:val="0"/>
                <w:color w:val="000000"/>
                <w:kern w:val="0"/>
                <w:sz w:val="20"/>
                <w:szCs w:val="20"/>
                <w:highlight w:val="none"/>
                <w:lang w:val="en-US" w:eastAsia="zh-CN"/>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3" w:line="195" w:lineRule="auto"/>
              <w:ind w:left="345"/>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vMerge w:val="continue"/>
            <w:tcBorders>
              <w:right w:val="single" w:color="000000" w:sz="10" w:space="0"/>
            </w:tcBorders>
            <w:vAlign w:val="top"/>
          </w:tcPr>
          <w:p>
            <w:pPr>
              <w:jc w:val="center"/>
              <w:rPr>
                <w:rFonts w:hint="eastAsia" w:ascii="Times New Roman" w:hAnsi="Times New Roman" w:eastAsia="宋体" w:cs="Times New Roman"/>
                <w:spacing w:val="8"/>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2"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3</w:t>
            </w:r>
          </w:p>
        </w:tc>
        <w:tc>
          <w:tcPr>
            <w:tcW w:w="1369" w:type="dxa"/>
            <w:gridSpan w:val="2"/>
            <w:vAlign w:val="top"/>
          </w:tcPr>
          <w:p>
            <w:pPr>
              <w:spacing w:before="78" w:line="228" w:lineRule="auto"/>
              <w:ind w:left="156" w:leftChars="0" w:firstLine="216" w:firstLineChars="100"/>
              <w:rPr>
                <w:rFonts w:hint="eastAsia"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给料机</w:t>
            </w:r>
          </w:p>
        </w:tc>
        <w:tc>
          <w:tcPr>
            <w:tcW w:w="2020" w:type="dxa"/>
            <w:gridSpan w:val="2"/>
            <w:vAlign w:val="top"/>
          </w:tcPr>
          <w:p>
            <w:pPr>
              <w:spacing w:before="114" w:line="195" w:lineRule="auto"/>
              <w:ind w:left="638" w:leftChars="0"/>
              <w:rPr>
                <w:rFonts w:hint="default" w:ascii="Times New Roman" w:hAnsi="Times New Roman" w:eastAsia="宋体" w:cs="Times New Roman"/>
                <w:spacing w:val="6"/>
                <w:sz w:val="20"/>
                <w:szCs w:val="20"/>
                <w:highlight w:val="none"/>
                <w:lang w:val="en-US" w:eastAsia="zh-CN"/>
              </w:rPr>
            </w:pP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lang w:val="en-US" w:eastAsia="zh-CN"/>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3"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vMerge w:val="continue"/>
            <w:tcBorders>
              <w:right w:val="single" w:color="000000" w:sz="10" w:space="0"/>
            </w:tcBorders>
            <w:vAlign w:val="top"/>
          </w:tcPr>
          <w:p>
            <w:pPr>
              <w:jc w:val="center"/>
              <w:rPr>
                <w:rFonts w:hint="eastAsia" w:ascii="Times New Roman" w:hAnsi="Times New Roman" w:eastAsia="宋体" w:cs="Times New Roman"/>
                <w:spacing w:val="8"/>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2"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4</w:t>
            </w:r>
          </w:p>
        </w:tc>
        <w:tc>
          <w:tcPr>
            <w:tcW w:w="1369" w:type="dxa"/>
            <w:gridSpan w:val="2"/>
            <w:vAlign w:val="top"/>
          </w:tcPr>
          <w:p>
            <w:pPr>
              <w:spacing w:before="77" w:line="228" w:lineRule="auto"/>
              <w:ind w:left="156" w:leftChars="0" w:firstLine="216" w:firstLineChars="100"/>
              <w:rPr>
                <w:rFonts w:hint="eastAsia"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磁滑轮</w:t>
            </w:r>
          </w:p>
        </w:tc>
        <w:tc>
          <w:tcPr>
            <w:tcW w:w="2020" w:type="dxa"/>
            <w:gridSpan w:val="2"/>
            <w:vAlign w:val="top"/>
          </w:tcPr>
          <w:p>
            <w:pPr>
              <w:spacing w:before="113" w:line="198" w:lineRule="auto"/>
              <w:ind w:left="602" w:leftChars="0"/>
              <w:rPr>
                <w:rFonts w:hint="default" w:ascii="Times New Roman" w:hAnsi="Times New Roman" w:eastAsia="Times New Roman" w:cs="Times New Roman"/>
                <w:spacing w:val="8"/>
                <w:sz w:val="20"/>
                <w:szCs w:val="20"/>
                <w:highlight w:val="none"/>
              </w:rPr>
            </w:pPr>
          </w:p>
        </w:tc>
        <w:tc>
          <w:tcPr>
            <w:tcW w:w="773" w:type="dxa"/>
            <w:gridSpan w:val="2"/>
            <w:vAlign w:val="top"/>
          </w:tcPr>
          <w:p>
            <w:pPr>
              <w:spacing w:before="78" w:line="228" w:lineRule="auto"/>
              <w:ind w:left="302" w:leftChars="0"/>
              <w:rPr>
                <w:rFonts w:hint="eastAsia" w:ascii="Times New Roman" w:hAnsi="Times New Roman" w:eastAsia="宋体" w:cs="Times New Roman"/>
                <w:snapToGrid w:val="0"/>
                <w:color w:val="000000"/>
                <w:kern w:val="0"/>
                <w:sz w:val="20"/>
                <w:szCs w:val="20"/>
                <w:highlight w:val="none"/>
                <w:lang w:val="en-US" w:eastAsia="zh-CN"/>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3"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2</w:t>
            </w:r>
          </w:p>
        </w:tc>
        <w:tc>
          <w:tcPr>
            <w:tcW w:w="3008" w:type="dxa"/>
            <w:gridSpan w:val="2"/>
            <w:vMerge w:val="continue"/>
            <w:tcBorders>
              <w:right w:val="single" w:color="000000" w:sz="10" w:space="0"/>
            </w:tcBorders>
            <w:vAlign w:val="top"/>
          </w:tcPr>
          <w:p>
            <w:pPr>
              <w:jc w:val="center"/>
              <w:rPr>
                <w:rFonts w:hint="eastAsia" w:ascii="Times New Roman" w:hAnsi="Times New Roman" w:eastAsia="宋体" w:cs="Times New Roman"/>
                <w:spacing w:val="8"/>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2"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5</w:t>
            </w:r>
          </w:p>
        </w:tc>
        <w:tc>
          <w:tcPr>
            <w:tcW w:w="1369" w:type="dxa"/>
            <w:gridSpan w:val="2"/>
            <w:vAlign w:val="top"/>
          </w:tcPr>
          <w:p>
            <w:pPr>
              <w:spacing w:before="77" w:line="228" w:lineRule="auto"/>
              <w:ind w:firstLine="216" w:firstLineChars="100"/>
              <w:rPr>
                <w:rFonts w:hint="default" w:ascii="Times New Roman" w:hAnsi="Times New Roman" w:eastAsia="宋体" w:cs="Times New Roman"/>
                <w:snapToGrid w:val="0"/>
                <w:color w:val="000000"/>
                <w:spacing w:val="8"/>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皮带输送机</w:t>
            </w:r>
          </w:p>
        </w:tc>
        <w:tc>
          <w:tcPr>
            <w:tcW w:w="2020" w:type="dxa"/>
            <w:gridSpan w:val="2"/>
            <w:vAlign w:val="top"/>
          </w:tcPr>
          <w:p>
            <w:pPr>
              <w:spacing w:before="113" w:line="198" w:lineRule="auto"/>
              <w:ind w:left="602" w:leftChars="0" w:firstLine="216" w:firstLineChars="100"/>
              <w:rPr>
                <w:rFonts w:hint="eastAsia" w:ascii="Times New Roman" w:hAnsi="Times New Roman" w:eastAsia="宋体" w:cs="Times New Roman"/>
                <w:snapToGrid w:val="0"/>
                <w:color w:val="000000"/>
                <w:spacing w:val="8"/>
                <w:kern w:val="0"/>
                <w:sz w:val="20"/>
                <w:szCs w:val="20"/>
                <w:highlight w:val="none"/>
                <w:lang w:eastAsia="zh-CN"/>
              </w:rPr>
            </w:pPr>
            <w:r>
              <w:rPr>
                <w:rFonts w:hint="eastAsia" w:ascii="Times New Roman" w:hAnsi="Times New Roman" w:eastAsia="宋体" w:cs="Times New Roman"/>
                <w:snapToGrid w:val="0"/>
                <w:color w:val="000000"/>
                <w:spacing w:val="8"/>
                <w:kern w:val="0"/>
                <w:sz w:val="20"/>
                <w:szCs w:val="20"/>
                <w:highlight w:val="none"/>
                <w:lang w:eastAsia="zh-CN"/>
              </w:rPr>
              <w:t>—</w:t>
            </w:r>
          </w:p>
        </w:tc>
        <w:tc>
          <w:tcPr>
            <w:tcW w:w="773" w:type="dxa"/>
            <w:gridSpan w:val="2"/>
            <w:vAlign w:val="top"/>
          </w:tcPr>
          <w:p>
            <w:pPr>
              <w:spacing w:before="77" w:line="228" w:lineRule="auto"/>
              <w:ind w:left="28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条</w:t>
            </w:r>
          </w:p>
        </w:tc>
        <w:tc>
          <w:tcPr>
            <w:tcW w:w="779" w:type="dxa"/>
            <w:gridSpan w:val="2"/>
            <w:vAlign w:val="top"/>
          </w:tcPr>
          <w:p>
            <w:pPr>
              <w:spacing w:before="113"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5</w:t>
            </w:r>
          </w:p>
        </w:tc>
        <w:tc>
          <w:tcPr>
            <w:tcW w:w="3008" w:type="dxa"/>
            <w:gridSpan w:val="2"/>
            <w:vMerge w:val="continue"/>
            <w:tcBorders>
              <w:right w:val="single" w:color="000000" w:sz="10" w:space="0"/>
            </w:tcBorders>
            <w:vAlign w:val="top"/>
          </w:tcPr>
          <w:p>
            <w:pPr>
              <w:jc w:val="center"/>
              <w:rPr>
                <w:rFonts w:hint="eastAsia" w:ascii="Times New Roman" w:hAnsi="Times New Roman" w:eastAsia="宋体" w:cs="Times New Roman"/>
                <w:spacing w:val="8"/>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2"/>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6</w:t>
            </w:r>
          </w:p>
        </w:tc>
        <w:tc>
          <w:tcPr>
            <w:tcW w:w="1369" w:type="dxa"/>
            <w:gridSpan w:val="2"/>
            <w:vAlign w:val="top"/>
          </w:tcPr>
          <w:p>
            <w:pPr>
              <w:spacing w:before="77" w:line="228" w:lineRule="auto"/>
              <w:ind w:left="156" w:leftChars="0" w:firstLine="214" w:firstLineChars="100"/>
              <w:rPr>
                <w:rFonts w:hint="default" w:ascii="Times New Roman" w:hAnsi="Times New Roman" w:eastAsia="宋体" w:cs="Times New Roman"/>
                <w:spacing w:val="7"/>
                <w:sz w:val="20"/>
                <w:szCs w:val="20"/>
                <w:highlight w:val="none"/>
                <w:lang w:val="en-US" w:eastAsia="zh-CN"/>
              </w:rPr>
            </w:pPr>
            <w:r>
              <w:rPr>
                <w:rFonts w:hint="default" w:ascii="Times New Roman" w:hAnsi="Times New Roman" w:eastAsia="宋体" w:cs="Times New Roman"/>
                <w:spacing w:val="7"/>
                <w:sz w:val="20"/>
                <w:szCs w:val="20"/>
                <w:highlight w:val="none"/>
              </w:rPr>
              <w:t>装载机</w:t>
            </w:r>
          </w:p>
        </w:tc>
        <w:tc>
          <w:tcPr>
            <w:tcW w:w="2020" w:type="dxa"/>
            <w:gridSpan w:val="2"/>
            <w:vAlign w:val="top"/>
          </w:tcPr>
          <w:p>
            <w:pPr>
              <w:spacing w:before="77" w:line="228" w:lineRule="auto"/>
              <w:rPr>
                <w:rFonts w:hint="default" w:ascii="Times New Roman" w:hAnsi="Times New Roman" w:eastAsia="宋体" w:cs="Times New Roman"/>
                <w:spacing w:val="7"/>
                <w:sz w:val="20"/>
                <w:szCs w:val="20"/>
                <w:highlight w:val="none"/>
              </w:rPr>
            </w:pPr>
            <w:r>
              <w:rPr>
                <w:rFonts w:hint="eastAsia" w:ascii="Times New Roman" w:hAnsi="Times New Roman" w:eastAsia="宋体" w:cs="Times New Roman"/>
                <w:spacing w:val="7"/>
                <w:sz w:val="20"/>
                <w:szCs w:val="20"/>
                <w:highlight w:val="none"/>
                <w:lang w:val="en-US" w:eastAsia="zh-CN"/>
              </w:rPr>
              <w:t>国四及以上排放标准</w:t>
            </w:r>
          </w:p>
        </w:tc>
        <w:tc>
          <w:tcPr>
            <w:tcW w:w="773" w:type="dxa"/>
            <w:gridSpan w:val="2"/>
            <w:vAlign w:val="top"/>
          </w:tcPr>
          <w:p>
            <w:pPr>
              <w:spacing w:before="78" w:line="228" w:lineRule="auto"/>
              <w:ind w:left="302" w:leftChars="0"/>
              <w:rPr>
                <w:rFonts w:hint="eastAsia" w:ascii="Times New Roman" w:hAnsi="Times New Roman" w:eastAsia="宋体" w:cs="Times New Roman"/>
                <w:snapToGrid w:val="0"/>
                <w:color w:val="000000"/>
                <w:kern w:val="0"/>
                <w:sz w:val="20"/>
                <w:szCs w:val="20"/>
                <w:highlight w:val="none"/>
                <w:lang w:val="en-US" w:eastAsia="zh-CN"/>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firstLine="400" w:firstLineChars="20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vMerge w:val="continue"/>
            <w:tcBorders>
              <w:right w:val="single" w:color="000000" w:sz="10" w:space="0"/>
            </w:tcBorders>
            <w:vAlign w:val="top"/>
          </w:tcPr>
          <w:p>
            <w:pPr>
              <w:jc w:val="center"/>
              <w:rPr>
                <w:rFonts w:hint="eastAsia" w:ascii="Times New Roman" w:hAnsi="Times New Roman" w:eastAsia="宋体" w:cs="Times New Roman"/>
                <w:spacing w:val="8"/>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2"/>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7</w:t>
            </w:r>
          </w:p>
        </w:tc>
        <w:tc>
          <w:tcPr>
            <w:tcW w:w="1369" w:type="dxa"/>
            <w:gridSpan w:val="2"/>
            <w:vAlign w:val="top"/>
          </w:tcPr>
          <w:p>
            <w:pPr>
              <w:spacing w:before="78" w:line="228" w:lineRule="auto"/>
              <w:ind w:left="156" w:leftChars="0"/>
              <w:jc w:val="center"/>
              <w:rPr>
                <w:rFonts w:hint="default" w:ascii="Times New Roman" w:hAnsi="Times New Roman" w:eastAsia="宋体" w:cs="Times New Roman"/>
                <w:snapToGrid w:val="0"/>
                <w:color w:val="000000"/>
                <w:spacing w:val="8"/>
                <w:kern w:val="0"/>
                <w:sz w:val="20"/>
                <w:szCs w:val="20"/>
                <w:highlight w:val="none"/>
              </w:rPr>
            </w:pPr>
            <w:r>
              <w:rPr>
                <w:rFonts w:hint="default" w:ascii="Times New Roman" w:hAnsi="Times New Roman" w:eastAsia="宋体" w:cs="Times New Roman"/>
                <w:spacing w:val="7"/>
                <w:sz w:val="20"/>
                <w:szCs w:val="20"/>
                <w:highlight w:val="none"/>
              </w:rPr>
              <w:t>圆</w:t>
            </w:r>
            <w:r>
              <w:rPr>
                <w:rFonts w:hint="default" w:ascii="Times New Roman" w:hAnsi="Times New Roman" w:eastAsia="宋体" w:cs="Times New Roman"/>
                <w:spacing w:val="4"/>
                <w:sz w:val="20"/>
                <w:szCs w:val="20"/>
                <w:highlight w:val="none"/>
              </w:rPr>
              <w:t>锥破碎机</w:t>
            </w:r>
          </w:p>
        </w:tc>
        <w:tc>
          <w:tcPr>
            <w:tcW w:w="2020" w:type="dxa"/>
            <w:gridSpan w:val="2"/>
            <w:vAlign w:val="top"/>
          </w:tcPr>
          <w:p>
            <w:pPr>
              <w:spacing w:before="114" w:line="195" w:lineRule="auto"/>
              <w:ind w:left="638"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GB300</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lang w:val="en-US" w:eastAsia="zh-CN"/>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firstLine="400" w:firstLineChars="20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vMerge w:val="restart"/>
            <w:tcBorders>
              <w:right w:val="single" w:color="000000" w:sz="10" w:space="0"/>
            </w:tcBorders>
            <w:vAlign w:val="center"/>
          </w:tcPr>
          <w:p>
            <w:pPr>
              <w:jc w:val="center"/>
              <w:rPr>
                <w:rFonts w:hint="default"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依托5#生产线现有设备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2"/>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8</w:t>
            </w:r>
          </w:p>
        </w:tc>
        <w:tc>
          <w:tcPr>
            <w:tcW w:w="1369" w:type="dxa"/>
            <w:gridSpan w:val="2"/>
            <w:vAlign w:val="top"/>
          </w:tcPr>
          <w:p>
            <w:pPr>
              <w:spacing w:before="77" w:line="228" w:lineRule="auto"/>
              <w:ind w:left="156" w:leftChars="0"/>
              <w:jc w:val="center"/>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振动筛</w:t>
            </w:r>
          </w:p>
        </w:tc>
        <w:tc>
          <w:tcPr>
            <w:tcW w:w="2020" w:type="dxa"/>
            <w:gridSpan w:val="2"/>
            <w:vAlign w:val="top"/>
          </w:tcPr>
          <w:p>
            <w:pPr>
              <w:spacing w:before="113" w:line="198" w:lineRule="auto"/>
              <w:ind w:left="602" w:leftChars="0"/>
              <w:rPr>
                <w:rFonts w:hint="eastAsia" w:ascii="Times New Roman" w:hAnsi="Times New Roman" w:eastAsia="Times New Roman" w:cs="Times New Roman"/>
                <w:snapToGrid w:val="0"/>
                <w:color w:val="000000"/>
                <w:kern w:val="0"/>
                <w:sz w:val="20"/>
                <w:szCs w:val="20"/>
                <w:highlight w:val="none"/>
                <w:lang w:val="en-US" w:eastAsia="zh-CN"/>
              </w:rPr>
            </w:pPr>
          </w:p>
        </w:tc>
        <w:tc>
          <w:tcPr>
            <w:tcW w:w="773" w:type="dxa"/>
            <w:gridSpan w:val="2"/>
            <w:vAlign w:val="top"/>
          </w:tcPr>
          <w:p>
            <w:pPr>
              <w:spacing w:before="77" w:line="228" w:lineRule="auto"/>
              <w:ind w:left="285" w:leftChars="0"/>
              <w:rPr>
                <w:rFonts w:hint="default"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台</w:t>
            </w:r>
          </w:p>
        </w:tc>
        <w:tc>
          <w:tcPr>
            <w:tcW w:w="779" w:type="dxa"/>
            <w:gridSpan w:val="2"/>
            <w:vAlign w:val="top"/>
          </w:tcPr>
          <w:p>
            <w:pPr>
              <w:spacing w:before="113" w:line="195" w:lineRule="auto"/>
              <w:ind w:firstLine="400" w:firstLineChars="20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vMerge w:val="continue"/>
            <w:tcBorders>
              <w:right w:val="single" w:color="000000" w:sz="10" w:space="0"/>
            </w:tcBorders>
            <w:vAlign w:val="top"/>
          </w:tcPr>
          <w:p>
            <w:pPr>
              <w:rPr>
                <w:rFonts w:hint="eastAsia" w:ascii="Times New Roman" w:hAnsi="Times New Roman" w:eastAsia="宋体" w:cs="Times New Roman"/>
                <w:sz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2"/>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9</w:t>
            </w:r>
          </w:p>
        </w:tc>
        <w:tc>
          <w:tcPr>
            <w:tcW w:w="1369" w:type="dxa"/>
            <w:gridSpan w:val="2"/>
            <w:vAlign w:val="top"/>
          </w:tcPr>
          <w:p>
            <w:pPr>
              <w:spacing w:before="77" w:line="228" w:lineRule="auto"/>
              <w:ind w:left="156" w:leftChars="0"/>
              <w:jc w:val="center"/>
              <w:rPr>
                <w:rFonts w:hint="eastAsia"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中转仓</w:t>
            </w:r>
          </w:p>
        </w:tc>
        <w:tc>
          <w:tcPr>
            <w:tcW w:w="2020" w:type="dxa"/>
            <w:gridSpan w:val="2"/>
            <w:vAlign w:val="top"/>
          </w:tcPr>
          <w:p>
            <w:pPr>
              <w:spacing w:before="113" w:line="198" w:lineRule="auto"/>
              <w:ind w:left="602" w:leftChars="0"/>
              <w:rPr>
                <w:rFonts w:hint="eastAsia" w:ascii="Times New Roman" w:hAnsi="Times New Roman" w:eastAsia="Times New Roman" w:cs="Times New Roman"/>
                <w:snapToGrid w:val="0"/>
                <w:color w:val="000000"/>
                <w:kern w:val="0"/>
                <w:sz w:val="20"/>
                <w:szCs w:val="20"/>
                <w:highlight w:val="none"/>
                <w:lang w:val="en-US" w:eastAsia="zh-CN"/>
              </w:rPr>
            </w:pPr>
          </w:p>
        </w:tc>
        <w:tc>
          <w:tcPr>
            <w:tcW w:w="773" w:type="dxa"/>
            <w:gridSpan w:val="2"/>
            <w:vAlign w:val="top"/>
          </w:tcPr>
          <w:p>
            <w:pPr>
              <w:spacing w:before="77" w:line="228" w:lineRule="auto"/>
              <w:ind w:left="285"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座</w:t>
            </w:r>
          </w:p>
        </w:tc>
        <w:tc>
          <w:tcPr>
            <w:tcW w:w="779" w:type="dxa"/>
            <w:gridSpan w:val="2"/>
            <w:vAlign w:val="top"/>
          </w:tcPr>
          <w:p>
            <w:pPr>
              <w:spacing w:before="113" w:line="195" w:lineRule="auto"/>
              <w:ind w:firstLine="400" w:firstLineChars="20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vMerge w:val="continue"/>
            <w:tcBorders>
              <w:right w:val="single" w:color="000000" w:sz="10" w:space="0"/>
            </w:tcBorders>
            <w:vAlign w:val="top"/>
          </w:tcPr>
          <w:p>
            <w:pPr>
              <w:rPr>
                <w:rFonts w:hint="eastAsia" w:ascii="Times New Roman" w:hAnsi="Times New Roman" w:eastAsia="宋体" w:cs="Times New Roman"/>
                <w:sz w:val="21"/>
                <w:highlight w:val="none"/>
                <w:lang w:val="en-US" w:eastAsia="zh-CN"/>
              </w:rPr>
            </w:pPr>
          </w:p>
        </w:tc>
      </w:tr>
    </w:tbl>
    <w:p>
      <w:pPr>
        <w:spacing w:line="480" w:lineRule="exact"/>
        <w:ind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rPr>
        <w:t>根据相关资料及与建设单位沟通了解，本项目破碎工序使用</w:t>
      </w:r>
      <w:r>
        <w:rPr>
          <w:rFonts w:hint="default" w:ascii="Times New Roman" w:hAnsi="Times New Roman" w:eastAsia="宋体" w:cs="Times New Roman"/>
          <w:sz w:val="23"/>
          <w:szCs w:val="23"/>
          <w:highlight w:val="none"/>
          <w:lang w:val="en-US" w:eastAsia="zh-CN"/>
        </w:rPr>
        <w:t>1</w:t>
      </w:r>
      <w:r>
        <w:rPr>
          <w:rFonts w:hint="default" w:ascii="Times New Roman" w:hAnsi="Times New Roman" w:eastAsia="宋体" w:cs="Times New Roman"/>
          <w:sz w:val="23"/>
          <w:szCs w:val="23"/>
          <w:highlight w:val="none"/>
        </w:rPr>
        <w:t>台型号为</w:t>
      </w:r>
      <w:r>
        <w:rPr>
          <w:rFonts w:hint="eastAsia" w:ascii="Times New Roman" w:hAnsi="Times New Roman" w:eastAsia="宋体" w:cs="Times New Roman"/>
          <w:sz w:val="23"/>
          <w:szCs w:val="23"/>
          <w:highlight w:val="none"/>
          <w:lang w:val="en-US" w:eastAsia="zh-CN"/>
        </w:rPr>
        <w:t>9</w:t>
      </w:r>
      <w:r>
        <w:rPr>
          <w:rFonts w:hint="default" w:ascii="Times New Roman" w:hAnsi="Times New Roman" w:eastAsia="宋体" w:cs="Times New Roman"/>
          <w:sz w:val="23"/>
          <w:szCs w:val="23"/>
          <w:highlight w:val="none"/>
          <w:lang w:val="en-US" w:eastAsia="zh-CN"/>
        </w:rPr>
        <w:t>5</w:t>
      </w:r>
      <w:r>
        <w:rPr>
          <w:rFonts w:hint="default" w:ascii="Times New Roman" w:hAnsi="Times New Roman" w:eastAsia="宋体" w:cs="Times New Roman"/>
          <w:sz w:val="23"/>
          <w:szCs w:val="23"/>
          <w:highlight w:val="none"/>
        </w:rPr>
        <w:t>0×</w:t>
      </w:r>
      <w:r>
        <w:rPr>
          <w:rFonts w:hint="default" w:ascii="Times New Roman" w:hAnsi="Times New Roman" w:eastAsia="宋体" w:cs="Times New Roman"/>
          <w:sz w:val="23"/>
          <w:szCs w:val="23"/>
          <w:highlight w:val="none"/>
          <w:lang w:val="en-US" w:eastAsia="zh-CN"/>
        </w:rPr>
        <w:t>1</w:t>
      </w:r>
      <w:r>
        <w:rPr>
          <w:rFonts w:hint="eastAsia" w:ascii="Times New Roman" w:hAnsi="Times New Roman" w:eastAsia="宋体" w:cs="Times New Roman"/>
          <w:sz w:val="23"/>
          <w:szCs w:val="23"/>
          <w:highlight w:val="none"/>
          <w:lang w:val="en-US" w:eastAsia="zh-CN"/>
        </w:rPr>
        <w:t>25</w:t>
      </w:r>
      <w:r>
        <w:rPr>
          <w:rFonts w:hint="default" w:ascii="Times New Roman" w:hAnsi="Times New Roman" w:eastAsia="宋体" w:cs="Times New Roman"/>
          <w:sz w:val="23"/>
          <w:szCs w:val="23"/>
          <w:highlight w:val="none"/>
        </w:rPr>
        <w:t>0mm的颚式破碎机，</w:t>
      </w:r>
      <w:r>
        <w:rPr>
          <w:rFonts w:hint="eastAsia" w:ascii="Times New Roman" w:hAnsi="Times New Roman" w:eastAsia="宋体" w:cs="Times New Roman"/>
          <w:sz w:val="23"/>
          <w:szCs w:val="23"/>
          <w:highlight w:val="none"/>
          <w:lang w:val="en-US" w:eastAsia="zh-CN"/>
        </w:rPr>
        <w:t>年工作2000h，</w:t>
      </w:r>
      <w:r>
        <w:rPr>
          <w:rFonts w:hint="default" w:ascii="Times New Roman" w:hAnsi="Times New Roman" w:eastAsia="宋体" w:cs="Times New Roman"/>
          <w:sz w:val="23"/>
          <w:szCs w:val="23"/>
          <w:highlight w:val="none"/>
        </w:rPr>
        <w:t>铁矿石破碎处理能力约为</w:t>
      </w:r>
      <w:r>
        <w:rPr>
          <w:rFonts w:hint="eastAsia" w:ascii="Times New Roman" w:hAnsi="Times New Roman" w:eastAsia="宋体" w:cs="Times New Roman"/>
          <w:sz w:val="23"/>
          <w:szCs w:val="23"/>
          <w:highlight w:val="none"/>
          <w:lang w:val="en-US" w:eastAsia="zh-CN"/>
        </w:rPr>
        <w:t>150</w:t>
      </w:r>
      <w:r>
        <w:rPr>
          <w:rFonts w:hint="default" w:ascii="Times New Roman" w:hAnsi="Times New Roman" w:eastAsia="宋体" w:cs="Times New Roman"/>
          <w:sz w:val="23"/>
          <w:szCs w:val="23"/>
          <w:highlight w:val="none"/>
        </w:rPr>
        <w:t>-</w:t>
      </w:r>
      <w:r>
        <w:rPr>
          <w:rFonts w:hint="eastAsia" w:ascii="Times New Roman" w:hAnsi="Times New Roman" w:eastAsia="宋体" w:cs="Times New Roman"/>
          <w:sz w:val="23"/>
          <w:szCs w:val="23"/>
          <w:highlight w:val="none"/>
          <w:lang w:val="en-US" w:eastAsia="zh-CN"/>
        </w:rPr>
        <w:t>32</w:t>
      </w:r>
      <w:r>
        <w:rPr>
          <w:rFonts w:hint="default" w:ascii="Times New Roman" w:hAnsi="Times New Roman" w:eastAsia="宋体" w:cs="Times New Roman"/>
          <w:sz w:val="23"/>
          <w:szCs w:val="23"/>
          <w:highlight w:val="none"/>
        </w:rPr>
        <w:t>0t/h（</w:t>
      </w:r>
      <w:r>
        <w:rPr>
          <w:rFonts w:hint="eastAsia" w:ascii="Times New Roman" w:hAnsi="Times New Roman" w:eastAsia="宋体" w:cs="Times New Roman"/>
          <w:sz w:val="23"/>
          <w:szCs w:val="23"/>
          <w:highlight w:val="none"/>
          <w:lang w:val="en-US" w:eastAsia="zh-CN"/>
        </w:rPr>
        <w:t>30</w:t>
      </w:r>
      <w:r>
        <w:rPr>
          <w:rFonts w:hint="default" w:ascii="Times New Roman" w:hAnsi="Times New Roman" w:eastAsia="宋体" w:cs="Times New Roman"/>
          <w:sz w:val="23"/>
          <w:szCs w:val="23"/>
          <w:highlight w:val="none"/>
        </w:rPr>
        <w:t>-</w:t>
      </w:r>
      <w:r>
        <w:rPr>
          <w:rFonts w:hint="eastAsia" w:ascii="Times New Roman" w:hAnsi="Times New Roman" w:eastAsia="宋体" w:cs="Times New Roman"/>
          <w:sz w:val="23"/>
          <w:szCs w:val="23"/>
          <w:highlight w:val="none"/>
          <w:lang w:val="en-US" w:eastAsia="zh-CN"/>
        </w:rPr>
        <w:t>64万</w:t>
      </w:r>
      <w:r>
        <w:rPr>
          <w:rFonts w:hint="default" w:ascii="Times New Roman" w:hAnsi="Times New Roman" w:eastAsia="宋体" w:cs="Times New Roman"/>
          <w:sz w:val="23"/>
          <w:szCs w:val="23"/>
          <w:highlight w:val="none"/>
        </w:rPr>
        <w:t>t/</w:t>
      </w:r>
      <w:r>
        <w:rPr>
          <w:rFonts w:hint="eastAsia" w:ascii="Times New Roman" w:hAnsi="Times New Roman" w:eastAsia="宋体" w:cs="Times New Roman"/>
          <w:sz w:val="23"/>
          <w:szCs w:val="23"/>
          <w:highlight w:val="none"/>
          <w:lang w:val="en-US" w:eastAsia="zh-CN"/>
        </w:rPr>
        <w:t>a</w:t>
      </w:r>
      <w:r>
        <w:rPr>
          <w:rFonts w:hint="default" w:ascii="Times New Roman" w:hAnsi="Times New Roman" w:eastAsia="宋体" w:cs="Times New Roman"/>
          <w:sz w:val="23"/>
          <w:szCs w:val="23"/>
          <w:highlight w:val="none"/>
        </w:rPr>
        <w:t>）</w:t>
      </w:r>
      <w:r>
        <w:rPr>
          <w:rFonts w:hint="default" w:ascii="Times New Roman" w:hAnsi="Times New Roman" w:eastAsia="宋体" w:cs="Times New Roman"/>
          <w:sz w:val="23"/>
          <w:szCs w:val="23"/>
          <w:highlight w:val="none"/>
          <w:lang w:eastAsia="zh-CN"/>
        </w:rPr>
        <w:t>，</w:t>
      </w:r>
      <w:r>
        <w:rPr>
          <w:rFonts w:hint="default" w:ascii="Times New Roman" w:hAnsi="Times New Roman" w:eastAsia="宋体" w:cs="Times New Roman"/>
          <w:sz w:val="23"/>
          <w:szCs w:val="23"/>
          <w:highlight w:val="none"/>
          <w:lang w:val="en-US" w:eastAsia="zh-CN"/>
        </w:rPr>
        <w:t>能够满足本项目</w:t>
      </w:r>
      <w:r>
        <w:rPr>
          <w:rFonts w:hint="eastAsia" w:ascii="Times New Roman" w:hAnsi="Times New Roman" w:eastAsia="宋体" w:cs="Times New Roman"/>
          <w:sz w:val="23"/>
          <w:szCs w:val="23"/>
          <w:highlight w:val="none"/>
          <w:lang w:val="en-US" w:eastAsia="zh-CN"/>
        </w:rPr>
        <w:t>新增</w:t>
      </w:r>
      <w:r>
        <w:rPr>
          <w:rFonts w:hint="default" w:ascii="Times New Roman" w:hAnsi="Times New Roman" w:eastAsia="宋体" w:cs="Times New Roman"/>
          <w:sz w:val="23"/>
          <w:szCs w:val="23"/>
          <w:highlight w:val="none"/>
          <w:lang w:val="en-US" w:eastAsia="zh-CN"/>
        </w:rPr>
        <w:t>年处理</w:t>
      </w:r>
      <w:r>
        <w:rPr>
          <w:rFonts w:hint="eastAsia" w:ascii="Times New Roman" w:hAnsi="Times New Roman" w:eastAsia="宋体" w:cs="Times New Roman"/>
          <w:sz w:val="23"/>
          <w:szCs w:val="23"/>
          <w:highlight w:val="none"/>
          <w:lang w:val="en-US" w:eastAsia="zh-CN"/>
        </w:rPr>
        <w:t>60</w:t>
      </w:r>
      <w:r>
        <w:rPr>
          <w:rFonts w:hint="default" w:ascii="Times New Roman" w:hAnsi="Times New Roman" w:eastAsia="宋体" w:cs="Times New Roman"/>
          <w:sz w:val="23"/>
          <w:szCs w:val="23"/>
          <w:highlight w:val="none"/>
          <w:lang w:val="en-US" w:eastAsia="zh-CN"/>
        </w:rPr>
        <w:t>万吨铁矿石的处理需求</w:t>
      </w:r>
      <w:r>
        <w:rPr>
          <w:rFonts w:hint="default" w:ascii="Times New Roman" w:hAnsi="Times New Roman" w:eastAsia="宋体" w:cs="Times New Roman"/>
          <w:sz w:val="23"/>
          <w:szCs w:val="23"/>
          <w:highlight w:val="none"/>
        </w:rPr>
        <w:t>。</w:t>
      </w:r>
    </w:p>
    <w:p>
      <w:pPr>
        <w:spacing w:line="480" w:lineRule="exact"/>
        <w:ind w:firstLine="480"/>
        <w:jc w:val="both"/>
        <w:rPr>
          <w:rFonts w:hint="default"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lang w:val="en-US" w:eastAsia="zh-CN"/>
        </w:rPr>
        <w:t>现有</w:t>
      </w:r>
      <w:r>
        <w:rPr>
          <w:rFonts w:hint="default" w:ascii="Times New Roman" w:hAnsi="Times New Roman" w:eastAsia="宋体" w:cs="Times New Roman"/>
          <w:sz w:val="23"/>
          <w:szCs w:val="23"/>
          <w:highlight w:val="none"/>
        </w:rPr>
        <w:t>球磨工序使用</w:t>
      </w:r>
      <w:r>
        <w:rPr>
          <w:rFonts w:hint="default" w:ascii="Times New Roman" w:hAnsi="Times New Roman" w:eastAsia="宋体" w:cs="Times New Roman"/>
          <w:sz w:val="23"/>
          <w:szCs w:val="23"/>
          <w:highlight w:val="none"/>
          <w:lang w:val="en-US" w:eastAsia="zh-CN"/>
        </w:rPr>
        <w:t>1</w:t>
      </w:r>
      <w:r>
        <w:rPr>
          <w:rFonts w:hint="default" w:ascii="Times New Roman" w:hAnsi="Times New Roman" w:eastAsia="宋体" w:cs="Times New Roman"/>
          <w:sz w:val="23"/>
          <w:szCs w:val="23"/>
          <w:highlight w:val="none"/>
        </w:rPr>
        <w:t>台型号为</w:t>
      </w:r>
      <w:r>
        <w:rPr>
          <w:rFonts w:hint="eastAsia" w:ascii="Times New Roman" w:hAnsi="Times New Roman" w:eastAsia="宋体" w:cs="Times New Roman"/>
          <w:sz w:val="23"/>
          <w:szCs w:val="23"/>
          <w:highlight w:val="none"/>
          <w:lang w:val="en-US" w:eastAsia="zh-CN"/>
        </w:rPr>
        <w:t>16</w:t>
      </w:r>
      <w:r>
        <w:rPr>
          <w:rFonts w:hint="default" w:ascii="Times New Roman" w:hAnsi="Times New Roman" w:eastAsia="宋体" w:cs="Times New Roman"/>
          <w:sz w:val="23"/>
          <w:szCs w:val="23"/>
          <w:highlight w:val="none"/>
        </w:rPr>
        <w:t>00×</w:t>
      </w:r>
      <w:r>
        <w:rPr>
          <w:rFonts w:hint="default" w:ascii="Times New Roman" w:hAnsi="Times New Roman" w:eastAsia="宋体" w:cs="Times New Roman"/>
          <w:sz w:val="23"/>
          <w:szCs w:val="23"/>
          <w:highlight w:val="none"/>
          <w:lang w:val="en-US" w:eastAsia="zh-CN"/>
        </w:rPr>
        <w:t>4</w:t>
      </w:r>
      <w:r>
        <w:rPr>
          <w:rFonts w:hint="default" w:ascii="Times New Roman" w:hAnsi="Times New Roman" w:eastAsia="宋体" w:cs="Times New Roman"/>
          <w:sz w:val="23"/>
          <w:szCs w:val="23"/>
          <w:highlight w:val="none"/>
        </w:rPr>
        <w:t>500mm的球磨机</w:t>
      </w:r>
      <w:r>
        <w:rPr>
          <w:rFonts w:hint="eastAsia" w:ascii="Times New Roman" w:hAnsi="Times New Roman" w:eastAsia="宋体" w:cs="Times New Roman"/>
          <w:sz w:val="23"/>
          <w:szCs w:val="23"/>
          <w:highlight w:val="none"/>
          <w:lang w:eastAsia="zh-CN"/>
        </w:rPr>
        <w:t>、</w:t>
      </w:r>
      <w:r>
        <w:rPr>
          <w:rFonts w:hint="default" w:ascii="Times New Roman" w:hAnsi="Times New Roman" w:eastAsia="宋体" w:cs="Times New Roman"/>
          <w:sz w:val="23"/>
          <w:szCs w:val="23"/>
          <w:highlight w:val="none"/>
          <w:lang w:val="en-US" w:eastAsia="zh-CN"/>
        </w:rPr>
        <w:t>1</w:t>
      </w:r>
      <w:r>
        <w:rPr>
          <w:rFonts w:hint="default" w:ascii="Times New Roman" w:hAnsi="Times New Roman" w:eastAsia="宋体" w:cs="Times New Roman"/>
          <w:sz w:val="23"/>
          <w:szCs w:val="23"/>
          <w:highlight w:val="none"/>
        </w:rPr>
        <w:t>台型号为</w:t>
      </w:r>
      <w:r>
        <w:rPr>
          <w:rFonts w:hint="eastAsia" w:ascii="Times New Roman" w:hAnsi="Times New Roman" w:eastAsia="宋体" w:cs="Times New Roman"/>
          <w:sz w:val="23"/>
          <w:szCs w:val="23"/>
          <w:highlight w:val="none"/>
          <w:lang w:val="en-US" w:eastAsia="zh-CN"/>
        </w:rPr>
        <w:t>27</w:t>
      </w:r>
      <w:r>
        <w:rPr>
          <w:rFonts w:hint="default" w:ascii="Times New Roman" w:hAnsi="Times New Roman" w:eastAsia="宋体" w:cs="Times New Roman"/>
          <w:sz w:val="23"/>
          <w:szCs w:val="23"/>
          <w:highlight w:val="none"/>
        </w:rPr>
        <w:t>00×</w:t>
      </w:r>
      <w:r>
        <w:rPr>
          <w:rFonts w:hint="eastAsia" w:ascii="Times New Roman" w:hAnsi="Times New Roman" w:eastAsia="宋体" w:cs="Times New Roman"/>
          <w:sz w:val="23"/>
          <w:szCs w:val="23"/>
          <w:highlight w:val="none"/>
          <w:lang w:val="en-US" w:eastAsia="zh-CN"/>
        </w:rPr>
        <w:t>100</w:t>
      </w:r>
      <w:r>
        <w:rPr>
          <w:rFonts w:hint="default" w:ascii="Times New Roman" w:hAnsi="Times New Roman" w:eastAsia="宋体" w:cs="Times New Roman"/>
          <w:sz w:val="23"/>
          <w:szCs w:val="23"/>
          <w:highlight w:val="none"/>
        </w:rPr>
        <w:t>00mm的球磨机，合计处理能力为</w:t>
      </w:r>
      <w:r>
        <w:rPr>
          <w:rFonts w:hint="eastAsia" w:ascii="Times New Roman" w:hAnsi="Times New Roman" w:eastAsia="宋体" w:cs="Times New Roman"/>
          <w:sz w:val="23"/>
          <w:szCs w:val="23"/>
          <w:highlight w:val="none"/>
          <w:lang w:val="en-US" w:eastAsia="zh-CN"/>
        </w:rPr>
        <w:t>160</w:t>
      </w:r>
      <w:r>
        <w:rPr>
          <w:rFonts w:hint="default" w:ascii="Times New Roman" w:hAnsi="Times New Roman" w:eastAsia="宋体" w:cs="Times New Roman"/>
          <w:sz w:val="23"/>
          <w:szCs w:val="23"/>
          <w:highlight w:val="none"/>
        </w:rPr>
        <w:t>-</w:t>
      </w:r>
      <w:r>
        <w:rPr>
          <w:rFonts w:hint="eastAsia" w:ascii="Times New Roman" w:hAnsi="Times New Roman" w:eastAsia="宋体" w:cs="Times New Roman"/>
          <w:sz w:val="23"/>
          <w:szCs w:val="23"/>
          <w:highlight w:val="none"/>
          <w:lang w:val="en-US" w:eastAsia="zh-CN"/>
        </w:rPr>
        <w:t>350</w:t>
      </w:r>
      <w:r>
        <w:rPr>
          <w:rFonts w:hint="default" w:ascii="Times New Roman" w:hAnsi="Times New Roman" w:eastAsia="宋体" w:cs="Times New Roman"/>
          <w:sz w:val="23"/>
          <w:szCs w:val="23"/>
          <w:highlight w:val="none"/>
        </w:rPr>
        <w:t>t/h（铁矿石）</w:t>
      </w:r>
      <w:r>
        <w:rPr>
          <w:rFonts w:hint="eastAsia" w:ascii="Times New Roman" w:hAnsi="Times New Roman" w:eastAsia="宋体" w:cs="Times New Roman"/>
          <w:sz w:val="23"/>
          <w:szCs w:val="23"/>
          <w:highlight w:val="none"/>
          <w:lang w:eastAsia="zh-CN"/>
        </w:rPr>
        <w:t>，</w:t>
      </w:r>
      <w:r>
        <w:rPr>
          <w:rFonts w:hint="default" w:ascii="Times New Roman" w:hAnsi="Times New Roman" w:eastAsia="宋体" w:cs="Times New Roman"/>
          <w:sz w:val="23"/>
          <w:szCs w:val="23"/>
          <w:highlight w:val="none"/>
          <w:lang w:val="en-US" w:eastAsia="zh-CN"/>
        </w:rPr>
        <w:t>能够满足本项目</w:t>
      </w:r>
      <w:r>
        <w:rPr>
          <w:rFonts w:hint="eastAsia" w:ascii="Times New Roman" w:hAnsi="Times New Roman" w:eastAsia="宋体" w:cs="Times New Roman"/>
          <w:sz w:val="23"/>
          <w:szCs w:val="23"/>
          <w:highlight w:val="none"/>
          <w:lang w:val="en-US" w:eastAsia="zh-CN"/>
        </w:rPr>
        <w:t>实施后全厂</w:t>
      </w:r>
      <w:r>
        <w:rPr>
          <w:rFonts w:hint="default" w:ascii="Times New Roman" w:hAnsi="Times New Roman" w:eastAsia="宋体" w:cs="Times New Roman"/>
          <w:sz w:val="23"/>
          <w:szCs w:val="23"/>
          <w:highlight w:val="none"/>
          <w:lang w:val="en-US" w:eastAsia="zh-CN"/>
        </w:rPr>
        <w:t>年处理</w:t>
      </w:r>
      <w:r>
        <w:rPr>
          <w:rFonts w:hint="eastAsia" w:ascii="Times New Roman" w:hAnsi="Times New Roman" w:eastAsia="宋体" w:cs="Times New Roman"/>
          <w:sz w:val="23"/>
          <w:szCs w:val="23"/>
          <w:highlight w:val="none"/>
          <w:lang w:val="en-US" w:eastAsia="zh-CN"/>
        </w:rPr>
        <w:t>110</w:t>
      </w:r>
      <w:r>
        <w:rPr>
          <w:rFonts w:hint="default" w:ascii="Times New Roman" w:hAnsi="Times New Roman" w:eastAsia="宋体" w:cs="Times New Roman"/>
          <w:sz w:val="23"/>
          <w:szCs w:val="23"/>
          <w:highlight w:val="none"/>
          <w:lang w:val="en-US" w:eastAsia="zh-CN"/>
        </w:rPr>
        <w:t>万吨</w:t>
      </w:r>
      <w:r>
        <w:rPr>
          <w:rFonts w:hint="eastAsia" w:ascii="Times New Roman" w:hAnsi="Times New Roman" w:eastAsia="宋体" w:cs="Times New Roman"/>
          <w:sz w:val="23"/>
          <w:szCs w:val="23"/>
          <w:highlight w:val="none"/>
          <w:lang w:val="en-US" w:eastAsia="zh-CN"/>
        </w:rPr>
        <w:t>（153</w:t>
      </w:r>
      <w:r>
        <w:rPr>
          <w:rFonts w:hint="default" w:ascii="Times New Roman" w:hAnsi="Times New Roman" w:eastAsia="宋体" w:cs="Times New Roman"/>
          <w:sz w:val="23"/>
          <w:szCs w:val="23"/>
          <w:highlight w:val="none"/>
        </w:rPr>
        <w:t>t/h</w:t>
      </w:r>
      <w:r>
        <w:rPr>
          <w:rFonts w:hint="eastAsia" w:ascii="Times New Roman" w:hAnsi="Times New Roman" w:eastAsia="宋体" w:cs="Times New Roman"/>
          <w:sz w:val="23"/>
          <w:szCs w:val="23"/>
          <w:highlight w:val="none"/>
          <w:lang w:val="en-US" w:eastAsia="zh-CN"/>
        </w:rPr>
        <w:t>）</w:t>
      </w:r>
      <w:r>
        <w:rPr>
          <w:rFonts w:hint="default" w:ascii="Times New Roman" w:hAnsi="Times New Roman" w:eastAsia="宋体" w:cs="Times New Roman"/>
          <w:sz w:val="23"/>
          <w:szCs w:val="23"/>
          <w:highlight w:val="none"/>
          <w:lang w:val="en-US" w:eastAsia="zh-CN"/>
        </w:rPr>
        <w:t>铁矿石的处理需求</w:t>
      </w:r>
      <w:r>
        <w:rPr>
          <w:rFonts w:hint="default" w:ascii="Times New Roman" w:hAnsi="Times New Roman" w:eastAsia="宋体" w:cs="Times New Roman"/>
          <w:sz w:val="23"/>
          <w:szCs w:val="23"/>
          <w:highlight w:val="none"/>
        </w:rPr>
        <w:t>。</w:t>
      </w:r>
    </w:p>
    <w:p>
      <w:pPr>
        <w:spacing w:line="480" w:lineRule="exact"/>
        <w:ind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rPr>
        <w:t>破碎工序使用的破碎机由于设备本身的特点，维修和保养较频繁（1次/周），故企业采用了破碎工序生产能力大于一选球磨工序生产能力的生产配置设计，综合分析，本项目生产设备破碎能力与球磨、磁选能力相匹配。</w:t>
      </w:r>
    </w:p>
    <w:p>
      <w:pPr>
        <w:spacing w:before="214" w:line="228" w:lineRule="auto"/>
        <w:ind w:left="2171"/>
        <w:rPr>
          <w:rFonts w:hint="default" w:ascii="Times New Roman" w:hAnsi="Times New Roman" w:eastAsia="宋体" w:cs="Times New Roman"/>
          <w:sz w:val="23"/>
          <w:szCs w:val="23"/>
          <w:highlight w:val="none"/>
        </w:rPr>
      </w:pPr>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10"/>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8</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改扩建工程完成后全厂</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主要生产设备设施一览表</w:t>
      </w:r>
    </w:p>
    <w:p>
      <w:pPr>
        <w:spacing w:line="21" w:lineRule="exact"/>
        <w:rPr>
          <w:rFonts w:hint="default" w:ascii="Times New Roman" w:hAnsi="Times New Roman" w:cs="Times New Roman"/>
          <w:highlight w:val="none"/>
        </w:rPr>
      </w:pPr>
    </w:p>
    <w:tbl>
      <w:tblPr>
        <w:tblStyle w:val="19"/>
        <w:tblW w:w="852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575"/>
        <w:gridCol w:w="1"/>
        <w:gridCol w:w="1368"/>
        <w:gridCol w:w="1"/>
        <w:gridCol w:w="2019"/>
        <w:gridCol w:w="1"/>
        <w:gridCol w:w="772"/>
        <w:gridCol w:w="1"/>
        <w:gridCol w:w="778"/>
        <w:gridCol w:w="2"/>
        <w:gridCol w:w="3006"/>
        <w:gridCol w:w="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666" w:hRule="atLeast"/>
        </w:trPr>
        <w:tc>
          <w:tcPr>
            <w:tcW w:w="576" w:type="dxa"/>
            <w:gridSpan w:val="2"/>
            <w:tcBorders>
              <w:left w:val="single" w:color="000000" w:sz="10" w:space="0"/>
            </w:tcBorders>
            <w:textDirection w:val="tbRlV"/>
            <w:vAlign w:val="top"/>
          </w:tcPr>
          <w:p>
            <w:pPr>
              <w:spacing w:before="186" w:line="218" w:lineRule="auto"/>
              <w:ind w:left="1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序</w:t>
            </w:r>
            <w:r>
              <w:rPr>
                <w:rFonts w:hint="default" w:ascii="Times New Roman" w:hAnsi="Times New Roman" w:eastAsia="宋体" w:cs="Times New Roman"/>
                <w:spacing w:val="10"/>
                <w:sz w:val="20"/>
                <w:szCs w:val="20"/>
                <w:highlight w:val="none"/>
              </w:rPr>
              <w:t xml:space="preserve"> 号</w:t>
            </w:r>
          </w:p>
        </w:tc>
        <w:tc>
          <w:tcPr>
            <w:tcW w:w="1369" w:type="dxa"/>
            <w:gridSpan w:val="2"/>
            <w:vAlign w:val="top"/>
          </w:tcPr>
          <w:p>
            <w:pPr>
              <w:spacing w:before="261" w:line="230" w:lineRule="auto"/>
              <w:ind w:left="26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设</w:t>
            </w:r>
            <w:r>
              <w:rPr>
                <w:rFonts w:hint="default" w:ascii="Times New Roman" w:hAnsi="Times New Roman" w:eastAsia="宋体" w:cs="Times New Roman"/>
                <w:spacing w:val="6"/>
                <w:sz w:val="20"/>
                <w:szCs w:val="20"/>
                <w:highlight w:val="none"/>
              </w:rPr>
              <w:t>备名称</w:t>
            </w:r>
          </w:p>
        </w:tc>
        <w:tc>
          <w:tcPr>
            <w:tcW w:w="2020" w:type="dxa"/>
            <w:gridSpan w:val="2"/>
            <w:vAlign w:val="top"/>
          </w:tcPr>
          <w:p>
            <w:pPr>
              <w:spacing w:before="261" w:line="228" w:lineRule="auto"/>
              <w:ind w:left="59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规格型号</w:t>
            </w:r>
          </w:p>
        </w:tc>
        <w:tc>
          <w:tcPr>
            <w:tcW w:w="773" w:type="dxa"/>
            <w:gridSpan w:val="2"/>
            <w:vAlign w:val="top"/>
          </w:tcPr>
          <w:p>
            <w:pPr>
              <w:spacing w:before="261" w:line="229" w:lineRule="auto"/>
              <w:ind w:left="18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单</w:t>
            </w:r>
            <w:r>
              <w:rPr>
                <w:rFonts w:hint="default" w:ascii="Times New Roman" w:hAnsi="Times New Roman" w:eastAsia="宋体" w:cs="Times New Roman"/>
                <w:spacing w:val="3"/>
                <w:sz w:val="20"/>
                <w:szCs w:val="20"/>
                <w:highlight w:val="none"/>
              </w:rPr>
              <w:t>位</w:t>
            </w:r>
          </w:p>
        </w:tc>
        <w:tc>
          <w:tcPr>
            <w:tcW w:w="780" w:type="dxa"/>
            <w:gridSpan w:val="2"/>
            <w:vAlign w:val="top"/>
          </w:tcPr>
          <w:p>
            <w:pPr>
              <w:spacing w:before="261" w:line="228" w:lineRule="auto"/>
              <w:ind w:left="18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数</w:t>
            </w:r>
            <w:r>
              <w:rPr>
                <w:rFonts w:hint="default" w:ascii="Times New Roman" w:hAnsi="Times New Roman" w:eastAsia="宋体" w:cs="Times New Roman"/>
                <w:spacing w:val="3"/>
                <w:sz w:val="20"/>
                <w:szCs w:val="20"/>
                <w:highlight w:val="none"/>
              </w:rPr>
              <w:t>量</w:t>
            </w:r>
          </w:p>
        </w:tc>
        <w:tc>
          <w:tcPr>
            <w:tcW w:w="3008" w:type="dxa"/>
            <w:gridSpan w:val="2"/>
            <w:tcBorders>
              <w:right w:val="single" w:color="000000" w:sz="10" w:space="0"/>
            </w:tcBorders>
            <w:vAlign w:val="top"/>
          </w:tcPr>
          <w:p>
            <w:pPr>
              <w:spacing w:before="261" w:line="230" w:lineRule="auto"/>
              <w:ind w:left="130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345" w:hRule="atLeast"/>
        </w:trPr>
        <w:tc>
          <w:tcPr>
            <w:tcW w:w="576" w:type="dxa"/>
            <w:gridSpan w:val="2"/>
            <w:tcBorders>
              <w:left w:val="single" w:color="000000" w:sz="10" w:space="0"/>
            </w:tcBorders>
            <w:vAlign w:val="top"/>
          </w:tcPr>
          <w:p>
            <w:pPr>
              <w:spacing w:before="158" w:line="168" w:lineRule="exact"/>
              <w:ind w:left="177"/>
              <w:rPr>
                <w:rFonts w:hint="eastAsia" w:ascii="Times New Roman" w:hAnsi="Times New Roman" w:eastAsia="宋体" w:cs="Times New Roman"/>
                <w:sz w:val="10"/>
                <w:szCs w:val="10"/>
                <w:highlight w:val="none"/>
                <w:lang w:val="en-US" w:eastAsia="zh-CN"/>
              </w:rPr>
            </w:pPr>
            <w:r>
              <w:rPr>
                <w:rFonts w:hint="eastAsia" w:ascii="Times New Roman" w:hAnsi="Times New Roman" w:eastAsia="宋体" w:cs="Times New Roman"/>
                <w:sz w:val="20"/>
                <w:szCs w:val="20"/>
                <w:highlight w:val="none"/>
                <w:lang w:val="en-US" w:eastAsia="zh-CN"/>
              </w:rPr>
              <w:t>一</w:t>
            </w:r>
          </w:p>
        </w:tc>
        <w:tc>
          <w:tcPr>
            <w:tcW w:w="7950" w:type="dxa"/>
            <w:gridSpan w:val="10"/>
            <w:tcBorders>
              <w:right w:val="single" w:color="000000" w:sz="10" w:space="0"/>
            </w:tcBorders>
            <w:vAlign w:val="top"/>
          </w:tcPr>
          <w:p>
            <w:pPr>
              <w:spacing w:before="80" w:line="228" w:lineRule="auto"/>
              <w:ind w:left="323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铁矿石处理工</w:t>
            </w:r>
            <w:r>
              <w:rPr>
                <w:rFonts w:hint="default" w:ascii="Times New Roman" w:hAnsi="Times New Roman" w:eastAsia="宋体" w:cs="Times New Roman"/>
                <w:spacing w:val="7"/>
                <w:sz w:val="20"/>
                <w:szCs w:val="20"/>
                <w:highlight w:val="none"/>
              </w:rPr>
              <w:t>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4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369" w:type="dxa"/>
            <w:gridSpan w:val="2"/>
            <w:vAlign w:val="top"/>
          </w:tcPr>
          <w:p>
            <w:pPr>
              <w:spacing w:before="78" w:line="228"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装载</w:t>
            </w:r>
            <w:r>
              <w:rPr>
                <w:rFonts w:hint="default" w:ascii="Times New Roman" w:hAnsi="Times New Roman" w:eastAsia="宋体" w:cs="Times New Roman"/>
                <w:spacing w:val="6"/>
                <w:sz w:val="20"/>
                <w:szCs w:val="20"/>
                <w:highlight w:val="none"/>
              </w:rPr>
              <w:t>机</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78" w:line="228"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firstLine="200" w:firstLineChars="10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13</w:t>
            </w:r>
          </w:p>
        </w:tc>
        <w:tc>
          <w:tcPr>
            <w:tcW w:w="3008" w:type="dxa"/>
            <w:gridSpan w:val="2"/>
            <w:tcBorders>
              <w:right w:val="single" w:color="000000" w:sz="10" w:space="0"/>
            </w:tcBorders>
            <w:vAlign w:val="top"/>
          </w:tcPr>
          <w:p>
            <w:pPr>
              <w:jc w:val="both"/>
              <w:rPr>
                <w:rFonts w:hint="eastAsia" w:ascii="Times New Roman" w:hAnsi="Times New Roman" w:eastAsia="宋体" w:cs="Times New Roman"/>
                <w:sz w:val="20"/>
                <w:szCs w:val="20"/>
                <w:highlight w:val="none"/>
                <w:lang w:val="en-US" w:eastAsia="zh-CN"/>
              </w:rPr>
            </w:pPr>
            <w:r>
              <w:rPr>
                <w:rFonts w:hint="eastAsia"/>
                <w:sz w:val="20"/>
                <w:szCs w:val="20"/>
                <w:highlight w:val="none"/>
                <w:lang w:val="en-US" w:eastAsia="zh-CN"/>
              </w:rPr>
              <w:t>达到国四及以上排放标准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369" w:type="dxa"/>
            <w:gridSpan w:val="2"/>
            <w:vAlign w:val="top"/>
          </w:tcPr>
          <w:p>
            <w:pPr>
              <w:spacing w:before="76" w:line="229" w:lineRule="auto"/>
              <w:ind w:left="369"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6"/>
                <w:sz w:val="20"/>
                <w:szCs w:val="20"/>
                <w:highlight w:val="none"/>
              </w:rPr>
              <w:t>受</w:t>
            </w:r>
            <w:r>
              <w:rPr>
                <w:rFonts w:hint="default" w:ascii="Times New Roman" w:hAnsi="Times New Roman" w:eastAsia="宋体" w:cs="Times New Roman"/>
                <w:spacing w:val="5"/>
                <w:sz w:val="20"/>
                <w:szCs w:val="20"/>
                <w:highlight w:val="none"/>
              </w:rPr>
              <w:t>料仓</w:t>
            </w:r>
          </w:p>
        </w:tc>
        <w:tc>
          <w:tcPr>
            <w:tcW w:w="2020" w:type="dxa"/>
            <w:gridSpan w:val="2"/>
            <w:vAlign w:val="top"/>
          </w:tcPr>
          <w:p>
            <w:pPr>
              <w:spacing w:before="113" w:line="195" w:lineRule="auto"/>
              <w:ind w:left="685" w:leftChars="0"/>
              <w:rPr>
                <w:rFonts w:hint="default" w:ascii="Times New Roman" w:hAnsi="Times New Roman" w:eastAsia="Times New Roman" w:cs="Times New Roman"/>
                <w:snapToGrid w:val="0"/>
                <w:color w:val="000000"/>
                <w:kern w:val="0"/>
                <w:sz w:val="20"/>
                <w:szCs w:val="20"/>
                <w:highlight w:val="none"/>
              </w:rPr>
            </w:pPr>
            <w:r>
              <w:rPr>
                <w:rFonts w:hint="eastAsia" w:ascii="Times New Roman" w:hAnsi="Times New Roman" w:eastAsia="宋体" w:cs="Times New Roman"/>
                <w:spacing w:val="7"/>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6"/>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77" w:line="228" w:lineRule="auto"/>
              <w:ind w:left="28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座</w:t>
            </w:r>
          </w:p>
        </w:tc>
        <w:tc>
          <w:tcPr>
            <w:tcW w:w="779" w:type="dxa"/>
            <w:gridSpan w:val="2"/>
            <w:vAlign w:val="top"/>
          </w:tcPr>
          <w:p>
            <w:pPr>
              <w:spacing w:before="113" w:line="195" w:lineRule="auto"/>
              <w:ind w:left="34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1</w:t>
            </w:r>
          </w:p>
        </w:tc>
        <w:tc>
          <w:tcPr>
            <w:tcW w:w="3008" w:type="dxa"/>
            <w:gridSpan w:val="2"/>
            <w:vMerge w:val="restart"/>
            <w:tcBorders>
              <w:right w:val="single" w:color="000000" w:sz="10" w:space="0"/>
            </w:tcBorders>
            <w:vAlign w:val="center"/>
          </w:tcPr>
          <w:p>
            <w:pPr>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napToGrid w:val="0"/>
                <w:color w:val="000000"/>
                <w:kern w:val="0"/>
                <w:sz w:val="20"/>
                <w:szCs w:val="20"/>
                <w:highlight w:val="none"/>
                <w:lang w:val="en-US" w:eastAsia="zh-CN"/>
              </w:rPr>
              <w:t>全部为7#生产线新增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sz w:val="20"/>
                <w:szCs w:val="20"/>
                <w:highlight w:val="none"/>
              </w:rPr>
              <w:t>3</w:t>
            </w:r>
          </w:p>
        </w:tc>
        <w:tc>
          <w:tcPr>
            <w:tcW w:w="1369" w:type="dxa"/>
            <w:gridSpan w:val="2"/>
            <w:vAlign w:val="top"/>
          </w:tcPr>
          <w:p>
            <w:pPr>
              <w:spacing w:before="78" w:line="228" w:lineRule="auto"/>
              <w:ind w:left="156"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鄂式破碎机</w:t>
            </w:r>
          </w:p>
        </w:tc>
        <w:tc>
          <w:tcPr>
            <w:tcW w:w="2020" w:type="dxa"/>
            <w:gridSpan w:val="2"/>
            <w:vAlign w:val="top"/>
          </w:tcPr>
          <w:p>
            <w:pPr>
              <w:spacing w:before="114" w:line="195" w:lineRule="auto"/>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95</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125</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/150-320t/h</w:t>
            </w:r>
          </w:p>
        </w:tc>
        <w:tc>
          <w:tcPr>
            <w:tcW w:w="773" w:type="dxa"/>
            <w:gridSpan w:val="2"/>
            <w:vAlign w:val="top"/>
          </w:tcPr>
          <w:p>
            <w:pPr>
              <w:spacing w:before="78" w:line="228" w:lineRule="auto"/>
              <w:ind w:left="302" w:leftChars="0"/>
              <w:rPr>
                <w:rFonts w:hint="eastAsia" w:ascii="Times New Roman" w:hAnsi="Times New Roman" w:eastAsia="宋体" w:cs="Times New Roman"/>
                <w:snapToGrid w:val="0"/>
                <w:color w:val="000000"/>
                <w:kern w:val="0"/>
                <w:sz w:val="20"/>
                <w:szCs w:val="20"/>
                <w:highlight w:val="none"/>
                <w:lang w:val="en-US" w:eastAsia="zh-CN"/>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3" w:line="195" w:lineRule="auto"/>
              <w:ind w:left="345"/>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vMerge w:val="continue"/>
            <w:tcBorders>
              <w:right w:val="single" w:color="000000" w:sz="10" w:space="0"/>
            </w:tcBorders>
            <w:vAlign w:val="top"/>
          </w:tcPr>
          <w:p>
            <w:pPr>
              <w:rPr>
                <w:rFonts w:hint="eastAsia" w:ascii="Times New Roman" w:hAnsi="Times New Roman" w:eastAsia="宋体" w:cs="Times New Roman"/>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4</w:t>
            </w:r>
          </w:p>
        </w:tc>
        <w:tc>
          <w:tcPr>
            <w:tcW w:w="1369" w:type="dxa"/>
            <w:gridSpan w:val="2"/>
            <w:vAlign w:val="top"/>
          </w:tcPr>
          <w:p>
            <w:pPr>
              <w:spacing w:before="78" w:line="228" w:lineRule="auto"/>
              <w:ind w:left="156" w:leftChars="0" w:firstLine="216" w:firstLineChars="100"/>
              <w:rPr>
                <w:rFonts w:hint="default" w:ascii="Times New Roman" w:hAnsi="Times New Roman" w:eastAsia="宋体" w:cs="Times New Roman"/>
                <w:snapToGrid w:val="0"/>
                <w:color w:val="000000"/>
                <w:spacing w:val="8"/>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给料机</w:t>
            </w:r>
          </w:p>
        </w:tc>
        <w:tc>
          <w:tcPr>
            <w:tcW w:w="2020" w:type="dxa"/>
            <w:gridSpan w:val="2"/>
            <w:vAlign w:val="top"/>
          </w:tcPr>
          <w:p>
            <w:pPr>
              <w:spacing w:before="114" w:line="195" w:lineRule="auto"/>
              <w:ind w:left="638" w:leftChars="0"/>
              <w:rPr>
                <w:rFonts w:hint="eastAsia" w:ascii="Times New Roman" w:hAnsi="Times New Roman" w:eastAsia="宋体" w:cs="Times New Roman"/>
                <w:snapToGrid w:val="0"/>
                <w:color w:val="000000"/>
                <w:spacing w:val="6"/>
                <w:kern w:val="0"/>
                <w:sz w:val="20"/>
                <w:szCs w:val="20"/>
                <w:highlight w:val="none"/>
                <w:lang w:val="en-US" w:eastAsia="zh-CN"/>
              </w:rPr>
            </w:pP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lang w:val="en-US" w:eastAsia="zh-CN"/>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3"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vMerge w:val="continue"/>
            <w:tcBorders>
              <w:right w:val="single" w:color="000000" w:sz="10" w:space="0"/>
            </w:tcBorders>
            <w:vAlign w:val="top"/>
          </w:tcPr>
          <w:p>
            <w:pPr>
              <w:rPr>
                <w:rFonts w:hint="eastAsia" w:ascii="Times New Roman" w:hAnsi="Times New Roman" w:eastAsia="宋体" w:cs="Times New Roman"/>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5</w:t>
            </w:r>
          </w:p>
        </w:tc>
        <w:tc>
          <w:tcPr>
            <w:tcW w:w="1369" w:type="dxa"/>
            <w:gridSpan w:val="2"/>
            <w:vAlign w:val="top"/>
          </w:tcPr>
          <w:p>
            <w:pPr>
              <w:spacing w:before="77" w:line="228" w:lineRule="auto"/>
              <w:ind w:firstLine="216" w:firstLineChars="100"/>
              <w:rPr>
                <w:rFonts w:hint="default" w:ascii="Times New Roman" w:hAnsi="Times New Roman" w:eastAsia="宋体" w:cs="Times New Roman"/>
                <w:snapToGrid w:val="0"/>
                <w:color w:val="000000"/>
                <w:spacing w:val="8"/>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皮带输送机</w:t>
            </w:r>
          </w:p>
        </w:tc>
        <w:tc>
          <w:tcPr>
            <w:tcW w:w="2020" w:type="dxa"/>
            <w:gridSpan w:val="2"/>
            <w:vAlign w:val="top"/>
          </w:tcPr>
          <w:p>
            <w:pPr>
              <w:spacing w:before="113" w:line="198" w:lineRule="auto"/>
              <w:ind w:left="602" w:leftChars="0"/>
              <w:rPr>
                <w:rFonts w:hint="eastAsia" w:ascii="Times New Roman" w:hAnsi="Times New Roman" w:eastAsia="Times New Roman" w:cs="Times New Roman"/>
                <w:snapToGrid w:val="0"/>
                <w:color w:val="000000"/>
                <w:spacing w:val="8"/>
                <w:kern w:val="0"/>
                <w:sz w:val="20"/>
                <w:szCs w:val="20"/>
                <w:highlight w:val="none"/>
                <w:lang w:val="en-US" w:eastAsia="zh-CN"/>
              </w:rPr>
            </w:pPr>
          </w:p>
        </w:tc>
        <w:tc>
          <w:tcPr>
            <w:tcW w:w="773" w:type="dxa"/>
            <w:gridSpan w:val="2"/>
            <w:vAlign w:val="top"/>
          </w:tcPr>
          <w:p>
            <w:pPr>
              <w:spacing w:before="77" w:line="228" w:lineRule="auto"/>
              <w:ind w:left="285"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条</w:t>
            </w:r>
          </w:p>
        </w:tc>
        <w:tc>
          <w:tcPr>
            <w:tcW w:w="779" w:type="dxa"/>
            <w:gridSpan w:val="2"/>
            <w:vAlign w:val="top"/>
          </w:tcPr>
          <w:p>
            <w:pPr>
              <w:spacing w:before="113"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5</w:t>
            </w:r>
          </w:p>
        </w:tc>
        <w:tc>
          <w:tcPr>
            <w:tcW w:w="3008" w:type="dxa"/>
            <w:gridSpan w:val="2"/>
            <w:vMerge w:val="continue"/>
            <w:tcBorders>
              <w:right w:val="single" w:color="000000" w:sz="10" w:space="0"/>
            </w:tcBorders>
            <w:vAlign w:val="top"/>
          </w:tcPr>
          <w:p>
            <w:pPr>
              <w:rPr>
                <w:rFonts w:hint="eastAsia" w:ascii="Times New Roman" w:hAnsi="Times New Roman" w:eastAsia="宋体" w:cs="Times New Roman"/>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napToGrid w:val="0"/>
                <w:color w:val="000000"/>
                <w:kern w:val="0"/>
                <w:sz w:val="20"/>
                <w:szCs w:val="20"/>
                <w:highlight w:val="none"/>
                <w:lang w:val="en-US" w:eastAsia="zh-CN"/>
              </w:rPr>
              <w:t>6</w:t>
            </w:r>
          </w:p>
        </w:tc>
        <w:tc>
          <w:tcPr>
            <w:tcW w:w="1369" w:type="dxa"/>
            <w:gridSpan w:val="2"/>
            <w:vAlign w:val="top"/>
          </w:tcPr>
          <w:p>
            <w:pPr>
              <w:spacing w:before="76" w:line="229" w:lineRule="auto"/>
              <w:ind w:left="369"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6"/>
                <w:sz w:val="20"/>
                <w:szCs w:val="20"/>
                <w:highlight w:val="none"/>
              </w:rPr>
              <w:t>受</w:t>
            </w:r>
            <w:r>
              <w:rPr>
                <w:rFonts w:hint="default" w:ascii="Times New Roman" w:hAnsi="Times New Roman" w:eastAsia="宋体" w:cs="Times New Roman"/>
                <w:spacing w:val="5"/>
                <w:sz w:val="20"/>
                <w:szCs w:val="20"/>
                <w:highlight w:val="none"/>
              </w:rPr>
              <w:t>料仓</w:t>
            </w:r>
          </w:p>
        </w:tc>
        <w:tc>
          <w:tcPr>
            <w:tcW w:w="2020" w:type="dxa"/>
            <w:gridSpan w:val="2"/>
            <w:vAlign w:val="top"/>
          </w:tcPr>
          <w:p>
            <w:pPr>
              <w:spacing w:before="113" w:line="195" w:lineRule="auto"/>
              <w:ind w:left="685" w:leftChars="0"/>
              <w:rPr>
                <w:rFonts w:hint="eastAsia" w:ascii="Times New Roman" w:hAnsi="Times New Roman" w:eastAsia="Times New Roman" w:cs="Times New Roman"/>
                <w:snapToGrid w:val="0"/>
                <w:color w:val="000000"/>
                <w:kern w:val="0"/>
                <w:sz w:val="20"/>
                <w:szCs w:val="20"/>
                <w:highlight w:val="none"/>
                <w:lang w:val="en-US" w:eastAsia="zh-CN"/>
              </w:rPr>
            </w:pPr>
            <w:r>
              <w:rPr>
                <w:rFonts w:hint="eastAsia" w:ascii="Times New Roman" w:hAnsi="Times New Roman" w:eastAsia="宋体" w:cs="Times New Roman"/>
                <w:spacing w:val="7"/>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6"/>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77" w:line="228" w:lineRule="auto"/>
              <w:ind w:left="28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座</w:t>
            </w:r>
          </w:p>
        </w:tc>
        <w:tc>
          <w:tcPr>
            <w:tcW w:w="779" w:type="dxa"/>
            <w:gridSpan w:val="2"/>
            <w:vAlign w:val="top"/>
          </w:tcPr>
          <w:p>
            <w:pPr>
              <w:spacing w:before="113"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6</w:t>
            </w:r>
          </w:p>
        </w:tc>
        <w:tc>
          <w:tcPr>
            <w:tcW w:w="3008" w:type="dxa"/>
            <w:gridSpan w:val="2"/>
            <w:tcBorders>
              <w:right w:val="single" w:color="000000" w:sz="10" w:space="0"/>
            </w:tcBorders>
            <w:vAlign w:val="top"/>
          </w:tcPr>
          <w:p>
            <w:pPr>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1~6#生产线各1座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napToGrid w:val="0"/>
                <w:color w:val="000000"/>
                <w:kern w:val="0"/>
                <w:sz w:val="20"/>
                <w:szCs w:val="20"/>
                <w:highlight w:val="none"/>
                <w:lang w:val="en-US" w:eastAsia="zh-CN"/>
              </w:rPr>
              <w:t>7</w:t>
            </w:r>
          </w:p>
        </w:tc>
        <w:tc>
          <w:tcPr>
            <w:tcW w:w="1369" w:type="dxa"/>
            <w:gridSpan w:val="2"/>
            <w:vAlign w:val="top"/>
          </w:tcPr>
          <w:p>
            <w:pPr>
              <w:spacing w:before="78" w:line="228" w:lineRule="auto"/>
              <w:ind w:left="1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鄂式破碎机</w:t>
            </w:r>
          </w:p>
        </w:tc>
        <w:tc>
          <w:tcPr>
            <w:tcW w:w="2020" w:type="dxa"/>
            <w:gridSpan w:val="2"/>
            <w:vAlign w:val="top"/>
          </w:tcPr>
          <w:p>
            <w:pPr>
              <w:spacing w:before="114" w:line="195" w:lineRule="auto"/>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6"/>
                <w:sz w:val="20"/>
                <w:szCs w:val="20"/>
                <w:highlight w:val="none"/>
                <w:lang w:val="en-US" w:eastAsia="zh-CN"/>
              </w:rPr>
              <w:t>95</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125</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/150-320t/h</w:t>
            </w:r>
          </w:p>
        </w:tc>
        <w:tc>
          <w:tcPr>
            <w:tcW w:w="773" w:type="dxa"/>
            <w:gridSpan w:val="2"/>
            <w:vAlign w:val="top"/>
          </w:tcPr>
          <w:p>
            <w:pPr>
              <w:spacing w:before="78" w:line="228"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r>
              <w:rPr>
                <w:rFonts w:hint="eastAsia" w:ascii="Times New Roman" w:hAnsi="Times New Roman" w:eastAsia="宋体" w:cs="Times New Roman"/>
                <w:sz w:val="20"/>
                <w:szCs w:val="20"/>
                <w:highlight w:val="none"/>
                <w:lang w:val="en-US" w:eastAsia="zh-CN"/>
              </w:rPr>
              <w:t>1#、2#生产线各1台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7" w:line="192" w:lineRule="auto"/>
              <w:ind w:left="228"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napToGrid w:val="0"/>
                <w:color w:val="000000"/>
                <w:kern w:val="0"/>
                <w:sz w:val="20"/>
                <w:szCs w:val="20"/>
                <w:highlight w:val="none"/>
                <w:lang w:val="en-US" w:eastAsia="zh-CN"/>
              </w:rPr>
              <w:t>8</w:t>
            </w:r>
          </w:p>
        </w:tc>
        <w:tc>
          <w:tcPr>
            <w:tcW w:w="1369" w:type="dxa"/>
            <w:gridSpan w:val="2"/>
            <w:vAlign w:val="top"/>
          </w:tcPr>
          <w:p>
            <w:pPr>
              <w:spacing w:before="78" w:line="228" w:lineRule="auto"/>
              <w:ind w:left="156"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鄂式破碎机</w:t>
            </w:r>
          </w:p>
        </w:tc>
        <w:tc>
          <w:tcPr>
            <w:tcW w:w="2020" w:type="dxa"/>
            <w:gridSpan w:val="2"/>
            <w:vAlign w:val="top"/>
          </w:tcPr>
          <w:p>
            <w:pPr>
              <w:spacing w:before="114" w:line="195" w:lineRule="auto"/>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75</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1060/50-180t/h</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r>
              <w:rPr>
                <w:rFonts w:hint="eastAsia" w:ascii="Times New Roman" w:hAnsi="Times New Roman" w:eastAsia="宋体" w:cs="Times New Roman"/>
                <w:sz w:val="20"/>
                <w:szCs w:val="20"/>
                <w:highlight w:val="none"/>
                <w:lang w:val="en-US" w:eastAsia="zh-CN"/>
              </w:rPr>
              <w:t>3#、5#生产线各1台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9</w:t>
            </w:r>
          </w:p>
        </w:tc>
        <w:tc>
          <w:tcPr>
            <w:tcW w:w="1369" w:type="dxa"/>
            <w:gridSpan w:val="2"/>
            <w:vAlign w:val="top"/>
          </w:tcPr>
          <w:p>
            <w:pPr>
              <w:spacing w:before="78" w:line="228" w:lineRule="auto"/>
              <w:ind w:left="156"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鄂式破碎机</w:t>
            </w:r>
          </w:p>
        </w:tc>
        <w:tc>
          <w:tcPr>
            <w:tcW w:w="2020" w:type="dxa"/>
            <w:gridSpan w:val="2"/>
            <w:vAlign w:val="top"/>
          </w:tcPr>
          <w:p>
            <w:pPr>
              <w:spacing w:before="114" w:line="195" w:lineRule="auto"/>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60</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90</w:t>
            </w:r>
            <w:r>
              <w:rPr>
                <w:rFonts w:hint="default" w:ascii="Times New Roman" w:hAnsi="Times New Roman" w:eastAsia="Times New Roman" w:cs="Times New Roman"/>
                <w:spacing w:val="3"/>
                <w:sz w:val="20"/>
                <w:szCs w:val="20"/>
                <w:highlight w:val="none"/>
              </w:rPr>
              <w:t>0</w:t>
            </w:r>
            <w:r>
              <w:rPr>
                <w:rFonts w:hint="eastAsia" w:ascii="Times New Roman" w:hAnsi="Times New Roman" w:eastAsia="宋体" w:cs="Times New Roman"/>
                <w:spacing w:val="3"/>
                <w:sz w:val="20"/>
                <w:szCs w:val="20"/>
                <w:highlight w:val="none"/>
                <w:lang w:val="en-US" w:eastAsia="zh-CN"/>
              </w:rPr>
              <w:t>/50-120t/h</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r>
              <w:rPr>
                <w:rFonts w:hint="eastAsia" w:ascii="Times New Roman" w:hAnsi="Times New Roman" w:eastAsia="宋体" w:cs="Times New Roman"/>
                <w:sz w:val="20"/>
                <w:szCs w:val="20"/>
                <w:highlight w:val="none"/>
                <w:lang w:val="en-US" w:eastAsia="zh-CN"/>
              </w:rPr>
              <w:t>4#生产线1台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4" w:line="195" w:lineRule="auto"/>
              <w:ind w:left="226"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10</w:t>
            </w:r>
          </w:p>
        </w:tc>
        <w:tc>
          <w:tcPr>
            <w:tcW w:w="1369" w:type="dxa"/>
            <w:gridSpan w:val="2"/>
            <w:vAlign w:val="top"/>
          </w:tcPr>
          <w:p>
            <w:pPr>
              <w:spacing w:before="78" w:line="228" w:lineRule="auto"/>
              <w:ind w:left="156" w:leftChars="0"/>
              <w:rPr>
                <w:rFonts w:hint="default" w:ascii="Times New Roman" w:hAnsi="Times New Roman" w:eastAsia="宋体" w:cs="Times New Roman"/>
                <w:spacing w:val="8"/>
                <w:sz w:val="20"/>
                <w:szCs w:val="20"/>
                <w:highlight w:val="none"/>
              </w:rPr>
            </w:pPr>
            <w:r>
              <w:rPr>
                <w:rFonts w:hint="default" w:ascii="Times New Roman" w:hAnsi="Times New Roman" w:eastAsia="宋体" w:cs="Times New Roman"/>
                <w:spacing w:val="7"/>
                <w:sz w:val="20"/>
                <w:szCs w:val="20"/>
                <w:highlight w:val="none"/>
              </w:rPr>
              <w:t>圆</w:t>
            </w:r>
            <w:r>
              <w:rPr>
                <w:rFonts w:hint="default" w:ascii="Times New Roman" w:hAnsi="Times New Roman" w:eastAsia="宋体" w:cs="Times New Roman"/>
                <w:spacing w:val="4"/>
                <w:sz w:val="20"/>
                <w:szCs w:val="20"/>
                <w:highlight w:val="none"/>
              </w:rPr>
              <w:t>锥破碎机</w:t>
            </w:r>
          </w:p>
        </w:tc>
        <w:tc>
          <w:tcPr>
            <w:tcW w:w="2020" w:type="dxa"/>
            <w:gridSpan w:val="2"/>
            <w:vAlign w:val="top"/>
          </w:tcPr>
          <w:p>
            <w:pPr>
              <w:spacing w:before="114" w:line="195" w:lineRule="auto"/>
              <w:ind w:left="638"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S4800</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r>
              <w:rPr>
                <w:rFonts w:hint="eastAsia" w:ascii="Times New Roman" w:hAnsi="Times New Roman" w:eastAsia="宋体" w:cs="Times New Roman"/>
                <w:sz w:val="20"/>
                <w:szCs w:val="20"/>
                <w:highlight w:val="none"/>
                <w:lang w:val="en-US" w:eastAsia="zh-CN"/>
              </w:rPr>
              <w:t>1#、2#生产线各1台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7" w:line="192" w:lineRule="auto"/>
              <w:ind w:left="228"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11</w:t>
            </w:r>
          </w:p>
        </w:tc>
        <w:tc>
          <w:tcPr>
            <w:tcW w:w="1369" w:type="dxa"/>
            <w:gridSpan w:val="2"/>
            <w:vAlign w:val="top"/>
          </w:tcPr>
          <w:p>
            <w:pPr>
              <w:spacing w:before="78" w:line="228" w:lineRule="auto"/>
              <w:ind w:left="156" w:leftChars="0"/>
              <w:rPr>
                <w:rFonts w:hint="default" w:ascii="Times New Roman" w:hAnsi="Times New Roman" w:eastAsia="宋体" w:cs="Times New Roman"/>
                <w:snapToGrid w:val="0"/>
                <w:color w:val="000000"/>
                <w:spacing w:val="8"/>
                <w:kern w:val="0"/>
                <w:sz w:val="20"/>
                <w:szCs w:val="20"/>
                <w:highlight w:val="none"/>
              </w:rPr>
            </w:pPr>
            <w:r>
              <w:rPr>
                <w:rFonts w:hint="default" w:ascii="Times New Roman" w:hAnsi="Times New Roman" w:eastAsia="宋体" w:cs="Times New Roman"/>
                <w:spacing w:val="7"/>
                <w:sz w:val="20"/>
                <w:szCs w:val="20"/>
                <w:highlight w:val="none"/>
              </w:rPr>
              <w:t>圆</w:t>
            </w:r>
            <w:r>
              <w:rPr>
                <w:rFonts w:hint="default" w:ascii="Times New Roman" w:hAnsi="Times New Roman" w:eastAsia="宋体" w:cs="Times New Roman"/>
                <w:spacing w:val="4"/>
                <w:sz w:val="20"/>
                <w:szCs w:val="20"/>
                <w:highlight w:val="none"/>
              </w:rPr>
              <w:t>锥破碎机</w:t>
            </w:r>
          </w:p>
        </w:tc>
        <w:tc>
          <w:tcPr>
            <w:tcW w:w="2020" w:type="dxa"/>
            <w:gridSpan w:val="2"/>
            <w:vAlign w:val="top"/>
          </w:tcPr>
          <w:p>
            <w:pPr>
              <w:spacing w:before="114" w:line="195" w:lineRule="auto"/>
              <w:ind w:left="638"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H6800</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eastAsia" w:ascii="Times New Roman" w:hAnsi="Times New Roman" w:eastAsia="Arial"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1#、2#生产线各1台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7"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12</w:t>
            </w:r>
          </w:p>
        </w:tc>
        <w:tc>
          <w:tcPr>
            <w:tcW w:w="1369" w:type="dxa"/>
            <w:gridSpan w:val="2"/>
            <w:vAlign w:val="top"/>
          </w:tcPr>
          <w:p>
            <w:pPr>
              <w:spacing w:before="78" w:line="228" w:lineRule="auto"/>
              <w:ind w:left="156" w:leftChars="0"/>
              <w:rPr>
                <w:rFonts w:hint="default" w:ascii="Times New Roman" w:hAnsi="Times New Roman" w:eastAsia="宋体" w:cs="Times New Roman"/>
                <w:snapToGrid w:val="0"/>
                <w:color w:val="000000"/>
                <w:spacing w:val="8"/>
                <w:kern w:val="0"/>
                <w:sz w:val="20"/>
                <w:szCs w:val="20"/>
                <w:highlight w:val="none"/>
              </w:rPr>
            </w:pPr>
            <w:r>
              <w:rPr>
                <w:rFonts w:hint="default" w:ascii="Times New Roman" w:hAnsi="Times New Roman" w:eastAsia="宋体" w:cs="Times New Roman"/>
                <w:spacing w:val="7"/>
                <w:sz w:val="20"/>
                <w:szCs w:val="20"/>
                <w:highlight w:val="none"/>
              </w:rPr>
              <w:t>圆</w:t>
            </w:r>
            <w:r>
              <w:rPr>
                <w:rFonts w:hint="default" w:ascii="Times New Roman" w:hAnsi="Times New Roman" w:eastAsia="宋体" w:cs="Times New Roman"/>
                <w:spacing w:val="4"/>
                <w:sz w:val="20"/>
                <w:szCs w:val="20"/>
                <w:highlight w:val="none"/>
              </w:rPr>
              <w:t>锥破碎机</w:t>
            </w:r>
          </w:p>
        </w:tc>
        <w:tc>
          <w:tcPr>
            <w:tcW w:w="2020" w:type="dxa"/>
            <w:gridSpan w:val="2"/>
            <w:vAlign w:val="top"/>
          </w:tcPr>
          <w:p>
            <w:pPr>
              <w:spacing w:before="114" w:line="195" w:lineRule="auto"/>
              <w:ind w:left="638"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GB300</w:t>
            </w:r>
          </w:p>
        </w:tc>
        <w:tc>
          <w:tcPr>
            <w:tcW w:w="773" w:type="dxa"/>
            <w:gridSpan w:val="2"/>
            <w:vAlign w:val="top"/>
          </w:tcPr>
          <w:p>
            <w:pPr>
              <w:spacing w:before="78" w:line="228" w:lineRule="auto"/>
              <w:ind w:left="302"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4"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eastAsia" w:ascii="Times New Roman" w:hAnsi="Times New Roman" w:eastAsia="Arial"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4#、5#生产线各1台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3" w:line="195" w:lineRule="auto"/>
              <w:ind w:left="227"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13</w:t>
            </w:r>
          </w:p>
        </w:tc>
        <w:tc>
          <w:tcPr>
            <w:tcW w:w="1369" w:type="dxa"/>
            <w:gridSpan w:val="2"/>
            <w:vAlign w:val="center"/>
          </w:tcPr>
          <w:p>
            <w:pPr>
              <w:spacing w:before="78" w:line="228" w:lineRule="auto"/>
              <w:ind w:left="156" w:leftChars="0"/>
              <w:jc w:val="center"/>
              <w:rPr>
                <w:rFonts w:hint="default" w:ascii="Times New Roman" w:hAnsi="Times New Roman" w:eastAsia="宋体" w:cs="Times New Roman"/>
                <w:snapToGrid w:val="0"/>
                <w:color w:val="000000"/>
                <w:spacing w:val="8"/>
                <w:kern w:val="0"/>
                <w:sz w:val="20"/>
                <w:szCs w:val="20"/>
                <w:highlight w:val="none"/>
              </w:rPr>
            </w:pPr>
            <w:r>
              <w:rPr>
                <w:rFonts w:hint="eastAsia" w:ascii="Times New Roman" w:hAnsi="Times New Roman" w:eastAsia="宋体" w:cs="Times New Roman"/>
                <w:spacing w:val="7"/>
                <w:sz w:val="20"/>
                <w:szCs w:val="20"/>
                <w:highlight w:val="none"/>
                <w:lang w:val="en-US" w:eastAsia="zh-CN"/>
              </w:rPr>
              <w:t>锤式</w:t>
            </w:r>
            <w:r>
              <w:rPr>
                <w:rFonts w:hint="default" w:ascii="Times New Roman" w:hAnsi="Times New Roman" w:eastAsia="宋体" w:cs="Times New Roman"/>
                <w:spacing w:val="4"/>
                <w:sz w:val="20"/>
                <w:szCs w:val="20"/>
                <w:highlight w:val="none"/>
              </w:rPr>
              <w:t>破碎机</w:t>
            </w:r>
          </w:p>
        </w:tc>
        <w:tc>
          <w:tcPr>
            <w:tcW w:w="2020" w:type="dxa"/>
            <w:gridSpan w:val="2"/>
            <w:vAlign w:val="center"/>
          </w:tcPr>
          <w:p>
            <w:pPr>
              <w:spacing w:before="114" w:line="195" w:lineRule="auto"/>
              <w:ind w:left="638" w:leftChars="0"/>
              <w:jc w:val="both"/>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1350</w:t>
            </w:r>
          </w:p>
        </w:tc>
        <w:tc>
          <w:tcPr>
            <w:tcW w:w="773" w:type="dxa"/>
            <w:gridSpan w:val="2"/>
            <w:vAlign w:val="center"/>
          </w:tcPr>
          <w:p>
            <w:pPr>
              <w:spacing w:before="78" w:line="228" w:lineRule="auto"/>
              <w:ind w:left="302" w:leftChars="0"/>
              <w:jc w:val="center"/>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center"/>
          </w:tcPr>
          <w:p>
            <w:pPr>
              <w:spacing w:before="114" w:line="195" w:lineRule="auto"/>
              <w:ind w:left="345" w:leftChars="0"/>
              <w:jc w:val="both"/>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center"/>
          </w:tcPr>
          <w:p>
            <w:pPr>
              <w:jc w:val="both"/>
              <w:rPr>
                <w:rFonts w:hint="eastAsia" w:ascii="Times New Roman" w:hAnsi="Times New Roman" w:eastAsia="Arial"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4#生产线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center"/>
          </w:tcPr>
          <w:p>
            <w:pPr>
              <w:spacing w:before="57" w:line="195" w:lineRule="auto"/>
              <w:ind w:firstLine="200" w:firstLineChars="100"/>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14</w:t>
            </w:r>
          </w:p>
        </w:tc>
        <w:tc>
          <w:tcPr>
            <w:tcW w:w="1369" w:type="dxa"/>
            <w:gridSpan w:val="2"/>
            <w:vAlign w:val="center"/>
          </w:tcPr>
          <w:p>
            <w:pPr>
              <w:spacing w:before="78" w:line="228" w:lineRule="auto"/>
              <w:ind w:left="156" w:leftChars="0"/>
              <w:jc w:val="center"/>
              <w:rPr>
                <w:rFonts w:hint="default" w:ascii="Times New Roman" w:hAnsi="Times New Roman" w:eastAsia="宋体" w:cs="Times New Roman"/>
                <w:snapToGrid w:val="0"/>
                <w:color w:val="000000"/>
                <w:spacing w:val="8"/>
                <w:kern w:val="0"/>
                <w:sz w:val="20"/>
                <w:szCs w:val="20"/>
                <w:highlight w:val="none"/>
              </w:rPr>
            </w:pPr>
            <w:r>
              <w:rPr>
                <w:rFonts w:hint="eastAsia" w:ascii="Times New Roman" w:hAnsi="Times New Roman" w:eastAsia="宋体" w:cs="Times New Roman"/>
                <w:spacing w:val="7"/>
                <w:sz w:val="20"/>
                <w:szCs w:val="20"/>
                <w:highlight w:val="none"/>
                <w:lang w:val="en-US" w:eastAsia="zh-CN"/>
              </w:rPr>
              <w:t>锤式</w:t>
            </w:r>
            <w:r>
              <w:rPr>
                <w:rFonts w:hint="default" w:ascii="Times New Roman" w:hAnsi="Times New Roman" w:eastAsia="宋体" w:cs="Times New Roman"/>
                <w:spacing w:val="4"/>
                <w:sz w:val="20"/>
                <w:szCs w:val="20"/>
                <w:highlight w:val="none"/>
              </w:rPr>
              <w:t>破碎机</w:t>
            </w:r>
          </w:p>
        </w:tc>
        <w:tc>
          <w:tcPr>
            <w:tcW w:w="2020" w:type="dxa"/>
            <w:gridSpan w:val="2"/>
            <w:vAlign w:val="center"/>
          </w:tcPr>
          <w:p>
            <w:pPr>
              <w:spacing w:before="114" w:line="195" w:lineRule="auto"/>
              <w:ind w:left="638" w:leftChars="0"/>
              <w:jc w:val="both"/>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2000</w:t>
            </w:r>
          </w:p>
        </w:tc>
        <w:tc>
          <w:tcPr>
            <w:tcW w:w="773" w:type="dxa"/>
            <w:gridSpan w:val="2"/>
            <w:vAlign w:val="center"/>
          </w:tcPr>
          <w:p>
            <w:pPr>
              <w:spacing w:before="78" w:line="228" w:lineRule="auto"/>
              <w:ind w:left="302" w:leftChars="0"/>
              <w:jc w:val="center"/>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center"/>
          </w:tcPr>
          <w:p>
            <w:pPr>
              <w:spacing w:before="114" w:line="195" w:lineRule="auto"/>
              <w:ind w:left="345" w:leftChars="0"/>
              <w:jc w:val="both"/>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center"/>
          </w:tcPr>
          <w:p>
            <w:pPr>
              <w:jc w:val="both"/>
              <w:rPr>
                <w:rFonts w:hint="eastAsia" w:ascii="Times New Roman" w:hAnsi="Times New Roman" w:eastAsia="Arial"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3#生产线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90" w:hRule="atLeast"/>
        </w:trPr>
        <w:tc>
          <w:tcPr>
            <w:tcW w:w="577" w:type="dxa"/>
            <w:gridSpan w:val="2"/>
            <w:tcBorders>
              <w:left w:val="single" w:color="000000" w:sz="10" w:space="0"/>
            </w:tcBorders>
            <w:vAlign w:val="center"/>
          </w:tcPr>
          <w:p>
            <w:pPr>
              <w:spacing w:before="57" w:line="195" w:lineRule="auto"/>
              <w:ind w:firstLine="200" w:firstLineChars="100"/>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15</w:t>
            </w:r>
          </w:p>
        </w:tc>
        <w:tc>
          <w:tcPr>
            <w:tcW w:w="1369" w:type="dxa"/>
            <w:gridSpan w:val="2"/>
            <w:vAlign w:val="top"/>
          </w:tcPr>
          <w:p>
            <w:pPr>
              <w:spacing w:before="79" w:line="227"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磁滑</w:t>
            </w:r>
            <w:r>
              <w:rPr>
                <w:rFonts w:hint="default" w:ascii="Times New Roman" w:hAnsi="Times New Roman" w:eastAsia="宋体" w:cs="Times New Roman"/>
                <w:spacing w:val="6"/>
                <w:sz w:val="20"/>
                <w:szCs w:val="20"/>
                <w:highlight w:val="none"/>
              </w:rPr>
              <w:t>轮</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79" w:line="227" w:lineRule="auto"/>
              <w:ind w:left="285"/>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个</w:t>
            </w:r>
          </w:p>
        </w:tc>
        <w:tc>
          <w:tcPr>
            <w:tcW w:w="779" w:type="dxa"/>
            <w:gridSpan w:val="2"/>
            <w:vAlign w:val="top"/>
          </w:tcPr>
          <w:p>
            <w:pPr>
              <w:spacing w:before="114"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5</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lang w:val="en-US"/>
              </w:rPr>
            </w:pPr>
            <w:r>
              <w:rPr>
                <w:rFonts w:hint="eastAsia" w:ascii="Times New Roman" w:hAnsi="Times New Roman" w:eastAsia="宋体" w:cs="Times New Roman"/>
                <w:sz w:val="20"/>
                <w:szCs w:val="20"/>
                <w:highlight w:val="none"/>
                <w:lang w:val="en-US" w:eastAsia="zh-CN"/>
              </w:rPr>
              <w:t>1~5#生产线各1个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center"/>
          </w:tcPr>
          <w:p>
            <w:pPr>
              <w:spacing w:before="57" w:line="195" w:lineRule="auto"/>
              <w:ind w:firstLine="200" w:firstLineChars="100"/>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16</w:t>
            </w:r>
          </w:p>
        </w:tc>
        <w:tc>
          <w:tcPr>
            <w:tcW w:w="1369" w:type="dxa"/>
            <w:gridSpan w:val="2"/>
            <w:vAlign w:val="top"/>
          </w:tcPr>
          <w:p>
            <w:pPr>
              <w:spacing w:before="77" w:line="228" w:lineRule="auto"/>
              <w:ind w:left="1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双层振动筛</w:t>
            </w:r>
          </w:p>
        </w:tc>
        <w:tc>
          <w:tcPr>
            <w:tcW w:w="2020" w:type="dxa"/>
            <w:gridSpan w:val="2"/>
            <w:vAlign w:val="top"/>
          </w:tcPr>
          <w:p>
            <w:pPr>
              <w:spacing w:before="113" w:line="198" w:lineRule="auto"/>
              <w:ind w:left="602"/>
              <w:rPr>
                <w:rFonts w:hint="default" w:ascii="Times New Roman" w:hAnsi="Times New Roman" w:eastAsia="Times New Roman" w:cs="Times New Roman"/>
                <w:sz w:val="20"/>
                <w:szCs w:val="20"/>
                <w:highlight w:val="none"/>
              </w:rPr>
            </w:pPr>
          </w:p>
        </w:tc>
        <w:tc>
          <w:tcPr>
            <w:tcW w:w="773" w:type="dxa"/>
            <w:gridSpan w:val="2"/>
            <w:vAlign w:val="top"/>
          </w:tcPr>
          <w:p>
            <w:pPr>
              <w:spacing w:before="77" w:line="228" w:lineRule="auto"/>
              <w:ind w:left="28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台</w:t>
            </w:r>
          </w:p>
        </w:tc>
        <w:tc>
          <w:tcPr>
            <w:tcW w:w="779" w:type="dxa"/>
            <w:gridSpan w:val="2"/>
            <w:vAlign w:val="top"/>
          </w:tcPr>
          <w:p>
            <w:pPr>
              <w:spacing w:before="113"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5</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r>
              <w:rPr>
                <w:rFonts w:hint="eastAsia" w:ascii="Times New Roman" w:hAnsi="Times New Roman" w:eastAsia="宋体" w:cs="Times New Roman"/>
                <w:sz w:val="20"/>
                <w:szCs w:val="20"/>
                <w:highlight w:val="none"/>
                <w:lang w:val="en-US" w:eastAsia="zh-CN"/>
              </w:rPr>
              <w:t>1-2#3台、4#、5#生产线各1台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center"/>
          </w:tcPr>
          <w:p>
            <w:pPr>
              <w:spacing w:before="118" w:line="195" w:lineRule="auto"/>
              <w:ind w:left="190" w:leftChars="0"/>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napToGrid w:val="0"/>
                <w:color w:val="000000"/>
                <w:kern w:val="0"/>
                <w:sz w:val="20"/>
                <w:szCs w:val="20"/>
                <w:highlight w:val="none"/>
                <w:lang w:val="en-US" w:eastAsia="zh-CN"/>
              </w:rPr>
              <w:t>17</w:t>
            </w:r>
          </w:p>
        </w:tc>
        <w:tc>
          <w:tcPr>
            <w:tcW w:w="1369" w:type="dxa"/>
            <w:gridSpan w:val="2"/>
            <w:vAlign w:val="top"/>
          </w:tcPr>
          <w:p>
            <w:pPr>
              <w:spacing w:before="77" w:line="228" w:lineRule="auto"/>
              <w:ind w:left="156" w:leftChars="0" w:firstLine="216" w:firstLineChars="10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振动筛</w:t>
            </w:r>
          </w:p>
        </w:tc>
        <w:tc>
          <w:tcPr>
            <w:tcW w:w="2020" w:type="dxa"/>
            <w:gridSpan w:val="2"/>
            <w:vAlign w:val="top"/>
          </w:tcPr>
          <w:p>
            <w:pPr>
              <w:spacing w:before="113" w:line="198" w:lineRule="auto"/>
              <w:ind w:left="602"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6"/>
                <w:sz w:val="20"/>
                <w:szCs w:val="20"/>
                <w:highlight w:val="none"/>
              </w:rPr>
              <w:t>.4</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6"/>
                <w:sz w:val="20"/>
                <w:szCs w:val="20"/>
                <w:highlight w:val="none"/>
              </w:rPr>
              <w:t>×7</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77" w:line="228" w:lineRule="auto"/>
              <w:ind w:left="28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台</w:t>
            </w:r>
          </w:p>
        </w:tc>
        <w:tc>
          <w:tcPr>
            <w:tcW w:w="779" w:type="dxa"/>
            <w:gridSpan w:val="2"/>
            <w:vAlign w:val="top"/>
          </w:tcPr>
          <w:p>
            <w:pPr>
              <w:spacing w:before="113" w:line="195" w:lineRule="auto"/>
              <w:ind w:left="345" w:leftChars="0"/>
              <w:rPr>
                <w:rFonts w:hint="eastAsia" w:ascii="Times New Roman" w:hAnsi="Times New Roman" w:eastAsia="宋体" w:cs="Times New Roman"/>
                <w:snapToGrid w:val="0"/>
                <w:color w:val="000000"/>
                <w:kern w:val="0"/>
                <w:sz w:val="20"/>
                <w:szCs w:val="20"/>
                <w:highlight w:val="none"/>
                <w:lang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eastAsia="Arial" w:cs="Times New Roman"/>
                <w:snapToGrid w:val="0"/>
                <w:color w:val="000000"/>
                <w:kern w:val="0"/>
                <w:sz w:val="20"/>
                <w:szCs w:val="20"/>
                <w:highlight w:val="none"/>
              </w:rPr>
            </w:pPr>
            <w:r>
              <w:rPr>
                <w:rFonts w:hint="eastAsia" w:ascii="Times New Roman" w:hAnsi="Times New Roman" w:eastAsia="宋体" w:cs="Times New Roman"/>
                <w:sz w:val="20"/>
                <w:szCs w:val="20"/>
                <w:highlight w:val="none"/>
                <w:lang w:val="en-US" w:eastAsia="zh-CN"/>
              </w:rPr>
              <w:t>3#生产线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36" w:hRule="atLeast"/>
        </w:trPr>
        <w:tc>
          <w:tcPr>
            <w:tcW w:w="577" w:type="dxa"/>
            <w:gridSpan w:val="2"/>
            <w:tcBorders>
              <w:left w:val="single" w:color="000000" w:sz="10" w:space="0"/>
            </w:tcBorders>
            <w:vAlign w:val="center"/>
          </w:tcPr>
          <w:p>
            <w:pPr>
              <w:spacing w:before="117" w:line="195" w:lineRule="auto"/>
              <w:ind w:left="190" w:leftChars="0"/>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napToGrid w:val="0"/>
                <w:color w:val="000000"/>
                <w:kern w:val="0"/>
                <w:sz w:val="20"/>
                <w:szCs w:val="20"/>
                <w:highlight w:val="none"/>
                <w:lang w:val="en-US" w:eastAsia="zh-CN"/>
              </w:rPr>
              <w:t>18</w:t>
            </w:r>
          </w:p>
        </w:tc>
        <w:tc>
          <w:tcPr>
            <w:tcW w:w="1369" w:type="dxa"/>
            <w:gridSpan w:val="2"/>
            <w:vAlign w:val="center"/>
          </w:tcPr>
          <w:p>
            <w:pPr>
              <w:spacing w:before="65" w:line="228" w:lineRule="auto"/>
              <w:ind w:left="365"/>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球磨</w:t>
            </w:r>
            <w:r>
              <w:rPr>
                <w:rFonts w:hint="default" w:ascii="Times New Roman" w:hAnsi="Times New Roman" w:eastAsia="宋体" w:cs="Times New Roman"/>
                <w:spacing w:val="6"/>
                <w:sz w:val="20"/>
                <w:szCs w:val="20"/>
                <w:highlight w:val="none"/>
              </w:rPr>
              <w:t>机</w:t>
            </w:r>
          </w:p>
        </w:tc>
        <w:tc>
          <w:tcPr>
            <w:tcW w:w="2020" w:type="dxa"/>
            <w:gridSpan w:val="2"/>
            <w:vAlign w:val="center"/>
          </w:tcPr>
          <w:p>
            <w:pPr>
              <w:spacing w:before="116" w:line="186" w:lineRule="auto"/>
              <w:ind w:left="438" w:firstLine="206" w:firstLineChars="100"/>
              <w:jc w:val="both"/>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3"/>
                <w:sz w:val="20"/>
                <w:szCs w:val="20"/>
                <w:highlight w:val="none"/>
                <w:lang w:val="en-US" w:eastAsia="zh-CN"/>
              </w:rPr>
              <w:t>2.7</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3"/>
                <w:sz w:val="20"/>
                <w:szCs w:val="20"/>
                <w:highlight w:val="none"/>
              </w:rPr>
              <w:t>×</w:t>
            </w:r>
            <w:r>
              <w:rPr>
                <w:rFonts w:hint="eastAsia" w:ascii="Times New Roman" w:hAnsi="Times New Roman" w:eastAsia="宋体" w:cs="Times New Roman"/>
                <w:spacing w:val="3"/>
                <w:sz w:val="20"/>
                <w:szCs w:val="20"/>
                <w:highlight w:val="none"/>
                <w:lang w:val="en-US" w:eastAsia="zh-CN"/>
              </w:rPr>
              <w:t>10</w:t>
            </w:r>
            <w:r>
              <w:rPr>
                <w:rFonts w:hint="default" w:ascii="Times New Roman" w:hAnsi="Times New Roman" w:eastAsia="Times New Roman" w:cs="Times New Roman"/>
                <w:sz w:val="20"/>
                <w:szCs w:val="20"/>
                <w:highlight w:val="none"/>
              </w:rPr>
              <w:t>m</w:t>
            </w:r>
          </w:p>
          <w:p>
            <w:pPr>
              <w:spacing w:before="119" w:line="198" w:lineRule="auto"/>
              <w:ind w:left="543"/>
              <w:jc w:val="both"/>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1</w:t>
            </w:r>
            <w:r>
              <w:rPr>
                <w:rFonts w:hint="default" w:ascii="Times New Roman" w:hAnsi="Times New Roman" w:eastAsia="Times New Roman" w:cs="Times New Roman"/>
                <w:spacing w:val="3"/>
                <w:sz w:val="20"/>
                <w:szCs w:val="20"/>
                <w:highlight w:val="none"/>
              </w:rPr>
              <w:t>.6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3"/>
                <w:sz w:val="20"/>
                <w:szCs w:val="20"/>
                <w:highlight w:val="none"/>
              </w:rPr>
              <w:t>×4.5</w:t>
            </w:r>
            <w:r>
              <w:rPr>
                <w:rFonts w:hint="default" w:ascii="Times New Roman" w:hAnsi="Times New Roman" w:eastAsia="Times New Roman" w:cs="Times New Roman"/>
                <w:sz w:val="20"/>
                <w:szCs w:val="20"/>
                <w:highlight w:val="none"/>
              </w:rPr>
              <w:t>m</w:t>
            </w:r>
          </w:p>
        </w:tc>
        <w:tc>
          <w:tcPr>
            <w:tcW w:w="773" w:type="dxa"/>
            <w:gridSpan w:val="2"/>
            <w:vAlign w:val="center"/>
          </w:tcPr>
          <w:p>
            <w:pPr>
              <w:spacing w:before="65" w:line="231" w:lineRule="auto"/>
              <w:ind w:left="302"/>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center"/>
          </w:tcPr>
          <w:p>
            <w:pPr>
              <w:spacing w:before="57" w:line="192" w:lineRule="auto"/>
              <w:ind w:left="347"/>
              <w:jc w:val="both"/>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center"/>
          </w:tcPr>
          <w:p>
            <w:pPr>
              <w:spacing w:before="65" w:line="308" w:lineRule="auto"/>
              <w:ind w:right="124"/>
              <w:jc w:val="both"/>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0"/>
                <w:highlight w:val="none"/>
                <w:lang w:val="en-US" w:eastAsia="zh-CN"/>
              </w:rPr>
              <w:t>3#、6#生产线各1台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center"/>
          </w:tcPr>
          <w:p>
            <w:pPr>
              <w:spacing w:before="130" w:line="195" w:lineRule="auto"/>
              <w:ind w:left="190" w:leftChars="0"/>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napToGrid w:val="0"/>
                <w:color w:val="000000"/>
                <w:kern w:val="0"/>
                <w:sz w:val="20"/>
                <w:szCs w:val="20"/>
                <w:highlight w:val="none"/>
                <w:lang w:val="en-US" w:eastAsia="zh-CN"/>
              </w:rPr>
              <w:t>19</w:t>
            </w:r>
          </w:p>
        </w:tc>
        <w:tc>
          <w:tcPr>
            <w:tcW w:w="1369" w:type="dxa"/>
            <w:gridSpan w:val="2"/>
            <w:vAlign w:val="top"/>
          </w:tcPr>
          <w:p>
            <w:pPr>
              <w:spacing w:before="80" w:line="226" w:lineRule="auto"/>
              <w:ind w:left="37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高频筛</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ind w:firstLine="200" w:firstLineChars="100"/>
              <w:rPr>
                <w:rFonts w:hint="eastAsia" w:ascii="Times New Roman" w:hAnsi="Times New Roman" w:eastAsia="宋体" w:cs="Times New Roman"/>
                <w:sz w:val="21"/>
                <w:highlight w:val="none"/>
                <w:lang w:eastAsia="zh-CN"/>
              </w:rPr>
            </w:pPr>
            <w:r>
              <w:rPr>
                <w:rFonts w:hint="eastAsia" w:ascii="Times New Roman" w:hAnsi="Times New Roman" w:eastAsia="宋体" w:cs="Times New Roman"/>
                <w:sz w:val="20"/>
                <w:szCs w:val="20"/>
                <w:highlight w:val="none"/>
                <w:lang w:val="en-US" w:eastAsia="zh-CN"/>
              </w:rPr>
              <w:t>套</w:t>
            </w:r>
          </w:p>
        </w:tc>
        <w:tc>
          <w:tcPr>
            <w:tcW w:w="779" w:type="dxa"/>
            <w:gridSpan w:val="2"/>
            <w:vAlign w:val="top"/>
          </w:tcPr>
          <w:p>
            <w:pPr>
              <w:spacing w:before="118" w:line="192" w:lineRule="auto"/>
              <w:ind w:left="347"/>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r>
              <w:rPr>
                <w:rFonts w:hint="eastAsia" w:ascii="Times New Roman" w:hAnsi="Times New Roman" w:eastAsia="宋体" w:cs="Times New Roman"/>
                <w:sz w:val="20"/>
                <w:szCs w:val="20"/>
                <w:highlight w:val="none"/>
                <w:lang w:val="en-US" w:eastAsia="zh-CN"/>
              </w:rPr>
              <w:t>3#、6#生产线各1套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44" w:hRule="atLeast"/>
        </w:trPr>
        <w:tc>
          <w:tcPr>
            <w:tcW w:w="577" w:type="dxa"/>
            <w:gridSpan w:val="2"/>
            <w:tcBorders>
              <w:left w:val="single" w:color="000000" w:sz="10" w:space="0"/>
            </w:tcBorders>
            <w:vAlign w:val="center"/>
          </w:tcPr>
          <w:p>
            <w:pPr>
              <w:spacing w:before="118" w:line="195" w:lineRule="auto"/>
              <w:ind w:left="190" w:leftChars="0"/>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20</w:t>
            </w:r>
          </w:p>
        </w:tc>
        <w:tc>
          <w:tcPr>
            <w:tcW w:w="1369" w:type="dxa"/>
            <w:gridSpan w:val="2"/>
            <w:vAlign w:val="top"/>
          </w:tcPr>
          <w:p>
            <w:pPr>
              <w:spacing w:before="239" w:line="228"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磁选</w:t>
            </w:r>
            <w:r>
              <w:rPr>
                <w:rFonts w:hint="default" w:ascii="Times New Roman" w:hAnsi="Times New Roman" w:eastAsia="宋体" w:cs="Times New Roman"/>
                <w:spacing w:val="6"/>
                <w:sz w:val="20"/>
                <w:szCs w:val="20"/>
                <w:highlight w:val="none"/>
              </w:rPr>
              <w:t>机</w:t>
            </w:r>
          </w:p>
        </w:tc>
        <w:tc>
          <w:tcPr>
            <w:tcW w:w="2020" w:type="dxa"/>
            <w:gridSpan w:val="2"/>
            <w:vAlign w:val="top"/>
          </w:tcPr>
          <w:p>
            <w:pPr>
              <w:spacing w:before="117" w:line="319" w:lineRule="exact"/>
              <w:ind w:left="517"/>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2"/>
                <w:position w:val="12"/>
                <w:sz w:val="20"/>
                <w:szCs w:val="20"/>
                <w:highlight w:val="none"/>
                <w:lang w:val="en-US" w:eastAsia="zh-CN"/>
              </w:rPr>
              <w:t>1</w:t>
            </w:r>
            <w:r>
              <w:rPr>
                <w:rFonts w:hint="default" w:ascii="Times New Roman" w:hAnsi="Times New Roman" w:eastAsia="Times New Roman" w:cs="Times New Roman"/>
                <w:position w:val="12"/>
                <w:sz w:val="20"/>
                <w:szCs w:val="20"/>
                <w:highlight w:val="none"/>
              </w:rPr>
              <w:t>m</w:t>
            </w:r>
            <w:r>
              <w:rPr>
                <w:rFonts w:hint="default" w:ascii="Times New Roman" w:hAnsi="Times New Roman" w:eastAsia="Times New Roman" w:cs="Times New Roman"/>
                <w:spacing w:val="2"/>
                <w:position w:val="12"/>
                <w:sz w:val="20"/>
                <w:szCs w:val="20"/>
                <w:highlight w:val="none"/>
              </w:rPr>
              <w:t>×</w:t>
            </w:r>
            <w:r>
              <w:rPr>
                <w:rFonts w:hint="eastAsia" w:ascii="Times New Roman" w:hAnsi="Times New Roman" w:eastAsia="宋体" w:cs="Times New Roman"/>
                <w:spacing w:val="2"/>
                <w:position w:val="12"/>
                <w:sz w:val="20"/>
                <w:szCs w:val="20"/>
                <w:highlight w:val="none"/>
                <w:lang w:val="en-US" w:eastAsia="zh-CN"/>
              </w:rPr>
              <w:t>2</w:t>
            </w:r>
            <w:r>
              <w:rPr>
                <w:rFonts w:hint="default" w:ascii="Times New Roman" w:hAnsi="Times New Roman" w:eastAsia="Times New Roman" w:cs="Times New Roman"/>
                <w:position w:val="12"/>
                <w:sz w:val="20"/>
                <w:szCs w:val="20"/>
                <w:highlight w:val="none"/>
              </w:rPr>
              <w:t>m</w:t>
            </w:r>
            <w:r>
              <w:rPr>
                <w:rFonts w:hint="default" w:ascii="Times New Roman" w:hAnsi="Times New Roman" w:eastAsia="宋体" w:cs="Times New Roman"/>
                <w:spacing w:val="2"/>
                <w:position w:val="12"/>
                <w:sz w:val="20"/>
                <w:szCs w:val="20"/>
                <w:highlight w:val="none"/>
              </w:rPr>
              <w:t>、</w:t>
            </w:r>
          </w:p>
          <w:p>
            <w:pPr>
              <w:spacing w:line="186" w:lineRule="auto"/>
              <w:ind w:left="12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1.2</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1"/>
                <w:sz w:val="20"/>
                <w:szCs w:val="20"/>
                <w:highlight w:val="none"/>
              </w:rPr>
              <w:t>×3</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1"/>
                <w:sz w:val="20"/>
                <w:szCs w:val="20"/>
                <w:highlight w:val="none"/>
              </w:rPr>
              <w:t xml:space="preserve"> </w:t>
            </w:r>
            <w:r>
              <w:rPr>
                <w:rFonts w:hint="default" w:ascii="Times New Roman" w:hAnsi="Times New Roman" w:eastAsia="宋体" w:cs="Times New Roman"/>
                <w:spacing w:val="-1"/>
                <w:sz w:val="20"/>
                <w:szCs w:val="20"/>
                <w:highlight w:val="none"/>
              </w:rPr>
              <w:t>、</w:t>
            </w:r>
            <w:r>
              <w:rPr>
                <w:rFonts w:hint="default" w:ascii="Times New Roman" w:hAnsi="Times New Roman" w:eastAsia="Times New Roman" w:cs="Times New Roman"/>
                <w:spacing w:val="-1"/>
                <w:sz w:val="20"/>
                <w:szCs w:val="20"/>
                <w:highlight w:val="none"/>
              </w:rPr>
              <w:t>1.</w:t>
            </w:r>
            <w:r>
              <w:rPr>
                <w:rFonts w:hint="eastAsia" w:ascii="Times New Roman" w:hAnsi="Times New Roman" w:eastAsia="宋体" w:cs="Times New Roman"/>
                <w:spacing w:val="-1"/>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1"/>
                <w:sz w:val="20"/>
                <w:szCs w:val="20"/>
                <w:highlight w:val="none"/>
              </w:rPr>
              <w:t>×</w:t>
            </w:r>
            <w:r>
              <w:rPr>
                <w:rFonts w:hint="eastAsia" w:ascii="Times New Roman" w:hAnsi="Times New Roman" w:eastAsia="宋体" w:cs="Times New Roman"/>
                <w:spacing w:val="-1"/>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239" w:line="231"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275" w:line="195" w:lineRule="auto"/>
              <w:ind w:left="30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10</w:t>
            </w:r>
          </w:p>
        </w:tc>
        <w:tc>
          <w:tcPr>
            <w:tcW w:w="3008" w:type="dxa"/>
            <w:gridSpan w:val="2"/>
            <w:tcBorders>
              <w:right w:val="single" w:color="000000" w:sz="10" w:space="0"/>
            </w:tcBorders>
            <w:vAlign w:val="top"/>
          </w:tcPr>
          <w:p>
            <w:pPr>
              <w:spacing w:before="50" w:line="274" w:lineRule="auto"/>
              <w:ind w:left="1106" w:right="124" w:hanging="959"/>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lang w:val="en-US" w:eastAsia="zh-CN"/>
              </w:rPr>
              <w:t>1#~2#、4#~5#</w:t>
            </w:r>
            <w:r>
              <w:rPr>
                <w:rFonts w:hint="eastAsia" w:ascii="Times New Roman" w:hAnsi="Times New Roman" w:eastAsia="宋体" w:cs="Times New Roman"/>
                <w:sz w:val="20"/>
                <w:szCs w:val="20"/>
                <w:highlight w:val="none"/>
                <w:lang w:val="en-US" w:eastAsia="zh-CN"/>
              </w:rPr>
              <w:t>各</w:t>
            </w:r>
            <w:r>
              <w:rPr>
                <w:rFonts w:hint="default" w:ascii="Times New Roman" w:hAnsi="Times New Roman" w:eastAsia="宋体" w:cs="Times New Roman"/>
                <w:sz w:val="20"/>
                <w:szCs w:val="20"/>
                <w:highlight w:val="none"/>
                <w:lang w:val="en-US" w:eastAsia="zh-CN"/>
              </w:rPr>
              <w:t>1台，3#、6#生产线各 3 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44" w:hRule="atLeast"/>
        </w:trPr>
        <w:tc>
          <w:tcPr>
            <w:tcW w:w="577" w:type="dxa"/>
            <w:gridSpan w:val="2"/>
            <w:tcBorders>
              <w:left w:val="single" w:color="000000" w:sz="10" w:space="0"/>
            </w:tcBorders>
            <w:vAlign w:val="center"/>
          </w:tcPr>
          <w:p>
            <w:pPr>
              <w:spacing w:before="117" w:line="195" w:lineRule="auto"/>
              <w:ind w:left="190" w:leftChars="0"/>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21</w:t>
            </w:r>
          </w:p>
        </w:tc>
        <w:tc>
          <w:tcPr>
            <w:tcW w:w="1369" w:type="dxa"/>
            <w:gridSpan w:val="2"/>
            <w:vAlign w:val="top"/>
          </w:tcPr>
          <w:p>
            <w:pPr>
              <w:spacing w:before="239" w:line="228" w:lineRule="auto"/>
              <w:ind w:left="365"/>
              <w:rPr>
                <w:rFonts w:hint="eastAsia" w:ascii="Times New Roman" w:hAnsi="Times New Roman" w:eastAsia="宋体" w:cs="Times New Roman"/>
                <w:spacing w:val="7"/>
                <w:sz w:val="20"/>
                <w:szCs w:val="20"/>
                <w:highlight w:val="none"/>
                <w:lang w:val="en-US" w:eastAsia="zh-CN"/>
              </w:rPr>
            </w:pPr>
            <w:r>
              <w:rPr>
                <w:rFonts w:hint="eastAsia" w:ascii="Times New Roman" w:hAnsi="Times New Roman" w:eastAsia="宋体" w:cs="Times New Roman"/>
                <w:spacing w:val="7"/>
                <w:sz w:val="20"/>
                <w:szCs w:val="20"/>
                <w:highlight w:val="none"/>
                <w:lang w:val="en-US" w:eastAsia="zh-CN"/>
              </w:rPr>
              <w:t>洗砂机</w:t>
            </w:r>
          </w:p>
        </w:tc>
        <w:tc>
          <w:tcPr>
            <w:tcW w:w="2020" w:type="dxa"/>
            <w:gridSpan w:val="2"/>
            <w:vAlign w:val="center"/>
          </w:tcPr>
          <w:p>
            <w:pPr>
              <w:spacing w:line="186" w:lineRule="auto"/>
              <w:ind w:left="123"/>
              <w:jc w:val="center"/>
              <w:rPr>
                <w:rFonts w:hint="default" w:ascii="Times New Roman" w:hAnsi="Times New Roman" w:eastAsia="宋体" w:cs="Times New Roman"/>
                <w:spacing w:val="-1"/>
                <w:sz w:val="20"/>
                <w:szCs w:val="20"/>
                <w:highlight w:val="none"/>
                <w:lang w:val="en-US" w:eastAsia="zh-CN"/>
              </w:rPr>
            </w:pPr>
            <w:r>
              <w:rPr>
                <w:rFonts w:hint="eastAsia" w:ascii="Times New Roman" w:hAnsi="Times New Roman" w:eastAsia="宋体" w:cs="Times New Roman"/>
                <w:spacing w:val="-1"/>
                <w:sz w:val="20"/>
                <w:szCs w:val="20"/>
                <w:highlight w:val="none"/>
                <w:lang w:val="en-US" w:eastAsia="zh-CN"/>
              </w:rPr>
              <w:t>2432</w:t>
            </w:r>
          </w:p>
        </w:tc>
        <w:tc>
          <w:tcPr>
            <w:tcW w:w="773" w:type="dxa"/>
            <w:gridSpan w:val="2"/>
            <w:vAlign w:val="top"/>
          </w:tcPr>
          <w:p>
            <w:pPr>
              <w:spacing w:before="239" w:line="231" w:lineRule="auto"/>
              <w:ind w:left="302"/>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台</w:t>
            </w:r>
          </w:p>
        </w:tc>
        <w:tc>
          <w:tcPr>
            <w:tcW w:w="779" w:type="dxa"/>
            <w:gridSpan w:val="2"/>
            <w:vAlign w:val="top"/>
          </w:tcPr>
          <w:p>
            <w:pPr>
              <w:spacing w:before="275" w:line="195" w:lineRule="auto"/>
              <w:ind w:left="309"/>
              <w:rPr>
                <w:rFonts w:hint="default" w:ascii="Times New Roman" w:hAnsi="Times New Roman" w:eastAsia="宋体" w:cs="Times New Roman"/>
                <w:spacing w:val="-8"/>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6</w:t>
            </w:r>
          </w:p>
        </w:tc>
        <w:tc>
          <w:tcPr>
            <w:tcW w:w="3008" w:type="dxa"/>
            <w:gridSpan w:val="2"/>
            <w:tcBorders>
              <w:right w:val="single" w:color="000000" w:sz="10" w:space="0"/>
            </w:tcBorders>
            <w:vAlign w:val="top"/>
          </w:tcPr>
          <w:p>
            <w:pPr>
              <w:spacing w:before="50" w:line="274" w:lineRule="auto"/>
              <w:ind w:right="124"/>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1#、2#生产线共用 2 台，</w:t>
            </w:r>
          </w:p>
          <w:p>
            <w:pPr>
              <w:spacing w:before="50" w:line="274" w:lineRule="auto"/>
              <w:ind w:right="124"/>
              <w:rPr>
                <w:rFonts w:hint="default" w:ascii="Times New Roman" w:hAnsi="Times New Roman" w:eastAsia="宋体" w:cs="Times New Roman"/>
                <w:spacing w:val="2"/>
                <w:sz w:val="20"/>
                <w:szCs w:val="20"/>
                <w:highlight w:val="none"/>
              </w:rPr>
            </w:pPr>
            <w:r>
              <w:rPr>
                <w:rFonts w:hint="eastAsia" w:ascii="Times New Roman" w:hAnsi="Times New Roman" w:eastAsia="宋体" w:cs="Times New Roman"/>
                <w:spacing w:val="2"/>
                <w:sz w:val="20"/>
                <w:szCs w:val="20"/>
                <w:highlight w:val="none"/>
                <w:lang w:val="en-US" w:eastAsia="zh-CN"/>
              </w:rPr>
              <w:t>5</w:t>
            </w:r>
            <w:r>
              <w:rPr>
                <w:rFonts w:hint="default" w:ascii="Times New Roman" w:hAnsi="Times New Roman" w:eastAsia="宋体" w:cs="Times New Roman"/>
                <w:spacing w:val="2"/>
                <w:sz w:val="20"/>
                <w:szCs w:val="20"/>
                <w:highlight w:val="none"/>
              </w:rPr>
              <w:t>#、</w:t>
            </w:r>
            <w:r>
              <w:rPr>
                <w:rFonts w:hint="eastAsia" w:ascii="Times New Roman" w:hAnsi="Times New Roman" w:eastAsia="宋体" w:cs="Times New Roman"/>
                <w:spacing w:val="2"/>
                <w:sz w:val="20"/>
                <w:szCs w:val="20"/>
                <w:highlight w:val="none"/>
                <w:lang w:val="en-US" w:eastAsia="zh-CN"/>
              </w:rPr>
              <w:t>6</w:t>
            </w:r>
            <w:r>
              <w:rPr>
                <w:rFonts w:hint="default" w:ascii="Times New Roman" w:hAnsi="Times New Roman" w:eastAsia="宋体" w:cs="Times New Roman"/>
                <w:spacing w:val="2"/>
                <w:sz w:val="20"/>
                <w:szCs w:val="20"/>
                <w:highlight w:val="none"/>
              </w:rPr>
              <w:t>#生产线各 2台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center"/>
          </w:tcPr>
          <w:p>
            <w:pPr>
              <w:spacing w:before="130" w:line="195" w:lineRule="auto"/>
              <w:ind w:left="190" w:leftChars="0"/>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22</w:t>
            </w:r>
          </w:p>
        </w:tc>
        <w:tc>
          <w:tcPr>
            <w:tcW w:w="1369" w:type="dxa"/>
            <w:gridSpan w:val="2"/>
            <w:vAlign w:val="top"/>
          </w:tcPr>
          <w:p>
            <w:pPr>
              <w:spacing w:before="82" w:line="224"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渣浆</w:t>
            </w:r>
            <w:r>
              <w:rPr>
                <w:rFonts w:hint="default" w:ascii="Times New Roman" w:hAnsi="Times New Roman" w:eastAsia="宋体" w:cs="Times New Roman"/>
                <w:spacing w:val="6"/>
                <w:sz w:val="20"/>
                <w:szCs w:val="20"/>
                <w:highlight w:val="none"/>
              </w:rPr>
              <w:t>泵</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82" w:line="224"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8" w:line="195" w:lineRule="auto"/>
              <w:ind w:left="346"/>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8</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1#~2#、4#-5#生产线各 1台，3#、6#生产线各 2台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center"/>
          </w:tcPr>
          <w:p>
            <w:pPr>
              <w:spacing w:before="116" w:line="195" w:lineRule="auto"/>
              <w:ind w:left="190" w:leftChars="0"/>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23</w:t>
            </w:r>
          </w:p>
        </w:tc>
        <w:tc>
          <w:tcPr>
            <w:tcW w:w="1369" w:type="dxa"/>
            <w:gridSpan w:val="2"/>
            <w:vAlign w:val="top"/>
          </w:tcPr>
          <w:p>
            <w:pPr>
              <w:spacing w:before="81" w:line="225"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浓缩</w:t>
            </w:r>
            <w:r>
              <w:rPr>
                <w:rFonts w:hint="default" w:ascii="Times New Roman" w:hAnsi="Times New Roman" w:eastAsia="宋体" w:cs="Times New Roman"/>
                <w:spacing w:val="6"/>
                <w:sz w:val="20"/>
                <w:szCs w:val="20"/>
                <w:highlight w:val="none"/>
              </w:rPr>
              <w:t>罐</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81" w:line="225" w:lineRule="auto"/>
              <w:ind w:left="28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座</w:t>
            </w:r>
          </w:p>
        </w:tc>
        <w:tc>
          <w:tcPr>
            <w:tcW w:w="779" w:type="dxa"/>
            <w:gridSpan w:val="2"/>
            <w:vAlign w:val="top"/>
          </w:tcPr>
          <w:p>
            <w:pPr>
              <w:spacing w:before="117" w:line="195" w:lineRule="auto"/>
              <w:ind w:left="346"/>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4</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r>
              <w:rPr>
                <w:rFonts w:hint="default" w:ascii="Times New Roman" w:hAnsi="Times New Roman" w:eastAsia="宋体" w:cs="Times New Roman"/>
                <w:sz w:val="20"/>
                <w:szCs w:val="20"/>
                <w:highlight w:val="none"/>
                <w:lang w:val="en-US" w:eastAsia="zh-CN"/>
              </w:rPr>
              <w:t>1#~5#</w:t>
            </w:r>
            <w:r>
              <w:rPr>
                <w:rFonts w:hint="eastAsia" w:ascii="Times New Roman" w:hAnsi="Times New Roman" w:eastAsia="宋体" w:cs="Times New Roman"/>
                <w:sz w:val="20"/>
                <w:szCs w:val="20"/>
                <w:highlight w:val="none"/>
                <w:lang w:val="en-US" w:eastAsia="zh-CN"/>
              </w:rPr>
              <w:t>各</w:t>
            </w:r>
            <w:r>
              <w:rPr>
                <w:rFonts w:hint="default" w:ascii="Times New Roman" w:hAnsi="Times New Roman" w:eastAsia="宋体" w:cs="Times New Roman"/>
                <w:sz w:val="20"/>
                <w:szCs w:val="20"/>
                <w:highlight w:val="none"/>
                <w:lang w:val="en-US" w:eastAsia="zh-CN"/>
              </w:rPr>
              <w:t>1</w:t>
            </w:r>
            <w:r>
              <w:rPr>
                <w:rFonts w:hint="eastAsia" w:ascii="Times New Roman" w:hAnsi="Times New Roman" w:eastAsia="宋体" w:cs="Times New Roman"/>
                <w:sz w:val="20"/>
                <w:szCs w:val="20"/>
                <w:highlight w:val="none"/>
                <w:lang w:val="en-US" w:eastAsia="zh-CN"/>
              </w:rPr>
              <w:t>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center"/>
          </w:tcPr>
          <w:p>
            <w:pPr>
              <w:spacing w:before="117" w:line="195" w:lineRule="auto"/>
              <w:ind w:left="190" w:leftChars="0"/>
              <w:jc w:val="both"/>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24</w:t>
            </w:r>
          </w:p>
        </w:tc>
        <w:tc>
          <w:tcPr>
            <w:tcW w:w="1369" w:type="dxa"/>
            <w:gridSpan w:val="2"/>
            <w:vAlign w:val="top"/>
          </w:tcPr>
          <w:p>
            <w:pPr>
              <w:spacing w:before="82" w:line="224"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脱</w:t>
            </w:r>
            <w:r>
              <w:rPr>
                <w:rFonts w:hint="default" w:ascii="Times New Roman" w:hAnsi="Times New Roman" w:eastAsia="宋体" w:cs="Times New Roman"/>
                <w:spacing w:val="6"/>
                <w:sz w:val="20"/>
                <w:szCs w:val="20"/>
                <w:highlight w:val="none"/>
              </w:rPr>
              <w:t>水筛</w:t>
            </w:r>
          </w:p>
        </w:tc>
        <w:tc>
          <w:tcPr>
            <w:tcW w:w="2020" w:type="dxa"/>
            <w:gridSpan w:val="2"/>
            <w:vAlign w:val="center"/>
          </w:tcPr>
          <w:p>
            <w:pPr>
              <w:jc w:val="center"/>
              <w:rPr>
                <w:rFonts w:hint="default" w:ascii="Times New Roman" w:hAnsi="Times New Roman" w:eastAsia="宋体" w:cs="Times New Roman"/>
                <w:sz w:val="21"/>
                <w:highlight w:val="none"/>
                <w:lang w:val="en-US" w:eastAsia="zh-CN"/>
              </w:rPr>
            </w:pPr>
            <w:r>
              <w:rPr>
                <w:rFonts w:hint="eastAsia" w:ascii="Times New Roman" w:hAnsi="Times New Roman" w:eastAsia="宋体" w:cs="Times New Roman"/>
                <w:spacing w:val="-1"/>
                <w:sz w:val="20"/>
                <w:szCs w:val="20"/>
                <w:highlight w:val="none"/>
                <w:lang w:val="en-US" w:eastAsia="zh-CN"/>
              </w:rPr>
              <w:t>2736</w:t>
            </w:r>
          </w:p>
        </w:tc>
        <w:tc>
          <w:tcPr>
            <w:tcW w:w="773" w:type="dxa"/>
            <w:gridSpan w:val="2"/>
            <w:vAlign w:val="top"/>
          </w:tcPr>
          <w:p>
            <w:pPr>
              <w:spacing w:before="82" w:line="224" w:lineRule="auto"/>
              <w:ind w:left="28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台</w:t>
            </w:r>
          </w:p>
        </w:tc>
        <w:tc>
          <w:tcPr>
            <w:tcW w:w="779" w:type="dxa"/>
            <w:gridSpan w:val="2"/>
            <w:vAlign w:val="top"/>
          </w:tcPr>
          <w:p>
            <w:pPr>
              <w:spacing w:before="118" w:line="195" w:lineRule="auto"/>
              <w:ind w:left="346"/>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5</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r>
              <w:rPr>
                <w:rFonts w:hint="default" w:ascii="Times New Roman" w:hAnsi="Times New Roman" w:eastAsia="宋体" w:cs="Times New Roman"/>
                <w:sz w:val="20"/>
                <w:szCs w:val="20"/>
                <w:highlight w:val="none"/>
                <w:lang w:val="en-US" w:eastAsia="zh-CN"/>
              </w:rPr>
              <w:t>1#~</w:t>
            </w:r>
            <w:r>
              <w:rPr>
                <w:rFonts w:hint="eastAsia" w:ascii="Times New Roman" w:hAnsi="Times New Roman" w:eastAsia="宋体" w:cs="Times New Roman"/>
                <w:sz w:val="20"/>
                <w:szCs w:val="20"/>
                <w:highlight w:val="none"/>
                <w:lang w:val="en-US" w:eastAsia="zh-CN"/>
              </w:rPr>
              <w:t>3</w:t>
            </w:r>
            <w:r>
              <w:rPr>
                <w:rFonts w:hint="default" w:ascii="Times New Roman" w:hAnsi="Times New Roman" w:eastAsia="宋体" w:cs="Times New Roman"/>
                <w:sz w:val="20"/>
                <w:szCs w:val="20"/>
                <w:highlight w:val="none"/>
                <w:lang w:val="en-US" w:eastAsia="zh-CN"/>
              </w:rPr>
              <w:t>#、</w:t>
            </w:r>
            <w:r>
              <w:rPr>
                <w:rFonts w:hint="eastAsia" w:ascii="Times New Roman" w:hAnsi="Times New Roman" w:eastAsia="宋体" w:cs="Times New Roman"/>
                <w:sz w:val="20"/>
                <w:szCs w:val="20"/>
                <w:highlight w:val="none"/>
                <w:lang w:val="en-US" w:eastAsia="zh-CN"/>
              </w:rPr>
              <w:t>5</w:t>
            </w:r>
            <w:r>
              <w:rPr>
                <w:rFonts w:hint="default" w:ascii="Times New Roman" w:hAnsi="Times New Roman" w:eastAsia="宋体" w:cs="Times New Roman"/>
                <w:sz w:val="20"/>
                <w:szCs w:val="20"/>
                <w:highlight w:val="none"/>
                <w:lang w:val="en-US" w:eastAsia="zh-CN"/>
              </w:rPr>
              <w:t>#~</w:t>
            </w:r>
            <w:r>
              <w:rPr>
                <w:rFonts w:hint="eastAsia" w:ascii="Times New Roman" w:hAnsi="Times New Roman" w:eastAsia="宋体" w:cs="Times New Roman"/>
                <w:sz w:val="20"/>
                <w:szCs w:val="20"/>
                <w:highlight w:val="none"/>
                <w:lang w:val="en-US" w:eastAsia="zh-CN"/>
              </w:rPr>
              <w:t>6</w:t>
            </w:r>
            <w:r>
              <w:rPr>
                <w:rFonts w:hint="default" w:ascii="Times New Roman" w:hAnsi="Times New Roman" w:eastAsia="宋体" w:cs="Times New Roman"/>
                <w:sz w:val="20"/>
                <w:szCs w:val="20"/>
                <w:highlight w:val="none"/>
                <w:lang w:val="en-US" w:eastAsia="zh-CN"/>
              </w:rPr>
              <w:t>#</w:t>
            </w:r>
            <w:r>
              <w:rPr>
                <w:rFonts w:hint="eastAsia" w:ascii="Times New Roman" w:hAnsi="Times New Roman" w:eastAsia="宋体" w:cs="Times New Roman"/>
                <w:sz w:val="20"/>
                <w:szCs w:val="20"/>
                <w:highlight w:val="none"/>
                <w:lang w:val="en-US" w:eastAsia="zh-CN"/>
              </w:rPr>
              <w:t>各</w:t>
            </w:r>
            <w:r>
              <w:rPr>
                <w:rFonts w:hint="default" w:ascii="Times New Roman" w:hAnsi="Times New Roman" w:eastAsia="宋体" w:cs="Times New Roman"/>
                <w:sz w:val="20"/>
                <w:szCs w:val="20"/>
                <w:highlight w:val="none"/>
                <w:lang w:val="en-US" w:eastAsia="zh-CN"/>
              </w:rPr>
              <w:t>1</w:t>
            </w:r>
            <w:r>
              <w:rPr>
                <w:rFonts w:hint="eastAsia" w:ascii="Times New Roman" w:hAnsi="Times New Roman" w:eastAsia="宋体" w:cs="Times New Roman"/>
                <w:sz w:val="20"/>
                <w:szCs w:val="20"/>
                <w:highlight w:val="none"/>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7" w:line="195" w:lineRule="auto"/>
              <w:ind w:left="190"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25</w:t>
            </w:r>
          </w:p>
        </w:tc>
        <w:tc>
          <w:tcPr>
            <w:tcW w:w="1369" w:type="dxa"/>
            <w:gridSpan w:val="2"/>
            <w:vAlign w:val="top"/>
          </w:tcPr>
          <w:p>
            <w:pPr>
              <w:spacing w:before="81" w:line="225" w:lineRule="auto"/>
              <w:ind w:left="4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皮带</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81" w:line="225" w:lineRule="auto"/>
              <w:ind w:left="287"/>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条</w:t>
            </w:r>
          </w:p>
        </w:tc>
        <w:tc>
          <w:tcPr>
            <w:tcW w:w="779" w:type="dxa"/>
            <w:gridSpan w:val="2"/>
            <w:vAlign w:val="top"/>
          </w:tcPr>
          <w:p>
            <w:pPr>
              <w:spacing w:before="117" w:line="195" w:lineRule="auto"/>
              <w:ind w:left="288"/>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30</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52" w:hRule="atLeast"/>
        </w:trPr>
        <w:tc>
          <w:tcPr>
            <w:tcW w:w="577" w:type="dxa"/>
            <w:gridSpan w:val="2"/>
            <w:tcBorders>
              <w:left w:val="single" w:color="000000" w:sz="10" w:space="0"/>
            </w:tcBorders>
            <w:vAlign w:val="top"/>
          </w:tcPr>
          <w:p>
            <w:pPr>
              <w:spacing w:before="117" w:line="195" w:lineRule="auto"/>
              <w:ind w:left="190"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26</w:t>
            </w:r>
          </w:p>
        </w:tc>
        <w:tc>
          <w:tcPr>
            <w:tcW w:w="1369" w:type="dxa"/>
            <w:gridSpan w:val="2"/>
            <w:vAlign w:val="top"/>
          </w:tcPr>
          <w:p>
            <w:pPr>
              <w:spacing w:before="94" w:line="228" w:lineRule="auto"/>
              <w:ind w:left="155" w:firstLine="216" w:firstLineChars="1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给料机</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ind w:firstLine="210" w:firstLineChars="100"/>
              <w:rPr>
                <w:rFonts w:hint="eastAsia" w:ascii="Times New Roman" w:hAnsi="Times New Roman" w:eastAsia="宋体" w:cs="Times New Roman"/>
                <w:sz w:val="21"/>
                <w:highlight w:val="none"/>
                <w:lang w:val="en-US" w:eastAsia="zh-CN"/>
              </w:rPr>
            </w:pPr>
            <w:r>
              <w:rPr>
                <w:rFonts w:hint="eastAsia" w:ascii="Times New Roman" w:hAnsi="Times New Roman" w:eastAsia="宋体" w:cs="Times New Roman"/>
                <w:sz w:val="21"/>
                <w:highlight w:val="none"/>
                <w:lang w:val="en-US" w:eastAsia="zh-CN"/>
              </w:rPr>
              <w:t>台</w:t>
            </w:r>
          </w:p>
        </w:tc>
        <w:tc>
          <w:tcPr>
            <w:tcW w:w="779" w:type="dxa"/>
            <w:gridSpan w:val="2"/>
            <w:vAlign w:val="top"/>
          </w:tcPr>
          <w:p>
            <w:pPr>
              <w:spacing w:before="130"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6</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r>
              <w:rPr>
                <w:rFonts w:hint="eastAsia" w:ascii="Times New Roman" w:hAnsi="Times New Roman" w:eastAsia="宋体" w:cs="Times New Roman"/>
                <w:sz w:val="20"/>
                <w:szCs w:val="20"/>
                <w:highlight w:val="none"/>
                <w:lang w:val="en-US" w:eastAsia="zh-CN"/>
              </w:rPr>
              <w:t>1</w:t>
            </w:r>
            <w:r>
              <w:rPr>
                <w:rFonts w:hint="default" w:ascii="Times New Roman" w:hAnsi="Times New Roman" w:eastAsia="宋体" w:cs="Times New Roman"/>
                <w:sz w:val="20"/>
                <w:szCs w:val="20"/>
                <w:highlight w:val="none"/>
                <w:lang w:val="en-US" w:eastAsia="zh-CN"/>
              </w:rPr>
              <w:t>#~</w:t>
            </w:r>
            <w:r>
              <w:rPr>
                <w:rFonts w:hint="eastAsia" w:ascii="Times New Roman" w:hAnsi="Times New Roman" w:eastAsia="宋体" w:cs="Times New Roman"/>
                <w:sz w:val="20"/>
                <w:szCs w:val="20"/>
                <w:highlight w:val="none"/>
                <w:lang w:val="en-US" w:eastAsia="zh-CN"/>
              </w:rPr>
              <w:t>6</w:t>
            </w:r>
            <w:r>
              <w:rPr>
                <w:rFonts w:hint="default" w:ascii="Times New Roman" w:hAnsi="Times New Roman" w:eastAsia="宋体" w:cs="Times New Roman"/>
                <w:sz w:val="20"/>
                <w:szCs w:val="20"/>
                <w:highlight w:val="none"/>
                <w:lang w:val="en-US" w:eastAsia="zh-CN"/>
              </w:rPr>
              <w:t>#</w:t>
            </w:r>
            <w:r>
              <w:rPr>
                <w:rFonts w:hint="eastAsia" w:ascii="Times New Roman" w:hAnsi="Times New Roman" w:eastAsia="宋体" w:cs="Times New Roman"/>
                <w:sz w:val="20"/>
                <w:szCs w:val="20"/>
                <w:highlight w:val="none"/>
                <w:lang w:val="en-US" w:eastAsia="zh-CN"/>
              </w:rPr>
              <w:t>各</w:t>
            </w:r>
            <w:r>
              <w:rPr>
                <w:rFonts w:hint="default" w:ascii="Times New Roman" w:hAnsi="Times New Roman" w:eastAsia="宋体" w:cs="Times New Roman"/>
                <w:sz w:val="20"/>
                <w:szCs w:val="20"/>
                <w:highlight w:val="none"/>
                <w:lang w:val="en-US" w:eastAsia="zh-CN"/>
              </w:rPr>
              <w:t>1</w:t>
            </w:r>
            <w:r>
              <w:rPr>
                <w:rFonts w:hint="eastAsia" w:ascii="Times New Roman" w:hAnsi="Times New Roman" w:eastAsia="宋体" w:cs="Times New Roman"/>
                <w:sz w:val="20"/>
                <w:szCs w:val="20"/>
                <w:highlight w:val="none"/>
                <w:lang w:val="en-US" w:eastAsia="zh-CN"/>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90"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27</w:t>
            </w:r>
          </w:p>
        </w:tc>
        <w:tc>
          <w:tcPr>
            <w:tcW w:w="1369" w:type="dxa"/>
            <w:gridSpan w:val="2"/>
            <w:vAlign w:val="top"/>
          </w:tcPr>
          <w:p>
            <w:pPr>
              <w:spacing w:before="80" w:line="226"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过</w:t>
            </w:r>
            <w:r>
              <w:rPr>
                <w:rFonts w:hint="default" w:ascii="Times New Roman" w:hAnsi="Times New Roman" w:eastAsia="宋体" w:cs="Times New Roman"/>
                <w:spacing w:val="6"/>
                <w:sz w:val="20"/>
                <w:szCs w:val="20"/>
                <w:highlight w:val="none"/>
              </w:rPr>
              <w:t>滤机</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80" w:line="226"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6"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0"/>
                <w:szCs w:val="20"/>
                <w:highlight w:val="none"/>
              </w:rPr>
            </w:pPr>
            <w:r>
              <w:rPr>
                <w:rFonts w:hint="eastAsia" w:ascii="Times New Roman" w:hAnsi="Times New Roman" w:eastAsia="宋体" w:cs="Times New Roman"/>
                <w:sz w:val="20"/>
                <w:szCs w:val="20"/>
                <w:highlight w:val="none"/>
                <w:lang w:val="en-US" w:eastAsia="zh-CN"/>
              </w:rPr>
              <w:t>3#、6#生产线各1台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90"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28</w:t>
            </w:r>
          </w:p>
        </w:tc>
        <w:tc>
          <w:tcPr>
            <w:tcW w:w="1369" w:type="dxa"/>
            <w:gridSpan w:val="2"/>
            <w:vAlign w:val="top"/>
          </w:tcPr>
          <w:p>
            <w:pPr>
              <w:spacing w:before="82" w:line="224" w:lineRule="auto"/>
              <w:ind w:left="365"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7"/>
                <w:sz w:val="20"/>
                <w:szCs w:val="20"/>
                <w:highlight w:val="none"/>
              </w:rPr>
              <w:t>清水</w:t>
            </w:r>
            <w:r>
              <w:rPr>
                <w:rFonts w:hint="default" w:ascii="Times New Roman" w:hAnsi="Times New Roman" w:eastAsia="宋体" w:cs="Times New Roman"/>
                <w:spacing w:val="6"/>
                <w:sz w:val="20"/>
                <w:szCs w:val="20"/>
                <w:highlight w:val="none"/>
              </w:rPr>
              <w:t>泵</w:t>
            </w:r>
          </w:p>
        </w:tc>
        <w:tc>
          <w:tcPr>
            <w:tcW w:w="2020" w:type="dxa"/>
            <w:gridSpan w:val="2"/>
            <w:vAlign w:val="top"/>
          </w:tcPr>
          <w:p>
            <w:pPr>
              <w:rPr>
                <w:rFonts w:hint="default" w:ascii="Times New Roman" w:hAnsi="Times New Roman" w:eastAsia="Arial" w:cs="Times New Roman"/>
                <w:snapToGrid w:val="0"/>
                <w:color w:val="000000"/>
                <w:kern w:val="0"/>
                <w:sz w:val="21"/>
                <w:szCs w:val="21"/>
                <w:highlight w:val="none"/>
              </w:rPr>
            </w:pPr>
          </w:p>
        </w:tc>
        <w:tc>
          <w:tcPr>
            <w:tcW w:w="773" w:type="dxa"/>
            <w:gridSpan w:val="2"/>
            <w:vAlign w:val="top"/>
          </w:tcPr>
          <w:p>
            <w:pPr>
              <w:rPr>
                <w:rFonts w:hint="default" w:ascii="Times New Roman" w:hAnsi="Times New Roman" w:eastAsia="宋体" w:cs="Times New Roman"/>
                <w:snapToGrid w:val="0"/>
                <w:color w:val="000000"/>
                <w:kern w:val="0"/>
                <w:sz w:val="21"/>
                <w:szCs w:val="21"/>
                <w:highlight w:val="none"/>
                <w:lang w:val="en-US" w:eastAsia="zh-CN"/>
              </w:rPr>
            </w:pPr>
            <w:r>
              <w:rPr>
                <w:rFonts w:hint="eastAsia" w:ascii="Times New Roman" w:hAnsi="Times New Roman" w:eastAsia="宋体" w:cs="Times New Roman"/>
                <w:sz w:val="21"/>
                <w:highlight w:val="none"/>
                <w:lang w:val="en-US" w:eastAsia="zh-CN"/>
              </w:rPr>
              <w:t xml:space="preserve">     台</w:t>
            </w:r>
          </w:p>
        </w:tc>
        <w:tc>
          <w:tcPr>
            <w:tcW w:w="779" w:type="dxa"/>
            <w:gridSpan w:val="2"/>
            <w:vAlign w:val="top"/>
          </w:tcPr>
          <w:p>
            <w:pPr>
              <w:spacing w:before="117" w:line="195" w:lineRule="auto"/>
              <w:ind w:left="345"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4</w:t>
            </w:r>
          </w:p>
        </w:tc>
        <w:tc>
          <w:tcPr>
            <w:tcW w:w="3008" w:type="dxa"/>
            <w:gridSpan w:val="2"/>
            <w:tcBorders>
              <w:right w:val="single" w:color="000000" w:sz="10" w:space="0"/>
            </w:tcBorders>
            <w:vAlign w:val="top"/>
          </w:tcPr>
          <w:p>
            <w:pPr>
              <w:rPr>
                <w:rFonts w:hint="eastAsia" w:ascii="Times New Roman" w:hAnsi="Times New Roman" w:eastAsia="Arial" w:cs="Times New Roman"/>
                <w:snapToGrid w:val="0"/>
                <w:color w:val="000000"/>
                <w:kern w:val="0"/>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7" w:line="195" w:lineRule="auto"/>
              <w:ind w:left="169"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29</w:t>
            </w:r>
          </w:p>
        </w:tc>
        <w:tc>
          <w:tcPr>
            <w:tcW w:w="1369" w:type="dxa"/>
            <w:gridSpan w:val="2"/>
            <w:vAlign w:val="top"/>
          </w:tcPr>
          <w:p>
            <w:pPr>
              <w:spacing w:before="82" w:line="224" w:lineRule="auto"/>
              <w:ind w:left="365"/>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泥浆</w:t>
            </w:r>
            <w:r>
              <w:rPr>
                <w:rFonts w:hint="default" w:ascii="Times New Roman" w:hAnsi="Times New Roman" w:eastAsia="宋体" w:cs="Times New Roman"/>
                <w:spacing w:val="6"/>
                <w:sz w:val="20"/>
                <w:szCs w:val="20"/>
                <w:highlight w:val="none"/>
              </w:rPr>
              <w:t>泵</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rPr>
                <w:rFonts w:hint="default" w:ascii="Times New Roman" w:hAnsi="Times New Roman" w:eastAsia="宋体" w:cs="Times New Roman"/>
                <w:sz w:val="21"/>
                <w:highlight w:val="none"/>
                <w:lang w:val="en-US" w:eastAsia="zh-CN"/>
              </w:rPr>
            </w:pPr>
            <w:r>
              <w:rPr>
                <w:rFonts w:hint="eastAsia" w:ascii="Times New Roman" w:hAnsi="Times New Roman" w:eastAsia="宋体" w:cs="Times New Roman"/>
                <w:sz w:val="21"/>
                <w:highlight w:val="none"/>
                <w:lang w:val="en-US" w:eastAsia="zh-CN"/>
              </w:rPr>
              <w:t xml:space="preserve">     台</w:t>
            </w:r>
          </w:p>
        </w:tc>
        <w:tc>
          <w:tcPr>
            <w:tcW w:w="779" w:type="dxa"/>
            <w:gridSpan w:val="2"/>
            <w:vAlign w:val="top"/>
          </w:tcPr>
          <w:p>
            <w:pPr>
              <w:spacing w:before="117" w:line="195" w:lineRule="auto"/>
              <w:ind w:left="345"/>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69"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napToGrid w:val="0"/>
                <w:color w:val="000000"/>
                <w:kern w:val="0"/>
                <w:sz w:val="20"/>
                <w:szCs w:val="20"/>
                <w:highlight w:val="none"/>
                <w:lang w:val="en-US" w:eastAsia="zh-CN"/>
              </w:rPr>
              <w:t>二</w:t>
            </w:r>
          </w:p>
        </w:tc>
        <w:tc>
          <w:tcPr>
            <w:tcW w:w="7949" w:type="dxa"/>
            <w:gridSpan w:val="10"/>
            <w:tcBorders>
              <w:right w:val="single" w:color="000000" w:sz="10" w:space="0"/>
            </w:tcBorders>
            <w:vAlign w:val="top"/>
          </w:tcPr>
          <w:p>
            <w:pPr>
              <w:spacing w:before="80" w:line="226" w:lineRule="auto"/>
              <w:ind w:left="33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尾</w:t>
            </w:r>
            <w:r>
              <w:rPr>
                <w:rFonts w:hint="default" w:ascii="Times New Roman" w:hAnsi="Times New Roman" w:eastAsia="宋体" w:cs="Times New Roman"/>
                <w:spacing w:val="8"/>
                <w:sz w:val="20"/>
                <w:szCs w:val="20"/>
                <w:highlight w:val="none"/>
              </w:rPr>
              <w:t>矿干排工艺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69"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napToGrid w:val="0"/>
                <w:color w:val="000000"/>
                <w:kern w:val="0"/>
                <w:sz w:val="20"/>
                <w:szCs w:val="20"/>
                <w:highlight w:val="none"/>
                <w:lang w:val="en-US" w:eastAsia="zh-CN"/>
              </w:rPr>
              <w:t>30</w:t>
            </w:r>
          </w:p>
        </w:tc>
        <w:tc>
          <w:tcPr>
            <w:tcW w:w="1369" w:type="dxa"/>
            <w:gridSpan w:val="2"/>
            <w:vAlign w:val="top"/>
          </w:tcPr>
          <w:p>
            <w:pPr>
              <w:spacing w:before="82" w:line="224"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浓密</w:t>
            </w:r>
            <w:r>
              <w:rPr>
                <w:rFonts w:hint="default" w:ascii="Times New Roman" w:hAnsi="Times New Roman" w:eastAsia="宋体" w:cs="Times New Roman"/>
                <w:spacing w:val="6"/>
                <w:sz w:val="20"/>
                <w:szCs w:val="20"/>
                <w:highlight w:val="none"/>
              </w:rPr>
              <w:t>池</w:t>
            </w:r>
          </w:p>
        </w:tc>
        <w:tc>
          <w:tcPr>
            <w:tcW w:w="2020" w:type="dxa"/>
            <w:gridSpan w:val="2"/>
            <w:vAlign w:val="top"/>
          </w:tcPr>
          <w:p>
            <w:pPr>
              <w:spacing w:before="117" w:line="195" w:lineRule="auto"/>
              <w:ind w:firstLine="212" w:firstLineChars="100"/>
              <w:rPr>
                <w:rFonts w:hint="eastAsia" w:ascii="Times New Roman" w:hAnsi="Times New Roman" w:eastAsia="宋体" w:cs="Times New Roman"/>
                <w:sz w:val="20"/>
                <w:szCs w:val="20"/>
                <w:highlight w:val="none"/>
                <w:lang w:eastAsia="zh-CN"/>
              </w:rPr>
            </w:pPr>
            <w:r>
              <w:rPr>
                <w:rFonts w:hint="default" w:ascii="Times New Roman" w:hAnsi="Times New Roman" w:eastAsia="Times New Roman" w:cs="Times New Roman"/>
                <w:spacing w:val="6"/>
                <w:sz w:val="20"/>
                <w:szCs w:val="20"/>
                <w:highlight w:val="none"/>
              </w:rPr>
              <w:t>Φ</w:t>
            </w:r>
            <w:r>
              <w:rPr>
                <w:rFonts w:hint="eastAsia" w:ascii="Times New Roman" w:hAnsi="Times New Roman" w:eastAsia="宋体" w:cs="Times New Roman"/>
                <w:spacing w:val="6"/>
                <w:sz w:val="20"/>
                <w:szCs w:val="20"/>
                <w:highlight w:val="none"/>
                <w:lang w:val="en-US" w:eastAsia="zh-CN"/>
              </w:rPr>
              <w:t>48</w:t>
            </w:r>
            <w:r>
              <w:rPr>
                <w:rFonts w:hint="default" w:ascii="Times New Roman" w:hAnsi="Times New Roman" w:eastAsia="Times New Roman" w:cs="Times New Roman"/>
                <w:sz w:val="20"/>
                <w:szCs w:val="20"/>
                <w:highlight w:val="none"/>
              </w:rPr>
              <w:t>m</w:t>
            </w:r>
            <w:r>
              <w:rPr>
                <w:rFonts w:hint="eastAsia" w:ascii="Times New Roman" w:hAnsi="Times New Roman" w:eastAsia="宋体" w:cs="Times New Roman"/>
                <w:sz w:val="20"/>
                <w:szCs w:val="20"/>
                <w:highlight w:val="none"/>
                <w:lang w:eastAsia="zh-CN"/>
              </w:rPr>
              <w:t>、</w:t>
            </w:r>
            <w:r>
              <w:rPr>
                <w:rFonts w:hint="default" w:ascii="Times New Roman" w:hAnsi="Times New Roman" w:eastAsia="Times New Roman" w:cs="Times New Roman"/>
                <w:spacing w:val="6"/>
                <w:sz w:val="20"/>
                <w:szCs w:val="20"/>
                <w:highlight w:val="none"/>
              </w:rPr>
              <w:t>Φ</w:t>
            </w:r>
            <w:r>
              <w:rPr>
                <w:rFonts w:hint="eastAsia" w:ascii="Times New Roman" w:hAnsi="Times New Roman" w:eastAsia="宋体" w:cs="Times New Roman"/>
                <w:spacing w:val="6"/>
                <w:sz w:val="20"/>
                <w:szCs w:val="20"/>
                <w:highlight w:val="none"/>
                <w:lang w:val="en-US" w:eastAsia="zh-CN"/>
              </w:rPr>
              <w:t>34</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82" w:line="224" w:lineRule="auto"/>
              <w:ind w:left="287"/>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座</w:t>
            </w:r>
          </w:p>
        </w:tc>
        <w:tc>
          <w:tcPr>
            <w:tcW w:w="779" w:type="dxa"/>
            <w:gridSpan w:val="2"/>
            <w:vAlign w:val="top"/>
          </w:tcPr>
          <w:p>
            <w:pPr>
              <w:spacing w:before="117" w:line="195" w:lineRule="auto"/>
              <w:ind w:left="361"/>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2</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69"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napToGrid w:val="0"/>
                <w:color w:val="000000"/>
                <w:kern w:val="0"/>
                <w:sz w:val="20"/>
                <w:szCs w:val="20"/>
                <w:highlight w:val="none"/>
                <w:lang w:val="en-US" w:eastAsia="zh-CN"/>
              </w:rPr>
              <w:t>31</w:t>
            </w:r>
          </w:p>
        </w:tc>
        <w:tc>
          <w:tcPr>
            <w:tcW w:w="1369" w:type="dxa"/>
            <w:gridSpan w:val="2"/>
            <w:vAlign w:val="top"/>
          </w:tcPr>
          <w:p>
            <w:pPr>
              <w:spacing w:before="80" w:line="226"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清水</w:t>
            </w:r>
            <w:r>
              <w:rPr>
                <w:rFonts w:hint="default" w:ascii="Times New Roman" w:hAnsi="Times New Roman" w:eastAsia="宋体" w:cs="Times New Roman"/>
                <w:spacing w:val="6"/>
                <w:sz w:val="20"/>
                <w:szCs w:val="20"/>
                <w:highlight w:val="none"/>
              </w:rPr>
              <w:t>池</w:t>
            </w:r>
          </w:p>
        </w:tc>
        <w:tc>
          <w:tcPr>
            <w:tcW w:w="2020" w:type="dxa"/>
            <w:gridSpan w:val="2"/>
            <w:vAlign w:val="top"/>
          </w:tcPr>
          <w:p>
            <w:pPr>
              <w:spacing w:before="116" w:line="195" w:lineRule="auto"/>
              <w:ind w:left="454"/>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sz w:val="20"/>
                <w:szCs w:val="20"/>
                <w:highlight w:val="none"/>
                <w:lang w:val="en-US" w:eastAsia="zh-CN"/>
              </w:rPr>
              <w:t>20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5"/>
                <w:sz w:val="20"/>
                <w:szCs w:val="20"/>
                <w:highlight w:val="none"/>
                <w:lang w:val="en-US" w:eastAsia="zh-CN"/>
              </w:rPr>
              <w:t>6</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default" w:ascii="Times New Roman" w:hAnsi="Times New Roman" w:eastAsia="Times New Roman" w:cs="Times New Roman"/>
                <w:spacing w:val="4"/>
                <w:sz w:val="20"/>
                <w:szCs w:val="20"/>
                <w:highlight w:val="none"/>
              </w:rPr>
              <w:t>4</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80" w:line="226" w:lineRule="auto"/>
              <w:ind w:left="287"/>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座</w:t>
            </w:r>
          </w:p>
        </w:tc>
        <w:tc>
          <w:tcPr>
            <w:tcW w:w="779" w:type="dxa"/>
            <w:gridSpan w:val="2"/>
            <w:vAlign w:val="top"/>
          </w:tcPr>
          <w:p>
            <w:pPr>
              <w:spacing w:before="116" w:line="195" w:lineRule="auto"/>
              <w:ind w:left="361"/>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69"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napToGrid w:val="0"/>
                <w:color w:val="000000"/>
                <w:kern w:val="0"/>
                <w:sz w:val="20"/>
                <w:szCs w:val="20"/>
                <w:highlight w:val="none"/>
                <w:lang w:val="en-US" w:eastAsia="zh-CN"/>
              </w:rPr>
              <w:t>32</w:t>
            </w:r>
          </w:p>
        </w:tc>
        <w:tc>
          <w:tcPr>
            <w:tcW w:w="1369" w:type="dxa"/>
            <w:gridSpan w:val="2"/>
            <w:vAlign w:val="top"/>
          </w:tcPr>
          <w:p>
            <w:pPr>
              <w:spacing w:before="80" w:line="226" w:lineRule="auto"/>
              <w:ind w:left="365"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7"/>
                <w:sz w:val="20"/>
                <w:szCs w:val="20"/>
                <w:highlight w:val="none"/>
              </w:rPr>
              <w:t>清水</w:t>
            </w:r>
            <w:r>
              <w:rPr>
                <w:rFonts w:hint="default" w:ascii="Times New Roman" w:hAnsi="Times New Roman" w:eastAsia="宋体" w:cs="Times New Roman"/>
                <w:spacing w:val="6"/>
                <w:sz w:val="20"/>
                <w:szCs w:val="20"/>
                <w:highlight w:val="none"/>
              </w:rPr>
              <w:t>池</w:t>
            </w:r>
          </w:p>
        </w:tc>
        <w:tc>
          <w:tcPr>
            <w:tcW w:w="2020" w:type="dxa"/>
            <w:gridSpan w:val="2"/>
            <w:vAlign w:val="top"/>
          </w:tcPr>
          <w:p>
            <w:pPr>
              <w:spacing w:before="116" w:line="195" w:lineRule="auto"/>
              <w:ind w:left="454" w:leftChars="0"/>
              <w:rPr>
                <w:rFonts w:hint="default" w:ascii="Times New Roman" w:hAnsi="Times New Roman" w:eastAsia="Times New Roman" w:cs="Times New Roman"/>
                <w:snapToGrid w:val="0"/>
                <w:color w:val="000000"/>
                <w:kern w:val="0"/>
                <w:sz w:val="20"/>
                <w:szCs w:val="20"/>
                <w:highlight w:val="none"/>
              </w:rPr>
            </w:pPr>
            <w:r>
              <w:rPr>
                <w:rFonts w:hint="eastAsia" w:ascii="Times New Roman" w:hAnsi="Times New Roman" w:eastAsia="宋体" w:cs="Times New Roman"/>
                <w:spacing w:val="5"/>
                <w:sz w:val="20"/>
                <w:szCs w:val="20"/>
                <w:highlight w:val="none"/>
                <w:lang w:val="en-US" w:eastAsia="zh-CN"/>
              </w:rPr>
              <w:t>10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5"/>
                <w:sz w:val="20"/>
                <w:szCs w:val="20"/>
                <w:highlight w:val="none"/>
                <w:lang w:val="en-US" w:eastAsia="zh-CN"/>
              </w:rPr>
              <w:t>5</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eastAsia" w:ascii="Times New Roman" w:hAnsi="Times New Roman" w:eastAsia="宋体" w:cs="Times New Roman"/>
                <w:spacing w:val="4"/>
                <w:sz w:val="20"/>
                <w:szCs w:val="20"/>
                <w:highlight w:val="none"/>
                <w:lang w:val="en-US" w:eastAsia="zh-CN"/>
              </w:rPr>
              <w:t>5</w:t>
            </w:r>
            <w:r>
              <w:rPr>
                <w:rFonts w:hint="default" w:ascii="Times New Roman" w:hAnsi="Times New Roman" w:eastAsia="Times New Roman" w:cs="Times New Roman"/>
                <w:sz w:val="20"/>
                <w:szCs w:val="20"/>
                <w:highlight w:val="none"/>
              </w:rPr>
              <w:t>m</w:t>
            </w:r>
          </w:p>
        </w:tc>
        <w:tc>
          <w:tcPr>
            <w:tcW w:w="773" w:type="dxa"/>
            <w:gridSpan w:val="2"/>
            <w:vAlign w:val="top"/>
          </w:tcPr>
          <w:p>
            <w:pPr>
              <w:spacing w:before="80" w:line="226" w:lineRule="auto"/>
              <w:ind w:left="287"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z w:val="20"/>
                <w:szCs w:val="20"/>
                <w:highlight w:val="none"/>
              </w:rPr>
              <w:t>座</w:t>
            </w:r>
          </w:p>
        </w:tc>
        <w:tc>
          <w:tcPr>
            <w:tcW w:w="779" w:type="dxa"/>
            <w:gridSpan w:val="2"/>
            <w:vAlign w:val="top"/>
          </w:tcPr>
          <w:p>
            <w:pPr>
              <w:spacing w:before="116" w:line="195" w:lineRule="auto"/>
              <w:ind w:left="361" w:leftChars="0"/>
              <w:rPr>
                <w:rFonts w:hint="eastAsia"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69"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33</w:t>
            </w:r>
          </w:p>
        </w:tc>
        <w:tc>
          <w:tcPr>
            <w:tcW w:w="1369" w:type="dxa"/>
            <w:gridSpan w:val="2"/>
            <w:vAlign w:val="top"/>
          </w:tcPr>
          <w:p>
            <w:pPr>
              <w:spacing w:before="82" w:line="224" w:lineRule="auto"/>
              <w:ind w:left="3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泥</w:t>
            </w:r>
            <w:r>
              <w:rPr>
                <w:rFonts w:hint="default" w:ascii="Times New Roman" w:hAnsi="Times New Roman" w:eastAsia="宋体" w:cs="Times New Roman"/>
                <w:spacing w:val="6"/>
                <w:sz w:val="20"/>
                <w:szCs w:val="20"/>
                <w:highlight w:val="none"/>
              </w:rPr>
              <w:t>浆泵</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top"/>
          </w:tcPr>
          <w:p>
            <w:pPr>
              <w:spacing w:before="82" w:line="224"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7" w:line="195" w:lineRule="auto"/>
              <w:ind w:left="361"/>
              <w:rPr>
                <w:rFonts w:hint="eastAsia" w:ascii="Times New Roman" w:hAnsi="Times New Roman" w:eastAsia="宋体" w:cs="Times New Roman"/>
                <w:sz w:val="20"/>
                <w:szCs w:val="20"/>
                <w:highlight w:val="none"/>
                <w:lang w:val="en-US" w:eastAsia="zh-CN"/>
              </w:rPr>
            </w:pPr>
            <w:r>
              <w:rPr>
                <w:rFonts w:hint="default" w:ascii="Times New Roman" w:hAnsi="Times New Roman" w:eastAsia="Times New Roman" w:cs="Times New Roman"/>
                <w:sz w:val="20"/>
                <w:szCs w:val="20"/>
                <w:highlight w:val="none"/>
              </w:rPr>
              <w:t>1</w:t>
            </w:r>
            <w:r>
              <w:rPr>
                <w:rFonts w:hint="eastAsia" w:ascii="Times New Roman" w:hAnsi="Times New Roman" w:eastAsia="宋体" w:cs="Times New Roman"/>
                <w:sz w:val="20"/>
                <w:szCs w:val="20"/>
                <w:highlight w:val="none"/>
                <w:lang w:val="en-US" w:eastAsia="zh-CN"/>
              </w:rPr>
              <w:t>9</w:t>
            </w:r>
          </w:p>
        </w:tc>
        <w:tc>
          <w:tcPr>
            <w:tcW w:w="3008" w:type="dxa"/>
            <w:gridSpan w:val="2"/>
            <w:tcBorders>
              <w:right w:val="single" w:color="000000" w:sz="10" w:space="0"/>
            </w:tcBorders>
            <w:vAlign w:val="top"/>
          </w:tcPr>
          <w:p>
            <w:pPr>
              <w:spacing w:before="82" w:line="224" w:lineRule="auto"/>
              <w:ind w:left="605"/>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116" w:line="195" w:lineRule="auto"/>
              <w:ind w:left="16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34</w:t>
            </w:r>
          </w:p>
        </w:tc>
        <w:tc>
          <w:tcPr>
            <w:tcW w:w="1369" w:type="dxa"/>
            <w:gridSpan w:val="2"/>
            <w:vAlign w:val="top"/>
          </w:tcPr>
          <w:p>
            <w:pPr>
              <w:spacing w:before="80" w:line="226" w:lineRule="auto"/>
              <w:ind w:left="156"/>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8"/>
                <w:sz w:val="20"/>
                <w:szCs w:val="20"/>
                <w:highlight w:val="none"/>
                <w:lang w:val="en-US" w:eastAsia="zh-CN"/>
              </w:rPr>
              <w:t>板框压</w:t>
            </w:r>
            <w:r>
              <w:rPr>
                <w:rFonts w:hint="default" w:ascii="Times New Roman" w:hAnsi="Times New Roman" w:eastAsia="宋体" w:cs="Times New Roman"/>
                <w:spacing w:val="8"/>
                <w:sz w:val="20"/>
                <w:szCs w:val="20"/>
                <w:highlight w:val="none"/>
              </w:rPr>
              <w:t>滤机</w:t>
            </w:r>
          </w:p>
        </w:tc>
        <w:tc>
          <w:tcPr>
            <w:tcW w:w="2020" w:type="dxa"/>
            <w:gridSpan w:val="2"/>
            <w:vAlign w:val="center"/>
          </w:tcPr>
          <w:p>
            <w:pPr>
              <w:jc w:val="center"/>
              <w:rPr>
                <w:rFonts w:hint="default" w:ascii="Times New Roman" w:hAnsi="Times New Roman" w:eastAsia="宋体" w:cs="Times New Roman"/>
                <w:sz w:val="21"/>
                <w:highlight w:val="none"/>
                <w:lang w:val="en-US" w:eastAsia="zh-CN"/>
              </w:rPr>
            </w:pPr>
            <w:r>
              <w:rPr>
                <w:rFonts w:hint="eastAsia" w:ascii="Times New Roman" w:hAnsi="Times New Roman" w:eastAsia="宋体" w:cs="Times New Roman"/>
                <w:sz w:val="20"/>
                <w:szCs w:val="20"/>
                <w:highlight w:val="none"/>
                <w:lang w:val="en-US" w:eastAsia="zh-CN"/>
              </w:rPr>
              <w:t>500m</w:t>
            </w:r>
            <w:r>
              <w:rPr>
                <w:rFonts w:hint="eastAsia" w:ascii="Times New Roman" w:hAnsi="Times New Roman" w:eastAsia="宋体" w:cs="Times New Roman"/>
                <w:sz w:val="20"/>
                <w:szCs w:val="20"/>
                <w:highlight w:val="none"/>
                <w:vertAlign w:val="superscript"/>
                <w:lang w:val="en-US" w:eastAsia="zh-CN"/>
              </w:rPr>
              <w:t>2</w:t>
            </w:r>
          </w:p>
        </w:tc>
        <w:tc>
          <w:tcPr>
            <w:tcW w:w="773" w:type="dxa"/>
            <w:gridSpan w:val="2"/>
            <w:vAlign w:val="top"/>
          </w:tcPr>
          <w:p>
            <w:pPr>
              <w:spacing w:before="80" w:line="226" w:lineRule="auto"/>
              <w:ind w:left="302"/>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台</w:t>
            </w:r>
          </w:p>
        </w:tc>
        <w:tc>
          <w:tcPr>
            <w:tcW w:w="779" w:type="dxa"/>
            <w:gridSpan w:val="2"/>
            <w:vAlign w:val="top"/>
          </w:tcPr>
          <w:p>
            <w:pPr>
              <w:spacing w:before="116" w:line="195" w:lineRule="auto"/>
              <w:ind w:left="361"/>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14</w:t>
            </w:r>
          </w:p>
        </w:tc>
        <w:tc>
          <w:tcPr>
            <w:tcW w:w="3008" w:type="dxa"/>
            <w:gridSpan w:val="2"/>
            <w:tcBorders>
              <w:right w:val="single" w:color="000000" w:sz="10" w:space="0"/>
            </w:tcBorders>
            <w:vAlign w:val="top"/>
          </w:tcPr>
          <w:p>
            <w:pPr>
              <w:spacing w:before="80" w:line="226" w:lineRule="auto"/>
              <w:ind w:left="776"/>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325" w:hRule="atLeast"/>
        </w:trPr>
        <w:tc>
          <w:tcPr>
            <w:tcW w:w="577" w:type="dxa"/>
            <w:gridSpan w:val="2"/>
            <w:tcBorders>
              <w:left w:val="single" w:color="000000" w:sz="10" w:space="0"/>
            </w:tcBorders>
            <w:vAlign w:val="top"/>
          </w:tcPr>
          <w:p>
            <w:pPr>
              <w:spacing w:before="82" w:line="224" w:lineRule="auto"/>
              <w:ind w:left="173"/>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三</w:t>
            </w:r>
          </w:p>
        </w:tc>
        <w:tc>
          <w:tcPr>
            <w:tcW w:w="7949" w:type="dxa"/>
            <w:gridSpan w:val="10"/>
            <w:tcBorders>
              <w:right w:val="single" w:color="000000" w:sz="10" w:space="0"/>
            </w:tcBorders>
            <w:vAlign w:val="top"/>
          </w:tcPr>
          <w:p>
            <w:pPr>
              <w:spacing w:before="82" w:line="224" w:lineRule="auto"/>
              <w:ind w:left="376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12" w:hRule="atLeast"/>
        </w:trPr>
        <w:tc>
          <w:tcPr>
            <w:tcW w:w="577" w:type="dxa"/>
            <w:gridSpan w:val="2"/>
            <w:tcBorders>
              <w:left w:val="single" w:color="000000" w:sz="10" w:space="0"/>
            </w:tcBorders>
            <w:vAlign w:val="top"/>
          </w:tcPr>
          <w:p>
            <w:pPr>
              <w:spacing w:before="150" w:line="195" w:lineRule="auto"/>
              <w:ind w:left="16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35</w:t>
            </w:r>
          </w:p>
        </w:tc>
        <w:tc>
          <w:tcPr>
            <w:tcW w:w="1369" w:type="dxa"/>
            <w:gridSpan w:val="2"/>
            <w:vAlign w:val="top"/>
          </w:tcPr>
          <w:p>
            <w:pPr>
              <w:spacing w:before="102" w:line="228" w:lineRule="auto"/>
              <w:ind w:left="3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化</w:t>
            </w:r>
            <w:r>
              <w:rPr>
                <w:rFonts w:hint="default" w:ascii="Times New Roman" w:hAnsi="Times New Roman" w:eastAsia="宋体" w:cs="Times New Roman"/>
                <w:spacing w:val="6"/>
                <w:sz w:val="20"/>
                <w:szCs w:val="20"/>
                <w:highlight w:val="none"/>
              </w:rPr>
              <w:t>粪池</w:t>
            </w:r>
          </w:p>
        </w:tc>
        <w:tc>
          <w:tcPr>
            <w:tcW w:w="2020" w:type="dxa"/>
            <w:gridSpan w:val="2"/>
            <w:vAlign w:val="top"/>
          </w:tcPr>
          <w:p>
            <w:pPr>
              <w:rPr>
                <w:rFonts w:hint="default" w:ascii="Times New Roman" w:hAnsi="Times New Roman" w:cs="Times New Roman"/>
                <w:sz w:val="21"/>
                <w:highlight w:val="none"/>
              </w:rPr>
            </w:pPr>
          </w:p>
        </w:tc>
        <w:tc>
          <w:tcPr>
            <w:tcW w:w="773" w:type="dxa"/>
            <w:gridSpan w:val="2"/>
            <w:vAlign w:val="center"/>
          </w:tcPr>
          <w:p>
            <w:pPr>
              <w:jc w:val="center"/>
              <w:rPr>
                <w:rFonts w:hint="default" w:ascii="Times New Roman" w:hAnsi="Times New Roman" w:cs="Times New Roman"/>
                <w:sz w:val="21"/>
                <w:highlight w:val="none"/>
              </w:rPr>
            </w:pPr>
            <w:r>
              <w:rPr>
                <w:rFonts w:hint="default" w:ascii="Times New Roman" w:hAnsi="Times New Roman" w:eastAsia="宋体" w:cs="Times New Roman"/>
                <w:sz w:val="20"/>
                <w:szCs w:val="20"/>
                <w:highlight w:val="none"/>
              </w:rPr>
              <w:t>座</w:t>
            </w:r>
          </w:p>
        </w:tc>
        <w:tc>
          <w:tcPr>
            <w:tcW w:w="779" w:type="dxa"/>
            <w:gridSpan w:val="2"/>
            <w:vAlign w:val="top"/>
          </w:tcPr>
          <w:p>
            <w:pPr>
              <w:spacing w:before="138" w:line="195" w:lineRule="auto"/>
              <w:ind w:left="36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12" w:hRule="atLeast"/>
        </w:trPr>
        <w:tc>
          <w:tcPr>
            <w:tcW w:w="577" w:type="dxa"/>
            <w:gridSpan w:val="2"/>
            <w:tcBorders>
              <w:left w:val="single" w:color="000000" w:sz="10" w:space="0"/>
            </w:tcBorders>
            <w:vAlign w:val="top"/>
          </w:tcPr>
          <w:p>
            <w:pPr>
              <w:spacing w:before="150" w:line="195" w:lineRule="auto"/>
              <w:ind w:left="16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36</w:t>
            </w:r>
          </w:p>
        </w:tc>
        <w:tc>
          <w:tcPr>
            <w:tcW w:w="1369" w:type="dxa"/>
            <w:gridSpan w:val="2"/>
            <w:vAlign w:val="top"/>
          </w:tcPr>
          <w:p>
            <w:pPr>
              <w:spacing w:before="102" w:line="228" w:lineRule="auto"/>
              <w:ind w:left="365" w:leftChars="0"/>
              <w:rPr>
                <w:rFonts w:hint="default" w:ascii="Times New Roman" w:hAnsi="Times New Roman" w:eastAsia="宋体" w:cs="Times New Roman"/>
                <w:snapToGrid w:val="0"/>
                <w:color w:val="000000"/>
                <w:spacing w:val="7"/>
                <w:kern w:val="0"/>
                <w:sz w:val="20"/>
                <w:szCs w:val="20"/>
                <w:highlight w:val="none"/>
                <w:lang w:val="en-US" w:eastAsia="zh-CN"/>
              </w:rPr>
            </w:pPr>
            <w:r>
              <w:rPr>
                <w:rFonts w:hint="eastAsia" w:ascii="Times New Roman" w:hAnsi="Times New Roman" w:eastAsia="宋体" w:cs="Times New Roman"/>
                <w:spacing w:val="7"/>
                <w:sz w:val="20"/>
                <w:szCs w:val="20"/>
                <w:highlight w:val="none"/>
                <w:lang w:val="en-US" w:eastAsia="zh-CN"/>
              </w:rPr>
              <w:t>湿扫车</w:t>
            </w:r>
          </w:p>
        </w:tc>
        <w:tc>
          <w:tcPr>
            <w:tcW w:w="2020" w:type="dxa"/>
            <w:gridSpan w:val="2"/>
            <w:vAlign w:val="top"/>
          </w:tcPr>
          <w:p>
            <w:pPr>
              <w:rPr>
                <w:rFonts w:hint="default" w:ascii="Times New Roman" w:hAnsi="Times New Roman" w:eastAsia="Arial" w:cs="Times New Roman"/>
                <w:snapToGrid w:val="0"/>
                <w:color w:val="000000"/>
                <w:kern w:val="0"/>
                <w:sz w:val="21"/>
                <w:szCs w:val="21"/>
                <w:highlight w:val="none"/>
              </w:rPr>
            </w:pPr>
          </w:p>
        </w:tc>
        <w:tc>
          <w:tcPr>
            <w:tcW w:w="773" w:type="dxa"/>
            <w:gridSpan w:val="2"/>
            <w:vAlign w:val="center"/>
          </w:tcPr>
          <w:p>
            <w:pPr>
              <w:jc w:val="center"/>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辆</w:t>
            </w:r>
          </w:p>
        </w:tc>
        <w:tc>
          <w:tcPr>
            <w:tcW w:w="779" w:type="dxa"/>
            <w:gridSpan w:val="2"/>
            <w:vAlign w:val="top"/>
          </w:tcPr>
          <w:p>
            <w:pPr>
              <w:spacing w:before="138" w:line="195" w:lineRule="auto"/>
              <w:ind w:left="361"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12" w:hRule="atLeast"/>
        </w:trPr>
        <w:tc>
          <w:tcPr>
            <w:tcW w:w="577" w:type="dxa"/>
            <w:gridSpan w:val="2"/>
            <w:tcBorders>
              <w:left w:val="single" w:color="000000" w:sz="10" w:space="0"/>
            </w:tcBorders>
            <w:vAlign w:val="top"/>
          </w:tcPr>
          <w:p>
            <w:pPr>
              <w:spacing w:before="150" w:line="195" w:lineRule="auto"/>
              <w:ind w:left="16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37</w:t>
            </w:r>
          </w:p>
        </w:tc>
        <w:tc>
          <w:tcPr>
            <w:tcW w:w="1369" w:type="dxa"/>
            <w:gridSpan w:val="2"/>
            <w:vAlign w:val="top"/>
          </w:tcPr>
          <w:p>
            <w:pPr>
              <w:spacing w:before="102" w:line="228" w:lineRule="auto"/>
              <w:ind w:left="365" w:leftChars="0"/>
              <w:rPr>
                <w:rFonts w:hint="default" w:ascii="Times New Roman" w:hAnsi="Times New Roman" w:eastAsia="宋体" w:cs="Times New Roman"/>
                <w:snapToGrid w:val="0"/>
                <w:color w:val="000000"/>
                <w:spacing w:val="7"/>
                <w:kern w:val="0"/>
                <w:sz w:val="20"/>
                <w:szCs w:val="20"/>
                <w:highlight w:val="none"/>
                <w:lang w:val="en-US" w:eastAsia="zh-CN"/>
              </w:rPr>
            </w:pPr>
            <w:r>
              <w:rPr>
                <w:rFonts w:hint="eastAsia" w:ascii="Times New Roman" w:hAnsi="Times New Roman" w:eastAsia="宋体" w:cs="Times New Roman"/>
                <w:spacing w:val="7"/>
                <w:sz w:val="20"/>
                <w:szCs w:val="20"/>
                <w:highlight w:val="none"/>
                <w:lang w:val="en-US" w:eastAsia="zh-CN"/>
              </w:rPr>
              <w:t>洒水车</w:t>
            </w:r>
          </w:p>
        </w:tc>
        <w:tc>
          <w:tcPr>
            <w:tcW w:w="2020" w:type="dxa"/>
            <w:gridSpan w:val="2"/>
            <w:vAlign w:val="top"/>
          </w:tcPr>
          <w:p>
            <w:pPr>
              <w:rPr>
                <w:rFonts w:hint="default" w:ascii="Times New Roman" w:hAnsi="Times New Roman" w:eastAsia="Arial" w:cs="Times New Roman"/>
                <w:snapToGrid w:val="0"/>
                <w:color w:val="000000"/>
                <w:kern w:val="0"/>
                <w:sz w:val="21"/>
                <w:szCs w:val="21"/>
                <w:highlight w:val="none"/>
              </w:rPr>
            </w:pPr>
          </w:p>
        </w:tc>
        <w:tc>
          <w:tcPr>
            <w:tcW w:w="773" w:type="dxa"/>
            <w:gridSpan w:val="2"/>
            <w:vAlign w:val="center"/>
          </w:tcPr>
          <w:p>
            <w:pPr>
              <w:jc w:val="center"/>
              <w:rPr>
                <w:rFonts w:hint="default" w:ascii="Times New Roman" w:hAnsi="Times New Roman" w:eastAsia="宋体" w:cs="Times New Roman"/>
                <w:snapToGrid w:val="0"/>
                <w:color w:val="000000"/>
                <w:kern w:val="0"/>
                <w:sz w:val="20"/>
                <w:szCs w:val="20"/>
                <w:highlight w:val="none"/>
              </w:rPr>
            </w:pPr>
            <w:r>
              <w:rPr>
                <w:rFonts w:hint="eastAsia" w:ascii="Times New Roman" w:hAnsi="Times New Roman" w:eastAsia="宋体" w:cs="Times New Roman"/>
                <w:sz w:val="20"/>
                <w:szCs w:val="20"/>
                <w:highlight w:val="none"/>
                <w:lang w:val="en-US" w:eastAsia="zh-CN"/>
              </w:rPr>
              <w:t>辆</w:t>
            </w:r>
          </w:p>
        </w:tc>
        <w:tc>
          <w:tcPr>
            <w:tcW w:w="779" w:type="dxa"/>
            <w:gridSpan w:val="2"/>
            <w:vAlign w:val="top"/>
          </w:tcPr>
          <w:p>
            <w:pPr>
              <w:spacing w:before="138" w:line="195" w:lineRule="auto"/>
              <w:ind w:left="361" w:leftChars="0"/>
              <w:rPr>
                <w:rFonts w:hint="default" w:ascii="Times New Roman" w:hAnsi="Times New Roman" w:eastAsia="Times New Roman" w:cs="Times New Roman"/>
                <w:snapToGrid w:val="0"/>
                <w:color w:val="000000"/>
                <w:kern w:val="0"/>
                <w:sz w:val="20"/>
                <w:szCs w:val="20"/>
                <w:highlight w:val="none"/>
              </w:rPr>
            </w:pPr>
            <w:r>
              <w:rPr>
                <w:rFonts w:hint="eastAsia" w:ascii="Times New Roman" w:hAnsi="Times New Roman" w:eastAsia="宋体" w:cs="Times New Roman"/>
                <w:sz w:val="20"/>
                <w:szCs w:val="20"/>
                <w:highlight w:val="none"/>
                <w:lang w:val="en-US" w:eastAsia="zh-CN"/>
              </w:rPr>
              <w:t>1</w:t>
            </w:r>
          </w:p>
        </w:tc>
        <w:tc>
          <w:tcPr>
            <w:tcW w:w="3008" w:type="dxa"/>
            <w:gridSpan w:val="2"/>
            <w:tcBorders>
              <w:right w:val="single" w:color="000000" w:sz="10" w:space="0"/>
            </w:tcBorders>
            <w:vAlign w:val="top"/>
          </w:tcPr>
          <w:p>
            <w:pPr>
              <w:rPr>
                <w:rFonts w:hint="default" w:ascii="Times New Roman" w:hAnsi="Times New Roman" w:cs="Times New Roman"/>
                <w:sz w:val="21"/>
                <w:highlight w:val="none"/>
              </w:rPr>
            </w:pPr>
          </w:p>
        </w:tc>
      </w:tr>
    </w:tbl>
    <w:p>
      <w:pPr>
        <w:spacing w:line="245" w:lineRule="auto"/>
        <w:rPr>
          <w:rFonts w:hint="default" w:ascii="Times New Roman" w:hAnsi="Times New Roman" w:cs="Times New Roman"/>
          <w:sz w:val="21"/>
          <w:highlight w:val="none"/>
        </w:rPr>
      </w:pPr>
    </w:p>
    <w:p>
      <w:pPr>
        <w:spacing w:before="75" w:line="228" w:lineRule="auto"/>
        <w:ind w:left="124"/>
        <w:outlineLvl w:val="2"/>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pPr>
      <w:bookmarkStart w:id="172" w:name="_Toc19828"/>
      <w:bookmarkStart w:id="173" w:name="_Toc27509"/>
      <w:bookmarkStart w:id="174" w:name="_Toc576"/>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6</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平面布置</w:t>
      </w:r>
      <w:bookmarkEnd w:id="172"/>
      <w:bookmarkEnd w:id="173"/>
      <w:bookmarkEnd w:id="174"/>
    </w:p>
    <w:p>
      <w:pPr>
        <w:tabs>
          <w:tab w:val="left" w:pos="256"/>
        </w:tabs>
        <w:spacing w:before="74" w:line="404" w:lineRule="auto"/>
        <w:ind w:left="131" w:right="111" w:firstLine="490"/>
        <w:rPr>
          <w:rFonts w:hint="default" w:ascii="Times New Roman" w:hAnsi="Times New Roman" w:eastAsia="宋体" w:cs="Times New Roman"/>
          <w:spacing w:val="13"/>
          <w:sz w:val="23"/>
          <w:szCs w:val="23"/>
          <w:highlight w:val="none"/>
          <w:lang w:val="en-US"/>
        </w:rPr>
      </w:pPr>
      <w:r>
        <w:rPr>
          <w:rFonts w:hint="eastAsia" w:ascii="Times New Roman" w:hAnsi="Times New Roman" w:eastAsia="宋体" w:cs="Times New Roman"/>
          <w:spacing w:val="13"/>
          <w:sz w:val="23"/>
          <w:szCs w:val="23"/>
          <w:highlight w:val="none"/>
          <w:lang w:val="en-US" w:eastAsia="zh-CN"/>
        </w:rPr>
        <w:t>本项目主要在厂区东部生产装置区4#生产车间东侧新建1座生产车间，厂区现有平面布置不发生变化，详见平面布置图。</w:t>
      </w:r>
    </w:p>
    <w:p>
      <w:pPr>
        <w:spacing w:before="75" w:line="228" w:lineRule="auto"/>
        <w:ind w:left="124"/>
        <w:outlineLvl w:val="2"/>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pPr>
      <w:bookmarkStart w:id="175" w:name="_Toc24204"/>
      <w:bookmarkStart w:id="176" w:name="_Toc11181"/>
      <w:bookmarkStart w:id="177" w:name="_Toc17443"/>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7</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主要技术经济指标</w:t>
      </w:r>
      <w:bookmarkEnd w:id="175"/>
      <w:bookmarkEnd w:id="176"/>
      <w:bookmarkEnd w:id="177"/>
    </w:p>
    <w:p>
      <w:pPr>
        <w:keepNext w:val="0"/>
        <w:keepLines w:val="0"/>
        <w:pageBreakBefore w:val="0"/>
        <w:widowControl/>
        <w:tabs>
          <w:tab w:val="left" w:pos="256"/>
        </w:tabs>
        <w:kinsoku w:val="0"/>
        <w:wordWrap/>
        <w:overflowPunct/>
        <w:topLinePunct w:val="0"/>
        <w:autoSpaceDE w:val="0"/>
        <w:autoSpaceDN w:val="0"/>
        <w:bidi w:val="0"/>
        <w:adjustRightInd w:val="0"/>
        <w:snapToGrid w:val="0"/>
        <w:spacing w:before="74" w:line="460" w:lineRule="exact"/>
        <w:ind w:left="0" w:right="0" w:firstLine="512" w:firstLineChars="200"/>
        <w:textAlignment w:val="baseline"/>
        <w:rPr>
          <w:rFonts w:hint="eastAsia" w:ascii="Times New Roman" w:hAnsi="Times New Roman" w:eastAsia="宋体" w:cs="Times New Roman"/>
          <w:spacing w:val="13"/>
          <w:sz w:val="23"/>
          <w:szCs w:val="23"/>
          <w:highlight w:val="none"/>
          <w:lang w:val="en-US" w:eastAsia="zh-CN"/>
        </w:rPr>
      </w:pPr>
      <w:r>
        <w:rPr>
          <w:rFonts w:hint="eastAsia" w:ascii="Times New Roman" w:hAnsi="Times New Roman" w:eastAsia="宋体" w:cs="Times New Roman"/>
          <w:spacing w:val="13"/>
          <w:sz w:val="23"/>
          <w:szCs w:val="23"/>
          <w:highlight w:val="none"/>
          <w:lang w:val="en-US" w:eastAsia="zh-CN"/>
        </w:rPr>
        <w:t>本项目实施后全厂主要经济技术指标，见表3.2-9。</w:t>
      </w:r>
    </w:p>
    <w:p>
      <w:pPr>
        <w:keepNext w:val="0"/>
        <w:keepLines w:val="0"/>
        <w:pageBreakBefore w:val="0"/>
        <w:widowControl/>
        <w:kinsoku w:val="0"/>
        <w:wordWrap/>
        <w:overflowPunct/>
        <w:topLinePunct w:val="0"/>
        <w:autoSpaceDE w:val="0"/>
        <w:autoSpaceDN w:val="0"/>
        <w:bidi w:val="0"/>
        <w:adjustRightInd w:val="0"/>
        <w:snapToGrid w:val="0"/>
        <w:spacing w:before="40" w:line="228" w:lineRule="auto"/>
        <w:ind w:left="2171" w:firstLine="488" w:firstLineChars="200"/>
        <w:textAlignment w:val="baseline"/>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pP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表3.2-9     主要经济技术参数表</w:t>
      </w:r>
    </w:p>
    <w:tbl>
      <w:tblPr>
        <w:tblStyle w:val="15"/>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222"/>
        <w:gridCol w:w="1000"/>
        <w:gridCol w:w="2367"/>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bookmarkStart w:id="178" w:name="_Hlk532163341"/>
            <w:r>
              <w:rPr>
                <w:rFonts w:hint="default" w:ascii="Times New Roman" w:hAnsi="Times New Roman" w:eastAsia="宋体" w:cs="Times New Roman"/>
                <w:bCs/>
                <w:sz w:val="20"/>
                <w:szCs w:val="20"/>
                <w:highlight w:val="none"/>
              </w:rPr>
              <w:t>序号</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指标名称</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单位</w:t>
            </w:r>
          </w:p>
        </w:tc>
        <w:tc>
          <w:tcPr>
            <w:tcW w:w="23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指标</w:t>
            </w:r>
          </w:p>
        </w:tc>
        <w:tc>
          <w:tcPr>
            <w:tcW w:w="21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lang w:eastAsia="zh-CN"/>
              </w:rPr>
            </w:pPr>
            <w:r>
              <w:rPr>
                <w:rFonts w:hint="default" w:ascii="Times New Roman" w:hAnsi="Times New Roman" w:eastAsia="宋体" w:cs="Times New Roman"/>
                <w:bCs/>
                <w:sz w:val="20"/>
                <w:szCs w:val="20"/>
                <w:highlight w:val="none"/>
                <w:lang w:val="en-US" w:eastAsia="zh-CN"/>
              </w:rPr>
              <w:t>1</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年处理能力</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万t</w:t>
            </w:r>
          </w:p>
        </w:tc>
        <w:tc>
          <w:tcPr>
            <w:tcW w:w="23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lang w:val="en-US" w:eastAsia="zh-CN"/>
              </w:rPr>
            </w:pPr>
            <w:r>
              <w:rPr>
                <w:rFonts w:hint="eastAsia" w:ascii="Times New Roman" w:hAnsi="Times New Roman" w:eastAsia="宋体" w:cs="Times New Roman"/>
                <w:bCs/>
                <w:sz w:val="20"/>
                <w:szCs w:val="20"/>
                <w:highlight w:val="none"/>
                <w:lang w:val="en-US" w:eastAsia="zh-CN"/>
              </w:rPr>
              <w:t>110</w:t>
            </w:r>
          </w:p>
        </w:tc>
        <w:tc>
          <w:tcPr>
            <w:tcW w:w="2176" w:type="dxa"/>
            <w:tcBorders>
              <w:tl2br w:val="nil"/>
              <w:tr2bl w:val="nil"/>
            </w:tcBorders>
            <w:vAlign w:val="center"/>
          </w:tcPr>
          <w:p>
            <w:pPr>
              <w:spacing w:line="240" w:lineRule="auto"/>
              <w:ind w:firstLine="420"/>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铁矿石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sz w:val="20"/>
                <w:szCs w:val="20"/>
                <w:highlight w:val="none"/>
                <w:lang w:eastAsia="zh-CN"/>
              </w:rPr>
            </w:pPr>
            <w:r>
              <w:rPr>
                <w:rFonts w:hint="eastAsia" w:ascii="Times New Roman" w:hAnsi="Times New Roman" w:eastAsia="宋体" w:cs="Times New Roman"/>
                <w:bCs/>
                <w:sz w:val="20"/>
                <w:szCs w:val="20"/>
                <w:highlight w:val="none"/>
                <w:lang w:val="en-US" w:eastAsia="zh-CN"/>
              </w:rPr>
              <w:t>2</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产品年产量</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p>
        </w:tc>
        <w:tc>
          <w:tcPr>
            <w:tcW w:w="23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p>
        </w:tc>
        <w:tc>
          <w:tcPr>
            <w:tcW w:w="2176" w:type="dxa"/>
            <w:tcBorders>
              <w:tl2br w:val="nil"/>
              <w:tr2bl w:val="nil"/>
            </w:tcBorders>
            <w:vAlign w:val="center"/>
          </w:tcPr>
          <w:p>
            <w:pPr>
              <w:spacing w:line="240" w:lineRule="auto"/>
              <w:ind w:firstLine="0" w:firstLineChars="0"/>
              <w:rPr>
                <w:rFonts w:hint="default" w:ascii="Times New Roman" w:hAnsi="Times New Roman" w:eastAsia="宋体" w:cs="Times New Roman"/>
                <w:bCs/>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（1）</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铁精粉</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t</w:t>
            </w:r>
          </w:p>
        </w:tc>
        <w:tc>
          <w:tcPr>
            <w:tcW w:w="23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eastAsia" w:ascii="Times New Roman" w:hAnsi="Times New Roman" w:eastAsia="宋体" w:cs="Times New Roman"/>
                <w:bCs/>
                <w:sz w:val="20"/>
                <w:szCs w:val="20"/>
                <w:highlight w:val="none"/>
                <w:lang w:val="en-US" w:eastAsia="zh-CN"/>
              </w:rPr>
              <w:t>40</w:t>
            </w:r>
            <w:r>
              <w:rPr>
                <w:rFonts w:hint="default" w:ascii="Times New Roman" w:hAnsi="Times New Roman" w:eastAsia="宋体" w:cs="Times New Roman"/>
                <w:bCs/>
                <w:sz w:val="20"/>
                <w:szCs w:val="20"/>
                <w:highlight w:val="none"/>
              </w:rPr>
              <w:t>0000</w:t>
            </w:r>
          </w:p>
        </w:tc>
        <w:tc>
          <w:tcPr>
            <w:tcW w:w="2176" w:type="dxa"/>
            <w:tcBorders>
              <w:tl2br w:val="nil"/>
              <w:tr2bl w:val="nil"/>
            </w:tcBorders>
            <w:vAlign w:val="center"/>
          </w:tcPr>
          <w:p>
            <w:pPr>
              <w:spacing w:line="240" w:lineRule="auto"/>
              <w:ind w:firstLine="400" w:firstLineChars="200"/>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平均品位6</w:t>
            </w:r>
            <w:r>
              <w:rPr>
                <w:rFonts w:hint="eastAsia" w:ascii="Times New Roman" w:hAnsi="Times New Roman" w:eastAsia="宋体" w:cs="Times New Roman"/>
                <w:bCs/>
                <w:sz w:val="20"/>
                <w:szCs w:val="20"/>
                <w:highlight w:val="none"/>
                <w:lang w:val="en-US" w:eastAsia="zh-CN"/>
              </w:rPr>
              <w:t>0</w:t>
            </w:r>
            <w:r>
              <w:rPr>
                <w:rFonts w:hint="default" w:ascii="Times New Roman" w:hAnsi="Times New Roman" w:eastAsia="宋体" w:cs="Times New Roman"/>
                <w:bCs/>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（2）</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尾矿砂</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t</w:t>
            </w:r>
          </w:p>
        </w:tc>
        <w:tc>
          <w:tcPr>
            <w:tcW w:w="23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eastAsia" w:ascii="Times New Roman" w:hAnsi="Times New Roman" w:cs="Times New Roman"/>
                <w:kern w:val="2"/>
                <w:sz w:val="21"/>
                <w:szCs w:val="21"/>
                <w:highlight w:val="none"/>
                <w:lang w:val="en-US" w:eastAsia="zh-CN"/>
              </w:rPr>
              <w:t>693914.87</w:t>
            </w:r>
          </w:p>
        </w:tc>
        <w:tc>
          <w:tcPr>
            <w:tcW w:w="2176" w:type="dxa"/>
            <w:tcBorders>
              <w:tl2br w:val="nil"/>
              <w:tr2bl w:val="nil"/>
            </w:tcBorders>
            <w:vAlign w:val="center"/>
          </w:tcPr>
          <w:p>
            <w:pPr>
              <w:pStyle w:val="2"/>
              <w:ind w:firstLine="0" w:firstLineChars="0"/>
              <w:jc w:val="center"/>
              <w:rPr>
                <w:rFonts w:hint="default" w:ascii="Times New Roman" w:hAnsi="Times New Roman" w:eastAsia="宋体" w:cs="Times New Roman"/>
                <w:bCs/>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lang w:val="en-US" w:eastAsia="zh-CN" w:bidi="ar-SA"/>
              </w:rPr>
            </w:pPr>
            <w:r>
              <w:rPr>
                <w:rFonts w:hint="default" w:ascii="Times New Roman" w:hAnsi="Times New Roman" w:eastAsia="宋体" w:cs="Times New Roman"/>
                <w:bCs/>
                <w:sz w:val="20"/>
                <w:szCs w:val="20"/>
                <w:highlight w:val="none"/>
              </w:rPr>
              <w:t>（3）</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lang w:val="en-US" w:eastAsia="zh-CN"/>
              </w:rPr>
            </w:pPr>
            <w:r>
              <w:rPr>
                <w:rFonts w:hint="default" w:ascii="Times New Roman" w:hAnsi="Times New Roman" w:eastAsia="宋体" w:cs="Times New Roman"/>
                <w:bCs/>
                <w:sz w:val="20"/>
                <w:szCs w:val="20"/>
                <w:highlight w:val="none"/>
              </w:rPr>
              <w:t>金属回收率</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w:t>
            </w:r>
          </w:p>
        </w:tc>
        <w:tc>
          <w:tcPr>
            <w:tcW w:w="23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0"/>
                <w:szCs w:val="20"/>
                <w:highlight w:val="none"/>
                <w:lang w:val="en-US"/>
              </w:rPr>
            </w:pPr>
            <w:r>
              <w:rPr>
                <w:rFonts w:hint="eastAsia" w:ascii="Times New Roman" w:hAnsi="Times New Roman" w:eastAsia="宋体" w:cs="Times New Roman"/>
                <w:bCs/>
                <w:sz w:val="20"/>
                <w:szCs w:val="20"/>
                <w:highlight w:val="none"/>
                <w:lang w:val="en-US" w:eastAsia="zh-CN"/>
              </w:rPr>
              <w:t>87</w:t>
            </w:r>
          </w:p>
        </w:tc>
        <w:tc>
          <w:tcPr>
            <w:tcW w:w="2176" w:type="dxa"/>
            <w:tcBorders>
              <w:tl2br w:val="nil"/>
              <w:tr2bl w:val="nil"/>
            </w:tcBorders>
            <w:vAlign w:val="center"/>
          </w:tcPr>
          <w:p>
            <w:pPr>
              <w:pStyle w:val="2"/>
              <w:ind w:firstLine="0" w:firstLineChars="0"/>
              <w:jc w:val="center"/>
              <w:rPr>
                <w:rFonts w:hint="default" w:ascii="Times New Roman" w:hAnsi="Times New Roman" w:eastAsia="宋体" w:cs="Times New Roman"/>
                <w:bCs/>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lang w:val="en-US" w:eastAsia="zh-CN" w:bidi="ar-SA"/>
              </w:rPr>
            </w:pPr>
            <w:r>
              <w:rPr>
                <w:rFonts w:hint="default" w:ascii="Times New Roman" w:hAnsi="Times New Roman" w:eastAsia="宋体" w:cs="Times New Roman"/>
                <w:bCs/>
                <w:sz w:val="20"/>
                <w:szCs w:val="20"/>
                <w:highlight w:val="none"/>
              </w:rPr>
              <w:t>（4）</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sz w:val="20"/>
                <w:szCs w:val="20"/>
                <w:highlight w:val="none"/>
              </w:rPr>
              <w:t>尾矿综合利用率</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w:t>
            </w:r>
          </w:p>
        </w:tc>
        <w:tc>
          <w:tcPr>
            <w:tcW w:w="23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lang w:val="en-US" w:eastAsia="zh-CN"/>
              </w:rPr>
            </w:pPr>
            <w:r>
              <w:rPr>
                <w:rFonts w:hint="default" w:ascii="Times New Roman" w:hAnsi="Times New Roman" w:eastAsia="宋体" w:cs="Times New Roman"/>
                <w:bCs/>
                <w:sz w:val="20"/>
                <w:szCs w:val="20"/>
                <w:highlight w:val="none"/>
              </w:rPr>
              <w:t>100</w:t>
            </w:r>
          </w:p>
        </w:tc>
        <w:tc>
          <w:tcPr>
            <w:tcW w:w="2176" w:type="dxa"/>
            <w:tcBorders>
              <w:tl2br w:val="nil"/>
              <w:tr2bl w:val="nil"/>
            </w:tcBorders>
            <w:vAlign w:val="center"/>
          </w:tcPr>
          <w:p>
            <w:pPr>
              <w:pStyle w:val="2"/>
              <w:ind w:firstLine="0" w:firstLineChars="0"/>
              <w:jc w:val="center"/>
              <w:rPr>
                <w:rFonts w:hint="default" w:ascii="Times New Roman" w:hAnsi="Times New Roman" w:eastAsia="宋体" w:cs="Times New Roman"/>
                <w:bCs/>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sz w:val="20"/>
                <w:szCs w:val="20"/>
                <w:highlight w:val="none"/>
                <w:lang w:eastAsia="zh-CN"/>
              </w:rPr>
            </w:pPr>
            <w:r>
              <w:rPr>
                <w:rFonts w:hint="eastAsia" w:ascii="Times New Roman" w:hAnsi="Times New Roman" w:eastAsia="宋体" w:cs="Times New Roman"/>
                <w:bCs/>
                <w:sz w:val="20"/>
                <w:szCs w:val="20"/>
                <w:highlight w:val="none"/>
                <w:lang w:val="en-US" w:eastAsia="zh-CN"/>
              </w:rPr>
              <w:t>3</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用水量</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m</w:t>
            </w:r>
            <w:r>
              <w:rPr>
                <w:rFonts w:hint="default" w:ascii="Times New Roman" w:hAnsi="Times New Roman" w:eastAsia="宋体" w:cs="Times New Roman"/>
                <w:bCs/>
                <w:sz w:val="20"/>
                <w:szCs w:val="20"/>
                <w:highlight w:val="none"/>
                <w:vertAlign w:val="superscript"/>
              </w:rPr>
              <w:t>3</w:t>
            </w:r>
            <w:r>
              <w:rPr>
                <w:rFonts w:hint="default" w:ascii="Times New Roman" w:hAnsi="Times New Roman" w:eastAsia="宋体" w:cs="Times New Roman"/>
                <w:bCs/>
                <w:sz w:val="20"/>
                <w:szCs w:val="20"/>
                <w:highlight w:val="none"/>
              </w:rPr>
              <w:t>/a</w:t>
            </w:r>
          </w:p>
        </w:tc>
        <w:tc>
          <w:tcPr>
            <w:tcW w:w="2367" w:type="dxa"/>
            <w:tcBorders>
              <w:tl2br w:val="nil"/>
              <w:tr2bl w:val="nil"/>
            </w:tcBorders>
            <w:vAlign w:val="center"/>
          </w:tcPr>
          <w:p>
            <w:pPr>
              <w:pStyle w:val="7"/>
              <w:spacing w:line="240" w:lineRule="auto"/>
              <w:ind w:left="0" w:leftChars="0" w:firstLineChars="0"/>
              <w:jc w:val="center"/>
              <w:rPr>
                <w:rFonts w:hint="default" w:ascii="Times New Roman" w:hAnsi="Times New Roman" w:eastAsia="宋体" w:cs="Times New Roman"/>
                <w:bCs/>
                <w:sz w:val="20"/>
                <w:szCs w:val="20"/>
                <w:highlight w:val="none"/>
                <w:lang w:val="en-US" w:eastAsia="zh-CN"/>
              </w:rPr>
            </w:pPr>
            <w:r>
              <w:rPr>
                <w:rFonts w:hint="eastAsia" w:ascii="Times New Roman" w:hAnsi="Times New Roman" w:eastAsia="宋体" w:cs="Times New Roman"/>
                <w:bCs/>
                <w:sz w:val="20"/>
                <w:szCs w:val="20"/>
                <w:highlight w:val="none"/>
                <w:lang w:val="en-US" w:eastAsia="zh-CN"/>
              </w:rPr>
              <w:t>89820</w:t>
            </w:r>
          </w:p>
        </w:tc>
        <w:tc>
          <w:tcPr>
            <w:tcW w:w="21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sz w:val="20"/>
                <w:szCs w:val="20"/>
                <w:highlight w:val="none"/>
                <w:lang w:val="en-US" w:eastAsia="zh-CN"/>
              </w:rPr>
            </w:pPr>
            <w:r>
              <w:rPr>
                <w:rFonts w:hint="eastAsia" w:ascii="Times New Roman" w:hAnsi="Times New Roman" w:eastAsia="宋体" w:cs="Times New Roman"/>
                <w:bCs/>
                <w:sz w:val="20"/>
                <w:szCs w:val="20"/>
                <w:highlight w:val="none"/>
                <w:lang w:val="en-US" w:eastAsia="zh-CN"/>
              </w:rPr>
              <w:t>4</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水耗</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m</w:t>
            </w:r>
            <w:r>
              <w:rPr>
                <w:rFonts w:hint="default" w:ascii="Times New Roman" w:hAnsi="Times New Roman" w:eastAsia="宋体" w:cs="Times New Roman"/>
                <w:bCs/>
                <w:sz w:val="20"/>
                <w:szCs w:val="20"/>
                <w:highlight w:val="none"/>
                <w:vertAlign w:val="superscript"/>
              </w:rPr>
              <w:t>3</w:t>
            </w:r>
            <w:r>
              <w:rPr>
                <w:rFonts w:hint="default" w:ascii="Times New Roman" w:hAnsi="Times New Roman" w:eastAsia="宋体" w:cs="Times New Roman"/>
                <w:bCs/>
                <w:sz w:val="20"/>
                <w:szCs w:val="20"/>
                <w:highlight w:val="none"/>
              </w:rPr>
              <w:t>/t</w:t>
            </w:r>
          </w:p>
        </w:tc>
        <w:tc>
          <w:tcPr>
            <w:tcW w:w="2367" w:type="dxa"/>
            <w:tcBorders>
              <w:tl2br w:val="nil"/>
              <w:tr2bl w:val="nil"/>
            </w:tcBorders>
            <w:vAlign w:val="center"/>
          </w:tcPr>
          <w:p>
            <w:pPr>
              <w:pStyle w:val="7"/>
              <w:spacing w:line="240" w:lineRule="auto"/>
              <w:ind w:left="0" w:leftChars="0" w:firstLineChars="0"/>
              <w:jc w:val="center"/>
              <w:rPr>
                <w:rFonts w:hint="default" w:ascii="Times New Roman" w:hAnsi="Times New Roman" w:eastAsia="宋体" w:cs="Times New Roman"/>
                <w:bCs/>
                <w:sz w:val="20"/>
                <w:szCs w:val="20"/>
                <w:highlight w:val="none"/>
                <w:lang w:val="en-US" w:eastAsia="zh-CN"/>
              </w:rPr>
            </w:pPr>
            <w:r>
              <w:rPr>
                <w:rFonts w:hint="eastAsia" w:ascii="Times New Roman" w:hAnsi="Times New Roman" w:eastAsia="宋体" w:cs="Times New Roman"/>
                <w:bCs/>
                <w:sz w:val="20"/>
                <w:szCs w:val="20"/>
                <w:highlight w:val="none"/>
                <w:lang w:val="en-US" w:eastAsia="zh-CN"/>
              </w:rPr>
              <w:t>0.08</w:t>
            </w:r>
          </w:p>
        </w:tc>
        <w:tc>
          <w:tcPr>
            <w:tcW w:w="21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napToGrid w:val="0"/>
                <w:color w:val="000000"/>
                <w:kern w:val="0"/>
                <w:sz w:val="20"/>
                <w:szCs w:val="20"/>
                <w:highlight w:val="none"/>
              </w:rPr>
            </w:pPr>
            <w:r>
              <w:rPr>
                <w:rFonts w:hint="default" w:ascii="Times New Roman" w:hAnsi="Times New Roman" w:eastAsia="宋体" w:cs="Times New Roman"/>
                <w:bCs/>
                <w:sz w:val="20"/>
                <w:szCs w:val="20"/>
                <w:highlight w:val="none"/>
              </w:rPr>
              <w:t>5</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用电量</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kWh/a</w:t>
            </w:r>
          </w:p>
        </w:tc>
        <w:tc>
          <w:tcPr>
            <w:tcW w:w="2367" w:type="dxa"/>
            <w:tcBorders>
              <w:tl2br w:val="nil"/>
              <w:tr2bl w:val="nil"/>
            </w:tcBorders>
            <w:vAlign w:val="center"/>
          </w:tcPr>
          <w:p>
            <w:pPr>
              <w:pStyle w:val="7"/>
              <w:spacing w:line="240" w:lineRule="auto"/>
              <w:ind w:left="0" w:leftChars="0" w:firstLineChars="0"/>
              <w:jc w:val="center"/>
              <w:rPr>
                <w:rFonts w:hint="default" w:ascii="Times New Roman" w:hAnsi="Times New Roman" w:eastAsia="宋体" w:cs="Times New Roman"/>
                <w:bCs/>
                <w:sz w:val="20"/>
                <w:szCs w:val="20"/>
                <w:highlight w:val="none"/>
              </w:rPr>
            </w:pPr>
            <w:r>
              <w:rPr>
                <w:rFonts w:hint="eastAsia" w:ascii="Times New Roman" w:hAnsi="Times New Roman" w:eastAsia="宋体" w:cs="Times New Roman"/>
                <w:sz w:val="20"/>
                <w:szCs w:val="20"/>
                <w:highlight w:val="none"/>
                <w:lang w:val="en-US" w:eastAsia="zh-CN"/>
              </w:rPr>
              <w:t>900</w:t>
            </w:r>
            <w:r>
              <w:rPr>
                <w:rFonts w:hint="default" w:ascii="Times New Roman" w:hAnsi="Times New Roman" w:eastAsia="宋体" w:cs="Times New Roman"/>
                <w:bCs/>
                <w:sz w:val="20"/>
                <w:szCs w:val="20"/>
                <w:highlight w:val="none"/>
              </w:rPr>
              <w:t>万</w:t>
            </w:r>
          </w:p>
        </w:tc>
        <w:tc>
          <w:tcPr>
            <w:tcW w:w="2176" w:type="dxa"/>
            <w:tcBorders>
              <w:tl2br w:val="nil"/>
              <w:tr2bl w:val="nil"/>
            </w:tcBorders>
            <w:vAlign w:val="center"/>
          </w:tcPr>
          <w:p>
            <w:pPr>
              <w:spacing w:line="240" w:lineRule="auto"/>
              <w:ind w:firstLine="0" w:firstLineChars="0"/>
              <w:rPr>
                <w:rFonts w:hint="default" w:ascii="Times New Roman" w:hAnsi="Times New Roman" w:eastAsia="宋体" w:cs="Times New Roman"/>
                <w:bCs/>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napToGrid w:val="0"/>
                <w:color w:val="000000"/>
                <w:kern w:val="0"/>
                <w:sz w:val="20"/>
                <w:szCs w:val="20"/>
                <w:highlight w:val="none"/>
              </w:rPr>
            </w:pPr>
            <w:r>
              <w:rPr>
                <w:rFonts w:hint="default" w:ascii="Times New Roman" w:hAnsi="Times New Roman" w:eastAsia="宋体" w:cs="Times New Roman"/>
                <w:bCs/>
                <w:sz w:val="20"/>
                <w:szCs w:val="20"/>
                <w:highlight w:val="none"/>
              </w:rPr>
              <w:t>6</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电耗</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kWh/t</w:t>
            </w:r>
          </w:p>
        </w:tc>
        <w:tc>
          <w:tcPr>
            <w:tcW w:w="2367" w:type="dxa"/>
            <w:tcBorders>
              <w:tl2br w:val="nil"/>
              <w:tr2bl w:val="nil"/>
            </w:tcBorders>
            <w:vAlign w:val="center"/>
          </w:tcPr>
          <w:p>
            <w:pPr>
              <w:pStyle w:val="7"/>
              <w:spacing w:line="240" w:lineRule="auto"/>
              <w:ind w:left="0" w:leftChars="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8.2</w:t>
            </w:r>
          </w:p>
        </w:tc>
        <w:tc>
          <w:tcPr>
            <w:tcW w:w="2176" w:type="dxa"/>
            <w:tcBorders>
              <w:tl2br w:val="nil"/>
              <w:tr2bl w:val="nil"/>
            </w:tcBorders>
            <w:vAlign w:val="center"/>
          </w:tcPr>
          <w:p>
            <w:pPr>
              <w:spacing w:line="240" w:lineRule="auto"/>
              <w:ind w:firstLine="0" w:firstLineChars="0"/>
              <w:rPr>
                <w:rFonts w:hint="default" w:ascii="Times New Roman" w:hAnsi="Times New Roman" w:eastAsia="宋体" w:cs="Times New Roman"/>
                <w:bCs/>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napToGrid w:val="0"/>
                <w:color w:val="000000"/>
                <w:kern w:val="0"/>
                <w:sz w:val="20"/>
                <w:szCs w:val="20"/>
                <w:highlight w:val="none"/>
              </w:rPr>
            </w:pPr>
            <w:r>
              <w:rPr>
                <w:rFonts w:hint="default" w:ascii="Times New Roman" w:hAnsi="Times New Roman" w:eastAsia="宋体" w:cs="Times New Roman"/>
                <w:bCs/>
                <w:sz w:val="20"/>
                <w:szCs w:val="20"/>
                <w:highlight w:val="none"/>
              </w:rPr>
              <w:t>7</w:t>
            </w:r>
          </w:p>
        </w:tc>
        <w:tc>
          <w:tcPr>
            <w:tcW w:w="2222" w:type="dxa"/>
            <w:tcBorders>
              <w:tl2br w:val="nil"/>
              <w:tr2bl w:val="nil"/>
            </w:tcBorders>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sz w:val="20"/>
                <w:szCs w:val="20"/>
                <w:highlight w:val="none"/>
              </w:rPr>
              <w:t>工业水重复利用率</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w:t>
            </w:r>
          </w:p>
        </w:tc>
        <w:tc>
          <w:tcPr>
            <w:tcW w:w="2367" w:type="dxa"/>
            <w:tcBorders>
              <w:tl2br w:val="nil"/>
              <w:tr2bl w:val="nil"/>
            </w:tcBorders>
            <w:vAlign w:val="center"/>
          </w:tcPr>
          <w:p>
            <w:pPr>
              <w:pStyle w:val="7"/>
              <w:spacing w:line="240" w:lineRule="auto"/>
              <w:ind w:left="0" w:leftChars="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90.5</w:t>
            </w:r>
          </w:p>
        </w:tc>
        <w:tc>
          <w:tcPr>
            <w:tcW w:w="2176" w:type="dxa"/>
            <w:tcBorders>
              <w:tl2br w:val="nil"/>
              <w:tr2bl w:val="nil"/>
            </w:tcBorders>
            <w:vAlign w:val="center"/>
          </w:tcPr>
          <w:p>
            <w:pPr>
              <w:spacing w:line="240" w:lineRule="auto"/>
              <w:ind w:firstLine="0" w:firstLineChars="0"/>
              <w:rPr>
                <w:rFonts w:hint="default" w:ascii="Times New Roman" w:hAnsi="Times New Roman" w:eastAsia="宋体" w:cs="Times New Roman"/>
                <w:bCs/>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napToGrid w:val="0"/>
                <w:color w:val="000000"/>
                <w:kern w:val="0"/>
                <w:sz w:val="20"/>
                <w:szCs w:val="20"/>
                <w:highlight w:val="none"/>
              </w:rPr>
            </w:pPr>
            <w:r>
              <w:rPr>
                <w:rFonts w:hint="default" w:ascii="Times New Roman" w:hAnsi="Times New Roman" w:eastAsia="宋体" w:cs="Times New Roman"/>
                <w:bCs/>
                <w:sz w:val="20"/>
                <w:szCs w:val="20"/>
                <w:highlight w:val="none"/>
              </w:rPr>
              <w:t>8</w:t>
            </w:r>
          </w:p>
        </w:tc>
        <w:tc>
          <w:tcPr>
            <w:tcW w:w="2222" w:type="dxa"/>
            <w:tcBorders>
              <w:tl2br w:val="nil"/>
              <w:tr2bl w:val="nil"/>
            </w:tcBorders>
          </w:tcPr>
          <w:p>
            <w:pPr>
              <w:spacing w:line="240" w:lineRule="auto"/>
              <w:ind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固体废物综合利用率</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w:t>
            </w:r>
          </w:p>
        </w:tc>
        <w:tc>
          <w:tcPr>
            <w:tcW w:w="2367" w:type="dxa"/>
            <w:tcBorders>
              <w:tl2br w:val="nil"/>
              <w:tr2bl w:val="nil"/>
            </w:tcBorders>
            <w:vAlign w:val="center"/>
          </w:tcPr>
          <w:p>
            <w:pPr>
              <w:pStyle w:val="7"/>
              <w:spacing w:line="240" w:lineRule="auto"/>
              <w:ind w:left="0" w:leftChars="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100</w:t>
            </w:r>
          </w:p>
        </w:tc>
        <w:tc>
          <w:tcPr>
            <w:tcW w:w="2176" w:type="dxa"/>
            <w:tcBorders>
              <w:tl2br w:val="nil"/>
              <w:tr2bl w:val="nil"/>
            </w:tcBorders>
            <w:vAlign w:val="center"/>
          </w:tcPr>
          <w:p>
            <w:pPr>
              <w:spacing w:line="240" w:lineRule="auto"/>
              <w:ind w:firstLine="0" w:firstLineChars="0"/>
              <w:rPr>
                <w:rFonts w:hint="default" w:ascii="Times New Roman" w:hAnsi="Times New Roman" w:eastAsia="宋体" w:cs="Times New Roman"/>
                <w:bCs/>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napToGrid w:val="0"/>
                <w:color w:val="000000"/>
                <w:kern w:val="0"/>
                <w:sz w:val="20"/>
                <w:szCs w:val="20"/>
                <w:highlight w:val="none"/>
              </w:rPr>
            </w:pPr>
            <w:r>
              <w:rPr>
                <w:rFonts w:hint="default" w:ascii="Times New Roman" w:hAnsi="Times New Roman" w:eastAsia="宋体" w:cs="Times New Roman"/>
                <w:bCs/>
                <w:sz w:val="20"/>
                <w:szCs w:val="20"/>
                <w:highlight w:val="none"/>
              </w:rPr>
              <w:t>9</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占地面积</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m</w:t>
            </w:r>
            <w:r>
              <w:rPr>
                <w:rFonts w:hint="default" w:ascii="Times New Roman" w:hAnsi="Times New Roman" w:eastAsia="宋体" w:cs="Times New Roman"/>
                <w:bCs/>
                <w:sz w:val="20"/>
                <w:szCs w:val="20"/>
                <w:highlight w:val="none"/>
                <w:vertAlign w:val="superscript"/>
              </w:rPr>
              <w:t>2</w:t>
            </w:r>
          </w:p>
        </w:tc>
        <w:tc>
          <w:tcPr>
            <w:tcW w:w="2367" w:type="dxa"/>
            <w:tcBorders>
              <w:tl2br w:val="nil"/>
              <w:tr2bl w:val="nil"/>
            </w:tcBorders>
            <w:vAlign w:val="center"/>
          </w:tcPr>
          <w:p>
            <w:pPr>
              <w:pStyle w:val="7"/>
              <w:spacing w:line="240" w:lineRule="auto"/>
              <w:ind w:left="0" w:leftChars="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bCs/>
                <w:sz w:val="20"/>
                <w:szCs w:val="20"/>
                <w:highlight w:val="none"/>
                <w:lang w:val="en-US" w:eastAsia="zh-CN"/>
              </w:rPr>
              <w:t>22949</w:t>
            </w:r>
          </w:p>
        </w:tc>
        <w:tc>
          <w:tcPr>
            <w:tcW w:w="2176" w:type="dxa"/>
            <w:tcBorders>
              <w:tl2br w:val="nil"/>
              <w:tr2bl w:val="nil"/>
            </w:tcBorders>
            <w:vAlign w:val="center"/>
          </w:tcPr>
          <w:p>
            <w:pPr>
              <w:spacing w:line="240" w:lineRule="auto"/>
              <w:ind w:firstLine="0" w:firstLineChars="0"/>
              <w:rPr>
                <w:rFonts w:hint="default" w:ascii="Times New Roman" w:hAnsi="Times New Roman" w:eastAsia="宋体" w:cs="Times New Roman"/>
                <w:bCs/>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napToGrid w:val="0"/>
                <w:color w:val="000000"/>
                <w:kern w:val="0"/>
                <w:sz w:val="20"/>
                <w:szCs w:val="20"/>
                <w:highlight w:val="none"/>
              </w:rPr>
            </w:pPr>
            <w:r>
              <w:rPr>
                <w:rFonts w:hint="default" w:ascii="Times New Roman" w:hAnsi="Times New Roman" w:eastAsia="宋体" w:cs="Times New Roman"/>
                <w:bCs/>
                <w:sz w:val="20"/>
                <w:szCs w:val="20"/>
                <w:highlight w:val="none"/>
              </w:rPr>
              <w:t>10</w:t>
            </w:r>
          </w:p>
        </w:tc>
        <w:tc>
          <w:tcPr>
            <w:tcW w:w="22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劳动定员</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0"/>
                <w:szCs w:val="20"/>
                <w:highlight w:val="none"/>
              </w:rPr>
            </w:pPr>
            <w:r>
              <w:rPr>
                <w:rFonts w:hint="default" w:ascii="Times New Roman" w:hAnsi="Times New Roman" w:eastAsia="宋体" w:cs="Times New Roman"/>
                <w:bCs/>
                <w:sz w:val="20"/>
                <w:szCs w:val="20"/>
                <w:highlight w:val="none"/>
              </w:rPr>
              <w:t>人</w:t>
            </w:r>
          </w:p>
        </w:tc>
        <w:tc>
          <w:tcPr>
            <w:tcW w:w="2367" w:type="dxa"/>
            <w:tcBorders>
              <w:tl2br w:val="nil"/>
              <w:tr2bl w:val="nil"/>
            </w:tcBorders>
            <w:vAlign w:val="center"/>
          </w:tcPr>
          <w:p>
            <w:pPr>
              <w:pStyle w:val="11"/>
              <w:snapToGrid/>
              <w:jc w:val="center"/>
              <w:rPr>
                <w:rFonts w:hint="default" w:ascii="Times New Roman" w:hAnsi="Times New Roman" w:eastAsia="宋体" w:cs="Times New Roman"/>
                <w:bCs/>
                <w:kern w:val="0"/>
                <w:sz w:val="20"/>
                <w:szCs w:val="20"/>
                <w:highlight w:val="none"/>
                <w:lang w:val="en-US" w:eastAsia="zh-CN"/>
              </w:rPr>
            </w:pPr>
            <w:r>
              <w:rPr>
                <w:rFonts w:hint="eastAsia" w:ascii="Times New Roman" w:hAnsi="Times New Roman" w:eastAsia="宋体" w:cs="Times New Roman"/>
                <w:bCs/>
                <w:kern w:val="0"/>
                <w:sz w:val="20"/>
                <w:szCs w:val="20"/>
                <w:highlight w:val="none"/>
                <w:lang w:val="en-US" w:eastAsia="zh-CN"/>
              </w:rPr>
              <w:t>40</w:t>
            </w:r>
          </w:p>
        </w:tc>
        <w:tc>
          <w:tcPr>
            <w:tcW w:w="2176" w:type="dxa"/>
            <w:tcBorders>
              <w:tl2br w:val="nil"/>
              <w:tr2bl w:val="nil"/>
            </w:tcBorders>
            <w:vAlign w:val="center"/>
          </w:tcPr>
          <w:p>
            <w:pPr>
              <w:spacing w:line="240" w:lineRule="auto"/>
              <w:ind w:firstLine="0" w:firstLineChars="0"/>
              <w:rPr>
                <w:rFonts w:hint="default" w:ascii="Times New Roman" w:hAnsi="Times New Roman" w:eastAsia="宋体" w:cs="Times New Roman"/>
                <w:bCs/>
                <w:sz w:val="20"/>
                <w:szCs w:val="20"/>
                <w:highlight w:val="none"/>
              </w:rPr>
            </w:pPr>
          </w:p>
        </w:tc>
      </w:tr>
      <w:bookmarkEnd w:id="178"/>
    </w:tbl>
    <w:p>
      <w:pPr>
        <w:pStyle w:val="10"/>
        <w:rPr>
          <w:rFonts w:hint="default"/>
          <w:highlight w:val="none"/>
          <w:lang w:val="en-US"/>
        </w:rPr>
      </w:pPr>
    </w:p>
    <w:p>
      <w:pPr>
        <w:keepNext w:val="0"/>
        <w:keepLines w:val="0"/>
        <w:pageBreakBefore w:val="0"/>
        <w:widowControl/>
        <w:kinsoku w:val="0"/>
        <w:wordWrap/>
        <w:overflowPunct/>
        <w:topLinePunct w:val="0"/>
        <w:autoSpaceDE w:val="0"/>
        <w:autoSpaceDN w:val="0"/>
        <w:bidi w:val="0"/>
        <w:adjustRightInd w:val="0"/>
        <w:snapToGrid w:val="0"/>
        <w:spacing w:before="75" w:line="240" w:lineRule="atLeast"/>
        <w:ind w:left="125"/>
        <w:textAlignment w:val="baseline"/>
        <w:outlineLvl w:val="2"/>
        <w:rPr>
          <w:rFonts w:hint="default" w:ascii="Times New Roman" w:hAnsi="Times New Roman" w:eastAsia="宋体" w:cs="Times New Roman"/>
          <w:sz w:val="23"/>
          <w:szCs w:val="23"/>
          <w:highlight w:val="none"/>
        </w:rPr>
      </w:pPr>
      <w:bookmarkStart w:id="179" w:name="_Toc13519"/>
      <w:bookmarkStart w:id="180" w:name="_Toc12261"/>
      <w:bookmarkStart w:id="181" w:name="_Toc8423"/>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8</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给、排水情况</w:t>
      </w:r>
      <w:bookmarkEnd w:id="179"/>
      <w:bookmarkEnd w:id="180"/>
      <w:bookmarkEnd w:id="181"/>
    </w:p>
    <w:p>
      <w:pPr>
        <w:spacing w:line="257" w:lineRule="auto"/>
        <w:rPr>
          <w:rFonts w:hint="default" w:ascii="Times New Roman" w:hAnsi="Times New Roman" w:cs="Times New Roman"/>
          <w:sz w:val="21"/>
          <w:highlight w:val="none"/>
        </w:rPr>
      </w:pPr>
    </w:p>
    <w:p>
      <w:pPr>
        <w:tabs>
          <w:tab w:val="left" w:pos="256"/>
        </w:tabs>
        <w:spacing w:before="74" w:line="404" w:lineRule="auto"/>
        <w:ind w:left="131" w:right="111" w:firstLine="490"/>
        <w:rPr>
          <w:rFonts w:hint="default" w:ascii="Times New Roman" w:hAnsi="Times New Roman" w:cs="Times New Roman"/>
          <w:sz w:val="21"/>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1</w:t>
      </w:r>
      <w:r>
        <w:rPr>
          <w:rFonts w:hint="default" w:ascii="Times New Roman" w:hAnsi="Times New Roman" w:eastAsia="宋体" w:cs="Times New Roman"/>
          <w:spacing w:val="13"/>
          <w:sz w:val="23"/>
          <w:szCs w:val="23"/>
          <w:highlight w:val="none"/>
        </w:rPr>
        <w:t>) 给水：供水水源为自备地下水井，能够满足生活、生产用水需</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要 。</w:t>
      </w:r>
      <w:r>
        <w:rPr>
          <w:rFonts w:hint="eastAsia" w:ascii="Times New Roman" w:hAnsi="Times New Roman" w:eastAsia="宋体" w:cs="Times New Roman"/>
          <w:spacing w:val="6"/>
          <w:sz w:val="23"/>
          <w:szCs w:val="23"/>
          <w:highlight w:val="none"/>
          <w:lang w:val="en-US" w:eastAsia="zh-CN"/>
        </w:rPr>
        <w:t>改扩建完成后全厂</w:t>
      </w:r>
      <w:r>
        <w:rPr>
          <w:rFonts w:hint="default" w:ascii="Times New Roman" w:hAnsi="Times New Roman" w:eastAsia="宋体" w:cs="Times New Roman"/>
          <w:spacing w:val="6"/>
          <w:sz w:val="23"/>
          <w:szCs w:val="23"/>
          <w:highlight w:val="none"/>
        </w:rPr>
        <w:t>总用水量为</w:t>
      </w:r>
      <w:r>
        <w:rPr>
          <w:rFonts w:hint="eastAsia" w:ascii="Times New Roman" w:hAnsi="Times New Roman" w:eastAsia="宋体" w:cs="Times New Roman"/>
          <w:spacing w:val="6"/>
          <w:sz w:val="23"/>
          <w:szCs w:val="23"/>
          <w:highlight w:val="none"/>
          <w:lang w:val="en-US" w:eastAsia="zh-CN"/>
        </w:rPr>
        <w:t>3092.6</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8"/>
          <w:sz w:val="15"/>
          <w:szCs w:val="15"/>
          <w:highlight w:val="none"/>
        </w:rPr>
        <w:t>3</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w:t>
      </w:r>
      <w:r>
        <w:rPr>
          <w:rFonts w:hint="eastAsia" w:ascii="Times New Roman" w:hAnsi="Times New Roman" w:eastAsia="宋体" w:cs="Times New Roman"/>
          <w:spacing w:val="6"/>
          <w:sz w:val="23"/>
          <w:szCs w:val="23"/>
          <w:highlight w:val="none"/>
          <w:lang w:val="en-US" w:eastAsia="zh-CN"/>
        </w:rPr>
        <w:t>927780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8"/>
          <w:sz w:val="15"/>
          <w:szCs w:val="15"/>
          <w:highlight w:val="none"/>
        </w:rPr>
        <w:t>3</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 ，其中新水用量为</w:t>
      </w:r>
      <w:r>
        <w:rPr>
          <w:rFonts w:hint="eastAsia" w:ascii="Times New Roman" w:hAnsi="Times New Roman" w:eastAsia="宋体" w:cs="Times New Roman"/>
          <w:spacing w:val="6"/>
          <w:sz w:val="23"/>
          <w:szCs w:val="23"/>
          <w:highlight w:val="none"/>
          <w:lang w:val="en-US" w:eastAsia="zh-CN"/>
        </w:rPr>
        <w:t>359.4</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8"/>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 xml:space="preserve">d </w:t>
      </w:r>
      <w:r>
        <w:rPr>
          <w:rFonts w:hint="default" w:ascii="Times New Roman" w:hAnsi="Times New Roman" w:eastAsia="宋体" w:cs="Times New Roman"/>
          <w:sz w:val="23"/>
          <w:szCs w:val="23"/>
          <w:highlight w:val="none"/>
        </w:rPr>
        <w:tab/>
      </w:r>
      <w:r>
        <w:rPr>
          <w:rFonts w:hint="default" w:ascii="Times New Roman" w:hAnsi="Times New Roman" w:eastAsia="宋体" w:cs="Times New Roman"/>
          <w:spacing w:val="2"/>
          <w:sz w:val="23"/>
          <w:szCs w:val="23"/>
          <w:highlight w:val="none"/>
        </w:rPr>
        <w:t>(</w:t>
      </w:r>
      <w:r>
        <w:rPr>
          <w:rFonts w:hint="eastAsia" w:ascii="Times New Roman" w:hAnsi="Times New Roman" w:eastAsia="宋体" w:cs="Times New Roman"/>
          <w:spacing w:val="2"/>
          <w:sz w:val="23"/>
          <w:szCs w:val="23"/>
          <w:highlight w:val="none"/>
          <w:lang w:val="en-US" w:eastAsia="zh-CN"/>
        </w:rPr>
        <w:t>107820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，循环水量为</w:t>
      </w:r>
      <w:r>
        <w:rPr>
          <w:rFonts w:hint="eastAsia" w:ascii="Times New Roman" w:hAnsi="Times New Roman" w:eastAsia="宋体" w:cs="Times New Roman"/>
          <w:spacing w:val="1"/>
          <w:sz w:val="23"/>
          <w:szCs w:val="23"/>
          <w:highlight w:val="none"/>
          <w:lang w:val="en-US" w:eastAsia="zh-CN"/>
        </w:rPr>
        <w:t>2733</w:t>
      </w:r>
      <w:r>
        <w:rPr>
          <w:rFonts w:hint="default" w:ascii="Times New Roman" w:hAnsi="Times New Roman" w:eastAsia="Times New Roman" w:cs="Times New Roman"/>
          <w:spacing w:val="1"/>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w:t>
      </w:r>
      <w:r>
        <w:rPr>
          <w:rFonts w:hint="eastAsia" w:ascii="Times New Roman" w:hAnsi="Times New Roman" w:eastAsia="宋体" w:cs="Times New Roman"/>
          <w:spacing w:val="1"/>
          <w:sz w:val="23"/>
          <w:szCs w:val="23"/>
          <w:highlight w:val="none"/>
          <w:lang w:val="en-US" w:eastAsia="zh-CN"/>
        </w:rPr>
        <w:t>819960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w:t>
      </w:r>
      <w:r>
        <w:rPr>
          <w:rFonts w:hint="default" w:ascii="Times New Roman" w:hAnsi="Times New Roman" w:cs="Times New Roman"/>
          <w:highlight w:val="none"/>
        </w:rPr>
        <mc:AlternateContent>
          <mc:Choice Requires="wps">
            <w:drawing>
              <wp:anchor distT="0" distB="0" distL="114300" distR="114300" simplePos="0" relativeHeight="251848704" behindDoc="0" locked="0" layoutInCell="0" allowOverlap="1">
                <wp:simplePos x="0" y="0"/>
                <wp:positionH relativeFrom="page">
                  <wp:posOffset>1141095</wp:posOffset>
                </wp:positionH>
                <wp:positionV relativeFrom="page">
                  <wp:posOffset>771525</wp:posOffset>
                </wp:positionV>
                <wp:extent cx="5278755" cy="9525"/>
                <wp:effectExtent l="0" t="0" r="0" b="0"/>
                <wp:wrapNone/>
                <wp:docPr id="134" name="任意多边形 134"/>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60.75pt;height:0.75pt;width:415.65pt;mso-position-horizontal-relative:page;mso-position-vertical-relative:page;z-index:251848704;mso-width-relative:page;mso-height-relative:page;" fillcolor="#000000" filled="t" stroked="f" coordsize="8312,15" o:allowincell="f" o:gfxdata="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HDljaAAAADAEAAA8AAAAA&#10;AAAAAQAgAAAAIgAAAGRycy9kb3ducmV2LnhtbFBLAQIUABQAAAAIAIdO4kD6rds6EgIAAH8EAAAO&#10;AAAAAAAAAAEAIAAAACkBAABkcnMvZTJvRG9jLnhtbFBLBQYAAAAABgAGAFkBAACtBQAAAAA=&#10;" path="m0,0l8312,0,8312,14,0,14,0,0xe">
                <v:fill on="t" focussize="0,0"/>
                <v:stroke on="f"/>
                <v:imagedata o:title=""/>
                <o:lock v:ext="edit" aspectratio="f"/>
              </v:shape>
            </w:pict>
          </mc:Fallback>
        </mc:AlternateContent>
      </w:r>
    </w:p>
    <w:p>
      <w:pPr>
        <w:tabs>
          <w:tab w:val="left" w:pos="187"/>
        </w:tabs>
        <w:spacing w:before="75" w:line="401" w:lineRule="auto"/>
        <w:ind w:left="63"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
          <w:sz w:val="23"/>
          <w:szCs w:val="23"/>
          <w:highlight w:val="none"/>
        </w:rPr>
        <w:t xml:space="preserve">①生产用水量 </w:t>
      </w:r>
      <w:r>
        <w:rPr>
          <w:rFonts w:hint="eastAsia" w:ascii="Times New Roman" w:hAnsi="Times New Roman" w:eastAsia="宋体" w:cs="Times New Roman"/>
          <w:spacing w:val="1"/>
          <w:sz w:val="23"/>
          <w:szCs w:val="23"/>
          <w:highlight w:val="none"/>
          <w:lang w:val="en-US" w:eastAsia="zh-CN"/>
        </w:rPr>
        <w:t>30</w:t>
      </w:r>
      <w:r>
        <w:rPr>
          <w:rFonts w:hint="default" w:ascii="Times New Roman" w:hAnsi="Times New Roman" w:eastAsia="Times New Roman" w:cs="Times New Roman"/>
          <w:spacing w:val="1"/>
          <w:sz w:val="23"/>
          <w:szCs w:val="23"/>
          <w:highlight w:val="none"/>
        </w:rPr>
        <w:t>78. 1</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宋体" w:cs="Times New Roman"/>
          <w:sz w:val="23"/>
          <w:szCs w:val="23"/>
          <w:highlight w:val="none"/>
        </w:rPr>
        <w:t xml:space="preserve">，主要用于球磨、磁选等工序， </w:t>
      </w:r>
      <w:r>
        <w:rPr>
          <w:rFonts w:hint="default" w:ascii="Times New Roman" w:hAnsi="Times New Roman" w:eastAsia="宋体" w:cs="Times New Roman"/>
          <w:spacing w:val="4"/>
          <w:sz w:val="23"/>
          <w:szCs w:val="23"/>
          <w:highlight w:val="none"/>
        </w:rPr>
        <w:t xml:space="preserve">其中循环用水 </w:t>
      </w:r>
      <w:r>
        <w:rPr>
          <w:rFonts w:hint="default" w:ascii="Times New Roman" w:hAnsi="Times New Roman" w:eastAsia="Times New Roman" w:cs="Times New Roman"/>
          <w:spacing w:val="4"/>
          <w:sz w:val="23"/>
          <w:szCs w:val="23"/>
          <w:highlight w:val="none"/>
        </w:rPr>
        <w:t>2</w:t>
      </w:r>
      <w:r>
        <w:rPr>
          <w:rFonts w:hint="eastAsia" w:ascii="Times New Roman" w:hAnsi="Times New Roman" w:eastAsia="宋体" w:cs="Times New Roman"/>
          <w:spacing w:val="4"/>
          <w:sz w:val="23"/>
          <w:szCs w:val="23"/>
          <w:highlight w:val="none"/>
          <w:lang w:val="en-US" w:eastAsia="zh-CN"/>
        </w:rPr>
        <w:t>73</w:t>
      </w:r>
      <w:r>
        <w:rPr>
          <w:rFonts w:hint="default" w:ascii="Times New Roman" w:hAnsi="Times New Roman" w:eastAsia="Times New Roman" w:cs="Times New Roman"/>
          <w:spacing w:val="4"/>
          <w:sz w:val="23"/>
          <w:szCs w:val="23"/>
          <w:highlight w:val="none"/>
        </w:rPr>
        <w:t>1.</w:t>
      </w:r>
      <w:r>
        <w:rPr>
          <w:rFonts w:hint="default" w:ascii="Times New Roman" w:hAnsi="Times New Roman" w:eastAsia="Times New Roman" w:cs="Times New Roman"/>
          <w:spacing w:val="3"/>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position w:val="8"/>
          <w:sz w:val="15"/>
          <w:szCs w:val="15"/>
          <w:highlight w:val="none"/>
        </w:rPr>
        <w:t>3</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宋体" w:cs="Times New Roman"/>
          <w:spacing w:val="2"/>
          <w:sz w:val="23"/>
          <w:szCs w:val="23"/>
          <w:highlight w:val="none"/>
        </w:rPr>
        <w:t>，球磨和磁选工序补充新鲜水</w:t>
      </w:r>
      <w:r>
        <w:rPr>
          <w:rFonts w:hint="eastAsia" w:ascii="Times New Roman" w:hAnsi="Times New Roman" w:eastAsia="宋体" w:cs="Times New Roman"/>
          <w:spacing w:val="2"/>
          <w:sz w:val="23"/>
          <w:szCs w:val="23"/>
          <w:highlight w:val="none"/>
          <w:lang w:val="en-US" w:eastAsia="zh-CN"/>
        </w:rPr>
        <w:t>28</w:t>
      </w:r>
      <w:r>
        <w:rPr>
          <w:rFonts w:hint="default" w:ascii="Times New Roman" w:hAnsi="Times New Roman" w:eastAsia="Times New Roman" w:cs="Times New Roman"/>
          <w:spacing w:val="2"/>
          <w:sz w:val="23"/>
          <w:szCs w:val="23"/>
          <w:highlight w:val="none"/>
        </w:rPr>
        <w:t>6.9</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position w:val="8"/>
          <w:sz w:val="15"/>
          <w:szCs w:val="15"/>
          <w:highlight w:val="none"/>
        </w:rPr>
        <w:t>3</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 xml:space="preserve">d </w:t>
      </w:r>
      <w:r>
        <w:rPr>
          <w:rFonts w:hint="default" w:ascii="Times New Roman" w:hAnsi="Times New Roman" w:eastAsia="宋体" w:cs="Times New Roman"/>
          <w:spacing w:val="1"/>
          <w:sz w:val="23"/>
          <w:szCs w:val="23"/>
          <w:highlight w:val="none"/>
        </w:rPr>
        <w:t xml:space="preserve">，循环利用率约 </w:t>
      </w:r>
      <w:r>
        <w:rPr>
          <w:rFonts w:hint="default" w:ascii="Times New Roman" w:hAnsi="Times New Roman" w:eastAsia="Times New Roman" w:cs="Times New Roman"/>
          <w:spacing w:val="1"/>
          <w:sz w:val="23"/>
          <w:szCs w:val="23"/>
          <w:highlight w:val="none"/>
        </w:rPr>
        <w:t>9</w:t>
      </w:r>
      <w:r>
        <w:rPr>
          <w:rFonts w:hint="eastAsia" w:ascii="Times New Roman" w:hAnsi="Times New Roman" w:eastAsia="宋体" w:cs="Times New Roman"/>
          <w:spacing w:val="1"/>
          <w:sz w:val="23"/>
          <w:szCs w:val="23"/>
          <w:highlight w:val="none"/>
          <w:lang w:val="en-US" w:eastAsia="zh-CN"/>
        </w:rPr>
        <w:t>0</w:t>
      </w:r>
      <w:r>
        <w:rPr>
          <w:rFonts w:hint="default" w:ascii="Times New Roman" w:hAnsi="Times New Roman" w:eastAsia="Times New Roman" w:cs="Times New Roman"/>
          <w:spacing w:val="1"/>
          <w:sz w:val="23"/>
          <w:szCs w:val="23"/>
          <w:highlight w:val="none"/>
        </w:rPr>
        <w:t>.5%</w:t>
      </w:r>
      <w:r>
        <w:rPr>
          <w:rFonts w:hint="default" w:ascii="Times New Roman" w:hAnsi="Times New Roman" w:eastAsia="宋体" w:cs="Times New Roman"/>
          <w:spacing w:val="1"/>
          <w:sz w:val="23"/>
          <w:szCs w:val="23"/>
          <w:highlight w:val="none"/>
        </w:rPr>
        <w:t>。</w:t>
      </w:r>
    </w:p>
    <w:p>
      <w:pPr>
        <w:spacing w:before="1" w:line="401" w:lineRule="auto"/>
        <w:ind w:left="73" w:right="67" w:firstLine="46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3"/>
          <w:sz w:val="23"/>
          <w:szCs w:val="23"/>
          <w:highlight w:val="none"/>
        </w:rPr>
        <w:t>②</w:t>
      </w:r>
      <w:r>
        <w:rPr>
          <w:rFonts w:hint="default" w:ascii="Times New Roman" w:hAnsi="Times New Roman" w:eastAsia="宋体" w:cs="Times New Roman"/>
          <w:spacing w:val="16"/>
          <w:sz w:val="23"/>
          <w:szCs w:val="23"/>
          <w:highlight w:val="none"/>
        </w:rPr>
        <w:t xml:space="preserve">喷雾抑尘用水：成品库、砂石料库等喷雾抑尘用水为 </w:t>
      </w:r>
      <w:r>
        <w:rPr>
          <w:rFonts w:hint="eastAsia" w:ascii="Times New Roman" w:hAnsi="Times New Roman" w:eastAsia="宋体" w:cs="Times New Roman"/>
          <w:spacing w:val="16"/>
          <w:sz w:val="23"/>
          <w:szCs w:val="23"/>
          <w:highlight w:val="none"/>
          <w:lang w:val="en-US" w:eastAsia="zh-CN"/>
        </w:rPr>
        <w:t>4</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6"/>
          <w:position w:val="8"/>
          <w:sz w:val="15"/>
          <w:szCs w:val="15"/>
          <w:highlight w:val="none"/>
        </w:rPr>
        <w:t>3</w:t>
      </w:r>
      <w:r>
        <w:rPr>
          <w:rFonts w:hint="default" w:ascii="Times New Roman" w:hAnsi="Times New Roman" w:eastAsia="Times New Roman" w:cs="Times New Roman"/>
          <w:spacing w:val="16"/>
          <w:sz w:val="23"/>
          <w:szCs w:val="23"/>
          <w:highlight w:val="none"/>
        </w:rPr>
        <w:t>/</w:t>
      </w:r>
      <w:r>
        <w:rPr>
          <w:rFonts w:hint="default" w:ascii="Times New Roman" w:hAnsi="Times New Roman" w:eastAsia="Times New Roman" w:cs="Times New Roman"/>
          <w:sz w:val="23"/>
          <w:szCs w:val="23"/>
          <w:highlight w:val="none"/>
        </w:rPr>
        <w:t xml:space="preserve">d </w:t>
      </w:r>
      <w:r>
        <w:rPr>
          <w:rFonts w:hint="default" w:ascii="Times New Roman" w:hAnsi="Times New Roman" w:eastAsia="宋体" w:cs="Times New Roman"/>
          <w:spacing w:val="7"/>
          <w:sz w:val="23"/>
          <w:szCs w:val="23"/>
          <w:highlight w:val="none"/>
        </w:rPr>
        <w:t xml:space="preserve"> 。</w:t>
      </w:r>
    </w:p>
    <w:p>
      <w:pPr>
        <w:tabs>
          <w:tab w:val="left" w:pos="187"/>
        </w:tabs>
        <w:spacing w:before="2" w:line="404" w:lineRule="auto"/>
        <w:ind w:left="58"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③</w:t>
      </w:r>
      <w:r>
        <w:rPr>
          <w:rFonts w:hint="default" w:ascii="Times New Roman" w:hAnsi="Times New Roman" w:eastAsia="宋体" w:cs="Times New Roman"/>
          <w:spacing w:val="11"/>
          <w:sz w:val="23"/>
          <w:szCs w:val="23"/>
          <w:highlight w:val="none"/>
        </w:rPr>
        <w:t>在</w:t>
      </w:r>
      <w:r>
        <w:rPr>
          <w:rFonts w:hint="default" w:ascii="Times New Roman" w:hAnsi="Times New Roman" w:eastAsia="宋体" w:cs="Times New Roman"/>
          <w:spacing w:val="7"/>
          <w:sz w:val="23"/>
          <w:szCs w:val="23"/>
          <w:highlight w:val="none"/>
        </w:rPr>
        <w:t>厂区出入口设置洗车平台清洗运输车辆，车辆冲洗用水量为</w:t>
      </w:r>
      <w:r>
        <w:rPr>
          <w:rFonts w:hint="eastAsia" w:ascii="Times New Roman" w:hAnsi="Times New Roman" w:eastAsia="宋体" w:cs="Times New Roman"/>
          <w:spacing w:val="7"/>
          <w:sz w:val="23"/>
          <w:szCs w:val="23"/>
          <w:highlight w:val="none"/>
          <w:lang w:val="en-US" w:eastAsia="zh-CN"/>
        </w:rPr>
        <w:t>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position w:val="7"/>
          <w:sz w:val="15"/>
          <w:szCs w:val="15"/>
          <w:highlight w:val="none"/>
        </w:rPr>
        <w:t>3</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 xml:space="preserve">d </w:t>
      </w:r>
      <w:r>
        <w:rPr>
          <w:rFonts w:hint="default" w:ascii="Times New Roman" w:hAnsi="Times New Roman" w:eastAsia="宋体" w:cs="Times New Roman"/>
          <w:spacing w:val="9"/>
          <w:sz w:val="23"/>
          <w:szCs w:val="23"/>
          <w:highlight w:val="none"/>
        </w:rPr>
        <w:t xml:space="preserve"> ，洗车平台四周应设置防溢座，洗车过程中产生的经废水导流渠</w:t>
      </w:r>
      <w:r>
        <w:rPr>
          <w:rFonts w:hint="default" w:ascii="Times New Roman" w:hAnsi="Times New Roman" w:eastAsia="宋体" w:cs="Times New Roman"/>
          <w:spacing w:val="7"/>
          <w:sz w:val="23"/>
          <w:szCs w:val="23"/>
          <w:highlight w:val="none"/>
        </w:rPr>
        <w:t>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入沉淀池内</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5"/>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×2.5</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5"/>
          <w:sz w:val="23"/>
          <w:szCs w:val="23"/>
          <w:highlight w:val="none"/>
        </w:rPr>
        <w:t>)，经沉淀后的洗车废水流入清水池内(</w:t>
      </w:r>
      <w:r>
        <w:rPr>
          <w:rFonts w:hint="default" w:ascii="Times New Roman" w:hAnsi="Times New Roman" w:eastAsia="Times New Roman" w:cs="Times New Roman"/>
          <w:spacing w:val="5"/>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×2.5</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5"/>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清洗及沉淀过程随车辆带走及蒸发损耗水量为</w:t>
      </w:r>
      <w:r>
        <w:rPr>
          <w:rFonts w:hint="eastAsia" w:ascii="Times New Roman" w:hAnsi="Times New Roman" w:eastAsia="宋体" w:cs="Times New Roman"/>
          <w:spacing w:val="9"/>
          <w:sz w:val="23"/>
          <w:szCs w:val="23"/>
          <w:highlight w:val="none"/>
          <w:lang w:val="en-US" w:eastAsia="zh-CN"/>
        </w:rPr>
        <w:t>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position w:val="7"/>
          <w:sz w:val="15"/>
          <w:szCs w:val="15"/>
          <w:highlight w:val="none"/>
        </w:rPr>
        <w:t>3</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，循环水</w:t>
      </w:r>
      <w:r>
        <w:rPr>
          <w:rFonts w:hint="default" w:ascii="Times New Roman" w:hAnsi="Times New Roman" w:eastAsia="宋体" w:cs="Times New Roman"/>
          <w:spacing w:val="7"/>
          <w:sz w:val="23"/>
          <w:szCs w:val="23"/>
          <w:highlight w:val="none"/>
        </w:rPr>
        <w:t>量</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2"/>
          <w:sz w:val="23"/>
          <w:szCs w:val="23"/>
          <w:highlight w:val="none"/>
        </w:rPr>
        <w:t>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position w:val="7"/>
          <w:sz w:val="15"/>
          <w:szCs w:val="15"/>
          <w:highlight w:val="none"/>
        </w:rPr>
        <w:t>3</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1"/>
          <w:sz w:val="23"/>
          <w:szCs w:val="23"/>
          <w:highlight w:val="none"/>
        </w:rPr>
        <w:t xml:space="preserve"> ，补充新水量</w:t>
      </w:r>
      <w:r>
        <w:rPr>
          <w:rFonts w:hint="eastAsia" w:ascii="Times New Roman" w:hAnsi="Times New Roman" w:eastAsia="宋体" w:cs="Times New Roman"/>
          <w:spacing w:val="1"/>
          <w:sz w:val="23"/>
          <w:szCs w:val="23"/>
          <w:highlight w:val="none"/>
          <w:lang w:val="en-US" w:eastAsia="zh-CN"/>
        </w:rPr>
        <w:t>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w:t>
      </w:r>
    </w:p>
    <w:p>
      <w:pPr>
        <w:spacing w:before="3" w:line="388" w:lineRule="auto"/>
        <w:ind w:left="64" w:right="68" w:firstLine="47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④</w:t>
      </w:r>
      <w:r>
        <w:rPr>
          <w:rFonts w:hint="default" w:ascii="Times New Roman" w:hAnsi="Times New Roman" w:eastAsia="宋体" w:cs="Times New Roman"/>
          <w:spacing w:val="7"/>
          <w:sz w:val="23"/>
          <w:szCs w:val="23"/>
          <w:highlight w:val="none"/>
        </w:rPr>
        <w:t>生活用水主要为职工日常饮用、盥洗等用水</w:t>
      </w:r>
      <w:r>
        <w:rPr>
          <w:rFonts w:hint="default" w:ascii="Times New Roman" w:hAnsi="Times New Roman" w:eastAsia="宋体" w:cs="Times New Roman"/>
          <w:spacing w:val="2"/>
          <w:sz w:val="23"/>
          <w:szCs w:val="23"/>
          <w:highlight w:val="none"/>
        </w:rPr>
        <w:t>，</w:t>
      </w:r>
      <w:r>
        <w:rPr>
          <w:rFonts w:hint="default" w:ascii="Times New Roman" w:hAnsi="Times New Roman" w:eastAsia="宋体" w:cs="Times New Roman"/>
          <w:spacing w:val="3"/>
          <w:sz w:val="23"/>
          <w:szCs w:val="23"/>
          <w:highlight w:val="none"/>
        </w:rPr>
        <w:t xml:space="preserve">职工生活用水量为 </w:t>
      </w:r>
      <w:r>
        <w:rPr>
          <w:rFonts w:hint="default" w:ascii="Times New Roman" w:hAnsi="Times New Roman" w:eastAsia="Times New Roman" w:cs="Times New Roman"/>
          <w:spacing w:val="3"/>
          <w:sz w:val="23"/>
          <w:szCs w:val="23"/>
          <w:highlight w:val="none"/>
        </w:rPr>
        <w:t>1.5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position w:val="7"/>
          <w:sz w:val="15"/>
          <w:szCs w:val="15"/>
          <w:highlight w:val="none"/>
        </w:rPr>
        <w:t>3</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w:t>
      </w:r>
      <w:r>
        <w:rPr>
          <w:rFonts w:hint="default" w:ascii="Times New Roman" w:hAnsi="Times New Roman" w:eastAsia="Times New Roman" w:cs="Times New Roman"/>
          <w:spacing w:val="3"/>
          <w:sz w:val="23"/>
          <w:szCs w:val="23"/>
          <w:highlight w:val="none"/>
        </w:rPr>
        <w:t>450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position w:val="7"/>
          <w:sz w:val="15"/>
          <w:szCs w:val="15"/>
          <w:highlight w:val="none"/>
        </w:rPr>
        <w:t>3</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 。</w:t>
      </w:r>
    </w:p>
    <w:p>
      <w:pPr>
        <w:numPr>
          <w:ilvl w:val="0"/>
          <w:numId w:val="2"/>
        </w:numPr>
        <w:spacing w:line="405" w:lineRule="auto"/>
        <w:ind w:left="62" w:right="42" w:firstLine="491"/>
        <w:rPr>
          <w:rFonts w:hint="default" w:ascii="Times New Roman" w:hAnsi="Times New Roman" w:eastAsia="宋体" w:cs="Times New Roman"/>
          <w:spacing w:val="1"/>
          <w:sz w:val="23"/>
          <w:szCs w:val="23"/>
          <w:highlight w:val="none"/>
        </w:rPr>
      </w:pPr>
      <w:r>
        <w:rPr>
          <w:rFonts w:hint="default" w:ascii="Times New Roman" w:hAnsi="Times New Roman" w:eastAsia="宋体" w:cs="Times New Roman"/>
          <w:spacing w:val="13"/>
          <w:sz w:val="23"/>
          <w:szCs w:val="23"/>
          <w:highlight w:val="none"/>
        </w:rPr>
        <w:t>排水：生产用水全部循环使用不外排；喷雾抑尘用水全部进入原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料中蒸发损耗，不外排；车辆冲洗水排入沉淀池，经沉淀后循环使用，不外排；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职</w:t>
      </w:r>
      <w:r>
        <w:rPr>
          <w:rFonts w:hint="default" w:ascii="Times New Roman" w:hAnsi="Times New Roman" w:eastAsia="宋体" w:cs="Times New Roman"/>
          <w:spacing w:val="7"/>
          <w:sz w:val="23"/>
          <w:szCs w:val="23"/>
          <w:highlight w:val="none"/>
        </w:rPr>
        <w:t>工生活污水排入化粪池后由环卫部门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定期清掏。因此项目无外排废水。给排水情况见表 </w:t>
      </w:r>
      <w:r>
        <w:rPr>
          <w:rFonts w:hint="default" w:ascii="Times New Roman" w:hAnsi="Times New Roman" w:eastAsia="Times New Roman" w:cs="Times New Roman"/>
          <w:spacing w:val="2"/>
          <w:sz w:val="23"/>
          <w:szCs w:val="23"/>
          <w:highlight w:val="none"/>
        </w:rPr>
        <w:t>3</w:t>
      </w:r>
      <w:r>
        <w:rPr>
          <w:rFonts w:hint="default" w:ascii="Times New Roman" w:hAnsi="Times New Roman" w:eastAsia="Times New Roman" w:cs="Times New Roman"/>
          <w:spacing w:val="1"/>
          <w:sz w:val="23"/>
          <w:szCs w:val="23"/>
          <w:highlight w:val="none"/>
        </w:rPr>
        <w:t>.</w:t>
      </w:r>
      <w:r>
        <w:rPr>
          <w:rFonts w:hint="eastAsia" w:ascii="Times New Roman" w:hAnsi="Times New Roman" w:eastAsia="宋体" w:cs="Times New Roman"/>
          <w:spacing w:val="1"/>
          <w:sz w:val="23"/>
          <w:szCs w:val="23"/>
          <w:highlight w:val="none"/>
          <w:lang w:val="en-US" w:eastAsia="zh-CN"/>
        </w:rPr>
        <w:t>2</w:t>
      </w:r>
      <w:r>
        <w:rPr>
          <w:rFonts w:hint="default" w:ascii="Times New Roman" w:hAnsi="Times New Roman" w:eastAsia="Times New Roman" w:cs="Times New Roman"/>
          <w:spacing w:val="1"/>
          <w:sz w:val="23"/>
          <w:szCs w:val="23"/>
          <w:highlight w:val="none"/>
        </w:rPr>
        <w:t xml:space="preserve">- </w:t>
      </w:r>
      <w:r>
        <w:rPr>
          <w:rFonts w:hint="eastAsia" w:ascii="Times New Roman" w:hAnsi="Times New Roman" w:eastAsia="宋体" w:cs="Times New Roman"/>
          <w:spacing w:val="1"/>
          <w:sz w:val="23"/>
          <w:szCs w:val="23"/>
          <w:highlight w:val="none"/>
          <w:lang w:val="en-US" w:eastAsia="zh-CN"/>
        </w:rPr>
        <w:t>10</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及图 </w:t>
      </w:r>
      <w:r>
        <w:rPr>
          <w:rFonts w:hint="default" w:ascii="Times New Roman" w:hAnsi="Times New Roman" w:eastAsia="Times New Roman" w:cs="Times New Roman"/>
          <w:spacing w:val="1"/>
          <w:sz w:val="23"/>
          <w:szCs w:val="23"/>
          <w:highlight w:val="none"/>
        </w:rPr>
        <w:t>3.</w:t>
      </w:r>
      <w:r>
        <w:rPr>
          <w:rFonts w:hint="eastAsia" w:ascii="Times New Roman" w:hAnsi="Times New Roman" w:eastAsia="宋体" w:cs="Times New Roman"/>
          <w:spacing w:val="1"/>
          <w:sz w:val="23"/>
          <w:szCs w:val="23"/>
          <w:highlight w:val="none"/>
          <w:lang w:val="en-US" w:eastAsia="zh-CN"/>
        </w:rPr>
        <w:t>2</w:t>
      </w:r>
      <w:r>
        <w:rPr>
          <w:rFonts w:hint="default" w:ascii="Times New Roman" w:hAnsi="Times New Roman" w:eastAsia="Times New Roman" w:cs="Times New Roman"/>
          <w:spacing w:val="1"/>
          <w:sz w:val="23"/>
          <w:szCs w:val="23"/>
          <w:highlight w:val="none"/>
        </w:rPr>
        <w:t>- 1</w:t>
      </w:r>
      <w:r>
        <w:rPr>
          <w:rFonts w:hint="default" w:ascii="Times New Roman" w:hAnsi="Times New Roman" w:eastAsia="宋体" w:cs="Times New Roman"/>
          <w:spacing w:val="1"/>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0" w:beforeLines="50" w:line="319" w:lineRule="exact"/>
        <w:ind w:left="1928"/>
        <w:textAlignment w:val="baseline"/>
        <w:rPr>
          <w:rFonts w:hint="default" w:ascii="Times New Roman" w:hAnsi="Times New Roman" w:eastAsia="Times New Roman" w:cs="Times New Roman"/>
          <w:sz w:val="23"/>
          <w:szCs w:val="23"/>
          <w:highlight w:val="none"/>
        </w:rPr>
      </w:pP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7"/>
          <w:position w:val="1"/>
          <w:sz w:val="23"/>
          <w:szCs w:val="23"/>
          <w:highlight w:val="none"/>
        </w:rPr>
        <w:t>3.</w:t>
      </w:r>
      <w:r>
        <w:rPr>
          <w:rFonts w:hint="eastAsia" w:ascii="Times New Roman" w:hAnsi="Times New Roman" w:eastAsia="宋体" w:cs="Times New Roman"/>
          <w:b/>
          <w:bCs/>
          <w:spacing w:val="7"/>
          <w:position w:val="1"/>
          <w:sz w:val="23"/>
          <w:szCs w:val="23"/>
          <w:highlight w:val="none"/>
          <w:lang w:val="en-US" w:eastAsia="zh-CN"/>
        </w:rPr>
        <w:t>2</w:t>
      </w:r>
      <w:r>
        <w:rPr>
          <w:rFonts w:hint="default" w:ascii="Times New Roman" w:hAnsi="Times New Roman" w:eastAsia="Times New Roman" w:cs="Times New Roman"/>
          <w:b/>
          <w:bCs/>
          <w:spacing w:val="7"/>
          <w:position w:val="1"/>
          <w:sz w:val="23"/>
          <w:szCs w:val="23"/>
          <w:highlight w:val="none"/>
        </w:rPr>
        <w:t>-</w:t>
      </w:r>
      <w:r>
        <w:rPr>
          <w:rFonts w:hint="eastAsia" w:ascii="Times New Roman" w:hAnsi="Times New Roman" w:eastAsia="宋体" w:cs="Times New Roman"/>
          <w:b/>
          <w:bCs/>
          <w:spacing w:val="7"/>
          <w:position w:val="1"/>
          <w:sz w:val="23"/>
          <w:szCs w:val="23"/>
          <w:highlight w:val="none"/>
          <w:lang w:val="en-US" w:eastAsia="zh-CN"/>
        </w:rPr>
        <w:t>10</w:t>
      </w:r>
      <w:r>
        <w:rPr>
          <w:rFonts w:hint="default" w:ascii="Times New Roman" w:hAnsi="Times New Roman" w:eastAsia="Times New Roman" w:cs="Times New Roman"/>
          <w:spacing w:val="7"/>
          <w:position w:val="1"/>
          <w:sz w:val="23"/>
          <w:szCs w:val="23"/>
          <w:highlight w:val="none"/>
        </w:rPr>
        <w:t xml:space="preserve">      </w:t>
      </w:r>
      <w:r>
        <w:rPr>
          <w:rFonts w:hint="eastAsia" w:ascii="Times New Roman" w:hAnsi="Times New Roman" w:eastAsia="宋体" w:cs="Times New Roman"/>
          <w:spacing w:val="7"/>
          <w:position w:val="1"/>
          <w:sz w:val="23"/>
          <w:szCs w:val="23"/>
          <w:highlight w:val="none"/>
          <w:lang w:val="en-US" w:eastAsia="zh-CN"/>
          <w14:textOutline w14:w="4358" w14:cap="sq" w14:cmpd="sng">
            <w14:solidFill>
              <w14:srgbClr w14:val="000000"/>
            </w14:solidFill>
            <w14:prstDash w14:val="solid"/>
            <w14:bevel/>
          </w14:textOutline>
        </w:rPr>
        <w:t>改扩建完成后全厂</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给排水情况表</w:t>
      </w:r>
      <w:r>
        <w:rPr>
          <w:rFonts w:hint="default" w:ascii="Times New Roman" w:hAnsi="Times New Roman" w:eastAsia="宋体" w:cs="Times New Roman"/>
          <w:spacing w:val="7"/>
          <w:position w:val="1"/>
          <w:sz w:val="23"/>
          <w:szCs w:val="23"/>
          <w:highlight w:val="none"/>
        </w:rPr>
        <w:t xml:space="preserve">   </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单位：</w:t>
      </w:r>
      <w:r>
        <w:rPr>
          <w:rFonts w:hint="default" w:ascii="Times New Roman" w:hAnsi="Times New Roman" w:eastAsia="Times New Roman" w:cs="Times New Roman"/>
          <w:b/>
          <w:bCs/>
          <w:position w:val="1"/>
          <w:sz w:val="23"/>
          <w:szCs w:val="23"/>
          <w:highlight w:val="none"/>
        </w:rPr>
        <w:t>m</w:t>
      </w:r>
      <w:r>
        <w:rPr>
          <w:rFonts w:hint="default" w:ascii="Times New Roman" w:hAnsi="Times New Roman" w:eastAsia="Times New Roman" w:cs="Times New Roman"/>
          <w:b/>
          <w:bCs/>
          <w:spacing w:val="7"/>
          <w:position w:val="8"/>
          <w:sz w:val="15"/>
          <w:szCs w:val="15"/>
          <w:highlight w:val="none"/>
        </w:rPr>
        <w:t>3</w:t>
      </w:r>
      <w:r>
        <w:rPr>
          <w:rFonts w:hint="default" w:ascii="Times New Roman" w:hAnsi="Times New Roman" w:eastAsia="Times New Roman" w:cs="Times New Roman"/>
          <w:b/>
          <w:bCs/>
          <w:spacing w:val="5"/>
          <w:position w:val="1"/>
          <w:sz w:val="23"/>
          <w:szCs w:val="23"/>
          <w:highlight w:val="none"/>
        </w:rPr>
        <w:t>/</w:t>
      </w:r>
      <w:r>
        <w:rPr>
          <w:rFonts w:hint="default" w:ascii="Times New Roman" w:hAnsi="Times New Roman" w:eastAsia="Times New Roman" w:cs="Times New Roman"/>
          <w:b/>
          <w:bCs/>
          <w:position w:val="1"/>
          <w:sz w:val="23"/>
          <w:szCs w:val="23"/>
          <w:highlight w:val="none"/>
        </w:rPr>
        <w:t>d</w:t>
      </w:r>
    </w:p>
    <w:p>
      <w:pPr>
        <w:spacing w:line="28" w:lineRule="exact"/>
        <w:rPr>
          <w:rFonts w:hint="default" w:ascii="Times New Roman" w:hAnsi="Times New Roman" w:cs="Times New Roman"/>
          <w:highlight w:val="none"/>
        </w:rPr>
      </w:pPr>
    </w:p>
    <w:tbl>
      <w:tblPr>
        <w:tblStyle w:val="19"/>
        <w:tblW w:w="839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1077"/>
        <w:gridCol w:w="1077"/>
        <w:gridCol w:w="1435"/>
        <w:gridCol w:w="1436"/>
        <w:gridCol w:w="1077"/>
        <w:gridCol w:w="16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660" w:type="dxa"/>
            <w:tcBorders>
              <w:left w:val="single" w:color="000000" w:sz="10" w:space="0"/>
              <w:right w:val="single" w:color="000000" w:sz="4" w:space="0"/>
            </w:tcBorders>
            <w:vAlign w:val="top"/>
          </w:tcPr>
          <w:p>
            <w:pPr>
              <w:spacing w:before="117" w:line="230" w:lineRule="auto"/>
              <w:ind w:left="10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序号</w:t>
            </w:r>
          </w:p>
        </w:tc>
        <w:tc>
          <w:tcPr>
            <w:tcW w:w="1077" w:type="dxa"/>
            <w:tcBorders>
              <w:left w:val="single" w:color="000000" w:sz="4" w:space="0"/>
              <w:right w:val="single" w:color="000000" w:sz="4" w:space="0"/>
            </w:tcBorders>
            <w:vAlign w:val="top"/>
          </w:tcPr>
          <w:p>
            <w:pPr>
              <w:spacing w:before="118" w:line="228" w:lineRule="auto"/>
              <w:ind w:left="2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用</w:t>
            </w:r>
            <w:r>
              <w:rPr>
                <w:rFonts w:hint="default" w:ascii="Times New Roman" w:hAnsi="Times New Roman" w:eastAsia="宋体" w:cs="Times New Roman"/>
                <w:spacing w:val="6"/>
                <w:sz w:val="20"/>
                <w:szCs w:val="20"/>
                <w:highlight w:val="none"/>
              </w:rPr>
              <w:t>水点</w:t>
            </w:r>
          </w:p>
        </w:tc>
        <w:tc>
          <w:tcPr>
            <w:tcW w:w="1077" w:type="dxa"/>
            <w:tcBorders>
              <w:left w:val="single" w:color="000000" w:sz="4" w:space="0"/>
              <w:right w:val="single" w:color="000000" w:sz="4" w:space="0"/>
            </w:tcBorders>
            <w:vAlign w:val="top"/>
          </w:tcPr>
          <w:p>
            <w:pPr>
              <w:spacing w:before="118" w:line="228" w:lineRule="auto"/>
              <w:ind w:left="11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总</w:t>
            </w:r>
            <w:r>
              <w:rPr>
                <w:rFonts w:hint="default" w:ascii="Times New Roman" w:hAnsi="Times New Roman" w:eastAsia="宋体" w:cs="Times New Roman"/>
                <w:spacing w:val="6"/>
                <w:sz w:val="20"/>
                <w:szCs w:val="20"/>
                <w:highlight w:val="none"/>
              </w:rPr>
              <w:t>用水量</w:t>
            </w:r>
          </w:p>
        </w:tc>
        <w:tc>
          <w:tcPr>
            <w:tcW w:w="1435" w:type="dxa"/>
            <w:tcBorders>
              <w:left w:val="single" w:color="000000" w:sz="4" w:space="0"/>
              <w:right w:val="single" w:color="000000" w:sz="4" w:space="0"/>
            </w:tcBorders>
            <w:vAlign w:val="top"/>
          </w:tcPr>
          <w:p>
            <w:pPr>
              <w:spacing w:before="118" w:line="228" w:lineRule="auto"/>
              <w:ind w:left="19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新鲜用水</w:t>
            </w:r>
            <w:r>
              <w:rPr>
                <w:rFonts w:hint="default" w:ascii="Times New Roman" w:hAnsi="Times New Roman" w:eastAsia="宋体" w:cs="Times New Roman"/>
                <w:spacing w:val="7"/>
                <w:sz w:val="20"/>
                <w:szCs w:val="20"/>
                <w:highlight w:val="none"/>
              </w:rPr>
              <w:t>量</w:t>
            </w:r>
          </w:p>
        </w:tc>
        <w:tc>
          <w:tcPr>
            <w:tcW w:w="1436" w:type="dxa"/>
            <w:tcBorders>
              <w:left w:val="single" w:color="000000" w:sz="4" w:space="0"/>
              <w:right w:val="single" w:color="000000" w:sz="4" w:space="0"/>
            </w:tcBorders>
            <w:vAlign w:val="top"/>
          </w:tcPr>
          <w:p>
            <w:pPr>
              <w:spacing w:before="118" w:line="228" w:lineRule="auto"/>
              <w:ind w:left="19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循环用水量</w:t>
            </w:r>
          </w:p>
        </w:tc>
        <w:tc>
          <w:tcPr>
            <w:tcW w:w="1077" w:type="dxa"/>
            <w:tcBorders>
              <w:left w:val="single" w:color="000000" w:sz="4" w:space="0"/>
              <w:right w:val="single" w:color="000000" w:sz="4" w:space="0"/>
            </w:tcBorders>
            <w:vAlign w:val="top"/>
          </w:tcPr>
          <w:p>
            <w:pPr>
              <w:spacing w:before="118" w:line="228" w:lineRule="auto"/>
              <w:ind w:left="1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损</w:t>
            </w:r>
            <w:r>
              <w:rPr>
                <w:rFonts w:hint="default" w:ascii="Times New Roman" w:hAnsi="Times New Roman" w:eastAsia="宋体" w:cs="Times New Roman"/>
                <w:spacing w:val="7"/>
                <w:sz w:val="20"/>
                <w:szCs w:val="20"/>
                <w:highlight w:val="none"/>
              </w:rPr>
              <w:t>耗水量</w:t>
            </w:r>
          </w:p>
        </w:tc>
        <w:tc>
          <w:tcPr>
            <w:tcW w:w="1629" w:type="dxa"/>
            <w:tcBorders>
              <w:left w:val="single" w:color="000000" w:sz="4" w:space="0"/>
              <w:right w:val="single" w:color="000000" w:sz="10" w:space="0"/>
            </w:tcBorders>
            <w:vAlign w:val="top"/>
          </w:tcPr>
          <w:p>
            <w:pPr>
              <w:spacing w:before="118" w:line="228" w:lineRule="auto"/>
              <w:ind w:left="50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排水</w:t>
            </w:r>
            <w:r>
              <w:rPr>
                <w:rFonts w:hint="default" w:ascii="Times New Roman" w:hAnsi="Times New Roman" w:eastAsia="宋体" w:cs="Times New Roman"/>
                <w:spacing w:val="6"/>
                <w:sz w:val="20"/>
                <w:szCs w:val="20"/>
                <w:highlight w:val="none"/>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60" w:type="dxa"/>
            <w:tcBorders>
              <w:left w:val="single" w:color="000000" w:sz="10" w:space="0"/>
              <w:right w:val="single" w:color="000000" w:sz="4" w:space="0"/>
            </w:tcBorders>
            <w:vAlign w:val="top"/>
          </w:tcPr>
          <w:p>
            <w:pPr>
              <w:spacing w:before="133" w:line="195" w:lineRule="auto"/>
              <w:ind w:left="28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077" w:type="dxa"/>
            <w:tcBorders>
              <w:left w:val="single" w:color="000000" w:sz="4" w:space="0"/>
              <w:right w:val="single" w:color="000000" w:sz="4" w:space="0"/>
            </w:tcBorders>
            <w:vAlign w:val="top"/>
          </w:tcPr>
          <w:p>
            <w:pPr>
              <w:spacing w:before="97" w:line="230" w:lineRule="auto"/>
              <w:ind w:left="11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球</w:t>
            </w:r>
            <w:r>
              <w:rPr>
                <w:rFonts w:hint="default" w:ascii="Times New Roman" w:hAnsi="Times New Roman" w:eastAsia="宋体" w:cs="Times New Roman"/>
                <w:spacing w:val="7"/>
                <w:sz w:val="20"/>
                <w:szCs w:val="20"/>
                <w:highlight w:val="none"/>
              </w:rPr>
              <w:t>磨磁选</w:t>
            </w:r>
          </w:p>
        </w:tc>
        <w:tc>
          <w:tcPr>
            <w:tcW w:w="1077" w:type="dxa"/>
            <w:tcBorders>
              <w:left w:val="single" w:color="000000" w:sz="4" w:space="0"/>
              <w:right w:val="single" w:color="000000" w:sz="4" w:space="0"/>
            </w:tcBorders>
            <w:vAlign w:val="top"/>
          </w:tcPr>
          <w:p>
            <w:pPr>
              <w:spacing w:before="133" w:line="195" w:lineRule="auto"/>
              <w:ind w:left="242"/>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1"/>
                <w:sz w:val="20"/>
                <w:szCs w:val="20"/>
                <w:highlight w:val="none"/>
                <w:lang w:val="en-US" w:eastAsia="zh-CN"/>
              </w:rPr>
              <w:t>301</w:t>
            </w:r>
            <w:r>
              <w:rPr>
                <w:rFonts w:hint="default" w:ascii="Times New Roman" w:hAnsi="Times New Roman" w:eastAsia="Times New Roman" w:cs="Times New Roman"/>
                <w:spacing w:val="-1"/>
                <w:sz w:val="20"/>
                <w:szCs w:val="20"/>
                <w:highlight w:val="none"/>
              </w:rPr>
              <w:t>8.</w:t>
            </w:r>
            <w:r>
              <w:rPr>
                <w:rFonts w:hint="default" w:ascii="Times New Roman" w:hAnsi="Times New Roman" w:eastAsia="Times New Roman" w:cs="Times New Roman"/>
                <w:sz w:val="20"/>
                <w:szCs w:val="20"/>
                <w:highlight w:val="none"/>
              </w:rPr>
              <w:t xml:space="preserve"> 1</w:t>
            </w:r>
          </w:p>
        </w:tc>
        <w:tc>
          <w:tcPr>
            <w:tcW w:w="1435" w:type="dxa"/>
            <w:tcBorders>
              <w:left w:val="single" w:color="000000" w:sz="4" w:space="0"/>
              <w:right w:val="single" w:color="000000" w:sz="4" w:space="0"/>
            </w:tcBorders>
            <w:vAlign w:val="top"/>
          </w:tcPr>
          <w:p>
            <w:pPr>
              <w:spacing w:before="133" w:line="195" w:lineRule="auto"/>
              <w:ind w:left="48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sz w:val="20"/>
                <w:szCs w:val="20"/>
                <w:highlight w:val="none"/>
                <w:lang w:val="en-US" w:eastAsia="zh-CN"/>
              </w:rPr>
              <w:t>28</w:t>
            </w:r>
            <w:r>
              <w:rPr>
                <w:rFonts w:hint="default" w:ascii="Times New Roman" w:hAnsi="Times New Roman" w:eastAsia="Times New Roman" w:cs="Times New Roman"/>
                <w:spacing w:val="4"/>
                <w:sz w:val="20"/>
                <w:szCs w:val="20"/>
                <w:highlight w:val="none"/>
              </w:rPr>
              <w:t>6.9</w:t>
            </w:r>
          </w:p>
        </w:tc>
        <w:tc>
          <w:tcPr>
            <w:tcW w:w="1436" w:type="dxa"/>
            <w:tcBorders>
              <w:left w:val="single" w:color="000000" w:sz="4" w:space="0"/>
              <w:right w:val="single" w:color="000000" w:sz="4" w:space="0"/>
            </w:tcBorders>
            <w:vAlign w:val="top"/>
          </w:tcPr>
          <w:p>
            <w:pPr>
              <w:spacing w:before="133" w:line="195" w:lineRule="auto"/>
              <w:ind w:left="43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sz w:val="20"/>
                <w:szCs w:val="20"/>
                <w:highlight w:val="none"/>
                <w:lang w:val="en-US" w:eastAsia="zh-CN"/>
              </w:rPr>
              <w:t>273</w:t>
            </w:r>
            <w:r>
              <w:rPr>
                <w:rFonts w:hint="default" w:ascii="Times New Roman" w:hAnsi="Times New Roman" w:eastAsia="Times New Roman" w:cs="Times New Roman"/>
                <w:spacing w:val="4"/>
                <w:sz w:val="20"/>
                <w:szCs w:val="20"/>
                <w:highlight w:val="none"/>
              </w:rPr>
              <w:t>1.2</w:t>
            </w:r>
          </w:p>
        </w:tc>
        <w:tc>
          <w:tcPr>
            <w:tcW w:w="1077" w:type="dxa"/>
            <w:tcBorders>
              <w:left w:val="single" w:color="000000" w:sz="4" w:space="0"/>
              <w:right w:val="single" w:color="000000" w:sz="4" w:space="0"/>
            </w:tcBorders>
            <w:vAlign w:val="top"/>
          </w:tcPr>
          <w:p>
            <w:pPr>
              <w:spacing w:before="133" w:line="195" w:lineRule="auto"/>
              <w:ind w:left="30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286.9</w:t>
            </w:r>
          </w:p>
        </w:tc>
        <w:tc>
          <w:tcPr>
            <w:tcW w:w="1629" w:type="dxa"/>
            <w:tcBorders>
              <w:left w:val="single" w:color="000000" w:sz="4" w:space="0"/>
              <w:right w:val="single" w:color="000000" w:sz="10" w:space="0"/>
            </w:tcBorders>
            <w:vAlign w:val="top"/>
          </w:tcPr>
          <w:p>
            <w:pPr>
              <w:spacing w:before="133" w:line="195" w:lineRule="auto"/>
              <w:ind w:left="7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60" w:type="dxa"/>
            <w:tcBorders>
              <w:left w:val="single" w:color="000000" w:sz="10" w:space="0"/>
              <w:right w:val="single" w:color="000000" w:sz="4" w:space="0"/>
            </w:tcBorders>
            <w:vAlign w:val="top"/>
          </w:tcPr>
          <w:p>
            <w:pPr>
              <w:spacing w:before="135" w:line="195" w:lineRule="auto"/>
              <w:ind w:left="26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077" w:type="dxa"/>
            <w:tcBorders>
              <w:left w:val="single" w:color="000000" w:sz="4" w:space="0"/>
              <w:right w:val="single" w:color="000000" w:sz="4" w:space="0"/>
            </w:tcBorders>
            <w:vAlign w:val="top"/>
          </w:tcPr>
          <w:p>
            <w:pPr>
              <w:spacing w:before="99" w:line="226" w:lineRule="auto"/>
              <w:ind w:left="12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喷</w:t>
            </w:r>
            <w:r>
              <w:rPr>
                <w:rFonts w:hint="default" w:ascii="Times New Roman" w:hAnsi="Times New Roman" w:eastAsia="宋体" w:cs="Times New Roman"/>
                <w:spacing w:val="5"/>
                <w:sz w:val="20"/>
                <w:szCs w:val="20"/>
                <w:highlight w:val="none"/>
              </w:rPr>
              <w:t>雾抑尘</w:t>
            </w:r>
          </w:p>
        </w:tc>
        <w:tc>
          <w:tcPr>
            <w:tcW w:w="1077" w:type="dxa"/>
            <w:tcBorders>
              <w:left w:val="single" w:color="000000" w:sz="4" w:space="0"/>
              <w:right w:val="single" w:color="000000" w:sz="4" w:space="0"/>
            </w:tcBorders>
            <w:vAlign w:val="top"/>
          </w:tcPr>
          <w:p>
            <w:pPr>
              <w:spacing w:before="135" w:line="195" w:lineRule="auto"/>
              <w:ind w:left="404"/>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4"/>
                <w:sz w:val="20"/>
                <w:szCs w:val="20"/>
                <w:highlight w:val="none"/>
                <w:lang w:val="en-US" w:eastAsia="zh-CN"/>
              </w:rPr>
              <w:t>8</w:t>
            </w:r>
          </w:p>
        </w:tc>
        <w:tc>
          <w:tcPr>
            <w:tcW w:w="1435" w:type="dxa"/>
            <w:tcBorders>
              <w:left w:val="single" w:color="000000" w:sz="4" w:space="0"/>
              <w:right w:val="single" w:color="000000" w:sz="4" w:space="0"/>
            </w:tcBorders>
            <w:vAlign w:val="top"/>
          </w:tcPr>
          <w:p>
            <w:pPr>
              <w:spacing w:before="135" w:line="195" w:lineRule="auto"/>
              <w:ind w:left="587"/>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4"/>
                <w:sz w:val="20"/>
                <w:szCs w:val="20"/>
                <w:highlight w:val="none"/>
                <w:lang w:val="en-US" w:eastAsia="zh-CN"/>
              </w:rPr>
              <w:t>8</w:t>
            </w:r>
          </w:p>
        </w:tc>
        <w:tc>
          <w:tcPr>
            <w:tcW w:w="1436" w:type="dxa"/>
            <w:tcBorders>
              <w:left w:val="single" w:color="000000" w:sz="4" w:space="0"/>
              <w:right w:val="single" w:color="000000" w:sz="4" w:space="0"/>
            </w:tcBorders>
            <w:vAlign w:val="top"/>
          </w:tcPr>
          <w:p>
            <w:pPr>
              <w:spacing w:before="135" w:line="195" w:lineRule="auto"/>
              <w:ind w:left="67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c>
          <w:tcPr>
            <w:tcW w:w="1077" w:type="dxa"/>
            <w:tcBorders>
              <w:left w:val="single" w:color="000000" w:sz="4" w:space="0"/>
              <w:right w:val="single" w:color="000000" w:sz="4" w:space="0"/>
            </w:tcBorders>
            <w:vAlign w:val="top"/>
          </w:tcPr>
          <w:p>
            <w:pPr>
              <w:spacing w:before="135" w:line="195" w:lineRule="auto"/>
              <w:ind w:left="416"/>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4"/>
                <w:sz w:val="20"/>
                <w:szCs w:val="20"/>
                <w:highlight w:val="none"/>
                <w:lang w:val="en-US" w:eastAsia="zh-CN"/>
              </w:rPr>
              <w:t>8</w:t>
            </w:r>
          </w:p>
        </w:tc>
        <w:tc>
          <w:tcPr>
            <w:tcW w:w="1629" w:type="dxa"/>
            <w:tcBorders>
              <w:left w:val="single" w:color="000000" w:sz="4" w:space="0"/>
              <w:right w:val="single" w:color="000000" w:sz="10" w:space="0"/>
            </w:tcBorders>
            <w:vAlign w:val="top"/>
          </w:tcPr>
          <w:p>
            <w:pPr>
              <w:spacing w:before="135" w:line="195" w:lineRule="auto"/>
              <w:ind w:left="7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60" w:type="dxa"/>
            <w:tcBorders>
              <w:left w:val="single" w:color="000000" w:sz="10" w:space="0"/>
              <w:right w:val="single" w:color="000000" w:sz="4" w:space="0"/>
            </w:tcBorders>
            <w:vAlign w:val="top"/>
          </w:tcPr>
          <w:p>
            <w:pPr>
              <w:spacing w:before="134" w:line="195" w:lineRule="auto"/>
              <w:ind w:left="26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1077" w:type="dxa"/>
            <w:tcBorders>
              <w:left w:val="single" w:color="000000" w:sz="4" w:space="0"/>
              <w:right w:val="single" w:color="000000" w:sz="4" w:space="0"/>
            </w:tcBorders>
            <w:vAlign w:val="top"/>
          </w:tcPr>
          <w:p>
            <w:pPr>
              <w:spacing w:before="99" w:line="228" w:lineRule="auto"/>
              <w:ind w:left="11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洗</w:t>
            </w:r>
            <w:r>
              <w:rPr>
                <w:rFonts w:hint="default" w:ascii="Times New Roman" w:hAnsi="Times New Roman" w:eastAsia="宋体" w:cs="Times New Roman"/>
                <w:spacing w:val="7"/>
                <w:sz w:val="20"/>
                <w:szCs w:val="20"/>
                <w:highlight w:val="none"/>
              </w:rPr>
              <w:t>车用水</w:t>
            </w:r>
          </w:p>
        </w:tc>
        <w:tc>
          <w:tcPr>
            <w:tcW w:w="1077" w:type="dxa"/>
            <w:tcBorders>
              <w:left w:val="single" w:color="000000" w:sz="4" w:space="0"/>
              <w:right w:val="single" w:color="000000" w:sz="4" w:space="0"/>
            </w:tcBorders>
            <w:vAlign w:val="top"/>
          </w:tcPr>
          <w:p>
            <w:pPr>
              <w:spacing w:before="135" w:line="195" w:lineRule="auto"/>
              <w:ind w:left="404"/>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3"/>
                <w:sz w:val="20"/>
                <w:szCs w:val="20"/>
                <w:highlight w:val="none"/>
                <w:lang w:val="en-US" w:eastAsia="zh-CN"/>
              </w:rPr>
              <w:t>5</w:t>
            </w:r>
          </w:p>
        </w:tc>
        <w:tc>
          <w:tcPr>
            <w:tcW w:w="1435" w:type="dxa"/>
            <w:tcBorders>
              <w:left w:val="single" w:color="000000" w:sz="4" w:space="0"/>
              <w:right w:val="single" w:color="000000" w:sz="4" w:space="0"/>
            </w:tcBorders>
            <w:vAlign w:val="top"/>
          </w:tcPr>
          <w:p>
            <w:pPr>
              <w:spacing w:before="134" w:line="198" w:lineRule="auto"/>
              <w:ind w:left="603"/>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3"/>
                <w:sz w:val="20"/>
                <w:szCs w:val="20"/>
                <w:highlight w:val="none"/>
                <w:lang w:val="en-US" w:eastAsia="zh-CN"/>
              </w:rPr>
              <w:t>3</w:t>
            </w:r>
          </w:p>
        </w:tc>
        <w:tc>
          <w:tcPr>
            <w:tcW w:w="1436" w:type="dxa"/>
            <w:tcBorders>
              <w:left w:val="single" w:color="000000" w:sz="4" w:space="0"/>
              <w:right w:val="single" w:color="000000" w:sz="4" w:space="0"/>
            </w:tcBorders>
            <w:vAlign w:val="top"/>
          </w:tcPr>
          <w:p>
            <w:pPr>
              <w:spacing w:before="134" w:line="198" w:lineRule="auto"/>
              <w:ind w:left="588"/>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4"/>
                <w:sz w:val="20"/>
                <w:szCs w:val="20"/>
                <w:highlight w:val="none"/>
                <w:lang w:val="en-US" w:eastAsia="zh-CN"/>
              </w:rPr>
              <w:t>2</w:t>
            </w:r>
          </w:p>
        </w:tc>
        <w:tc>
          <w:tcPr>
            <w:tcW w:w="1077" w:type="dxa"/>
            <w:tcBorders>
              <w:left w:val="single" w:color="000000" w:sz="4" w:space="0"/>
              <w:right w:val="single" w:color="000000" w:sz="4" w:space="0"/>
            </w:tcBorders>
            <w:vAlign w:val="top"/>
          </w:tcPr>
          <w:p>
            <w:pPr>
              <w:spacing w:before="134" w:line="198" w:lineRule="auto"/>
              <w:ind w:left="432"/>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3"/>
                <w:sz w:val="20"/>
                <w:szCs w:val="20"/>
                <w:highlight w:val="none"/>
                <w:lang w:val="en-US" w:eastAsia="zh-CN"/>
              </w:rPr>
              <w:t>3</w:t>
            </w:r>
          </w:p>
        </w:tc>
        <w:tc>
          <w:tcPr>
            <w:tcW w:w="1629" w:type="dxa"/>
            <w:tcBorders>
              <w:left w:val="single" w:color="000000" w:sz="4" w:space="0"/>
              <w:right w:val="single" w:color="000000" w:sz="10" w:space="0"/>
            </w:tcBorders>
            <w:vAlign w:val="top"/>
          </w:tcPr>
          <w:p>
            <w:pPr>
              <w:spacing w:before="134" w:line="195" w:lineRule="auto"/>
              <w:ind w:left="7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60" w:type="dxa"/>
            <w:tcBorders>
              <w:left w:val="single" w:color="000000" w:sz="10" w:space="0"/>
              <w:right w:val="single" w:color="000000" w:sz="4" w:space="0"/>
            </w:tcBorders>
            <w:vAlign w:val="top"/>
          </w:tcPr>
          <w:p>
            <w:pPr>
              <w:spacing w:before="136" w:line="195" w:lineRule="auto"/>
              <w:ind w:left="26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4</w:t>
            </w:r>
          </w:p>
        </w:tc>
        <w:tc>
          <w:tcPr>
            <w:tcW w:w="1077" w:type="dxa"/>
            <w:tcBorders>
              <w:left w:val="single" w:color="000000" w:sz="4" w:space="0"/>
              <w:right w:val="single" w:color="000000" w:sz="4" w:space="0"/>
            </w:tcBorders>
            <w:vAlign w:val="top"/>
          </w:tcPr>
          <w:p>
            <w:pPr>
              <w:spacing w:before="101" w:line="228" w:lineRule="auto"/>
              <w:ind w:left="11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生活用</w:t>
            </w:r>
            <w:r>
              <w:rPr>
                <w:rFonts w:hint="default" w:ascii="Times New Roman" w:hAnsi="Times New Roman" w:eastAsia="宋体" w:cs="Times New Roman"/>
                <w:spacing w:val="6"/>
                <w:sz w:val="20"/>
                <w:szCs w:val="20"/>
                <w:highlight w:val="none"/>
              </w:rPr>
              <w:t>水</w:t>
            </w:r>
          </w:p>
        </w:tc>
        <w:tc>
          <w:tcPr>
            <w:tcW w:w="1077" w:type="dxa"/>
            <w:tcBorders>
              <w:left w:val="single" w:color="000000" w:sz="4" w:space="0"/>
              <w:right w:val="single" w:color="000000" w:sz="4" w:space="0"/>
            </w:tcBorders>
            <w:vAlign w:val="top"/>
          </w:tcPr>
          <w:p>
            <w:pPr>
              <w:spacing w:before="136" w:line="198" w:lineRule="auto"/>
              <w:ind w:left="42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p>
        </w:tc>
        <w:tc>
          <w:tcPr>
            <w:tcW w:w="1435" w:type="dxa"/>
            <w:tcBorders>
              <w:left w:val="single" w:color="000000" w:sz="4" w:space="0"/>
              <w:right w:val="single" w:color="000000" w:sz="4" w:space="0"/>
            </w:tcBorders>
            <w:vAlign w:val="top"/>
          </w:tcPr>
          <w:p>
            <w:pPr>
              <w:spacing w:before="136" w:line="198" w:lineRule="auto"/>
              <w:ind w:left="60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p>
        </w:tc>
        <w:tc>
          <w:tcPr>
            <w:tcW w:w="1436" w:type="dxa"/>
            <w:tcBorders>
              <w:left w:val="single" w:color="000000" w:sz="4" w:space="0"/>
              <w:right w:val="single" w:color="000000" w:sz="4" w:space="0"/>
            </w:tcBorders>
            <w:vAlign w:val="top"/>
          </w:tcPr>
          <w:p>
            <w:pPr>
              <w:spacing w:before="136" w:line="195" w:lineRule="auto"/>
              <w:ind w:left="67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c>
          <w:tcPr>
            <w:tcW w:w="1077" w:type="dxa"/>
            <w:tcBorders>
              <w:left w:val="single" w:color="000000" w:sz="4" w:space="0"/>
              <w:right w:val="single" w:color="000000" w:sz="4" w:space="0"/>
            </w:tcBorders>
            <w:vAlign w:val="top"/>
          </w:tcPr>
          <w:p>
            <w:pPr>
              <w:spacing w:before="136" w:line="198" w:lineRule="auto"/>
              <w:ind w:left="4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.5</w:t>
            </w:r>
          </w:p>
        </w:tc>
        <w:tc>
          <w:tcPr>
            <w:tcW w:w="1629" w:type="dxa"/>
            <w:tcBorders>
              <w:left w:val="single" w:color="000000" w:sz="4" w:space="0"/>
              <w:right w:val="single" w:color="000000" w:sz="10" w:space="0"/>
            </w:tcBorders>
            <w:vAlign w:val="top"/>
          </w:tcPr>
          <w:p>
            <w:pPr>
              <w:spacing w:before="136" w:line="195" w:lineRule="auto"/>
              <w:ind w:left="7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660" w:type="dxa"/>
            <w:tcBorders>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1077" w:type="dxa"/>
            <w:tcBorders>
              <w:left w:val="single" w:color="000000" w:sz="4" w:space="0"/>
              <w:right w:val="single" w:color="000000" w:sz="4" w:space="0"/>
            </w:tcBorders>
            <w:vAlign w:val="top"/>
          </w:tcPr>
          <w:p>
            <w:pPr>
              <w:spacing w:before="102" w:line="230" w:lineRule="auto"/>
              <w:ind w:left="32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合计</w:t>
            </w:r>
          </w:p>
        </w:tc>
        <w:tc>
          <w:tcPr>
            <w:tcW w:w="1077" w:type="dxa"/>
            <w:tcBorders>
              <w:left w:val="single" w:color="000000" w:sz="4" w:space="0"/>
              <w:right w:val="single" w:color="000000" w:sz="4" w:space="0"/>
            </w:tcBorders>
            <w:vAlign w:val="top"/>
          </w:tcPr>
          <w:p>
            <w:pPr>
              <w:spacing w:before="138" w:line="195" w:lineRule="auto"/>
              <w:ind w:left="242"/>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8"/>
                <w:sz w:val="20"/>
                <w:szCs w:val="20"/>
                <w:highlight w:val="none"/>
                <w:lang w:val="en-US" w:eastAsia="zh-CN"/>
              </w:rPr>
              <w:t>3032.6</w:t>
            </w:r>
          </w:p>
        </w:tc>
        <w:tc>
          <w:tcPr>
            <w:tcW w:w="1435" w:type="dxa"/>
            <w:tcBorders>
              <w:left w:val="single" w:color="000000" w:sz="4" w:space="0"/>
              <w:right w:val="single" w:color="000000" w:sz="4" w:space="0"/>
            </w:tcBorders>
            <w:vAlign w:val="top"/>
          </w:tcPr>
          <w:p>
            <w:pPr>
              <w:spacing w:before="138" w:line="195" w:lineRule="auto"/>
              <w:ind w:left="48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299.4</w:t>
            </w:r>
          </w:p>
        </w:tc>
        <w:tc>
          <w:tcPr>
            <w:tcW w:w="1436" w:type="dxa"/>
            <w:tcBorders>
              <w:left w:val="single" w:color="000000" w:sz="4" w:space="0"/>
              <w:right w:val="single" w:color="000000" w:sz="4" w:space="0"/>
            </w:tcBorders>
            <w:vAlign w:val="top"/>
          </w:tcPr>
          <w:p>
            <w:pPr>
              <w:spacing w:before="138" w:line="195" w:lineRule="auto"/>
              <w:ind w:left="43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2733.2</w:t>
            </w:r>
          </w:p>
        </w:tc>
        <w:tc>
          <w:tcPr>
            <w:tcW w:w="1077" w:type="dxa"/>
            <w:tcBorders>
              <w:left w:val="single" w:color="000000" w:sz="4" w:space="0"/>
              <w:right w:val="single" w:color="000000" w:sz="4" w:space="0"/>
            </w:tcBorders>
            <w:vAlign w:val="top"/>
          </w:tcPr>
          <w:p>
            <w:pPr>
              <w:spacing w:before="138" w:line="195" w:lineRule="auto"/>
              <w:ind w:left="30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299.4</w:t>
            </w:r>
          </w:p>
        </w:tc>
        <w:tc>
          <w:tcPr>
            <w:tcW w:w="1629" w:type="dxa"/>
            <w:tcBorders>
              <w:left w:val="single" w:color="000000" w:sz="4" w:space="0"/>
              <w:right w:val="single" w:color="000000" w:sz="10" w:space="0"/>
            </w:tcBorders>
            <w:vAlign w:val="top"/>
          </w:tcPr>
          <w:p>
            <w:pPr>
              <w:spacing w:before="138" w:line="195" w:lineRule="auto"/>
              <w:ind w:left="76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r>
    </w:tbl>
    <w:p>
      <w:pPr>
        <w:rPr>
          <w:rFonts w:hint="default" w:ascii="Times New Roman" w:hAnsi="Times New Roman" w:cs="Times New Roman"/>
          <w:sz w:val="21"/>
          <w:highlight w:val="none"/>
        </w:rPr>
      </w:pPr>
    </w:p>
    <w:p>
      <w:pPr>
        <w:rPr>
          <w:rFonts w:hint="default" w:ascii="Times New Roman" w:hAnsi="Times New Roman" w:cs="Times New Roman"/>
          <w:highlight w:val="none"/>
        </w:rPr>
        <w:sectPr>
          <w:headerReference r:id="rId25" w:type="default"/>
          <w:footerReference r:id="rId26" w:type="default"/>
          <w:pgSz w:w="11906" w:h="16839"/>
          <w:pgMar w:top="1200" w:right="1726" w:bottom="1339" w:left="1744" w:header="882" w:footer="1027" w:gutter="0"/>
          <w:pgBorders>
            <w:top w:val="none" w:sz="0" w:space="0"/>
            <w:left w:val="none" w:sz="0" w:space="0"/>
            <w:bottom w:val="none" w:sz="0" w:space="0"/>
            <w:right w:val="none" w:sz="0" w:space="0"/>
          </w:pgBorders>
          <w:pgNumType w:fmt="decimal"/>
          <w:cols w:space="720" w:num="1"/>
        </w:sectPr>
      </w:pPr>
    </w:p>
    <w:p>
      <w:pPr>
        <w:spacing w:line="296" w:lineRule="auto"/>
        <w:rPr>
          <w:rFonts w:hint="default" w:ascii="Times New Roman" w:hAnsi="Times New Roman" w:cs="Times New Roman"/>
          <w:sz w:val="21"/>
          <w:highlight w:val="none"/>
        </w:rPr>
      </w:pPr>
      <w:r>
        <w:rPr>
          <w:rFonts w:hint="default" w:ascii="Times New Roman" w:hAnsi="Times New Roman" w:cs="Times New Roman"/>
          <w:highlight w:val="none"/>
        </w:rPr>
        <mc:AlternateContent>
          <mc:Choice Requires="wps">
            <w:drawing>
              <wp:anchor distT="0" distB="0" distL="114300" distR="114300" simplePos="0" relativeHeight="251850752" behindDoc="0" locked="0" layoutInCell="0" allowOverlap="1">
                <wp:simplePos x="0" y="0"/>
                <wp:positionH relativeFrom="page">
                  <wp:posOffset>914400</wp:posOffset>
                </wp:positionH>
                <wp:positionV relativeFrom="page">
                  <wp:posOffset>6710045</wp:posOffset>
                </wp:positionV>
                <wp:extent cx="8863965" cy="9525"/>
                <wp:effectExtent l="0" t="0" r="0" b="0"/>
                <wp:wrapNone/>
                <wp:docPr id="136" name="矩形 136"/>
                <wp:cNvGraphicFramePr/>
                <a:graphic xmlns:a="http://schemas.openxmlformats.org/drawingml/2006/main">
                  <a:graphicData uri="http://schemas.microsoft.com/office/word/2010/wordprocessingShape">
                    <wps:wsp>
                      <wps:cNvSpPr/>
                      <wps:spPr>
                        <a:xfrm>
                          <a:off x="0" y="0"/>
                          <a:ext cx="8863965" cy="9525"/>
                        </a:xfrm>
                        <a:prstGeom prst="rect">
                          <a:avLst/>
                        </a:prstGeom>
                        <a:solidFill>
                          <a:schemeClr val="bg1"/>
                        </a:solidFill>
                        <a:ln>
                          <a:noFill/>
                        </a:ln>
                      </wps:spPr>
                      <wps:bodyPr upright="1"/>
                    </wps:wsp>
                  </a:graphicData>
                </a:graphic>
              </wp:anchor>
            </w:drawing>
          </mc:Choice>
          <mc:Fallback>
            <w:pict>
              <v:rect id="_x0000_s1026" o:spid="_x0000_s1026" o:spt="1" style="position:absolute;left:0pt;margin-left:72pt;margin-top:528.35pt;height:0.75pt;width:697.95pt;mso-position-horizontal-relative:page;mso-position-vertical-relative:page;z-index:251850752;mso-width-relative:page;mso-height-relative:page;" fillcolor="#FFFFFF [3212]" filled="t" stroked="f" coordsize="21600,21600" o:allowincell="f" o:gfxdata="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ATfX9oAAAAOAQAADwAAAAAAAAABACAAAAAiAAAAZHJzL2Rvd25yZXYueG1sUEsBAhQAFAAAAAgA&#10;h07iQGfbalaxAQAAYQMAAA4AAAAAAAAAAQAgAAAAKQEAAGRycy9lMm9Eb2MueG1sUEsFBgAAAAAG&#10;AAYAWQEAAEwFAAAAAA==&#10;">
                <v:fill on="t" focussize="0,0"/>
                <v:stroke on="f"/>
                <v:imagedata o:title=""/>
                <o:lock v:ext="edit" aspectratio="f"/>
              </v:rect>
            </w:pict>
          </mc:Fallback>
        </mc:AlternateContent>
      </w:r>
      <w:r>
        <w:rPr>
          <w:rFonts w:hint="default" w:ascii="Times New Roman" w:hAnsi="Times New Roman" w:cs="Times New Roman"/>
          <w:highlight w:val="none"/>
        </w:rPr>
        <mc:AlternateContent>
          <mc:Choice Requires="wps">
            <w:drawing>
              <wp:anchor distT="0" distB="0" distL="114300" distR="114300" simplePos="0" relativeHeight="251849728" behindDoc="0" locked="0" layoutInCell="0" allowOverlap="1">
                <wp:simplePos x="0" y="0"/>
                <wp:positionH relativeFrom="page">
                  <wp:posOffset>914400</wp:posOffset>
                </wp:positionH>
                <wp:positionV relativeFrom="page">
                  <wp:posOffset>771525</wp:posOffset>
                </wp:positionV>
                <wp:extent cx="8863965" cy="9525"/>
                <wp:effectExtent l="0" t="0" r="0" b="0"/>
                <wp:wrapNone/>
                <wp:docPr id="135" name="任意多边形 135"/>
                <wp:cNvGraphicFramePr/>
                <a:graphic xmlns:a="http://schemas.openxmlformats.org/drawingml/2006/main">
                  <a:graphicData uri="http://schemas.microsoft.com/office/word/2010/wordprocessingShape">
                    <wps:wsp>
                      <wps:cNvSpPr/>
                      <wps:spPr>
                        <a:xfrm>
                          <a:off x="0" y="0"/>
                          <a:ext cx="8863965" cy="9525"/>
                        </a:xfrm>
                        <a:custGeom>
                          <a:avLst/>
                          <a:gdLst/>
                          <a:ahLst/>
                          <a:cxnLst/>
                          <a:pathLst>
                            <a:path w="13959" h="15">
                              <a:moveTo>
                                <a:pt x="0" y="0"/>
                              </a:moveTo>
                              <a:lnTo>
                                <a:pt x="13958" y="0"/>
                              </a:lnTo>
                              <a:lnTo>
                                <a:pt x="13958"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2pt;margin-top:60.75pt;height:0.75pt;width:697.95pt;mso-position-horizontal-relative:page;mso-position-vertical-relative:page;z-index:251849728;mso-width-relative:page;mso-height-relative:page;" fillcolor="#000000" filled="t" stroked="f" coordsize="13959,15" o:allowincell="f" o:gfxdata="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wzU7dAAAADAEAAA8A&#10;AAAAAAAAAQAgAAAAIgAAAGRycy9kb3ducmV2LnhtbFBLAQIUABQAAAAIAIdO4kCzi2FIEgIAAIIE&#10;AAAOAAAAAAAAAAEAIAAAACwBAABkcnMvZTJvRG9jLnhtbFBLBQYAAAAABgAGAFkBAACwBQAAAAA=&#10;" path="m0,0l13958,0,13958,14,0,14,0,0xe">
                <v:fill on="t" focussize="0,0"/>
                <v:stroke on="f"/>
                <v:imagedata o:title=""/>
                <o:lock v:ext="edit" aspectratio="f"/>
              </v:shape>
            </w:pict>
          </mc:Fallback>
        </mc:AlternateContent>
      </w:r>
    </w:p>
    <w:p>
      <w:pPr>
        <w:spacing w:line="297" w:lineRule="auto"/>
        <w:rPr>
          <w:rFonts w:hint="default" w:ascii="Times New Roman" w:hAnsi="Times New Roman" w:cs="Times New Roman"/>
          <w:sz w:val="21"/>
          <w:highlight w:val="none"/>
        </w:rPr>
      </w:pPr>
    </w:p>
    <w:p>
      <w:pPr>
        <w:spacing w:line="7987" w:lineRule="exact"/>
        <w:ind w:firstLine="218"/>
        <w:textAlignment w:val="center"/>
        <w:rPr>
          <w:rFonts w:hint="default" w:ascii="Times New Roman" w:hAnsi="Times New Roman" w:cs="Times New Roman"/>
          <w:highlight w:val="none"/>
        </w:rPr>
      </w:pPr>
      <w:r>
        <w:rPr>
          <w:sz w:val="21"/>
          <w:highlight w:val="none"/>
        </w:rPr>
        <mc:AlternateContent>
          <mc:Choice Requires="wps">
            <w:drawing>
              <wp:anchor distT="0" distB="0" distL="114300" distR="114300" simplePos="0" relativeHeight="251857920" behindDoc="0" locked="0" layoutInCell="1" allowOverlap="1">
                <wp:simplePos x="0" y="0"/>
                <wp:positionH relativeFrom="column">
                  <wp:posOffset>5891530</wp:posOffset>
                </wp:positionH>
                <wp:positionV relativeFrom="paragraph">
                  <wp:posOffset>223520</wp:posOffset>
                </wp:positionV>
                <wp:extent cx="457200" cy="169545"/>
                <wp:effectExtent l="0" t="0" r="0" b="1905"/>
                <wp:wrapNone/>
                <wp:docPr id="115" name="文本框 115"/>
                <wp:cNvGraphicFramePr/>
                <a:graphic xmlns:a="http://schemas.openxmlformats.org/drawingml/2006/main">
                  <a:graphicData uri="http://schemas.microsoft.com/office/word/2010/wordprocessingShape">
                    <wps:wsp>
                      <wps:cNvSpPr txBox="1"/>
                      <wps:spPr>
                        <a:xfrm>
                          <a:off x="0" y="0"/>
                          <a:ext cx="457200" cy="1695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180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63.9pt;margin-top:17.6pt;height:13.35pt;width:36pt;z-index:251857920;mso-width-relative:page;mso-height-relative:page;" fillcolor="#FFFFFF [3212]" filled="t" stroked="f" coordsize="21600,21600" o:gfxdata="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O+K+NYAAAAJAQAADwAAAAAAAAABACAA&#10;AAAiAAAAZHJzL2Rvd25yZXYueG1sUEsBAhQAFAAAAAgAh07iQJT0v2VIAgAAggQAAA4AAAAAAAAA&#10;AQAgAAAAJQEAAGRycy9lMm9Eb2MueG1sUEsFBgAAAAAGAAYAWQEAAN8FA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180</w:t>
                      </w:r>
                    </w:p>
                  </w:txbxContent>
                </v:textbox>
              </v:shape>
            </w:pict>
          </mc:Fallback>
        </mc:AlternateContent>
      </w:r>
      <w:r>
        <w:rPr>
          <w:sz w:val="21"/>
          <w:highlight w:val="none"/>
        </w:rPr>
        <mc:AlternateContent>
          <mc:Choice Requires="wps">
            <w:drawing>
              <wp:anchor distT="0" distB="0" distL="114300" distR="114300" simplePos="0" relativeHeight="251856896" behindDoc="0" locked="0" layoutInCell="1" allowOverlap="1">
                <wp:simplePos x="0" y="0"/>
                <wp:positionH relativeFrom="column">
                  <wp:posOffset>4515485</wp:posOffset>
                </wp:positionH>
                <wp:positionV relativeFrom="paragraph">
                  <wp:posOffset>212725</wp:posOffset>
                </wp:positionV>
                <wp:extent cx="457200" cy="169545"/>
                <wp:effectExtent l="0" t="0" r="0" b="1905"/>
                <wp:wrapNone/>
                <wp:docPr id="114" name="文本框 114"/>
                <wp:cNvGraphicFramePr/>
                <a:graphic xmlns:a="http://schemas.openxmlformats.org/drawingml/2006/main">
                  <a:graphicData uri="http://schemas.microsoft.com/office/word/2010/wordprocessingShape">
                    <wps:wsp>
                      <wps:cNvSpPr txBox="1"/>
                      <wps:spPr>
                        <a:xfrm>
                          <a:off x="0" y="0"/>
                          <a:ext cx="457200" cy="1695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940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55.55pt;margin-top:16.75pt;height:13.35pt;width:36pt;z-index:251856896;mso-width-relative:page;mso-height-relative:page;" fillcolor="#FFFFFF [3212]" filled="t" stroked="f" coordsize="21600,21600" o:gfxdata="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gih1wAAAAkBAAAPAAAAAAAAAAEAIAAA&#10;ACIAAABkcnMvZG93bnJldi54bWxQSwECFAAUAAAACACHTuJAxMDvC0YCAACCBAAADgAAAAAAAAAB&#10;ACAAAAAmAQAAZHJzL2Uyb0RvYy54bWxQSwUGAAAAAAYABgBZAQAA3gU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940</w:t>
                      </w:r>
                    </w:p>
                  </w:txbxContent>
                </v:textbox>
              </v:shape>
            </w:pict>
          </mc:Fallback>
        </mc:AlternateContent>
      </w:r>
      <w:r>
        <w:rPr>
          <w:sz w:val="21"/>
          <w:highlight w:val="none"/>
        </w:rPr>
        <mc:AlternateContent>
          <mc:Choice Requires="wps">
            <w:drawing>
              <wp:anchor distT="0" distB="0" distL="114300" distR="114300" simplePos="0" relativeHeight="251852800" behindDoc="0" locked="0" layoutInCell="1" allowOverlap="1">
                <wp:simplePos x="0" y="0"/>
                <wp:positionH relativeFrom="column">
                  <wp:posOffset>1971040</wp:posOffset>
                </wp:positionH>
                <wp:positionV relativeFrom="paragraph">
                  <wp:posOffset>228600</wp:posOffset>
                </wp:positionV>
                <wp:extent cx="457200" cy="159385"/>
                <wp:effectExtent l="0" t="0" r="0" b="12065"/>
                <wp:wrapNone/>
                <wp:docPr id="110" name="文本框 110"/>
                <wp:cNvGraphicFramePr/>
                <a:graphic xmlns:a="http://schemas.openxmlformats.org/drawingml/2006/main">
                  <a:graphicData uri="http://schemas.microsoft.com/office/word/2010/wordprocessingShape">
                    <wps:wsp>
                      <wps:cNvSpPr txBox="1"/>
                      <wps:spPr>
                        <a:xfrm>
                          <a:off x="0" y="0"/>
                          <a:ext cx="457200" cy="15938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286.9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5.2pt;margin-top:18pt;height:12.55pt;width:36pt;z-index:251852800;mso-width-relative:page;mso-height-relative:page;" fillcolor="#FFFFFF [3212]" filled="t" stroked="f" coordsize="21600,21600" o:gfxdata="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ktyoTWAAAACQEAAA8AAAAAAAAAAQAgAAAA&#10;IgAAAGRycy9kb3ducmV2LnhtbFBLAQIUABQAAAAIAIdO4kD/aLToRgIAAIIEAAAOAAAAAAAAAAEA&#10;IAAAACUBAABkcnMvZTJvRG9jLnhtbFBLBQYAAAAABgAGAFkBAADdBQ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286.9</w:t>
                      </w:r>
                    </w:p>
                  </w:txbxContent>
                </v:textbox>
              </v:shape>
            </w:pict>
          </mc:Fallback>
        </mc:AlternateContent>
      </w:r>
      <w:r>
        <w:rPr>
          <w:sz w:val="21"/>
          <w:highlight w:val="none"/>
        </w:rPr>
        <mc:AlternateContent>
          <mc:Choice Requires="wps">
            <w:drawing>
              <wp:anchor distT="0" distB="0" distL="114300" distR="114300" simplePos="0" relativeHeight="251871232" behindDoc="0" locked="0" layoutInCell="1" allowOverlap="1">
                <wp:simplePos x="0" y="0"/>
                <wp:positionH relativeFrom="column">
                  <wp:posOffset>1323340</wp:posOffset>
                </wp:positionH>
                <wp:positionV relativeFrom="paragraph">
                  <wp:posOffset>1804670</wp:posOffset>
                </wp:positionV>
                <wp:extent cx="351790" cy="159385"/>
                <wp:effectExtent l="0" t="0" r="10160" b="12065"/>
                <wp:wrapNone/>
                <wp:docPr id="132" name="文本框 132"/>
                <wp:cNvGraphicFramePr/>
                <a:graphic xmlns:a="http://schemas.openxmlformats.org/drawingml/2006/main">
                  <a:graphicData uri="http://schemas.microsoft.com/office/word/2010/wordprocessingShape">
                    <wps:wsp>
                      <wps:cNvSpPr txBox="1"/>
                      <wps:spPr>
                        <a:xfrm>
                          <a:off x="0" y="0"/>
                          <a:ext cx="351790" cy="15938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359.4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04.2pt;margin-top:142.1pt;height:12.55pt;width:27.7pt;z-index:251871232;mso-width-relative:page;mso-height-relative:page;" fillcolor="#FFFFFF [3212]" filled="t" stroked="f" coordsize="21600,21600" o:gfxdata="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1g6EvYAAAACwEAAA8AAAAAAAAAAQAg&#10;AAAAIgAAAGRycy9kb3ducmV2LnhtbFBLAQIUABQAAAAIAIdO4kAX9MVHRwIAAIIEAAAOAAAAAAAA&#10;AAEAIAAAACcBAABkcnMvZTJvRG9jLnhtbFBLBQYAAAAABgAGAFkBAADgBQ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359.4</w:t>
                      </w:r>
                    </w:p>
                  </w:txbxContent>
                </v:textbox>
              </v:shape>
            </w:pict>
          </mc:Fallback>
        </mc:AlternateContent>
      </w:r>
      <w:r>
        <w:rPr>
          <w:sz w:val="21"/>
          <w:highlight w:val="none"/>
        </w:rPr>
        <mc:AlternateContent>
          <mc:Choice Requires="wps">
            <w:drawing>
              <wp:anchor distT="0" distB="0" distL="114300" distR="114300" simplePos="0" relativeHeight="251870208" behindDoc="0" locked="0" layoutInCell="1" allowOverlap="1">
                <wp:simplePos x="0" y="0"/>
                <wp:positionH relativeFrom="column">
                  <wp:posOffset>4181475</wp:posOffset>
                </wp:positionH>
                <wp:positionV relativeFrom="paragraph">
                  <wp:posOffset>4301490</wp:posOffset>
                </wp:positionV>
                <wp:extent cx="277495" cy="137795"/>
                <wp:effectExtent l="0" t="0" r="8255" b="14605"/>
                <wp:wrapNone/>
                <wp:docPr id="130" name="文本框 130"/>
                <wp:cNvGraphicFramePr/>
                <a:graphic xmlns:a="http://schemas.openxmlformats.org/drawingml/2006/main">
                  <a:graphicData uri="http://schemas.microsoft.com/office/word/2010/wordprocessingShape">
                    <wps:wsp>
                      <wps:cNvSpPr txBox="1"/>
                      <wps:spPr>
                        <a:xfrm>
                          <a:off x="0" y="0"/>
                          <a:ext cx="277495" cy="13779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29.25pt;margin-top:338.7pt;height:10.85pt;width:21.85pt;z-index:251870208;mso-width-relative:page;mso-height-relative:page;" fillcolor="#FFFFFF [3212]" filled="t" stroked="f" coordsize="21600,21600" o:gfxdata="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v32+dgAAAALAQAADwAAAAAAAAABACAA&#10;AAAiAAAAZHJzL2Rvd25yZXYueG1sUEsBAhQAFAAAAAgAh07iQIZVM79GAgAAggQAAA4AAAAAAAAA&#10;AQAgAAAAJwEAAGRycy9lMm9Eb2MueG1sUEsFBgAAAAAGAAYAWQEAAN8FA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w:t>
                      </w:r>
                    </w:p>
                  </w:txbxContent>
                </v:textbox>
              </v:shape>
            </w:pict>
          </mc:Fallback>
        </mc:AlternateContent>
      </w:r>
      <w:r>
        <w:rPr>
          <w:sz w:val="21"/>
          <w:highlight w:val="none"/>
        </w:rPr>
        <mc:AlternateContent>
          <mc:Choice Requires="wps">
            <w:drawing>
              <wp:anchor distT="0" distB="0" distL="114300" distR="114300" simplePos="0" relativeHeight="251869184" behindDoc="0" locked="0" layoutInCell="1" allowOverlap="1">
                <wp:simplePos x="0" y="0"/>
                <wp:positionH relativeFrom="column">
                  <wp:posOffset>5086350</wp:posOffset>
                </wp:positionH>
                <wp:positionV relativeFrom="paragraph">
                  <wp:posOffset>3853815</wp:posOffset>
                </wp:positionV>
                <wp:extent cx="277495" cy="137795"/>
                <wp:effectExtent l="0" t="0" r="8255" b="14605"/>
                <wp:wrapNone/>
                <wp:docPr id="129" name="文本框 129"/>
                <wp:cNvGraphicFramePr/>
                <a:graphic xmlns:a="http://schemas.openxmlformats.org/drawingml/2006/main">
                  <a:graphicData uri="http://schemas.microsoft.com/office/word/2010/wordprocessingShape">
                    <wps:wsp>
                      <wps:cNvSpPr txBox="1"/>
                      <wps:spPr>
                        <a:xfrm>
                          <a:off x="0" y="0"/>
                          <a:ext cx="277495" cy="13779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00.5pt;margin-top:303.45pt;height:10.85pt;width:21.85pt;z-index:251869184;mso-width-relative:page;mso-height-relative:page;" fillcolor="#FFFFFF [3212]" filled="t" stroked="f" coordsize="21600,21600" o:gfxdata="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QZZg3YAAAACwEAAA8AAAAAAAAAAQAg&#10;AAAAIgAAAGRycy9kb3ducmV2LnhtbFBLAQIUABQAAAAIAIdO4kAUzgV+RwIAAIIEAAAOAAAAAAAA&#10;AAEAIAAAACcBAABkcnMvZTJvRG9jLnhtbFBLBQYAAAAABgAGAFkBAADgBQ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w:t>
                      </w:r>
                    </w:p>
                  </w:txbxContent>
                </v:textbox>
              </v:shape>
            </w:pict>
          </mc:Fallback>
        </mc:AlternateContent>
      </w:r>
      <w:r>
        <w:rPr>
          <w:rFonts w:hint="default" w:ascii="Times New Roman" w:hAnsi="Times New Roman" w:cs="Times New Roman"/>
          <w:highlight w:val="none"/>
        </w:rPr>
        <w:drawing>
          <wp:inline distT="0" distB="0" distL="0" distR="0">
            <wp:extent cx="8584565" cy="5071745"/>
            <wp:effectExtent l="0" t="0" r="0" b="14605"/>
            <wp:docPr id="131" name="IM 1"/>
            <wp:cNvGraphicFramePr/>
            <a:graphic xmlns:a="http://schemas.openxmlformats.org/drawingml/2006/main">
              <a:graphicData uri="http://schemas.openxmlformats.org/drawingml/2006/picture">
                <pic:pic xmlns:pic="http://schemas.openxmlformats.org/drawingml/2006/picture">
                  <pic:nvPicPr>
                    <pic:cNvPr id="131" name="IM 1"/>
                    <pic:cNvPicPr/>
                  </pic:nvPicPr>
                  <pic:blipFill>
                    <a:blip r:embed="rId138"/>
                    <a:stretch>
                      <a:fillRect/>
                    </a:stretch>
                  </pic:blipFill>
                  <pic:spPr>
                    <a:xfrm>
                      <a:off x="0" y="0"/>
                      <a:ext cx="8584692" cy="5071802"/>
                    </a:xfrm>
                    <a:prstGeom prst="rect">
                      <a:avLst/>
                    </a:prstGeom>
                  </pic:spPr>
                </pic:pic>
              </a:graphicData>
            </a:graphic>
          </wp:inline>
        </w:drawing>
      </w:r>
      <w:r>
        <w:rPr>
          <w:sz w:val="21"/>
          <w:highlight w:val="none"/>
        </w:rPr>
        <mc:AlternateContent>
          <mc:Choice Requires="wps">
            <w:drawing>
              <wp:anchor distT="0" distB="0" distL="114300" distR="114300" simplePos="0" relativeHeight="251868160" behindDoc="0" locked="0" layoutInCell="1" allowOverlap="1">
                <wp:simplePos x="0" y="0"/>
                <wp:positionH relativeFrom="column">
                  <wp:posOffset>4789805</wp:posOffset>
                </wp:positionH>
                <wp:positionV relativeFrom="paragraph">
                  <wp:posOffset>3663315</wp:posOffset>
                </wp:positionV>
                <wp:extent cx="277495" cy="137795"/>
                <wp:effectExtent l="0" t="0" r="8255" b="14605"/>
                <wp:wrapNone/>
                <wp:docPr id="128" name="文本框 128"/>
                <wp:cNvGraphicFramePr/>
                <a:graphic xmlns:a="http://schemas.openxmlformats.org/drawingml/2006/main">
                  <a:graphicData uri="http://schemas.microsoft.com/office/word/2010/wordprocessingShape">
                    <wps:wsp>
                      <wps:cNvSpPr txBox="1"/>
                      <wps:spPr>
                        <a:xfrm>
                          <a:off x="0" y="0"/>
                          <a:ext cx="277495" cy="13779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7.15pt;margin-top:288.45pt;height:10.85pt;width:21.85pt;z-index:251868160;mso-width-relative:page;mso-height-relative:page;" fillcolor="#FFFFFF [3212]" filled="t" stroked="f" coordsize="21600,21600" o:gfxdata="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T1rwtgAAAALAQAADwAAAAAAAAABACAA&#10;AAAiAAAAZHJzL2Rvd25yZXYueG1sUEsBAhQAFAAAAAgAh07iQET6VRBGAgAAggQAAA4AAAAAAAAA&#10;AQAgAAAAJwEAAGRycy9lMm9Eb2MueG1sUEsFBgAAAAAGAAYAWQEAAN8FA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w:t>
                      </w:r>
                    </w:p>
                  </w:txbxContent>
                </v:textbox>
              </v:shape>
            </w:pict>
          </mc:Fallback>
        </mc:AlternateContent>
      </w:r>
      <w:r>
        <w:rPr>
          <w:sz w:val="21"/>
          <w:highlight w:val="none"/>
        </w:rPr>
        <mc:AlternateContent>
          <mc:Choice Requires="wps">
            <w:drawing>
              <wp:anchor distT="0" distB="0" distL="114300" distR="114300" simplePos="0" relativeHeight="251867136" behindDoc="0" locked="0" layoutInCell="1" allowOverlap="1">
                <wp:simplePos x="0" y="0"/>
                <wp:positionH relativeFrom="column">
                  <wp:posOffset>3435350</wp:posOffset>
                </wp:positionH>
                <wp:positionV relativeFrom="paragraph">
                  <wp:posOffset>3852545</wp:posOffset>
                </wp:positionV>
                <wp:extent cx="277495" cy="137795"/>
                <wp:effectExtent l="0" t="0" r="8255" b="14605"/>
                <wp:wrapNone/>
                <wp:docPr id="127" name="文本框 127"/>
                <wp:cNvGraphicFramePr/>
                <a:graphic xmlns:a="http://schemas.openxmlformats.org/drawingml/2006/main">
                  <a:graphicData uri="http://schemas.microsoft.com/office/word/2010/wordprocessingShape">
                    <wps:wsp>
                      <wps:cNvSpPr txBox="1"/>
                      <wps:spPr>
                        <a:xfrm>
                          <a:off x="0" y="0"/>
                          <a:ext cx="277495" cy="13779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70.5pt;margin-top:303.35pt;height:10.85pt;width:21.85pt;z-index:251867136;mso-width-relative:page;mso-height-relative:page;" fillcolor="#FFFFFF [3212]" filled="t" stroked="f" coordsize="21600,21600" o:gfxdata="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UUjxLYAAAACwEAAA8AAAAAAAAAAQAg&#10;AAAAIgAAAGRycy9kb3ducmV2LnhtbFBLAQIUABQAAAAIAIdO4kC33/cERwIAAIIEAAAOAAAAAAAA&#10;AAEAIAAAACcBAABkcnMvZTJvRG9jLnhtbFBLBQYAAAAABgAGAFkBAADgBQ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3.5</w:t>
                      </w:r>
                    </w:p>
                  </w:txbxContent>
                </v:textbox>
              </v:shape>
            </w:pict>
          </mc:Fallback>
        </mc:AlternateContent>
      </w:r>
      <w:r>
        <w:rPr>
          <w:sz w:val="21"/>
          <w:highlight w:val="none"/>
        </w:rPr>
        <mc:AlternateContent>
          <mc:Choice Requires="wps">
            <w:drawing>
              <wp:anchor distT="0" distB="0" distL="114300" distR="114300" simplePos="0" relativeHeight="251866112" behindDoc="0" locked="0" layoutInCell="1" allowOverlap="1">
                <wp:simplePos x="0" y="0"/>
                <wp:positionH relativeFrom="column">
                  <wp:posOffset>3234055</wp:posOffset>
                </wp:positionH>
                <wp:positionV relativeFrom="paragraph">
                  <wp:posOffset>3641725</wp:posOffset>
                </wp:positionV>
                <wp:extent cx="277495" cy="137795"/>
                <wp:effectExtent l="0" t="0" r="8255" b="14605"/>
                <wp:wrapNone/>
                <wp:docPr id="126" name="文本框 126"/>
                <wp:cNvGraphicFramePr/>
                <a:graphic xmlns:a="http://schemas.openxmlformats.org/drawingml/2006/main">
                  <a:graphicData uri="http://schemas.microsoft.com/office/word/2010/wordprocessingShape">
                    <wps:wsp>
                      <wps:cNvSpPr txBox="1"/>
                      <wps:spPr>
                        <a:xfrm>
                          <a:off x="0" y="0"/>
                          <a:ext cx="277495" cy="13779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4.65pt;margin-top:286.75pt;height:10.85pt;width:21.85pt;z-index:251866112;mso-width-relative:page;mso-height-relative:page;" fillcolor="#FFFFFF [3212]" filled="t" stroked="f" coordsize="21600,21600" o:gfxdata="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ZQAMLYAAAACwEAAA8AAAAAAAAAAQAg&#10;AAAAIgAAAGRycy9kb3ducmV2LnhtbFBLAQIUABQAAAAIAIdO4kDn66dqRwIAAIIEAAAOAAAAAAAA&#10;AAEAIAAAACcBAABkcnMvZTJvRG9jLnhtbFBLBQYAAAAABgAGAFkBAADgBQ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w:t>
                      </w:r>
                    </w:p>
                  </w:txbxContent>
                </v:textbox>
              </v:shape>
            </w:pict>
          </mc:Fallback>
        </mc:AlternateContent>
      </w:r>
      <w:r>
        <w:rPr>
          <w:sz w:val="21"/>
          <w:highlight w:val="none"/>
        </w:rPr>
        <mc:AlternateContent>
          <mc:Choice Requires="wps">
            <w:drawing>
              <wp:anchor distT="0" distB="0" distL="114300" distR="114300" simplePos="0" relativeHeight="251865088" behindDoc="0" locked="0" layoutInCell="1" allowOverlap="1">
                <wp:simplePos x="0" y="0"/>
                <wp:positionH relativeFrom="column">
                  <wp:posOffset>1981200</wp:posOffset>
                </wp:positionH>
                <wp:positionV relativeFrom="paragraph">
                  <wp:posOffset>3849370</wp:posOffset>
                </wp:positionV>
                <wp:extent cx="277495" cy="137795"/>
                <wp:effectExtent l="0" t="0" r="8255" b="14605"/>
                <wp:wrapNone/>
                <wp:docPr id="124" name="文本框 124"/>
                <wp:cNvGraphicFramePr/>
                <a:graphic xmlns:a="http://schemas.openxmlformats.org/drawingml/2006/main">
                  <a:graphicData uri="http://schemas.microsoft.com/office/word/2010/wordprocessingShape">
                    <wps:wsp>
                      <wps:cNvSpPr txBox="1"/>
                      <wps:spPr>
                        <a:xfrm>
                          <a:off x="0" y="0"/>
                          <a:ext cx="277495" cy="13779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6pt;margin-top:303.1pt;height:10.85pt;width:21.85pt;z-index:251865088;mso-width-relative:page;mso-height-relative:page;" fillcolor="#FFFFFF [3212]" filled="t" stroked="f" coordsize="21600,21600" o:gfxdata="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vDleLYAAAACwEAAA8AAAAAAAAAAQAg&#10;AAAAIgAAAGRycy9kb3ducmV2LnhtbFBLAQIUABQAAAAIAIdO4kBHgwe2RwIAAIIEAAAOAAAAAAAA&#10;AAEAIAAAACcBAABkcnMvZTJvRG9jLnhtbFBLBQYAAAAABgAGAFkBAADgBQ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w:t>
                      </w:r>
                    </w:p>
                  </w:txbxContent>
                </v:textbox>
              </v:shape>
            </w:pict>
          </mc:Fallback>
        </mc:AlternateContent>
      </w:r>
      <w:r>
        <w:rPr>
          <w:sz w:val="21"/>
          <w:highlight w:val="none"/>
        </w:rPr>
        <mc:AlternateContent>
          <mc:Choice Requires="wps">
            <w:drawing>
              <wp:anchor distT="0" distB="0" distL="114300" distR="114300" simplePos="0" relativeHeight="251863040" behindDoc="0" locked="0" layoutInCell="1" allowOverlap="1">
                <wp:simplePos x="0" y="0"/>
                <wp:positionH relativeFrom="column">
                  <wp:posOffset>1971040</wp:posOffset>
                </wp:positionH>
                <wp:positionV relativeFrom="paragraph">
                  <wp:posOffset>3267075</wp:posOffset>
                </wp:positionV>
                <wp:extent cx="277495" cy="137795"/>
                <wp:effectExtent l="0" t="0" r="8255" b="14605"/>
                <wp:wrapNone/>
                <wp:docPr id="122" name="文本框 122"/>
                <wp:cNvGraphicFramePr/>
                <a:graphic xmlns:a="http://schemas.openxmlformats.org/drawingml/2006/main">
                  <a:graphicData uri="http://schemas.microsoft.com/office/word/2010/wordprocessingShape">
                    <wps:wsp>
                      <wps:cNvSpPr txBox="1"/>
                      <wps:spPr>
                        <a:xfrm>
                          <a:off x="0" y="0"/>
                          <a:ext cx="277495" cy="13779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5.2pt;margin-top:257.25pt;height:10.85pt;width:21.85pt;z-index:251863040;mso-width-relative:page;mso-height-relative:page;" fillcolor="#FFFFFF [3212]" filled="t" stroked="f" coordsize="21600,21600" o:gfxdata="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nL3ovYAAAACwEAAA8AAAAAAAAAAQAg&#10;AAAAIgAAAGRycy9kb3ducmV2LnhtbFBLAQIUABQAAAAIAIdO4kDmPJYIRwIAAIIEAAAOAAAAAAAA&#10;AAEAIAAAACcBAABkcnMvZTJvRG9jLnhtbFBLBQYAAAAABgAGAFkBAADgBQ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w:t>
                      </w:r>
                    </w:p>
                  </w:txbxContent>
                </v:textbox>
              </v:shape>
            </w:pict>
          </mc:Fallback>
        </mc:AlternateContent>
      </w:r>
      <w:r>
        <w:rPr>
          <w:sz w:val="21"/>
          <w:highlight w:val="none"/>
        </w:rPr>
        <mc:AlternateContent>
          <mc:Choice Requires="wps">
            <w:drawing>
              <wp:anchor distT="0" distB="0" distL="114300" distR="114300" simplePos="0" relativeHeight="251864064" behindDoc="0" locked="0" layoutInCell="1" allowOverlap="1">
                <wp:simplePos x="0" y="0"/>
                <wp:positionH relativeFrom="column">
                  <wp:posOffset>3213735</wp:posOffset>
                </wp:positionH>
                <wp:positionV relativeFrom="paragraph">
                  <wp:posOffset>3028315</wp:posOffset>
                </wp:positionV>
                <wp:extent cx="299085" cy="169545"/>
                <wp:effectExtent l="0" t="0" r="5715" b="1905"/>
                <wp:wrapNone/>
                <wp:docPr id="123" name="文本框 123"/>
                <wp:cNvGraphicFramePr/>
                <a:graphic xmlns:a="http://schemas.openxmlformats.org/drawingml/2006/main">
                  <a:graphicData uri="http://schemas.microsoft.com/office/word/2010/wordprocessingShape">
                    <wps:wsp>
                      <wps:cNvSpPr txBox="1"/>
                      <wps:spPr>
                        <a:xfrm>
                          <a:off x="0" y="0"/>
                          <a:ext cx="299085" cy="1695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3.05pt;margin-top:238.45pt;height:13.35pt;width:23.55pt;z-index:251864064;mso-width-relative:page;mso-height-relative:page;" fillcolor="#FFFFFF [3212]" filled="t" stroked="f" coordsize="21600,21600" o:gfxdata="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jyYa2AAAAAsBAAAPAAAAAAAAAAEA&#10;IAAAACIAAABkcnMvZG93bnJldi54bWxQSwECFAAUAAAACACHTuJA2RHK0kgCAACCBAAADgAAAAAA&#10;AAABACAAAAAnAQAAZHJzL2Uyb0RvYy54bWxQSwUGAAAAAAYABgBZAQAA4QU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w:t>
                      </w:r>
                    </w:p>
                  </w:txbxContent>
                </v:textbox>
              </v:shape>
            </w:pict>
          </mc:Fallback>
        </mc:AlternateContent>
      </w:r>
      <w:r>
        <w:rPr>
          <w:sz w:val="21"/>
          <w:highlight w:val="none"/>
        </w:rPr>
        <mc:AlternateContent>
          <mc:Choice Requires="wps">
            <w:drawing>
              <wp:anchor distT="0" distB="0" distL="114300" distR="114300" simplePos="0" relativeHeight="251854848" behindDoc="0" locked="0" layoutInCell="1" allowOverlap="1">
                <wp:simplePos x="0" y="0"/>
                <wp:positionH relativeFrom="column">
                  <wp:posOffset>3224530</wp:posOffset>
                </wp:positionH>
                <wp:positionV relativeFrom="paragraph">
                  <wp:posOffset>191770</wp:posOffset>
                </wp:positionV>
                <wp:extent cx="457200" cy="169545"/>
                <wp:effectExtent l="0" t="0" r="0" b="1905"/>
                <wp:wrapNone/>
                <wp:docPr id="113" name="文本框 113"/>
                <wp:cNvGraphicFramePr/>
                <a:graphic xmlns:a="http://schemas.openxmlformats.org/drawingml/2006/main">
                  <a:graphicData uri="http://schemas.microsoft.com/office/word/2010/wordprocessingShape">
                    <wps:wsp>
                      <wps:cNvSpPr txBox="1"/>
                      <wps:spPr>
                        <a:xfrm>
                          <a:off x="0" y="0"/>
                          <a:ext cx="457200" cy="1695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2346.9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3.9pt;margin-top:15.1pt;height:13.35pt;width:36pt;z-index:251854848;mso-width-relative:page;mso-height-relative:page;" fillcolor="#FFFFFF [3212]" filled="t" stroked="f" coordsize="21600,21600" o:gfxdata="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7RhcG1gAAAAkBAAAPAAAAAAAAAAEAIAAA&#10;ACIAAABkcnMvZG93bnJldi54bWxQSwECFAAUAAAACACHTuJANUsu20cCAACCBAAADgAAAAAAAAAB&#10;ACAAAAAlAQAAZHJzL2Uyb0RvYy54bWxQSwUGAAAAAAYABgBZAQAA3gU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2346.9</w:t>
                      </w:r>
                    </w:p>
                  </w:txbxContent>
                </v:textbox>
              </v:shape>
            </w:pict>
          </mc:Fallback>
        </mc:AlternateContent>
      </w:r>
      <w:r>
        <w:rPr>
          <w:sz w:val="21"/>
          <w:highlight w:val="none"/>
        </w:rPr>
        <mc:AlternateContent>
          <mc:Choice Requires="wps">
            <w:drawing>
              <wp:anchor distT="0" distB="0" distL="114300" distR="114300" simplePos="0" relativeHeight="251862016" behindDoc="0" locked="0" layoutInCell="1" allowOverlap="1">
                <wp:simplePos x="0" y="0"/>
                <wp:positionH relativeFrom="column">
                  <wp:posOffset>3481705</wp:posOffset>
                </wp:positionH>
                <wp:positionV relativeFrom="paragraph">
                  <wp:posOffset>1039495</wp:posOffset>
                </wp:positionV>
                <wp:extent cx="383540" cy="169545"/>
                <wp:effectExtent l="0" t="0" r="16510" b="1905"/>
                <wp:wrapNone/>
                <wp:docPr id="121" name="文本框 121"/>
                <wp:cNvGraphicFramePr/>
                <a:graphic xmlns:a="http://schemas.openxmlformats.org/drawingml/2006/main">
                  <a:graphicData uri="http://schemas.microsoft.com/office/word/2010/wordprocessingShape">
                    <wps:wsp>
                      <wps:cNvSpPr txBox="1"/>
                      <wps:spPr>
                        <a:xfrm>
                          <a:off x="0" y="0"/>
                          <a:ext cx="383540" cy="1695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671.2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74.15pt;margin-top:81.85pt;height:13.35pt;width:30.2pt;z-index:251862016;mso-width-relative:page;mso-height-relative:page;" fillcolor="#FFFFFF [3212]" filled="t" stroked="f" coordsize="21600,21600" o:gfxdata="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MvGItgAAAALAQAADwAAAAAAAAABACAA&#10;AAAiAAAAZHJzL2Rvd25yZXYueG1sUEsBAhQAFAAAAAgAh07iQPZCvJdGAgAAggQAAA4AAAAAAAAA&#10;AQAgAAAAJwEAAGRycy9lMm9Eb2MueG1sUEsFBgAAAAAGAAYAWQEAAN8FA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671.2</w:t>
                      </w:r>
                    </w:p>
                  </w:txbxContent>
                </v:textbox>
              </v:shape>
            </w:pict>
          </mc:Fallback>
        </mc:AlternateContent>
      </w:r>
      <w:r>
        <w:rPr>
          <w:sz w:val="21"/>
          <w:highlight w:val="none"/>
        </w:rPr>
        <mc:AlternateContent>
          <mc:Choice Requires="wps">
            <w:drawing>
              <wp:anchor distT="0" distB="0" distL="114300" distR="114300" simplePos="0" relativeHeight="251851776" behindDoc="0" locked="0" layoutInCell="1" allowOverlap="1">
                <wp:simplePos x="0" y="0"/>
                <wp:positionH relativeFrom="column">
                  <wp:posOffset>2950845</wp:posOffset>
                </wp:positionH>
                <wp:positionV relativeFrom="paragraph">
                  <wp:posOffset>1007745</wp:posOffset>
                </wp:positionV>
                <wp:extent cx="457200" cy="169545"/>
                <wp:effectExtent l="0" t="0" r="0" b="1905"/>
                <wp:wrapNone/>
                <wp:docPr id="3" name="文本框 3"/>
                <wp:cNvGraphicFramePr/>
                <a:graphic xmlns:a="http://schemas.openxmlformats.org/drawingml/2006/main">
                  <a:graphicData uri="http://schemas.microsoft.com/office/word/2010/wordprocessingShape">
                    <wps:wsp>
                      <wps:cNvSpPr txBox="1"/>
                      <wps:spPr>
                        <a:xfrm>
                          <a:off x="753110" y="1386205"/>
                          <a:ext cx="457200" cy="1695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2060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2.35pt;margin-top:79.35pt;height:13.35pt;width:36pt;z-index:251851776;mso-width-relative:page;mso-height-relative:page;" fillcolor="#FFFFFF [3212]" filled="t" stroked="f" coordsize="21600,21600" o:gfxdata="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ClWOE1wAAAAsBAAAP&#10;AAAAAAAAAAEAIAAAACIAAABkcnMvZG93bnJldi54bWxQSwECFAAUAAAACACHTuJA9WOopVICAACJ&#10;BAAADgAAAAAAAAABACAAAAAmAQAAZHJzL2Uyb0RvYy54bWxQSwUGAAAAAAYABgBZAQAA6gU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2060</w:t>
                      </w:r>
                    </w:p>
                  </w:txbxContent>
                </v:textbox>
              </v:shape>
            </w:pict>
          </mc:Fallback>
        </mc:AlternateContent>
      </w:r>
      <w:r>
        <w:rPr>
          <w:sz w:val="21"/>
          <w:highlight w:val="none"/>
        </w:rPr>
        <mc:AlternateContent>
          <mc:Choice Requires="wps">
            <w:drawing>
              <wp:anchor distT="0" distB="0" distL="114300" distR="114300" simplePos="0" relativeHeight="251860992" behindDoc="0" locked="0" layoutInCell="1" allowOverlap="1">
                <wp:simplePos x="0" y="0"/>
                <wp:positionH relativeFrom="column">
                  <wp:posOffset>3394710</wp:posOffset>
                </wp:positionH>
                <wp:positionV relativeFrom="paragraph">
                  <wp:posOffset>1747520</wp:posOffset>
                </wp:positionV>
                <wp:extent cx="457200" cy="169545"/>
                <wp:effectExtent l="0" t="0" r="0" b="1905"/>
                <wp:wrapNone/>
                <wp:docPr id="120" name="文本框 120"/>
                <wp:cNvGraphicFramePr/>
                <a:graphic xmlns:a="http://schemas.openxmlformats.org/drawingml/2006/main">
                  <a:graphicData uri="http://schemas.microsoft.com/office/word/2010/wordprocessingShape">
                    <wps:wsp>
                      <wps:cNvSpPr txBox="1"/>
                      <wps:spPr>
                        <a:xfrm>
                          <a:off x="0" y="0"/>
                          <a:ext cx="457200" cy="1695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2731.2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67.3pt;margin-top:137.6pt;height:13.35pt;width:36pt;z-index:251860992;mso-width-relative:page;mso-height-relative:page;" fillcolor="#FFFFFF [3212]" filled="t" stroked="f" coordsize="21600,21600" o:gfxdata="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TiIo9gAAAALAQAADwAAAAAAAAABACAA&#10;AAAiAAAAZHJzL2Rvd25yZXYueG1sUEsBAhQAFAAAAAgAh07iQIUV0dRGAgAAggQAAA4AAAAAAAAA&#10;AQAgAAAAJwEAAGRycy9lMm9Eb2MueG1sUEsFBgAAAAAGAAYAWQEAAN8FA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2731.2</w:t>
                      </w:r>
                    </w:p>
                  </w:txbxContent>
                </v:textbox>
              </v:shape>
            </w:pict>
          </mc:Fallback>
        </mc:AlternateContent>
      </w:r>
      <w:r>
        <w:rPr>
          <w:sz w:val="21"/>
          <w:highlight w:val="none"/>
        </w:rPr>
        <mc:AlternateContent>
          <mc:Choice Requires="wps">
            <w:drawing>
              <wp:anchor distT="0" distB="0" distL="114300" distR="114300" simplePos="0" relativeHeight="251853824" behindDoc="0" locked="0" layoutInCell="1" allowOverlap="1">
                <wp:simplePos x="0" y="0"/>
                <wp:positionH relativeFrom="column">
                  <wp:posOffset>5099050</wp:posOffset>
                </wp:positionH>
                <wp:positionV relativeFrom="paragraph">
                  <wp:posOffset>2636520</wp:posOffset>
                </wp:positionV>
                <wp:extent cx="467995" cy="180340"/>
                <wp:effectExtent l="0" t="0" r="8255" b="10160"/>
                <wp:wrapNone/>
                <wp:docPr id="111" name="文本框 111"/>
                <wp:cNvGraphicFramePr/>
                <a:graphic xmlns:a="http://schemas.openxmlformats.org/drawingml/2006/main">
                  <a:graphicData uri="http://schemas.microsoft.com/office/word/2010/wordprocessingShape">
                    <wps:wsp>
                      <wps:cNvSpPr txBox="1"/>
                      <wps:spPr>
                        <a:xfrm>
                          <a:off x="0" y="0"/>
                          <a:ext cx="467995" cy="18034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2774.3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01.5pt;margin-top:207.6pt;height:14.2pt;width:36.85pt;z-index:251853824;mso-width-relative:page;mso-height-relative:page;" fillcolor="#FFFFFF [3212]" filled="t" stroked="f" coordsize="21600,21600" o:gfxdata="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90e7fZAAAACwEAAA8AAAAAAAAA&#10;AQAgAAAAIgAAAGRycy9kb3ducmV2LnhtbFBLAQIUABQAAAAIAIdO4kB2s9tRSQIAAIIEAAAOAAAA&#10;AAAAAAEAIAAAACgBAABkcnMvZTJvRG9jLnhtbFBLBQYAAAAABgAGAFkBAADjBQ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2774.3</w:t>
                      </w:r>
                    </w:p>
                  </w:txbxContent>
                </v:textbox>
              </v:shape>
            </w:pict>
          </mc:Fallback>
        </mc:AlternateContent>
      </w:r>
      <w:r>
        <w:rPr>
          <w:sz w:val="21"/>
          <w:highlight w:val="none"/>
        </w:rPr>
        <mc:AlternateContent>
          <mc:Choice Requires="wps">
            <w:drawing>
              <wp:anchor distT="0" distB="0" distL="114300" distR="114300" simplePos="0" relativeHeight="251859968" behindDoc="0" locked="0" layoutInCell="1" allowOverlap="1">
                <wp:simplePos x="0" y="0"/>
                <wp:positionH relativeFrom="column">
                  <wp:posOffset>7658735</wp:posOffset>
                </wp:positionH>
                <wp:positionV relativeFrom="paragraph">
                  <wp:posOffset>1483360</wp:posOffset>
                </wp:positionV>
                <wp:extent cx="415290" cy="169545"/>
                <wp:effectExtent l="0" t="0" r="3810" b="1905"/>
                <wp:wrapNone/>
                <wp:docPr id="117" name="文本框 117"/>
                <wp:cNvGraphicFramePr/>
                <a:graphic xmlns:a="http://schemas.openxmlformats.org/drawingml/2006/main">
                  <a:graphicData uri="http://schemas.microsoft.com/office/word/2010/wordprocessingShape">
                    <wps:wsp>
                      <wps:cNvSpPr txBox="1"/>
                      <wps:spPr>
                        <a:xfrm>
                          <a:off x="0" y="0"/>
                          <a:ext cx="415290" cy="1695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760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03.05pt;margin-top:116.8pt;height:13.35pt;width:32.7pt;z-index:251859968;mso-width-relative:page;mso-height-relative:page;" fillcolor="#FFFFFF [3212]" filled="t" stroked="f" coordsize="21600,21600" o:gfxdata="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rOn9XYAAAADQEAAA8AAAAAAAAAAQAg&#10;AAAAIgAAAGRycy9kb3ducmV2LnhtbFBLAQIUABQAAAAIAIdO4kDH9NXRRwIAAIIEAAAOAAAAAAAA&#10;AAEAIAAAACcBAABkcnMvZTJvRG9jLnhtbFBLBQYAAAAABgAGAFkBAADgBQ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760</w:t>
                      </w:r>
                    </w:p>
                  </w:txbxContent>
                </v:textbox>
              </v:shape>
            </w:pict>
          </mc:Fallback>
        </mc:AlternateContent>
      </w:r>
      <w:r>
        <w:rPr>
          <w:sz w:val="21"/>
          <w:highlight w:val="none"/>
        </w:rPr>
        <mc:AlternateContent>
          <mc:Choice Requires="wps">
            <w:drawing>
              <wp:anchor distT="0" distB="0" distL="114300" distR="114300" simplePos="0" relativeHeight="251858944" behindDoc="0" locked="0" layoutInCell="1" allowOverlap="1">
                <wp:simplePos x="0" y="0"/>
                <wp:positionH relativeFrom="column">
                  <wp:posOffset>7700645</wp:posOffset>
                </wp:positionH>
                <wp:positionV relativeFrom="paragraph">
                  <wp:posOffset>180975</wp:posOffset>
                </wp:positionV>
                <wp:extent cx="457200" cy="169545"/>
                <wp:effectExtent l="0" t="0" r="0" b="1905"/>
                <wp:wrapNone/>
                <wp:docPr id="116" name="文本框 116"/>
                <wp:cNvGraphicFramePr/>
                <a:graphic xmlns:a="http://schemas.openxmlformats.org/drawingml/2006/main">
                  <a:graphicData uri="http://schemas.microsoft.com/office/word/2010/wordprocessingShape">
                    <wps:wsp>
                      <wps:cNvSpPr txBox="1"/>
                      <wps:spPr>
                        <a:xfrm>
                          <a:off x="0" y="0"/>
                          <a:ext cx="457200" cy="1695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180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06.35pt;margin-top:14.25pt;height:13.35pt;width:36pt;z-index:251858944;mso-width-relative:page;mso-height-relative:page;" fillcolor="#FFFFFF [3212]" filled="t" stroked="f" coordsize="21600,21600" o:gfxdata="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9UBgJ1wAAAAsBAAAPAAAAAAAAAAEAIAAA&#10;ACIAAABkcnMvZG93bnJldi54bWxQSwECFAAUAAAACACHTuJAZKhP10YCAACCBAAADgAAAAAAAAAB&#10;ACAAAAAmAQAAZHJzL2Uyb0RvYy54bWxQSwUGAAAAAAYABgBZAQAA3gUAAAAA&#10;">
                <v:fill on="t" focussize="0,0"/>
                <v:stroke on="f" weight="0.5pt"/>
                <v:imagedata o:title=""/>
                <o:lock v:ext="edit" aspectratio="f"/>
                <v:textbox inset="0mm,0mm,0mm,0mm">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180</w:t>
                      </w:r>
                    </w:p>
                  </w:txbxContent>
                </v:textbox>
              </v:shape>
            </w:pict>
          </mc:Fallback>
        </mc:AlternateContent>
      </w:r>
    </w:p>
    <w:p>
      <w:pPr>
        <w:spacing w:line="316" w:lineRule="exact"/>
        <w:ind w:left="4633"/>
        <w:rPr>
          <w:rFonts w:hint="default" w:ascii="Times New Roman" w:hAnsi="Times New Roman" w:eastAsia="Times New Roman" w:cs="Times New Roman"/>
          <w:sz w:val="23"/>
          <w:szCs w:val="23"/>
          <w:highlight w:val="none"/>
        </w:rPr>
      </w:pPr>
      <w:r>
        <w:rPr>
          <w:rFonts w:hint="default" w:ascii="Times New Roman" w:hAnsi="Times New Roman" w:eastAsia="宋体" w:cs="Times New Roman"/>
          <w:spacing w:val="4"/>
          <w:position w:val="1"/>
          <w:sz w:val="23"/>
          <w:szCs w:val="23"/>
          <w:highlight w:val="none"/>
          <w14:textOutline w14:w="4324" w14:cap="sq" w14:cmpd="sng">
            <w14:solidFill>
              <w14:srgbClr w14:val="000000"/>
            </w14:solidFill>
            <w14:prstDash w14:val="solid"/>
            <w14:bevel/>
          </w14:textOutline>
        </w:rPr>
        <w:t>图</w:t>
      </w:r>
      <w:r>
        <w:rPr>
          <w:rFonts w:hint="default" w:ascii="Times New Roman" w:hAnsi="Times New Roman" w:eastAsia="宋体" w:cs="Times New Roman"/>
          <w:spacing w:val="4"/>
          <w:position w:val="1"/>
          <w:sz w:val="23"/>
          <w:szCs w:val="23"/>
          <w:highlight w:val="none"/>
        </w:rPr>
        <w:t xml:space="preserve"> </w:t>
      </w:r>
      <w:r>
        <w:rPr>
          <w:rFonts w:hint="default" w:ascii="Times New Roman" w:hAnsi="Times New Roman" w:eastAsia="Times New Roman" w:cs="Times New Roman"/>
          <w:b/>
          <w:bCs/>
          <w:spacing w:val="4"/>
          <w:position w:val="1"/>
          <w:sz w:val="23"/>
          <w:szCs w:val="23"/>
          <w:highlight w:val="none"/>
        </w:rPr>
        <w:t>3.</w:t>
      </w:r>
      <w:r>
        <w:rPr>
          <w:rFonts w:hint="eastAsia" w:ascii="Times New Roman" w:hAnsi="Times New Roman" w:eastAsia="宋体" w:cs="Times New Roman"/>
          <w:b/>
          <w:bCs/>
          <w:spacing w:val="4"/>
          <w:position w:val="1"/>
          <w:sz w:val="23"/>
          <w:szCs w:val="23"/>
          <w:highlight w:val="none"/>
          <w:lang w:val="en-US" w:eastAsia="zh-CN"/>
        </w:rPr>
        <w:t>2</w:t>
      </w:r>
      <w:r>
        <w:rPr>
          <w:rFonts w:hint="default" w:ascii="Times New Roman" w:hAnsi="Times New Roman" w:eastAsia="Times New Roman" w:cs="Times New Roman"/>
          <w:b/>
          <w:bCs/>
          <w:spacing w:val="4"/>
          <w:position w:val="1"/>
          <w:sz w:val="23"/>
          <w:szCs w:val="23"/>
          <w:highlight w:val="none"/>
        </w:rPr>
        <w:t>-1</w:t>
      </w:r>
      <w:r>
        <w:rPr>
          <w:rFonts w:hint="default" w:ascii="Times New Roman" w:hAnsi="Times New Roman" w:eastAsia="Times New Roman" w:cs="Times New Roman"/>
          <w:spacing w:val="4"/>
          <w:position w:val="1"/>
          <w:sz w:val="23"/>
          <w:szCs w:val="23"/>
          <w:highlight w:val="none"/>
        </w:rPr>
        <w:t xml:space="preserve">    </w:t>
      </w:r>
      <w:r>
        <w:rPr>
          <w:rFonts w:hint="default" w:ascii="Times New Roman" w:hAnsi="Times New Roman" w:eastAsia="宋体" w:cs="Times New Roman"/>
          <w:spacing w:val="4"/>
          <w:position w:val="1"/>
          <w:sz w:val="23"/>
          <w:szCs w:val="23"/>
          <w:highlight w:val="none"/>
          <w14:textOutline w14:w="4324" w14:cap="sq" w14:cmpd="sng">
            <w14:solidFill>
              <w14:srgbClr w14:val="000000"/>
            </w14:solidFill>
            <w14:prstDash w14:val="solid"/>
            <w14:bevel/>
          </w14:textOutline>
        </w:rPr>
        <w:t xml:space="preserve"> </w:t>
      </w:r>
      <w:r>
        <w:rPr>
          <w:rFonts w:hint="eastAsia" w:ascii="Times New Roman" w:hAnsi="Times New Roman" w:eastAsia="宋体" w:cs="Times New Roman"/>
          <w:spacing w:val="4"/>
          <w:position w:val="1"/>
          <w:sz w:val="23"/>
          <w:szCs w:val="23"/>
          <w:highlight w:val="none"/>
          <w:lang w:val="en-US" w:eastAsia="zh-CN"/>
          <w14:textOutline w14:w="4324" w14:cap="sq" w14:cmpd="sng">
            <w14:solidFill>
              <w14:srgbClr w14:val="000000"/>
            </w14:solidFill>
            <w14:prstDash w14:val="solid"/>
            <w14:bevel/>
          </w14:textOutline>
        </w:rPr>
        <w:t>改扩建后全厂</w:t>
      </w:r>
      <w:r>
        <w:rPr>
          <w:rFonts w:hint="default" w:ascii="Times New Roman" w:hAnsi="Times New Roman" w:eastAsia="宋体" w:cs="Times New Roman"/>
          <w:spacing w:val="4"/>
          <w:position w:val="1"/>
          <w:sz w:val="23"/>
          <w:szCs w:val="23"/>
          <w:highlight w:val="none"/>
          <w14:textOutline w14:w="4324" w14:cap="sq" w14:cmpd="sng">
            <w14:solidFill>
              <w14:srgbClr w14:val="000000"/>
            </w14:solidFill>
            <w14:prstDash w14:val="solid"/>
            <w14:bevel/>
          </w14:textOutline>
        </w:rPr>
        <w:t>给排水平衡图</w:t>
      </w:r>
      <w:r>
        <w:rPr>
          <w:rFonts w:hint="default" w:ascii="Times New Roman" w:hAnsi="Times New Roman" w:eastAsia="宋体" w:cs="Times New Roman"/>
          <w:spacing w:val="4"/>
          <w:position w:val="1"/>
          <w:sz w:val="23"/>
          <w:szCs w:val="23"/>
          <w:highlight w:val="none"/>
        </w:rPr>
        <w:t xml:space="preserve">    </w:t>
      </w:r>
      <w:r>
        <w:rPr>
          <w:rFonts w:hint="default" w:ascii="Times New Roman" w:hAnsi="Times New Roman" w:eastAsia="宋体" w:cs="Times New Roman"/>
          <w:spacing w:val="4"/>
          <w:position w:val="1"/>
          <w:sz w:val="23"/>
          <w:szCs w:val="23"/>
          <w:highlight w:val="none"/>
          <w14:textOutline w14:w="4324" w14:cap="sq" w14:cmpd="sng">
            <w14:solidFill>
              <w14:srgbClr w14:val="000000"/>
            </w14:solidFill>
            <w14:prstDash w14:val="solid"/>
            <w14:bevel/>
          </w14:textOutline>
        </w:rPr>
        <w:t>单位：</w:t>
      </w:r>
      <w:r>
        <w:rPr>
          <w:rFonts w:hint="default" w:ascii="Times New Roman" w:hAnsi="Times New Roman" w:eastAsia="Times New Roman" w:cs="Times New Roman"/>
          <w:b/>
          <w:bCs/>
          <w:position w:val="1"/>
          <w:sz w:val="23"/>
          <w:szCs w:val="23"/>
          <w:highlight w:val="none"/>
        </w:rPr>
        <w:t>m</w:t>
      </w:r>
      <w:r>
        <w:rPr>
          <w:rFonts w:hint="default" w:ascii="Times New Roman" w:hAnsi="Times New Roman" w:eastAsia="Times New Roman" w:cs="Times New Roman"/>
          <w:b/>
          <w:bCs/>
          <w:spacing w:val="4"/>
          <w:position w:val="8"/>
          <w:sz w:val="15"/>
          <w:szCs w:val="15"/>
          <w:highlight w:val="none"/>
        </w:rPr>
        <w:t>3</w:t>
      </w:r>
      <w:r>
        <w:rPr>
          <w:rFonts w:hint="default" w:ascii="Times New Roman" w:hAnsi="Times New Roman" w:eastAsia="Times New Roman" w:cs="Times New Roman"/>
          <w:b/>
          <w:bCs/>
          <w:spacing w:val="3"/>
          <w:position w:val="1"/>
          <w:sz w:val="23"/>
          <w:szCs w:val="23"/>
          <w:highlight w:val="none"/>
        </w:rPr>
        <w:t>/</w:t>
      </w:r>
      <w:r>
        <w:rPr>
          <w:rFonts w:hint="default" w:ascii="Times New Roman" w:hAnsi="Times New Roman" w:eastAsia="Times New Roman" w:cs="Times New Roman"/>
          <w:b/>
          <w:bCs/>
          <w:position w:val="1"/>
          <w:sz w:val="23"/>
          <w:szCs w:val="23"/>
          <w:highlight w:val="none"/>
        </w:rPr>
        <w:t>d</w:t>
      </w:r>
    </w:p>
    <w:p>
      <w:pPr>
        <w:rPr>
          <w:rFonts w:hint="default" w:ascii="Times New Roman" w:hAnsi="Times New Roman" w:cs="Times New Roman"/>
          <w:highlight w:val="none"/>
        </w:rPr>
        <w:sectPr>
          <w:headerReference r:id="rId27" w:type="default"/>
          <w:footerReference r:id="rId28" w:type="default"/>
          <w:pgSz w:w="16839" w:h="11906"/>
          <w:pgMar w:top="1200" w:right="1440" w:bottom="1310" w:left="1440" w:header="882" w:footer="1027" w:gutter="0"/>
          <w:pgBorders>
            <w:top w:val="none" w:sz="0" w:space="0"/>
            <w:left w:val="none" w:sz="0" w:space="0"/>
            <w:bottom w:val="none" w:sz="0" w:space="0"/>
            <w:right w:val="none" w:sz="0" w:space="0"/>
          </w:pgBorders>
          <w:pgNumType w:fmt="decimal"/>
          <w:cols w:space="720" w:num="1"/>
        </w:sectPr>
      </w:pPr>
    </w:p>
    <w:p>
      <w:pPr>
        <w:spacing w:before="75" w:line="228" w:lineRule="auto"/>
        <w:outlineLvl w:val="2"/>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pPr>
      <w:bookmarkStart w:id="182" w:name="_Toc3457"/>
      <w:bookmarkStart w:id="183" w:name="_Toc5512"/>
      <w:bookmarkStart w:id="184" w:name="_Toc23652"/>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9</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污染影响因素分析</w:t>
      </w:r>
      <w:bookmarkEnd w:id="182"/>
      <w:bookmarkEnd w:id="183"/>
      <w:bookmarkEnd w:id="184"/>
    </w:p>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50" w:after="0" w:afterLines="0"/>
        <w:textAlignment w:val="auto"/>
        <w:outlineLvl w:val="3"/>
        <w:rPr>
          <w:rFonts w:hint="default" w:ascii="Times New Roman" w:hAnsi="Times New Roman" w:cs="Times New Roman"/>
          <w:b w:val="0"/>
          <w:bCs/>
          <w:sz w:val="23"/>
          <w:szCs w:val="23"/>
          <w:highlight w:val="none"/>
        </w:rPr>
      </w:pPr>
      <w:bookmarkStart w:id="185" w:name="_Toc2746"/>
      <w:bookmarkStart w:id="186" w:name="_Toc521591764"/>
      <w:r>
        <w:rPr>
          <w:rFonts w:hint="default" w:ascii="Times New Roman" w:hAnsi="Times New Roman" w:eastAsia="宋体" w:cs="Times New Roman"/>
          <w:b w:val="0"/>
          <w:bCs/>
          <w:sz w:val="23"/>
          <w:szCs w:val="23"/>
          <w:highlight w:val="none"/>
          <w:lang w:val="en-US" w:eastAsia="zh-CN"/>
        </w:rPr>
        <w:t>3.2.9.1</w:t>
      </w:r>
      <w:r>
        <w:rPr>
          <w:rFonts w:hint="default" w:ascii="Times New Roman" w:hAnsi="Times New Roman" w:cs="Times New Roman"/>
          <w:b w:val="0"/>
          <w:bCs/>
          <w:sz w:val="23"/>
          <w:szCs w:val="23"/>
          <w:highlight w:val="none"/>
        </w:rPr>
        <w:t>工艺流程分析</w:t>
      </w:r>
      <w:bookmarkEnd w:id="185"/>
      <w:bookmarkEnd w:id="186"/>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92" w:firstLineChars="200"/>
        <w:textAlignment w:val="baseline"/>
        <w:rPr>
          <w:rFonts w:hint="eastAsia" w:ascii="Times New Roman" w:hAnsi="Times New Roman" w:eastAsia="宋体" w:cs="Times New Roman"/>
          <w:spacing w:val="8"/>
          <w:sz w:val="23"/>
          <w:szCs w:val="23"/>
          <w:highlight w:val="none"/>
          <w:lang w:val="en-US" w:eastAsia="zh-CN"/>
        </w:rPr>
      </w:pPr>
      <w:r>
        <w:rPr>
          <w:rFonts w:hint="eastAsia" w:ascii="Times New Roman" w:hAnsi="Times New Roman" w:eastAsia="宋体" w:cs="Times New Roman"/>
          <w:spacing w:val="8"/>
          <w:sz w:val="23"/>
          <w:szCs w:val="23"/>
          <w:highlight w:val="none"/>
        </w:rPr>
        <w:t>原料运输：项目原料</w:t>
      </w:r>
      <w:r>
        <w:rPr>
          <w:rFonts w:hint="eastAsia" w:ascii="Times New Roman" w:hAnsi="Times New Roman" w:eastAsia="宋体" w:cs="Times New Roman"/>
          <w:spacing w:val="8"/>
          <w:sz w:val="23"/>
          <w:szCs w:val="23"/>
          <w:highlight w:val="none"/>
          <w:lang w:val="en-US" w:eastAsia="zh-CN"/>
        </w:rPr>
        <w:t>由</w:t>
      </w:r>
      <w:r>
        <w:rPr>
          <w:rFonts w:hint="eastAsia" w:ascii="Times New Roman" w:hAnsi="Times New Roman" w:eastAsia="宋体" w:cs="Times New Roman"/>
          <w:spacing w:val="8"/>
          <w:sz w:val="23"/>
          <w:szCs w:val="23"/>
          <w:highlight w:val="none"/>
        </w:rPr>
        <w:t>遵化市势竹矿业有限公司</w:t>
      </w:r>
      <w:r>
        <w:rPr>
          <w:rFonts w:hint="eastAsia" w:ascii="Times New Roman" w:hAnsi="Times New Roman" w:eastAsia="宋体" w:cs="Times New Roman"/>
          <w:spacing w:val="8"/>
          <w:sz w:val="23"/>
          <w:szCs w:val="23"/>
          <w:highlight w:val="none"/>
          <w:lang w:val="en-US" w:eastAsia="zh-CN"/>
        </w:rPr>
        <w:t>自有矿区供应</w:t>
      </w:r>
      <w:r>
        <w:rPr>
          <w:rFonts w:hint="eastAsia" w:ascii="Times New Roman" w:hAnsi="Times New Roman" w:eastAsia="宋体" w:cs="Times New Roman"/>
          <w:spacing w:val="8"/>
          <w:sz w:val="23"/>
          <w:szCs w:val="23"/>
          <w:highlight w:val="none"/>
        </w:rPr>
        <w:t>，不足部分由周边矿区购进，原料运输路线：</w:t>
      </w:r>
      <w:r>
        <w:rPr>
          <w:rFonts w:hint="eastAsia" w:ascii="Times New Roman" w:hAnsi="Times New Roman" w:eastAsia="宋体" w:cs="Times New Roman"/>
          <w:spacing w:val="8"/>
          <w:sz w:val="23"/>
          <w:szCs w:val="23"/>
          <w:highlight w:val="none"/>
          <w:lang w:val="en-US" w:eastAsia="zh-CN"/>
        </w:rPr>
        <w:t>矿区</w:t>
      </w:r>
      <w:r>
        <w:rPr>
          <w:rFonts w:hint="eastAsia" w:ascii="Times New Roman" w:hAnsi="Times New Roman" w:eastAsia="宋体" w:cs="Times New Roman"/>
          <w:spacing w:val="8"/>
          <w:sz w:val="23"/>
          <w:szCs w:val="23"/>
          <w:highlight w:val="none"/>
        </w:rPr>
        <w:t>—G</w:t>
      </w:r>
      <w:r>
        <w:rPr>
          <w:rFonts w:hint="eastAsia" w:ascii="Times New Roman" w:hAnsi="Times New Roman" w:eastAsia="宋体" w:cs="Times New Roman"/>
          <w:spacing w:val="8"/>
          <w:sz w:val="23"/>
          <w:szCs w:val="23"/>
          <w:highlight w:val="none"/>
          <w:lang w:val="en-US" w:eastAsia="zh-CN"/>
        </w:rPr>
        <w:t>112</w:t>
      </w:r>
      <w:r>
        <w:rPr>
          <w:rFonts w:hint="eastAsia" w:ascii="Times New Roman" w:hAnsi="Times New Roman" w:eastAsia="宋体" w:cs="Times New Roman"/>
          <w:spacing w:val="8"/>
          <w:sz w:val="23"/>
          <w:szCs w:val="23"/>
          <w:highlight w:val="none"/>
        </w:rPr>
        <w:t>—</w:t>
      </w:r>
      <w:r>
        <w:rPr>
          <w:rFonts w:hint="eastAsia" w:ascii="Times New Roman" w:hAnsi="Times New Roman" w:eastAsia="宋体" w:cs="Times New Roman"/>
          <w:spacing w:val="8"/>
          <w:sz w:val="23"/>
          <w:szCs w:val="23"/>
          <w:highlight w:val="none"/>
          <w:lang w:val="en-US" w:eastAsia="zh-CN"/>
        </w:rPr>
        <w:t>040乡道</w:t>
      </w:r>
      <w:r>
        <w:rPr>
          <w:rFonts w:hint="eastAsia" w:ascii="Times New Roman" w:hAnsi="Times New Roman" w:eastAsia="宋体" w:cs="Times New Roman"/>
          <w:spacing w:val="8"/>
          <w:sz w:val="23"/>
          <w:szCs w:val="23"/>
          <w:highlight w:val="none"/>
        </w:rPr>
        <w:t>—本项目</w:t>
      </w:r>
      <w:r>
        <w:rPr>
          <w:rFonts w:hint="eastAsia" w:ascii="Times New Roman" w:hAnsi="Times New Roman" w:eastAsia="宋体" w:cs="Times New Roman"/>
          <w:spacing w:val="8"/>
          <w:sz w:val="23"/>
          <w:szCs w:val="23"/>
          <w:highlight w:val="none"/>
          <w:lang w:eastAsia="zh-CN"/>
        </w:rPr>
        <w:t>，</w:t>
      </w:r>
      <w:r>
        <w:rPr>
          <w:rFonts w:hint="eastAsia" w:ascii="Times New Roman" w:hAnsi="Times New Roman" w:eastAsia="宋体" w:cs="Times New Roman"/>
          <w:spacing w:val="8"/>
          <w:sz w:val="23"/>
          <w:szCs w:val="23"/>
          <w:highlight w:val="none"/>
          <w:lang w:val="en-US" w:eastAsia="zh-CN"/>
        </w:rPr>
        <w:t>运矿道路主要为G112，进入040乡道后行驶月1.2km进入本项目厂区，运输过程不穿越村庄。</w:t>
      </w:r>
    </w:p>
    <w:p>
      <w:pPr>
        <w:pStyle w:val="2"/>
        <w:pageBreakBefore w:val="0"/>
        <w:widowControl/>
        <w:kinsoku w:val="0"/>
        <w:wordWrap/>
        <w:overflowPunct/>
        <w:topLinePunct w:val="0"/>
        <w:autoSpaceDE w:val="0"/>
        <w:autoSpaceDN w:val="0"/>
        <w:bidi w:val="0"/>
        <w:adjustRightInd w:val="0"/>
        <w:snapToGrid w:val="0"/>
        <w:outlineLvl w:val="9"/>
        <w:rPr>
          <w:rFonts w:hint="eastAsia" w:ascii="Times New Roman" w:hAnsi="Times New Roman" w:eastAsia="宋体" w:cs="Times New Roman"/>
          <w:spacing w:val="8"/>
          <w:sz w:val="23"/>
          <w:szCs w:val="23"/>
          <w:highlight w:val="none"/>
          <w:lang w:val="en-US" w:eastAsia="zh-CN"/>
        </w:rPr>
      </w:pPr>
      <w:r>
        <w:rPr>
          <w:highlight w:val="none"/>
        </w:rPr>
        <w:drawing>
          <wp:anchor distT="0" distB="0" distL="114300" distR="114300" simplePos="0" relativeHeight="251886592" behindDoc="0" locked="0" layoutInCell="1" allowOverlap="1">
            <wp:simplePos x="0" y="0"/>
            <wp:positionH relativeFrom="column">
              <wp:posOffset>116840</wp:posOffset>
            </wp:positionH>
            <wp:positionV relativeFrom="paragraph">
              <wp:posOffset>125095</wp:posOffset>
            </wp:positionV>
            <wp:extent cx="408305" cy="443865"/>
            <wp:effectExtent l="0" t="0" r="10795" b="133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1"/>
                    <a:srcRect r="8535"/>
                    <a:stretch>
                      <a:fillRect/>
                    </a:stretch>
                  </pic:blipFill>
                  <pic:spPr>
                    <a:xfrm>
                      <a:off x="0" y="0"/>
                      <a:ext cx="408305" cy="443865"/>
                    </a:xfrm>
                    <a:prstGeom prst="rect">
                      <a:avLst/>
                    </a:prstGeom>
                    <a:noFill/>
                    <a:ln>
                      <a:noFill/>
                    </a:ln>
                  </pic:spPr>
                </pic:pic>
              </a:graphicData>
            </a:graphic>
          </wp:anchor>
        </w:drawing>
      </w:r>
      <w:r>
        <w:rPr>
          <w:rFonts w:hint="eastAsia" w:ascii="Times New Roman" w:hAnsi="Times New Roman" w:eastAsia="宋体" w:cs="Times New Roman"/>
          <w:spacing w:val="8"/>
          <w:sz w:val="23"/>
          <w:szCs w:val="23"/>
          <w:highlight w:val="none"/>
          <w:lang w:val="en-US" w:eastAsia="zh-CN"/>
        </w:rPr>
        <w:drawing>
          <wp:anchor distT="0" distB="0" distL="114300" distR="114300" simplePos="0" relativeHeight="251885568" behindDoc="0" locked="0" layoutInCell="1" allowOverlap="1">
            <wp:simplePos x="0" y="0"/>
            <wp:positionH relativeFrom="column">
              <wp:posOffset>-8255</wp:posOffset>
            </wp:positionH>
            <wp:positionV relativeFrom="paragraph">
              <wp:posOffset>17780</wp:posOffset>
            </wp:positionV>
            <wp:extent cx="5334000" cy="3279775"/>
            <wp:effectExtent l="19050" t="19050" r="19050" b="34925"/>
            <wp:wrapNone/>
            <wp:docPr id="6" name="图片 6" descr="168509267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85092679617"/>
                    <pic:cNvPicPr>
                      <a:picLocks noChangeAspect="1"/>
                    </pic:cNvPicPr>
                  </pic:nvPicPr>
                  <pic:blipFill>
                    <a:blip r:embed="rId142"/>
                    <a:stretch>
                      <a:fillRect/>
                    </a:stretch>
                  </pic:blipFill>
                  <pic:spPr>
                    <a:xfrm>
                      <a:off x="0" y="0"/>
                      <a:ext cx="5334000" cy="3279775"/>
                    </a:xfrm>
                    <a:prstGeom prst="rect">
                      <a:avLst/>
                    </a:prstGeom>
                    <a:ln w="19050" cmpd="sng">
                      <a:solidFill>
                        <a:schemeClr val="tx1"/>
                      </a:solidFill>
                      <a:prstDash val="solid"/>
                    </a:ln>
                  </pic:spPr>
                </pic:pic>
              </a:graphicData>
            </a:graphic>
          </wp:anchor>
        </w:drawing>
      </w:r>
    </w:p>
    <w:p>
      <w:pPr>
        <w:pageBreakBefore w:val="0"/>
        <w:widowControl/>
        <w:kinsoku w:val="0"/>
        <w:wordWrap/>
        <w:overflowPunct/>
        <w:topLinePunct w:val="0"/>
        <w:autoSpaceDE w:val="0"/>
        <w:autoSpaceDN w:val="0"/>
        <w:bidi w:val="0"/>
        <w:adjustRightInd w:val="0"/>
        <w:snapToGrid w:val="0"/>
        <w:outlineLvl w:val="9"/>
        <w:rPr>
          <w:rFonts w:hint="eastAsia" w:ascii="Times New Roman" w:hAnsi="Times New Roman" w:eastAsia="宋体" w:cs="Times New Roman"/>
          <w:spacing w:val="8"/>
          <w:sz w:val="23"/>
          <w:szCs w:val="23"/>
          <w:highlight w:val="none"/>
          <w:lang w:val="en-US" w:eastAsia="zh-CN"/>
        </w:rPr>
      </w:pPr>
    </w:p>
    <w:p>
      <w:pPr>
        <w:pStyle w:val="2"/>
        <w:pageBreakBefore w:val="0"/>
        <w:widowControl/>
        <w:kinsoku w:val="0"/>
        <w:wordWrap/>
        <w:overflowPunct/>
        <w:topLinePunct w:val="0"/>
        <w:autoSpaceDE w:val="0"/>
        <w:autoSpaceDN w:val="0"/>
        <w:bidi w:val="0"/>
        <w:adjustRightInd w:val="0"/>
        <w:snapToGrid w:val="0"/>
        <w:outlineLvl w:val="9"/>
        <w:rPr>
          <w:rFonts w:hint="eastAsia" w:ascii="Times New Roman" w:hAnsi="Times New Roman" w:eastAsia="宋体" w:cs="Times New Roman"/>
          <w:spacing w:val="8"/>
          <w:sz w:val="23"/>
          <w:szCs w:val="23"/>
          <w:highlight w:val="none"/>
          <w:lang w:val="en-US" w:eastAsia="zh-CN"/>
        </w:rPr>
      </w:pPr>
    </w:p>
    <w:p>
      <w:pPr>
        <w:pageBreakBefore w:val="0"/>
        <w:widowControl/>
        <w:kinsoku w:val="0"/>
        <w:wordWrap/>
        <w:overflowPunct/>
        <w:topLinePunct w:val="0"/>
        <w:autoSpaceDE w:val="0"/>
        <w:autoSpaceDN w:val="0"/>
        <w:bidi w:val="0"/>
        <w:adjustRightInd w:val="0"/>
        <w:snapToGrid w:val="0"/>
        <w:outlineLvl w:val="9"/>
        <w:rPr>
          <w:rFonts w:hint="eastAsia"/>
          <w:highlight w:val="none"/>
          <w:lang w:val="en-US" w:eastAsia="zh-CN"/>
        </w:rPr>
      </w:pPr>
    </w:p>
    <w:p>
      <w:pPr>
        <w:pStyle w:val="2"/>
        <w:pageBreakBefore w:val="0"/>
        <w:widowControl/>
        <w:kinsoku w:val="0"/>
        <w:wordWrap/>
        <w:overflowPunct/>
        <w:topLinePunct w:val="0"/>
        <w:autoSpaceDE w:val="0"/>
        <w:autoSpaceDN w:val="0"/>
        <w:bidi w:val="0"/>
        <w:adjustRightInd w:val="0"/>
        <w:snapToGrid w:val="0"/>
        <w:outlineLvl w:val="9"/>
        <w:rPr>
          <w:rFonts w:hint="eastAsia" w:ascii="Times New Roman" w:hAnsi="Times New Roman" w:eastAsia="宋体" w:cs="Times New Roman"/>
          <w:spacing w:val="8"/>
          <w:sz w:val="23"/>
          <w:szCs w:val="23"/>
          <w:highlight w:val="none"/>
          <w:lang w:val="en-US" w:eastAsia="zh-CN"/>
        </w:rPr>
      </w:pPr>
    </w:p>
    <w:p>
      <w:pPr>
        <w:pageBreakBefore w:val="0"/>
        <w:widowControl/>
        <w:kinsoku w:val="0"/>
        <w:wordWrap/>
        <w:overflowPunct/>
        <w:topLinePunct w:val="0"/>
        <w:autoSpaceDE w:val="0"/>
        <w:autoSpaceDN w:val="0"/>
        <w:bidi w:val="0"/>
        <w:adjustRightInd w:val="0"/>
        <w:snapToGrid w:val="0"/>
        <w:outlineLvl w:val="9"/>
        <w:rPr>
          <w:rFonts w:hint="eastAsia" w:ascii="Times New Roman" w:hAnsi="Times New Roman" w:eastAsia="宋体" w:cs="Times New Roman"/>
          <w:spacing w:val="8"/>
          <w:sz w:val="23"/>
          <w:szCs w:val="23"/>
          <w:highlight w:val="none"/>
          <w:lang w:val="en-US" w:eastAsia="zh-CN"/>
        </w:rPr>
      </w:pPr>
    </w:p>
    <w:p>
      <w:pPr>
        <w:pStyle w:val="2"/>
        <w:pageBreakBefore w:val="0"/>
        <w:widowControl/>
        <w:kinsoku w:val="0"/>
        <w:wordWrap/>
        <w:overflowPunct/>
        <w:topLinePunct w:val="0"/>
        <w:autoSpaceDE w:val="0"/>
        <w:autoSpaceDN w:val="0"/>
        <w:bidi w:val="0"/>
        <w:adjustRightInd w:val="0"/>
        <w:snapToGrid w:val="0"/>
        <w:outlineLvl w:val="9"/>
        <w:rPr>
          <w:rFonts w:hint="eastAsia" w:ascii="Times New Roman" w:hAnsi="Times New Roman" w:eastAsia="宋体" w:cs="Times New Roman"/>
          <w:spacing w:val="8"/>
          <w:sz w:val="23"/>
          <w:szCs w:val="23"/>
          <w:highlight w:val="none"/>
          <w:lang w:val="en-US" w:eastAsia="zh-CN"/>
        </w:rPr>
      </w:pPr>
    </w:p>
    <w:p>
      <w:pPr>
        <w:pageBreakBefore w:val="0"/>
        <w:widowControl/>
        <w:kinsoku w:val="0"/>
        <w:wordWrap/>
        <w:overflowPunct/>
        <w:topLinePunct w:val="0"/>
        <w:autoSpaceDE w:val="0"/>
        <w:autoSpaceDN w:val="0"/>
        <w:bidi w:val="0"/>
        <w:adjustRightInd w:val="0"/>
        <w:snapToGrid w:val="0"/>
        <w:outlineLvl w:val="9"/>
        <w:rPr>
          <w:rFonts w:hint="eastAsia" w:ascii="Times New Roman" w:hAnsi="Times New Roman" w:eastAsia="宋体" w:cs="Times New Roman"/>
          <w:spacing w:val="8"/>
          <w:sz w:val="23"/>
          <w:szCs w:val="23"/>
          <w:highlight w:val="none"/>
          <w:lang w:val="en-US" w:eastAsia="zh-CN"/>
        </w:rPr>
      </w:pPr>
    </w:p>
    <w:p>
      <w:pPr>
        <w:pStyle w:val="2"/>
        <w:pageBreakBefore w:val="0"/>
        <w:widowControl/>
        <w:kinsoku w:val="0"/>
        <w:wordWrap/>
        <w:overflowPunct/>
        <w:topLinePunct w:val="0"/>
        <w:autoSpaceDE w:val="0"/>
        <w:autoSpaceDN w:val="0"/>
        <w:bidi w:val="0"/>
        <w:adjustRightInd w:val="0"/>
        <w:snapToGrid w:val="0"/>
        <w:outlineLvl w:val="9"/>
        <w:rPr>
          <w:rFonts w:hint="eastAsia"/>
          <w:highlight w:val="none"/>
          <w:lang w:val="en-US" w:eastAsia="zh-CN"/>
        </w:rPr>
      </w:pPr>
    </w:p>
    <w:p>
      <w:pPr>
        <w:pStyle w:val="3"/>
        <w:rPr>
          <w:rFonts w:hint="eastAsia"/>
          <w:highlight w:val="none"/>
          <w:lang w:val="en-US" w:eastAsia="zh-CN"/>
        </w:rPr>
      </w:pPr>
    </w:p>
    <w:p>
      <w:pPr>
        <w:pStyle w:val="2"/>
        <w:rPr>
          <w:rFonts w:hint="eastAsia"/>
          <w:highlight w:val="none"/>
          <w:lang w:val="en-US" w:eastAsia="zh-CN"/>
        </w:rPr>
      </w:pPr>
    </w:p>
    <w:p>
      <w:pPr>
        <w:pStyle w:val="3"/>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6" w:firstLineChars="200"/>
        <w:jc w:val="center"/>
        <w:textAlignment w:val="baseline"/>
        <w:outlineLvl w:val="9"/>
        <w:rPr>
          <w:rFonts w:hint="default" w:ascii="Times New Roman" w:hAnsi="Times New Roman" w:eastAsia="宋体" w:cs="Times New Roman"/>
          <w:b/>
          <w:bCs/>
          <w:spacing w:val="8"/>
          <w:sz w:val="23"/>
          <w:szCs w:val="23"/>
          <w:highlight w:val="none"/>
          <w:lang w:val="en-US" w:eastAsia="zh-CN"/>
        </w:rPr>
      </w:pPr>
      <w:r>
        <w:rPr>
          <w:rFonts w:hint="default" w:ascii="Times New Roman" w:hAnsi="Times New Roman" w:eastAsia="宋体" w:cs="Times New Roman"/>
          <w:spacing w:val="4"/>
          <w:position w:val="1"/>
          <w:sz w:val="23"/>
          <w:szCs w:val="23"/>
          <w:highlight w:val="none"/>
          <w14:textOutline w14:w="4324" w14:cap="sq" w14:cmpd="sng">
            <w14:solidFill>
              <w14:srgbClr w14:val="000000"/>
            </w14:solidFill>
            <w14:prstDash w14:val="solid"/>
            <w14:bevel/>
          </w14:textOutline>
        </w:rPr>
        <w:t>图</w:t>
      </w:r>
      <w:r>
        <w:rPr>
          <w:rFonts w:hint="default" w:ascii="Times New Roman" w:hAnsi="Times New Roman" w:eastAsia="宋体" w:cs="Times New Roman"/>
          <w:spacing w:val="4"/>
          <w:position w:val="1"/>
          <w:sz w:val="23"/>
          <w:szCs w:val="23"/>
          <w:highlight w:val="none"/>
        </w:rPr>
        <w:t xml:space="preserve"> </w:t>
      </w:r>
      <w:r>
        <w:rPr>
          <w:rFonts w:hint="default" w:ascii="Times New Roman" w:hAnsi="Times New Roman" w:eastAsia="Times New Roman" w:cs="Times New Roman"/>
          <w:b/>
          <w:bCs/>
          <w:spacing w:val="4"/>
          <w:position w:val="1"/>
          <w:sz w:val="23"/>
          <w:szCs w:val="23"/>
          <w:highlight w:val="none"/>
        </w:rPr>
        <w:t>3.</w:t>
      </w:r>
      <w:r>
        <w:rPr>
          <w:rFonts w:hint="eastAsia" w:ascii="Times New Roman" w:hAnsi="Times New Roman" w:eastAsia="宋体" w:cs="Times New Roman"/>
          <w:b/>
          <w:bCs/>
          <w:spacing w:val="4"/>
          <w:position w:val="1"/>
          <w:sz w:val="23"/>
          <w:szCs w:val="23"/>
          <w:highlight w:val="none"/>
          <w:lang w:val="en-US" w:eastAsia="zh-CN"/>
        </w:rPr>
        <w:t>2</w:t>
      </w:r>
      <w:r>
        <w:rPr>
          <w:rFonts w:hint="default" w:ascii="Times New Roman" w:hAnsi="Times New Roman" w:eastAsia="Times New Roman" w:cs="Times New Roman"/>
          <w:b/>
          <w:bCs/>
          <w:spacing w:val="4"/>
          <w:position w:val="1"/>
          <w:sz w:val="23"/>
          <w:szCs w:val="23"/>
          <w:highlight w:val="none"/>
        </w:rPr>
        <w:t>-</w:t>
      </w:r>
      <w:r>
        <w:rPr>
          <w:rFonts w:hint="eastAsia" w:ascii="Times New Roman" w:hAnsi="Times New Roman" w:eastAsia="宋体" w:cs="Times New Roman"/>
          <w:b/>
          <w:bCs/>
          <w:spacing w:val="4"/>
          <w:position w:val="1"/>
          <w:sz w:val="23"/>
          <w:szCs w:val="23"/>
          <w:highlight w:val="none"/>
          <w:lang w:val="en-US" w:eastAsia="zh-CN"/>
        </w:rPr>
        <w:t>2</w:t>
      </w:r>
      <w:r>
        <w:rPr>
          <w:rFonts w:hint="default" w:ascii="Times New Roman" w:hAnsi="Times New Roman" w:eastAsia="Times New Roman" w:cs="Times New Roman"/>
          <w:spacing w:val="4"/>
          <w:position w:val="1"/>
          <w:sz w:val="23"/>
          <w:szCs w:val="23"/>
          <w:highlight w:val="none"/>
        </w:rPr>
        <w:t xml:space="preserve">    </w:t>
      </w:r>
      <w:r>
        <w:rPr>
          <w:rFonts w:hint="default" w:ascii="Times New Roman" w:hAnsi="Times New Roman" w:eastAsia="宋体" w:cs="Times New Roman"/>
          <w:spacing w:val="4"/>
          <w:position w:val="1"/>
          <w:sz w:val="23"/>
          <w:szCs w:val="23"/>
          <w:highlight w:val="none"/>
          <w14:textOutline w14:w="4324" w14:cap="sq" w14:cmpd="sng">
            <w14:solidFill>
              <w14:srgbClr w14:val="000000"/>
            </w14:solidFill>
            <w14:prstDash w14:val="solid"/>
            <w14:bevel/>
          </w14:textOutline>
        </w:rPr>
        <w:t xml:space="preserve"> </w:t>
      </w:r>
      <w:r>
        <w:rPr>
          <w:rFonts w:hint="eastAsia" w:ascii="Times New Roman" w:hAnsi="Times New Roman" w:eastAsia="宋体" w:cs="Times New Roman"/>
          <w:b/>
          <w:bCs/>
          <w:spacing w:val="8"/>
          <w:sz w:val="23"/>
          <w:szCs w:val="23"/>
          <w:highlight w:val="none"/>
          <w:lang w:val="en-US" w:eastAsia="zh-CN"/>
        </w:rPr>
        <w:t>矿石运输路线图</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92" w:firstLineChars="200"/>
        <w:textAlignment w:val="baseline"/>
        <w:rPr>
          <w:rFonts w:hint="default" w:ascii="Times New Roman" w:hAnsi="Times New Roman" w:eastAsia="宋体" w:cs="Times New Roman"/>
          <w:spacing w:val="8"/>
          <w:sz w:val="23"/>
          <w:szCs w:val="23"/>
          <w:highlight w:val="none"/>
        </w:rPr>
      </w:pPr>
      <w:r>
        <w:rPr>
          <w:rFonts w:hint="default" w:ascii="Times New Roman" w:hAnsi="Times New Roman" w:eastAsia="宋体" w:cs="Times New Roman"/>
          <w:spacing w:val="8"/>
          <w:sz w:val="23"/>
          <w:szCs w:val="23"/>
          <w:highlight w:val="none"/>
        </w:rPr>
        <w:t>本项目</w:t>
      </w:r>
      <w:r>
        <w:rPr>
          <w:rFonts w:hint="eastAsia" w:ascii="Times New Roman" w:hAnsi="Times New Roman" w:eastAsia="宋体" w:cs="Times New Roman"/>
          <w:spacing w:val="8"/>
          <w:sz w:val="23"/>
          <w:szCs w:val="23"/>
          <w:highlight w:val="none"/>
          <w:lang w:val="en-US" w:eastAsia="zh-CN"/>
        </w:rPr>
        <w:t>在</w:t>
      </w:r>
      <w:r>
        <w:rPr>
          <w:rFonts w:hint="eastAsia" w:ascii="Times New Roman" w:hAnsi="Times New Roman" w:eastAsia="宋体" w:cs="Times New Roman"/>
          <w:spacing w:val="8"/>
          <w:sz w:val="23"/>
          <w:szCs w:val="23"/>
          <w:highlight w:val="none"/>
        </w:rPr>
        <w:t>遵化市</w:t>
      </w:r>
      <w:r>
        <w:rPr>
          <w:rFonts w:hint="eastAsia" w:ascii="Times New Roman" w:hAnsi="Times New Roman" w:eastAsia="宋体" w:cs="Times New Roman"/>
          <w:spacing w:val="8"/>
          <w:sz w:val="23"/>
          <w:szCs w:val="23"/>
          <w:highlight w:val="none"/>
          <w:lang w:val="en-US" w:eastAsia="zh-CN"/>
        </w:rPr>
        <w:t>势竹</w:t>
      </w:r>
      <w:r>
        <w:rPr>
          <w:rFonts w:hint="eastAsia" w:ascii="Times New Roman" w:hAnsi="Times New Roman" w:eastAsia="宋体" w:cs="Times New Roman"/>
          <w:spacing w:val="8"/>
          <w:sz w:val="23"/>
          <w:szCs w:val="23"/>
          <w:highlight w:val="none"/>
        </w:rPr>
        <w:t>矿业有限公司</w:t>
      </w:r>
      <w:r>
        <w:rPr>
          <w:rFonts w:hint="eastAsia" w:ascii="Times New Roman" w:hAnsi="Times New Roman" w:eastAsia="宋体" w:cs="Times New Roman"/>
          <w:spacing w:val="8"/>
          <w:sz w:val="23"/>
          <w:szCs w:val="23"/>
          <w:highlight w:val="none"/>
          <w:lang w:val="en-US" w:eastAsia="zh-CN"/>
        </w:rPr>
        <w:t>现有厂区内新建1条破碎干选生产线</w:t>
      </w:r>
      <w:r>
        <w:rPr>
          <w:rFonts w:hint="eastAsia" w:ascii="Times New Roman" w:hAnsi="Times New Roman" w:eastAsia="宋体" w:cs="Times New Roman"/>
          <w:spacing w:val="8"/>
          <w:sz w:val="23"/>
          <w:szCs w:val="23"/>
          <w:highlight w:val="none"/>
          <w:lang w:eastAsia="zh-CN"/>
        </w:rPr>
        <w:t>，</w:t>
      </w:r>
      <w:r>
        <w:rPr>
          <w:rFonts w:hint="eastAsia" w:ascii="Times New Roman" w:hAnsi="Times New Roman" w:eastAsia="宋体" w:cs="Times New Roman"/>
          <w:spacing w:val="8"/>
          <w:sz w:val="23"/>
          <w:szCs w:val="23"/>
          <w:highlight w:val="none"/>
          <w:lang w:val="en-US" w:eastAsia="zh-CN"/>
        </w:rPr>
        <w:t>其主要作用为提前对低品位矿石进行提纯，分选出的矿石和废石均通过皮带输送至现有5#生产线进一步进行加工，而后进入球磨工序，项目实施后可以降低后续球磨工序工作负荷，提高生产效率</w:t>
      </w:r>
      <w:r>
        <w:rPr>
          <w:rFonts w:hint="default" w:ascii="Times New Roman" w:hAnsi="Times New Roman" w:eastAsia="宋体" w:cs="Times New Roman"/>
          <w:spacing w:val="8"/>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92" w:firstLineChars="200"/>
        <w:textAlignment w:val="baseline"/>
        <w:rPr>
          <w:rFonts w:hint="default" w:ascii="Times New Roman" w:hAnsi="Times New Roman" w:eastAsia="宋体" w:cs="Times New Roman"/>
          <w:spacing w:val="8"/>
          <w:sz w:val="23"/>
          <w:szCs w:val="23"/>
          <w:highlight w:val="none"/>
          <w:lang w:val="en-US" w:eastAsia="zh-CN"/>
        </w:rPr>
      </w:pPr>
      <w:r>
        <w:rPr>
          <w:rFonts w:hint="eastAsia" w:ascii="Times New Roman" w:hAnsi="Times New Roman" w:eastAsia="宋体" w:cs="Times New Roman"/>
          <w:spacing w:val="8"/>
          <w:sz w:val="23"/>
          <w:szCs w:val="23"/>
          <w:highlight w:val="none"/>
          <w:lang w:val="en-US" w:eastAsia="zh-CN"/>
        </w:rPr>
        <w:t>为了体现工艺的完整性，下文将本项目新增设置与厂区现有设备结合起来进行工艺流程叙述，生产工艺流程及排污节点简述如下：</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pacing w:val="8"/>
          <w:sz w:val="23"/>
          <w:szCs w:val="23"/>
          <w:highlight w:val="none"/>
          <w:lang w:eastAsia="zh-CN"/>
        </w:rPr>
        <w:t>（</w:t>
      </w:r>
      <w:r>
        <w:rPr>
          <w:rFonts w:hint="eastAsia" w:ascii="Times New Roman" w:hAnsi="Times New Roman" w:eastAsia="宋体" w:cs="Times New Roman"/>
          <w:spacing w:val="8"/>
          <w:sz w:val="23"/>
          <w:szCs w:val="23"/>
          <w:highlight w:val="none"/>
          <w:lang w:val="en-US" w:eastAsia="zh-CN"/>
        </w:rPr>
        <w:t>1</w:t>
      </w:r>
      <w:r>
        <w:rPr>
          <w:rFonts w:hint="eastAsia" w:ascii="Times New Roman" w:hAnsi="Times New Roman" w:eastAsia="宋体" w:cs="Times New Roman"/>
          <w:spacing w:val="8"/>
          <w:sz w:val="23"/>
          <w:szCs w:val="23"/>
          <w:highlight w:val="none"/>
          <w:lang w:eastAsia="zh-CN"/>
        </w:rPr>
        <w:t>）</w:t>
      </w:r>
      <w:r>
        <w:rPr>
          <w:rFonts w:hint="eastAsia" w:ascii="Times New Roman" w:hAnsi="Times New Roman" w:eastAsia="宋体" w:cs="Times New Roman"/>
          <w:spacing w:val="8"/>
          <w:sz w:val="23"/>
          <w:szCs w:val="23"/>
          <w:highlight w:val="none"/>
        </w:rPr>
        <w:t>原料卸料：本项目</w:t>
      </w:r>
      <w:r>
        <w:rPr>
          <w:rFonts w:hint="eastAsia" w:ascii="Times New Roman" w:hAnsi="Times New Roman" w:eastAsia="宋体" w:cs="Times New Roman"/>
          <w:spacing w:val="8"/>
          <w:sz w:val="23"/>
          <w:szCs w:val="23"/>
          <w:highlight w:val="none"/>
          <w:lang w:val="en-US" w:eastAsia="zh-CN"/>
        </w:rPr>
        <w:t>不</w:t>
      </w:r>
      <w:r>
        <w:rPr>
          <w:rFonts w:hint="eastAsia" w:ascii="Times New Roman" w:hAnsi="Times New Roman" w:eastAsia="宋体" w:cs="Times New Roman"/>
          <w:spacing w:val="8"/>
          <w:sz w:val="23"/>
          <w:szCs w:val="23"/>
          <w:highlight w:val="none"/>
        </w:rPr>
        <w:t>设原料库，</w:t>
      </w:r>
      <w:r>
        <w:rPr>
          <w:rFonts w:hint="eastAsia" w:ascii="Times New Roman" w:hAnsi="Times New Roman" w:eastAsia="宋体" w:cs="Times New Roman"/>
          <w:spacing w:val="8"/>
          <w:sz w:val="23"/>
          <w:szCs w:val="23"/>
          <w:highlight w:val="none"/>
          <w:lang w:val="en-US" w:eastAsia="zh-CN"/>
        </w:rPr>
        <w:t>原料不在厂区堆存，</w:t>
      </w:r>
      <w:r>
        <w:rPr>
          <w:rFonts w:hint="eastAsia" w:ascii="Times New Roman" w:hAnsi="Times New Roman" w:eastAsia="宋体" w:cs="Times New Roman"/>
          <w:spacing w:val="8"/>
          <w:sz w:val="23"/>
          <w:szCs w:val="23"/>
          <w:highlight w:val="none"/>
        </w:rPr>
        <w:t>原料铁矿石由汽车运输进厂，</w:t>
      </w:r>
      <w:r>
        <w:rPr>
          <w:rFonts w:hint="eastAsia" w:ascii="Times New Roman" w:hAnsi="Times New Roman" w:eastAsia="宋体" w:cs="Times New Roman"/>
          <w:spacing w:val="8"/>
          <w:sz w:val="23"/>
          <w:szCs w:val="23"/>
          <w:highlight w:val="none"/>
          <w:lang w:val="en-US" w:eastAsia="zh-CN"/>
        </w:rPr>
        <w:t>直接进入原料棚</w:t>
      </w:r>
      <w:r>
        <w:rPr>
          <w:rFonts w:hint="eastAsia" w:ascii="Times New Roman" w:hAnsi="Times New Roman" w:eastAsia="宋体" w:cs="Times New Roman"/>
          <w:spacing w:val="8"/>
          <w:sz w:val="23"/>
          <w:szCs w:val="23"/>
          <w:highlight w:val="none"/>
        </w:rPr>
        <w:t>卸至</w:t>
      </w:r>
      <w:r>
        <w:rPr>
          <w:rFonts w:hint="eastAsia" w:ascii="Times New Roman" w:hAnsi="Times New Roman" w:eastAsia="宋体" w:cs="Times New Roman"/>
          <w:spacing w:val="8"/>
          <w:sz w:val="23"/>
          <w:szCs w:val="23"/>
          <w:highlight w:val="none"/>
          <w:lang w:val="en-US" w:eastAsia="zh-CN"/>
        </w:rPr>
        <w:t>鄂破受料仓</w:t>
      </w:r>
      <w:r>
        <w:rPr>
          <w:rFonts w:hint="eastAsia" w:ascii="Times New Roman" w:hAnsi="Times New Roman" w:eastAsia="宋体" w:cs="Times New Roman"/>
          <w:spacing w:val="8"/>
          <w:sz w:val="23"/>
          <w:szCs w:val="23"/>
          <w:highlight w:val="none"/>
        </w:rPr>
        <w:t>，</w:t>
      </w:r>
      <w:r>
        <w:rPr>
          <w:rFonts w:hint="eastAsia" w:ascii="Times New Roman" w:hAnsi="Times New Roman" w:eastAsia="宋体" w:cs="Times New Roman"/>
          <w:spacing w:val="8"/>
          <w:sz w:val="23"/>
          <w:szCs w:val="23"/>
          <w:highlight w:val="none"/>
          <w:lang w:val="en-US" w:eastAsia="zh-CN"/>
        </w:rPr>
        <w:t>原料棚</w:t>
      </w:r>
      <w:r>
        <w:rPr>
          <w:rFonts w:hint="eastAsia" w:ascii="Times New Roman" w:hAnsi="Times New Roman" w:eastAsia="宋体" w:cs="Times New Roman"/>
          <w:spacing w:val="8"/>
          <w:sz w:val="23"/>
          <w:szCs w:val="23"/>
          <w:highlight w:val="none"/>
        </w:rPr>
        <w:t>三面围挡并带顶，料棚进深尺度不小于8米，受料仓设置喷淋抑尘装置，</w:t>
      </w:r>
      <w:r>
        <w:rPr>
          <w:rFonts w:hint="eastAsia" w:ascii="Times New Roman" w:hAnsi="Times New Roman" w:eastAsia="宋体" w:cs="Times New Roman"/>
          <w:spacing w:val="8"/>
          <w:sz w:val="23"/>
          <w:szCs w:val="23"/>
          <w:highlight w:val="none"/>
          <w:lang w:val="en-US" w:eastAsia="zh-CN"/>
        </w:rPr>
        <w:t>可</w:t>
      </w:r>
      <w:r>
        <w:rPr>
          <w:rFonts w:hint="eastAsia" w:ascii="Times New Roman" w:hAnsi="Times New Roman" w:eastAsia="宋体" w:cs="Times New Roman"/>
          <w:spacing w:val="8"/>
          <w:sz w:val="23"/>
          <w:szCs w:val="23"/>
          <w:highlight w:val="none"/>
        </w:rPr>
        <w:t>有效防止卸料扬尘外溢，受料仓围挡发生破损时必须及时维修完善。原料运输车辆车斗采用苫布苫盖，苫</w:t>
      </w:r>
      <w:r>
        <w:rPr>
          <w:rFonts w:hint="eastAsia" w:ascii="Times New Roman" w:hAnsi="Times New Roman" w:eastAsia="宋体" w:cs="Times New Roman"/>
          <w:sz w:val="23"/>
          <w:szCs w:val="23"/>
          <w:highlight w:val="none"/>
        </w:rPr>
        <w:t>布边缘至少要遮住槽帮上沿以下15cm，原料运输采用国六标准或新能源运输工具。原料卸料时采用原料区顶部设置喷雾抑尘装置（电伴热）进行抑尘。</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排污节点：原料卸车、转运、储存过程中产生的粉尘，运输车辆产生的噪声。</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firstLine="380" w:firstLineChars="200"/>
        <w:jc w:val="both"/>
        <w:textAlignment w:val="auto"/>
        <w:rPr>
          <w:rFonts w:ascii="Times New Roman" w:hAnsi="Times New Roman" w:eastAsia="宋体" w:cs="Times New Roman"/>
          <w:spacing w:val="-20"/>
          <w:sz w:val="23"/>
          <w:szCs w:val="23"/>
          <w:highlight w:val="none"/>
        </w:rPr>
      </w:pPr>
      <w:r>
        <w:rPr>
          <w:rFonts w:ascii="Times New Roman" w:hAnsi="Times New Roman" w:eastAsia="宋体" w:cs="Times New Roman"/>
          <w:spacing w:val="-20"/>
          <w:sz w:val="23"/>
          <w:szCs w:val="23"/>
          <w:highlight w:val="none"/>
        </w:rPr>
        <w:t>（2）</w:t>
      </w:r>
      <w:r>
        <w:rPr>
          <w:rFonts w:hint="eastAsia" w:ascii="Times New Roman" w:hAnsi="Times New Roman" w:eastAsia="宋体" w:cs="Times New Roman"/>
          <w:spacing w:val="-20"/>
          <w:sz w:val="23"/>
          <w:szCs w:val="23"/>
          <w:highlight w:val="none"/>
          <w:lang w:val="en-US" w:eastAsia="zh-CN"/>
        </w:rPr>
        <w:t>鄂破</w:t>
      </w:r>
      <w:r>
        <w:rPr>
          <w:rFonts w:ascii="Times New Roman" w:hAnsi="Times New Roman" w:eastAsia="宋体" w:cs="Times New Roman"/>
          <w:spacing w:val="-20"/>
          <w:sz w:val="23"/>
          <w:szCs w:val="23"/>
          <w:highlight w:val="none"/>
        </w:rPr>
        <w:t>：本项目</w:t>
      </w:r>
      <w:r>
        <w:rPr>
          <w:rFonts w:hint="eastAsia" w:ascii="Times New Roman" w:hAnsi="Times New Roman" w:eastAsia="宋体" w:cs="Times New Roman"/>
          <w:spacing w:val="-20"/>
          <w:sz w:val="23"/>
          <w:szCs w:val="23"/>
          <w:highlight w:val="none"/>
          <w:lang w:val="en-US" w:eastAsia="zh-CN"/>
        </w:rPr>
        <w:t>主要新增</w:t>
      </w:r>
      <w:r>
        <w:rPr>
          <w:rFonts w:ascii="Times New Roman" w:hAnsi="Times New Roman" w:eastAsia="宋体" w:cs="Times New Roman"/>
          <w:spacing w:val="-20"/>
          <w:sz w:val="23"/>
          <w:szCs w:val="23"/>
          <w:highlight w:val="none"/>
        </w:rPr>
        <w:t>设1台颚破机。</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firstLine="380" w:firstLineChars="200"/>
        <w:jc w:val="both"/>
        <w:textAlignment w:val="auto"/>
        <w:rPr>
          <w:rFonts w:ascii="Times New Roman" w:hAnsi="Times New Roman" w:eastAsia="宋体" w:cs="Times New Roman"/>
          <w:spacing w:val="-20"/>
          <w:sz w:val="23"/>
          <w:szCs w:val="23"/>
          <w:highlight w:val="none"/>
        </w:rPr>
      </w:pPr>
      <w:r>
        <w:rPr>
          <w:rFonts w:hint="eastAsia" w:ascii="Times New Roman" w:hAnsi="Times New Roman" w:eastAsia="宋体" w:cs="Times New Roman"/>
          <w:spacing w:val="-20"/>
          <w:sz w:val="23"/>
          <w:szCs w:val="23"/>
          <w:highlight w:val="none"/>
        </w:rPr>
        <w:t>①加料：铁矿石</w:t>
      </w:r>
      <w:r>
        <w:rPr>
          <w:rFonts w:hint="eastAsia" w:ascii="Times New Roman" w:hAnsi="Times New Roman" w:eastAsia="宋体" w:cs="Times New Roman"/>
          <w:spacing w:val="-20"/>
          <w:sz w:val="23"/>
          <w:szCs w:val="23"/>
          <w:highlight w:val="none"/>
          <w:lang w:val="en-US" w:eastAsia="zh-CN"/>
        </w:rPr>
        <w:t>由运输车辆卸至</w:t>
      </w:r>
      <w:r>
        <w:rPr>
          <w:rFonts w:hint="eastAsia" w:ascii="Times New Roman" w:hAnsi="Times New Roman" w:eastAsia="宋体" w:cs="Times New Roman"/>
          <w:spacing w:val="-20"/>
          <w:sz w:val="23"/>
          <w:szCs w:val="23"/>
          <w:highlight w:val="none"/>
        </w:rPr>
        <w:t>原料</w:t>
      </w:r>
      <w:r>
        <w:rPr>
          <w:rFonts w:hint="eastAsia" w:ascii="Times New Roman" w:hAnsi="Times New Roman" w:eastAsia="宋体" w:cs="Times New Roman"/>
          <w:spacing w:val="-20"/>
          <w:sz w:val="23"/>
          <w:szCs w:val="23"/>
          <w:highlight w:val="none"/>
          <w:lang w:val="en-US" w:eastAsia="zh-CN"/>
        </w:rPr>
        <w:t>棚</w:t>
      </w:r>
      <w:r>
        <w:rPr>
          <w:rFonts w:hint="eastAsia" w:ascii="Times New Roman" w:hAnsi="Times New Roman" w:eastAsia="宋体" w:cs="Times New Roman"/>
          <w:spacing w:val="-20"/>
          <w:sz w:val="23"/>
          <w:szCs w:val="23"/>
          <w:highlight w:val="none"/>
        </w:rPr>
        <w:t>内受料口，经给料机落入颚式破碎机内。</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pacing w:val="-20"/>
          <w:sz w:val="23"/>
          <w:szCs w:val="23"/>
          <w:highlight w:val="none"/>
        </w:rPr>
      </w:pPr>
      <w:r>
        <w:rPr>
          <w:rFonts w:hint="eastAsia" w:ascii="Times New Roman" w:hAnsi="Times New Roman" w:eastAsia="宋体" w:cs="Times New Roman"/>
          <w:spacing w:val="-20"/>
          <w:sz w:val="23"/>
          <w:szCs w:val="23"/>
          <w:highlight w:val="none"/>
        </w:rPr>
        <w:t>排污节点：</w:t>
      </w:r>
      <w:r>
        <w:rPr>
          <w:rFonts w:hint="eastAsia" w:ascii="Times New Roman" w:hAnsi="Times New Roman" w:eastAsia="宋体" w:cs="Times New Roman"/>
          <w:spacing w:val="-20"/>
          <w:sz w:val="23"/>
          <w:szCs w:val="23"/>
          <w:highlight w:val="none"/>
          <w:lang w:val="en-US" w:eastAsia="zh-CN"/>
        </w:rPr>
        <w:t>车辆卸料</w:t>
      </w:r>
      <w:r>
        <w:rPr>
          <w:rFonts w:hint="eastAsia" w:ascii="Times New Roman" w:hAnsi="Times New Roman" w:eastAsia="宋体" w:cs="Times New Roman"/>
          <w:spacing w:val="-20"/>
          <w:sz w:val="23"/>
          <w:szCs w:val="23"/>
          <w:highlight w:val="none"/>
        </w:rPr>
        <w:t>过程、给料机产生的噪声，运输及落料过程产生的粉尘。</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②颚破：</w:t>
      </w:r>
      <w:r>
        <w:rPr>
          <w:rFonts w:hint="eastAsia" w:ascii="Times New Roman" w:hAnsi="Times New Roman" w:eastAsia="宋体" w:cs="Times New Roman"/>
          <w:sz w:val="23"/>
          <w:szCs w:val="23"/>
          <w:highlight w:val="none"/>
          <w:lang w:val="en-US" w:eastAsia="zh-CN"/>
        </w:rPr>
        <w:t>受料仓内的</w:t>
      </w:r>
      <w:r>
        <w:rPr>
          <w:rFonts w:hint="eastAsia" w:ascii="Times New Roman" w:hAnsi="Times New Roman" w:eastAsia="宋体" w:cs="Times New Roman"/>
          <w:sz w:val="23"/>
          <w:szCs w:val="23"/>
          <w:highlight w:val="none"/>
        </w:rPr>
        <w:t>铁矿石</w:t>
      </w:r>
      <w:r>
        <w:rPr>
          <w:rFonts w:hint="eastAsia" w:ascii="Times New Roman" w:hAnsi="Times New Roman" w:eastAsia="宋体" w:cs="Times New Roman"/>
          <w:sz w:val="23"/>
          <w:szCs w:val="23"/>
          <w:highlight w:val="none"/>
          <w:lang w:val="en-US" w:eastAsia="zh-CN"/>
        </w:rPr>
        <w:t>经给料机进入</w:t>
      </w:r>
      <w:r>
        <w:rPr>
          <w:rFonts w:hint="eastAsia" w:ascii="Times New Roman" w:hAnsi="Times New Roman" w:eastAsia="宋体" w:cs="Times New Roman"/>
          <w:sz w:val="23"/>
          <w:szCs w:val="23"/>
          <w:highlight w:val="none"/>
        </w:rPr>
        <w:t>颚式破碎机进行破碎，被破碎成直径5cm以下的碎石块，破碎机出口与皮带传送机相接。</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排污节点：颚破过程产生的粉尘、噪声以及除尘器收集的除尘灰。</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w:t>
      </w:r>
      <w:r>
        <w:rPr>
          <w:rFonts w:hint="eastAsia" w:ascii="Times New Roman" w:hAnsi="Times New Roman" w:eastAsia="宋体" w:cs="Times New Roman"/>
          <w:sz w:val="23"/>
          <w:szCs w:val="23"/>
          <w:highlight w:val="none"/>
          <w:lang w:val="en-US" w:eastAsia="zh-CN"/>
        </w:rPr>
        <w:t>3</w:t>
      </w:r>
      <w:r>
        <w:rPr>
          <w:rFonts w:hint="eastAsia" w:ascii="Times New Roman" w:hAnsi="Times New Roman" w:eastAsia="宋体" w:cs="Times New Roman"/>
          <w:sz w:val="23"/>
          <w:szCs w:val="23"/>
          <w:highlight w:val="none"/>
        </w:rPr>
        <w:t>）</w:t>
      </w:r>
      <w:r>
        <w:rPr>
          <w:rFonts w:hint="eastAsia" w:ascii="Times New Roman" w:hAnsi="Times New Roman" w:eastAsia="宋体" w:cs="Times New Roman"/>
          <w:sz w:val="23"/>
          <w:szCs w:val="23"/>
          <w:highlight w:val="none"/>
          <w:lang w:val="en-US" w:eastAsia="zh-CN"/>
        </w:rPr>
        <w:t>干选</w:t>
      </w:r>
      <w:r>
        <w:rPr>
          <w:rFonts w:hint="eastAsia" w:ascii="Times New Roman" w:hAnsi="Times New Roman" w:eastAsia="宋体" w:cs="Times New Roman"/>
          <w:sz w:val="23"/>
          <w:szCs w:val="23"/>
          <w:highlight w:val="none"/>
        </w:rPr>
        <w:t>：</w:t>
      </w:r>
      <w:r>
        <w:rPr>
          <w:rFonts w:hint="eastAsia" w:ascii="Times New Roman" w:hAnsi="Times New Roman" w:eastAsia="宋体" w:cs="Times New Roman"/>
          <w:sz w:val="23"/>
          <w:szCs w:val="23"/>
          <w:highlight w:val="none"/>
          <w:lang w:val="en-US" w:eastAsia="zh-CN"/>
        </w:rPr>
        <w:t>鄂破后的矿石落入输送皮带，皮带末端设有磁滑轮，分离出废石和矿石，矿石通过皮带输送机转运至现有车间细破工序，废石落入另外一条皮带，皮带末端设有磁滑轮，进一步分选出矿石，分选出的矿石通过皮带输送机转运至现有车间细破工序，最终废石通过皮带输送机转运至现有车间废石破碎加工工序</w:t>
      </w:r>
      <w:r>
        <w:rPr>
          <w:rFonts w:hint="eastAsia" w:ascii="Times New Roman" w:hAnsi="Times New Roman" w:eastAsia="宋体" w:cs="Times New Roman"/>
          <w:sz w:val="23"/>
          <w:szCs w:val="23"/>
          <w:highlight w:val="none"/>
        </w:rPr>
        <w:t>。</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排污节点：球磨机噪声、废钢球。</w:t>
      </w:r>
    </w:p>
    <w:p>
      <w:pPr>
        <w:widowControl/>
        <w:numPr>
          <w:ilvl w:val="0"/>
          <w:numId w:val="3"/>
        </w:numPr>
        <w:spacing w:line="460" w:lineRule="exact"/>
        <w:ind w:firstLine="480"/>
        <w:jc w:val="both"/>
        <w:textAlignment w:val="auto"/>
        <w:rPr>
          <w:rFonts w:hint="eastAsia"/>
          <w:sz w:val="24"/>
          <w:szCs w:val="24"/>
          <w:highlight w:val="none"/>
        </w:rPr>
      </w:pPr>
      <w:r>
        <w:rPr>
          <w:sz w:val="24"/>
          <w:szCs w:val="24"/>
          <w:highlight w:val="none"/>
        </w:rPr>
        <w:t>筛分</w:t>
      </w:r>
      <w:r>
        <w:rPr>
          <w:rFonts w:hint="eastAsia"/>
          <w:sz w:val="24"/>
          <w:szCs w:val="24"/>
          <w:highlight w:val="none"/>
        </w:rPr>
        <w:t>、细破</w:t>
      </w:r>
      <w:r>
        <w:rPr>
          <w:sz w:val="24"/>
          <w:szCs w:val="24"/>
          <w:highlight w:val="none"/>
        </w:rPr>
        <w:t>：</w:t>
      </w:r>
      <w:r>
        <w:rPr>
          <w:rFonts w:hint="eastAsia"/>
          <w:sz w:val="24"/>
          <w:szCs w:val="24"/>
          <w:highlight w:val="none"/>
        </w:rPr>
        <w:t>干选出</w:t>
      </w:r>
      <w:r>
        <w:rPr>
          <w:sz w:val="24"/>
          <w:szCs w:val="24"/>
          <w:highlight w:val="none"/>
        </w:rPr>
        <w:t>的矿石由皮带送入</w:t>
      </w:r>
      <w:r>
        <w:rPr>
          <w:rFonts w:hint="eastAsia" w:eastAsia="宋体"/>
          <w:sz w:val="24"/>
          <w:szCs w:val="24"/>
          <w:highlight w:val="none"/>
          <w:lang w:val="en-US" w:eastAsia="zh-CN"/>
        </w:rPr>
        <w:t>现有</w:t>
      </w:r>
      <w:r>
        <w:rPr>
          <w:rFonts w:hint="eastAsia"/>
          <w:sz w:val="24"/>
          <w:szCs w:val="24"/>
          <w:highlight w:val="none"/>
        </w:rPr>
        <w:t>振动筛进行筛分，筛上物料</w:t>
      </w:r>
      <w:r>
        <w:rPr>
          <w:sz w:val="24"/>
          <w:szCs w:val="24"/>
          <w:highlight w:val="none"/>
        </w:rPr>
        <w:t>（</w:t>
      </w:r>
      <w:r>
        <w:rPr>
          <w:rFonts w:hint="eastAsia"/>
          <w:sz w:val="24"/>
          <w:szCs w:val="24"/>
          <w:highlight w:val="none"/>
        </w:rPr>
        <w:t>粒径</w:t>
      </w:r>
      <w:r>
        <w:rPr>
          <w:sz w:val="24"/>
          <w:szCs w:val="24"/>
          <w:highlight w:val="none"/>
        </w:rPr>
        <w:t>&gt;</w:t>
      </w:r>
      <w:r>
        <w:rPr>
          <w:rFonts w:hint="eastAsia"/>
          <w:sz w:val="24"/>
          <w:szCs w:val="24"/>
          <w:highlight w:val="none"/>
        </w:rPr>
        <w:t>2</w:t>
      </w:r>
      <w:r>
        <w:rPr>
          <w:sz w:val="24"/>
          <w:szCs w:val="24"/>
          <w:highlight w:val="none"/>
        </w:rPr>
        <w:t>cm）</w:t>
      </w:r>
      <w:r>
        <w:rPr>
          <w:rFonts w:hint="eastAsia"/>
          <w:sz w:val="24"/>
          <w:szCs w:val="24"/>
          <w:highlight w:val="none"/>
        </w:rPr>
        <w:t>经皮带转运至</w:t>
      </w:r>
      <w:r>
        <w:rPr>
          <w:rFonts w:hint="eastAsia" w:eastAsia="宋体"/>
          <w:sz w:val="24"/>
          <w:szCs w:val="24"/>
          <w:highlight w:val="none"/>
          <w:lang w:val="en-US" w:eastAsia="zh-CN"/>
        </w:rPr>
        <w:t>细破</w:t>
      </w:r>
      <w:r>
        <w:rPr>
          <w:rFonts w:hint="eastAsia"/>
          <w:sz w:val="24"/>
          <w:szCs w:val="24"/>
          <w:highlight w:val="none"/>
        </w:rPr>
        <w:t>进一步破碎，破碎后</w:t>
      </w:r>
      <w:r>
        <w:rPr>
          <w:rFonts w:hint="eastAsia" w:eastAsia="宋体"/>
          <w:sz w:val="24"/>
          <w:szCs w:val="24"/>
          <w:highlight w:val="none"/>
          <w:lang w:val="en-US" w:eastAsia="zh-CN"/>
        </w:rPr>
        <w:t>返回</w:t>
      </w:r>
      <w:r>
        <w:rPr>
          <w:rFonts w:hint="eastAsia"/>
          <w:sz w:val="24"/>
          <w:szCs w:val="24"/>
          <w:highlight w:val="none"/>
        </w:rPr>
        <w:t>振动筛进行筛分，筛下物料</w:t>
      </w:r>
      <w:r>
        <w:rPr>
          <w:sz w:val="24"/>
          <w:szCs w:val="24"/>
          <w:highlight w:val="none"/>
        </w:rPr>
        <w:t>（</w:t>
      </w:r>
      <w:r>
        <w:rPr>
          <w:rFonts w:hint="eastAsia"/>
          <w:sz w:val="24"/>
          <w:szCs w:val="24"/>
          <w:highlight w:val="none"/>
        </w:rPr>
        <w:t>粒径</w:t>
      </w:r>
      <w:r>
        <w:rPr>
          <w:sz w:val="24"/>
          <w:szCs w:val="24"/>
          <w:highlight w:val="none"/>
        </w:rPr>
        <w:t>≤</w:t>
      </w:r>
      <w:r>
        <w:rPr>
          <w:rFonts w:hint="eastAsia"/>
          <w:sz w:val="24"/>
          <w:szCs w:val="24"/>
          <w:highlight w:val="none"/>
        </w:rPr>
        <w:t>2</w:t>
      </w:r>
      <w:r>
        <w:rPr>
          <w:sz w:val="24"/>
          <w:szCs w:val="24"/>
          <w:highlight w:val="none"/>
        </w:rPr>
        <w:t>cm）</w:t>
      </w:r>
      <w:r>
        <w:rPr>
          <w:rFonts w:hint="eastAsia"/>
          <w:sz w:val="24"/>
          <w:szCs w:val="24"/>
          <w:highlight w:val="none"/>
        </w:rPr>
        <w:t>进入中转料仓准备进入球磨工序。干选出的废石由皮带送入振动筛进行筛分，筛上物料经皮带转运至</w:t>
      </w:r>
      <w:r>
        <w:rPr>
          <w:rFonts w:hint="eastAsia" w:eastAsia="宋体"/>
          <w:sz w:val="24"/>
          <w:szCs w:val="24"/>
          <w:highlight w:val="none"/>
          <w:lang w:val="en-US" w:eastAsia="zh-CN"/>
        </w:rPr>
        <w:t>细破工序</w:t>
      </w:r>
      <w:r>
        <w:rPr>
          <w:rFonts w:hint="eastAsia"/>
          <w:sz w:val="24"/>
          <w:szCs w:val="24"/>
          <w:highlight w:val="none"/>
        </w:rPr>
        <w:t>进一步破碎，破碎后返回振动筛进行筛分，筛下物料暂存于砂石料存储区。</w:t>
      </w:r>
    </w:p>
    <w:p>
      <w:pPr>
        <w:widowControl/>
        <w:spacing w:line="460" w:lineRule="exact"/>
        <w:ind w:firstLine="480"/>
        <w:jc w:val="both"/>
        <w:textAlignment w:val="auto"/>
        <w:rPr>
          <w:sz w:val="24"/>
          <w:szCs w:val="24"/>
          <w:highlight w:val="none"/>
        </w:rPr>
      </w:pPr>
      <w:r>
        <w:rPr>
          <w:rFonts w:hint="eastAsia"/>
          <w:sz w:val="24"/>
          <w:szCs w:val="24"/>
          <w:highlight w:val="none"/>
        </w:rPr>
        <w:t>排污节点：</w:t>
      </w:r>
      <w:r>
        <w:rPr>
          <w:rFonts w:hint="eastAsia" w:eastAsia="宋体"/>
          <w:sz w:val="24"/>
          <w:szCs w:val="24"/>
          <w:highlight w:val="none"/>
          <w:lang w:val="en-US" w:eastAsia="zh-CN"/>
        </w:rPr>
        <w:t>细破</w:t>
      </w:r>
      <w:r>
        <w:rPr>
          <w:rFonts w:hint="eastAsia"/>
          <w:sz w:val="24"/>
          <w:szCs w:val="24"/>
          <w:highlight w:val="none"/>
        </w:rPr>
        <w:t>过程产生的粉尘、噪声；筛分过程产生的粉尘、噪声；除尘器收集的除尘灰。</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w:t>
      </w:r>
      <w:r>
        <w:rPr>
          <w:rFonts w:hint="eastAsia" w:ascii="Times New Roman" w:hAnsi="Times New Roman" w:eastAsia="宋体" w:cs="Times New Roman"/>
          <w:sz w:val="23"/>
          <w:szCs w:val="23"/>
          <w:highlight w:val="none"/>
          <w:lang w:val="en-US" w:eastAsia="zh-CN"/>
        </w:rPr>
        <w:t>5</w:t>
      </w:r>
      <w:r>
        <w:rPr>
          <w:rFonts w:hint="eastAsia" w:ascii="Times New Roman" w:hAnsi="Times New Roman" w:eastAsia="宋体" w:cs="Times New Roman"/>
          <w:sz w:val="23"/>
          <w:szCs w:val="23"/>
          <w:highlight w:val="none"/>
        </w:rPr>
        <w:t>）球磨：经破碎筛分后的矿石经中转仓</w:t>
      </w:r>
      <w:r>
        <w:rPr>
          <w:rFonts w:hint="eastAsia" w:ascii="Times New Roman" w:hAnsi="Times New Roman" w:eastAsia="宋体" w:cs="Times New Roman"/>
          <w:sz w:val="23"/>
          <w:szCs w:val="23"/>
          <w:highlight w:val="none"/>
          <w:lang w:val="en-US" w:eastAsia="zh-CN"/>
        </w:rPr>
        <w:t>下给料机给料，</w:t>
      </w:r>
      <w:r>
        <w:rPr>
          <w:rFonts w:hint="eastAsia" w:ascii="Times New Roman" w:hAnsi="Times New Roman" w:eastAsia="宋体" w:cs="Times New Roman"/>
          <w:sz w:val="23"/>
          <w:szCs w:val="23"/>
          <w:highlight w:val="none"/>
        </w:rPr>
        <w:t>由皮带给入球磨机。入料同时加水和钢球，经球磨机进行湿式球磨。球磨后的粉矿浆由矿浆泵输送至一段磁选。</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排污节点：球磨机噪声、废钢球。</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w:t>
      </w:r>
      <w:r>
        <w:rPr>
          <w:rFonts w:hint="eastAsia" w:ascii="Times New Roman" w:hAnsi="Times New Roman" w:eastAsia="宋体" w:cs="Times New Roman"/>
          <w:sz w:val="23"/>
          <w:szCs w:val="23"/>
          <w:highlight w:val="none"/>
          <w:lang w:val="en-US" w:eastAsia="zh-CN"/>
        </w:rPr>
        <w:t>6</w:t>
      </w:r>
      <w:r>
        <w:rPr>
          <w:rFonts w:hint="eastAsia" w:ascii="Times New Roman" w:hAnsi="Times New Roman" w:eastAsia="宋体" w:cs="Times New Roman"/>
          <w:sz w:val="23"/>
          <w:szCs w:val="23"/>
          <w:highlight w:val="none"/>
        </w:rPr>
        <w:t>）磁选：经过球磨的粉矿浆进入磁选机磁选，该工序磁选机串联式组合，共四段磁选，粉矿浆首先进入一段湿式磁选，一段磁选的精矿由渣浆泵泵入高频振动筛，筛上物重新返回球磨机球磨，筛下再经二、三段磁选，三段磁选产生的精矿进入过滤机脱水，得到铁精粉，铁精粉经皮带输送至粗精粉库，在粗精粉库内暂存。过滤机脱出的尾矿浆通过渣浆泵输送到球磨机。</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排污节点：磁选过程产生尾矿浆和设备运行噪声。</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default" w:ascii="Times New Roman" w:hAnsi="Times New Roman" w:eastAsia="宋体" w:cs="Times New Roman"/>
          <w:sz w:val="23"/>
          <w:szCs w:val="23"/>
          <w:highlight w:val="none"/>
          <w:lang w:val="en-US" w:eastAsia="zh-CN"/>
        </w:rPr>
      </w:pPr>
      <w:r>
        <w:rPr>
          <w:rFonts w:hint="eastAsia" w:ascii="Times New Roman" w:hAnsi="Times New Roman" w:eastAsia="宋体" w:cs="Times New Roman"/>
          <w:sz w:val="23"/>
          <w:szCs w:val="23"/>
          <w:highlight w:val="none"/>
        </w:rPr>
        <w:t>（</w:t>
      </w:r>
      <w:r>
        <w:rPr>
          <w:rFonts w:hint="eastAsia" w:ascii="Times New Roman" w:hAnsi="Times New Roman" w:eastAsia="宋体" w:cs="Times New Roman"/>
          <w:sz w:val="23"/>
          <w:szCs w:val="23"/>
          <w:highlight w:val="none"/>
          <w:lang w:val="en-US" w:eastAsia="zh-CN"/>
        </w:rPr>
        <w:t>7</w:t>
      </w:r>
      <w:r>
        <w:rPr>
          <w:rFonts w:hint="eastAsia" w:ascii="Times New Roman" w:hAnsi="Times New Roman" w:eastAsia="宋体" w:cs="Times New Roman"/>
          <w:sz w:val="23"/>
          <w:szCs w:val="23"/>
          <w:highlight w:val="none"/>
        </w:rPr>
        <w:t>）</w:t>
      </w:r>
      <w:r>
        <w:rPr>
          <w:rFonts w:hint="eastAsia" w:ascii="Times New Roman" w:hAnsi="Times New Roman" w:eastAsia="宋体" w:cs="Times New Roman"/>
          <w:sz w:val="23"/>
          <w:szCs w:val="23"/>
          <w:highlight w:val="none"/>
          <w:lang w:val="en-US" w:eastAsia="zh-CN"/>
        </w:rPr>
        <w:t>干排工艺</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各磁选环节产生的尾矿浆由渣浆泵输送到沉淀罐进行初步沉淀分离，粗尾矿砂沉淀至罐底，顶部溢流尾矿浆进入浓密池进行沉淀。</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沉淀罐底的粗尾矿砂再经脱水筛分离。筛上粗颗粒外售附近建材企业综合利用；滤液进入浓密池进行沉淀处理。浓密池中上清液自流至清水池回用于生产，沉淀在浓密池底的细尾矿砂经压滤机压滤脱水处理，形成的细尾矿砂</w:t>
      </w:r>
      <w:bookmarkStart w:id="187" w:name="_Hlk4967768"/>
      <w:r>
        <w:rPr>
          <w:rFonts w:hint="eastAsia" w:ascii="Times New Roman" w:hAnsi="Times New Roman" w:eastAsia="宋体" w:cs="Times New Roman"/>
          <w:sz w:val="23"/>
          <w:szCs w:val="23"/>
          <w:highlight w:val="none"/>
        </w:rPr>
        <w:t>（泥饼）用于项目周边修路</w:t>
      </w:r>
      <w:bookmarkEnd w:id="187"/>
      <w:r>
        <w:rPr>
          <w:rFonts w:hint="eastAsia" w:ascii="Times New Roman" w:hAnsi="Times New Roman" w:eastAsia="宋体" w:cs="Times New Roman"/>
          <w:sz w:val="23"/>
          <w:szCs w:val="23"/>
          <w:highlight w:val="none"/>
        </w:rPr>
        <w:t>，压滤机出水进入清水池回用于生产。</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lang w:val="en-US" w:eastAsia="zh-CN"/>
        </w:rPr>
        <w:t>厂区现有干排系统处理能力能够满足本项目实施后全厂生产废水处理需求</w:t>
      </w:r>
      <w:r>
        <w:rPr>
          <w:rFonts w:hint="eastAsia" w:ascii="Times New Roman" w:hAnsi="Times New Roman" w:eastAsia="宋体" w:cs="Times New Roman"/>
          <w:sz w:val="23"/>
          <w:szCs w:val="23"/>
          <w:highlight w:val="none"/>
        </w:rPr>
        <w:t>。</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本次项目生产工艺流程及产排污环节见图3.</w:t>
      </w:r>
      <w:r>
        <w:rPr>
          <w:rFonts w:hint="eastAsia" w:ascii="Times New Roman" w:hAnsi="Times New Roman" w:eastAsia="宋体" w:cs="Times New Roman"/>
          <w:sz w:val="23"/>
          <w:szCs w:val="23"/>
          <w:highlight w:val="none"/>
          <w:lang w:val="en-US" w:eastAsia="zh-CN"/>
        </w:rPr>
        <w:t>2</w:t>
      </w:r>
      <w:r>
        <w:rPr>
          <w:rFonts w:hint="eastAsia" w:ascii="Times New Roman" w:hAnsi="Times New Roman" w:eastAsia="宋体" w:cs="Times New Roman"/>
          <w:sz w:val="23"/>
          <w:szCs w:val="23"/>
          <w:highlight w:val="none"/>
        </w:rPr>
        <w:t>-</w:t>
      </w:r>
      <w:r>
        <w:rPr>
          <w:rFonts w:hint="eastAsia" w:ascii="Times New Roman" w:hAnsi="Times New Roman" w:eastAsia="宋体" w:cs="Times New Roman"/>
          <w:sz w:val="23"/>
          <w:szCs w:val="23"/>
          <w:highlight w:val="none"/>
          <w:lang w:val="en-US" w:eastAsia="zh-CN"/>
        </w:rPr>
        <w:t>3</w:t>
      </w:r>
      <w:r>
        <w:rPr>
          <w:rFonts w:hint="eastAsia" w:ascii="Times New Roman" w:hAnsi="Times New Roman" w:eastAsia="宋体" w:cs="Times New Roman"/>
          <w:sz w:val="23"/>
          <w:szCs w:val="23"/>
          <w:highlight w:val="none"/>
        </w:rPr>
        <w:t>。</w:t>
      </w:r>
    </w:p>
    <w:p>
      <w:pPr>
        <w:pStyle w:val="10"/>
        <w:rPr>
          <w:rFonts w:hint="eastAsia" w:ascii="Times New Roman" w:hAnsi="Times New Roman" w:eastAsia="宋体" w:cs="Times New Roman"/>
          <w:sz w:val="23"/>
          <w:szCs w:val="23"/>
          <w:highlight w:val="none"/>
        </w:rPr>
      </w:pPr>
      <w:r>
        <w:rPr>
          <w:sz w:val="21"/>
          <w:highlight w:val="none"/>
        </w:rPr>
        <mc:AlternateContent>
          <mc:Choice Requires="wps">
            <w:drawing>
              <wp:anchor distT="0" distB="0" distL="114300" distR="114300" simplePos="0" relativeHeight="251859968" behindDoc="0" locked="0" layoutInCell="1" allowOverlap="1">
                <wp:simplePos x="0" y="0"/>
                <wp:positionH relativeFrom="column">
                  <wp:posOffset>364490</wp:posOffset>
                </wp:positionH>
                <wp:positionV relativeFrom="paragraph">
                  <wp:posOffset>156845</wp:posOffset>
                </wp:positionV>
                <wp:extent cx="3758565" cy="1323340"/>
                <wp:effectExtent l="4445" t="4445" r="8890" b="5715"/>
                <wp:wrapNone/>
                <wp:docPr id="150" name="矩形 150"/>
                <wp:cNvGraphicFramePr/>
                <a:graphic xmlns:a="http://schemas.openxmlformats.org/drawingml/2006/main">
                  <a:graphicData uri="http://schemas.microsoft.com/office/word/2010/wordprocessingShape">
                    <wps:wsp>
                      <wps:cNvSpPr/>
                      <wps:spPr>
                        <a:xfrm>
                          <a:off x="1360805" y="4798695"/>
                          <a:ext cx="3758565" cy="1323340"/>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28.7pt;margin-top:12.35pt;height:104.2pt;width:295.95pt;z-index:251859968;mso-width-relative:page;mso-height-relative:page;" filled="f" stroked="t" coordsize="21600,21600" o:gfxdata="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MT2X1wAAAAkBAAAPAAAAAAAAAAEAIAAAACIAAABk&#10;cnMvZG93bnJldi54bWxQSwECFAAUAAAACACHTuJABshqbgcCAAAFBAAADgAAAAAAAAABACAAAAAm&#10;AQAAZHJzL2Uyb0RvYy54bWxQSwUGAAAAAAYABgBZAQAAnwUAAAAA&#10;">
                <v:fill on="f" focussize="0,0"/>
                <v:stroke color="#000000" joinstyle="miter" dashstyle="dash"/>
                <v:imagedata o:title=""/>
                <o:lock v:ext="edit" aspectratio="f"/>
              </v:rect>
            </w:pict>
          </mc:Fallback>
        </mc:AlternateContent>
      </w:r>
    </w:p>
    <w:p>
      <w:pPr>
        <w:spacing w:line="240" w:lineRule="auto"/>
        <w:ind w:firstLine="0" w:firstLineChars="0"/>
        <w:jc w:val="center"/>
        <w:rPr>
          <w:rFonts w:eastAsia="黑体"/>
          <w:kern w:val="2"/>
          <w:sz w:val="21"/>
          <w:szCs w:val="21"/>
          <w:highlight w:val="none"/>
        </w:rPr>
      </w:pPr>
      <w:r>
        <w:rPr>
          <w:sz w:val="24"/>
          <w:highlight w:val="none"/>
        </w:rPr>
        <mc:AlternateContent>
          <mc:Choice Requires="wps">
            <w:drawing>
              <wp:anchor distT="0" distB="0" distL="114300" distR="114300" simplePos="0" relativeHeight="251887616" behindDoc="0" locked="0" layoutInCell="1" allowOverlap="1">
                <wp:simplePos x="0" y="0"/>
                <wp:positionH relativeFrom="column">
                  <wp:posOffset>1961515</wp:posOffset>
                </wp:positionH>
                <wp:positionV relativeFrom="paragraph">
                  <wp:posOffset>19685</wp:posOffset>
                </wp:positionV>
                <wp:extent cx="478790" cy="14795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787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矿石入库</w:t>
                            </w:r>
                          </w:p>
                        </w:txbxContent>
                      </wps:txbx>
                      <wps:bodyPr lIns="0" tIns="0" rIns="0" bIns="0" upright="1"/>
                    </wps:wsp>
                  </a:graphicData>
                </a:graphic>
              </wp:anchor>
            </w:drawing>
          </mc:Choice>
          <mc:Fallback>
            <w:pict>
              <v:shape id="_x0000_s1026" o:spid="_x0000_s1026" o:spt="202" type="#_x0000_t202" style="position:absolute;left:0pt;margin-left:154.45pt;margin-top:1.55pt;height:11.65pt;width:37.7pt;z-index:251887616;mso-width-relative:page;mso-height-relative:page;" filled="f" stroked="f" coordsize="21600,21600" o:gfxdata="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1gadT2AAAAAgBAAAPAAAAAAAAAAEAIAAAACIAAABkcnMvZG93bnJldi54bWxQSwEC&#10;FAAUAAAACACHTuJA/P9f7rsBAABzAwAADgAAAAAAAAABACAAAAAn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矿石入库</w:t>
                      </w:r>
                    </w:p>
                  </w:txbxContent>
                </v:textbox>
              </v:shape>
            </w:pict>
          </mc:Fallback>
        </mc:AlternateContent>
      </w:r>
      <w:r>
        <w:rPr>
          <w:sz w:val="24"/>
          <w:highlight w:val="none"/>
        </w:rPr>
        <mc:AlternateContent>
          <mc:Choice Requires="wps">
            <w:drawing>
              <wp:anchor distT="0" distB="0" distL="114300" distR="114300" simplePos="0" relativeHeight="251888640" behindDoc="0" locked="0" layoutInCell="1" allowOverlap="1">
                <wp:simplePos x="0" y="0"/>
                <wp:positionH relativeFrom="column">
                  <wp:posOffset>2170430</wp:posOffset>
                </wp:positionH>
                <wp:positionV relativeFrom="paragraph">
                  <wp:posOffset>151765</wp:posOffset>
                </wp:positionV>
                <wp:extent cx="6350" cy="209550"/>
                <wp:effectExtent l="35560" t="0" r="34290" b="0"/>
                <wp:wrapNone/>
                <wp:docPr id="15" name="直接箭头连接符 15"/>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0.9pt;margin-top:11.95pt;height:16.5pt;width:0.5pt;z-index:251888640;mso-width-relative:page;mso-height-relative:page;" filled="f" stroked="t" coordsize="21600,21600" o:gfxdata="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ay9zaAAAACQEAAA8AAAAAAAAAAQAgAAAAIgAAAGRy&#10;cy9kb3ducmV2LnhtbFBLAQIUABQAAAAIAIdO4kBFDhjfAwIAANgDAAAOAAAAAAAAAAEAIAAAACkB&#10;AABkcnMvZTJvRG9jLnhtbFBLBQYAAAAABgAGAFkBAACeBQAAAAA=&#10;">
                <v:fill on="f" focussize="0,0"/>
                <v:stroke color="#000000 [3213]" joinstyle="round" endarrow="block"/>
                <v:imagedata o:title=""/>
                <o:lock v:ext="edit" aspectratio="f"/>
              </v:shape>
            </w:pict>
          </mc:Fallback>
        </mc:AlternateContent>
      </w:r>
    </w:p>
    <w:p>
      <w:pPr>
        <w:spacing w:line="240" w:lineRule="auto"/>
        <w:ind w:firstLine="0" w:firstLineChars="0"/>
        <w:jc w:val="center"/>
        <w:rPr>
          <w:rFonts w:eastAsia="黑体"/>
          <w:kern w:val="2"/>
          <w:sz w:val="21"/>
          <w:szCs w:val="21"/>
          <w:highlight w:val="none"/>
        </w:rPr>
      </w:pPr>
      <w:r>
        <w:rPr>
          <w:sz w:val="21"/>
          <w:highlight w:val="none"/>
        </w:rPr>
        <mc:AlternateContent>
          <mc:Choice Requires="wps">
            <w:drawing>
              <wp:anchor distT="0" distB="0" distL="114300" distR="114300" simplePos="0" relativeHeight="251858944" behindDoc="0" locked="0" layoutInCell="1" allowOverlap="1">
                <wp:simplePos x="0" y="0"/>
                <wp:positionH relativeFrom="column">
                  <wp:posOffset>3031490</wp:posOffset>
                </wp:positionH>
                <wp:positionV relativeFrom="paragraph">
                  <wp:posOffset>8890</wp:posOffset>
                </wp:positionV>
                <wp:extent cx="1009650" cy="306070"/>
                <wp:effectExtent l="0" t="0" r="0" b="17780"/>
                <wp:wrapNone/>
                <wp:docPr id="149" name="文本框 149"/>
                <wp:cNvGraphicFramePr/>
                <a:graphic xmlns:a="http://schemas.openxmlformats.org/drawingml/2006/main">
                  <a:graphicData uri="http://schemas.microsoft.com/office/word/2010/wordprocessingShape">
                    <wps:wsp>
                      <wps:cNvSpPr txBox="1"/>
                      <wps:spPr>
                        <a:xfrm>
                          <a:off x="1837055" y="5690870"/>
                          <a:ext cx="1009650" cy="306070"/>
                        </a:xfrm>
                        <a:prstGeom prst="rect">
                          <a:avLst/>
                        </a:prstGeom>
                        <a:noFill/>
                        <a:ln>
                          <a:noFill/>
                        </a:ln>
                      </wps:spPr>
                      <wps:txbx>
                        <w:txbxContent>
                          <w:p>
                            <w:pPr>
                              <w:ind w:left="0" w:leftChars="0" w:firstLine="0" w:firstLineChars="0"/>
                              <w:rPr>
                                <w:rFonts w:hint="default" w:eastAsia="宋体"/>
                                <w:sz w:val="24"/>
                                <w:szCs w:val="24"/>
                                <w:lang w:val="en-US" w:eastAsia="zh-CN"/>
                              </w:rPr>
                            </w:pPr>
                            <w:r>
                              <w:rPr>
                                <w:rFonts w:hint="eastAsia"/>
                                <w:sz w:val="24"/>
                                <w:szCs w:val="24"/>
                                <w:lang w:val="en-US" w:eastAsia="zh-CN"/>
                              </w:rPr>
                              <w:t>改扩建工程</w:t>
                            </w:r>
                          </w:p>
                        </w:txbxContent>
                      </wps:txbx>
                      <wps:bodyPr lIns="0" tIns="0" rIns="0" bIns="0" upright="1"/>
                    </wps:wsp>
                  </a:graphicData>
                </a:graphic>
              </wp:anchor>
            </w:drawing>
          </mc:Choice>
          <mc:Fallback>
            <w:pict>
              <v:shape id="_x0000_s1026" o:spid="_x0000_s1026" o:spt="202" type="#_x0000_t202" style="position:absolute;left:0pt;margin-left:238.7pt;margin-top:0.7pt;height:24.1pt;width:79.5pt;z-index:251858944;mso-width-relative:page;mso-height-relative:page;" filled="f" stroked="f" coordsize="21600,21600" o:gfxdata="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MBNPNYAAAAIAQAADwAAAAAAAAABACAAAAAiAAAAZHJzL2Rvd25y&#10;ZXYueG1sUEsBAhQAFAAAAAgAh07iQPaEPwjHAQAAggMAAA4AAAAAAAAAAQAgAAAAJQEAAGRycy9l&#10;Mm9Eb2MueG1sUEsFBgAAAAAGAAYAWQEAAF4FAAAAAA==&#10;">
                <v:fill on="f" focussize="0,0"/>
                <v:stroke on="f"/>
                <v:imagedata o:title=""/>
                <o:lock v:ext="edit" aspectratio="f"/>
                <v:textbox inset="0mm,0mm,0mm,0mm">
                  <w:txbxContent>
                    <w:p>
                      <w:pPr>
                        <w:ind w:left="0" w:leftChars="0" w:firstLine="0" w:firstLineChars="0"/>
                        <w:rPr>
                          <w:rFonts w:hint="default" w:eastAsia="宋体"/>
                          <w:sz w:val="24"/>
                          <w:szCs w:val="24"/>
                          <w:lang w:val="en-US" w:eastAsia="zh-CN"/>
                        </w:rPr>
                      </w:pPr>
                      <w:r>
                        <w:rPr>
                          <w:rFonts w:hint="eastAsia"/>
                          <w:sz w:val="24"/>
                          <w:szCs w:val="24"/>
                          <w:lang w:val="en-US" w:eastAsia="zh-CN"/>
                        </w:rPr>
                        <w:t>改扩建工程</w:t>
                      </w:r>
                    </w:p>
                  </w:txbxContent>
                </v:textbox>
              </v:shape>
            </w:pict>
          </mc:Fallback>
        </mc:AlternateContent>
      </w:r>
    </w:p>
    <w:p>
      <w:pPr>
        <w:spacing w:line="240" w:lineRule="auto"/>
        <w:ind w:firstLine="0" w:firstLineChars="0"/>
        <w:jc w:val="center"/>
        <w:rPr>
          <w:rFonts w:eastAsia="黑体"/>
          <w:kern w:val="2"/>
          <w:sz w:val="21"/>
          <w:szCs w:val="21"/>
          <w:highlight w:val="none"/>
        </w:rPr>
      </w:pPr>
      <w:r>
        <w:rPr>
          <w:sz w:val="24"/>
          <w:highlight w:val="none"/>
        </w:rPr>
        <mc:AlternateContent>
          <mc:Choice Requires="wps">
            <w:drawing>
              <wp:anchor distT="0" distB="0" distL="114300" distR="114300" simplePos="0" relativeHeight="251889664" behindDoc="0" locked="0" layoutInCell="1" allowOverlap="1">
                <wp:simplePos x="0" y="0"/>
                <wp:positionH relativeFrom="column">
                  <wp:posOffset>1965960</wp:posOffset>
                </wp:positionH>
                <wp:positionV relativeFrom="paragraph">
                  <wp:posOffset>34925</wp:posOffset>
                </wp:positionV>
                <wp:extent cx="447040" cy="157480"/>
                <wp:effectExtent l="4445" t="4445" r="5715" b="9525"/>
                <wp:wrapNone/>
                <wp:docPr id="16" name="文本框 16"/>
                <wp:cNvGraphicFramePr/>
                <a:graphic xmlns:a="http://schemas.openxmlformats.org/drawingml/2006/main">
                  <a:graphicData uri="http://schemas.microsoft.com/office/word/2010/wordprocessingShape">
                    <wps:wsp>
                      <wps:cNvSpPr txBox="1"/>
                      <wps:spPr>
                        <a:xfrm>
                          <a:off x="0" y="0"/>
                          <a:ext cx="447040" cy="157480"/>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受料仓</w:t>
                            </w:r>
                          </w:p>
                        </w:txbxContent>
                      </wps:txbx>
                      <wps:bodyPr lIns="0" tIns="0" rIns="0" bIns="0" upright="1"/>
                    </wps:wsp>
                  </a:graphicData>
                </a:graphic>
              </wp:anchor>
            </w:drawing>
          </mc:Choice>
          <mc:Fallback>
            <w:pict>
              <v:shape id="_x0000_s1026" o:spid="_x0000_s1026" o:spt="202" type="#_x0000_t202" style="position:absolute;left:0pt;margin-left:154.8pt;margin-top:2.75pt;height:12.4pt;width:35.2pt;z-index:251889664;mso-width-relative:page;mso-height-relative:page;" filled="f" stroked="t" coordsize="21600,21600" o:gfxdata="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g3se41wAAAAgBAAAPAAAAAAAAAAEAIAAAACIA&#10;AABkcnMvZG93bnJldi54bWxQSwECFAAUAAAACACHTuJASUMTsdEBAACcAwAADgAAAAAAAAABACAA&#10;AAAmAQAAZHJzL2Uyb0RvYy54bWxQSwUGAAAAAAYABgBZAQAAaQU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受料仓</w:t>
                      </w:r>
                    </w:p>
                  </w:txbxContent>
                </v:textbox>
              </v:shape>
            </w:pict>
          </mc:Fallback>
        </mc:AlternateContent>
      </w:r>
      <w:r>
        <w:rPr>
          <w:sz w:val="24"/>
          <w:highlight w:val="none"/>
        </w:rPr>
        <mc:AlternateContent>
          <mc:Choice Requires="wps">
            <w:drawing>
              <wp:anchor distT="0" distB="0" distL="114300" distR="114300" simplePos="0" relativeHeight="251910144" behindDoc="0" locked="0" layoutInCell="1" allowOverlap="1">
                <wp:simplePos x="0" y="0"/>
                <wp:positionH relativeFrom="column">
                  <wp:posOffset>2430145</wp:posOffset>
                </wp:positionH>
                <wp:positionV relativeFrom="paragraph">
                  <wp:posOffset>130175</wp:posOffset>
                </wp:positionV>
                <wp:extent cx="349250" cy="0"/>
                <wp:effectExtent l="0" t="38100" r="12700" b="38100"/>
                <wp:wrapNone/>
                <wp:docPr id="14" name="直接箭头连接符 14"/>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35pt;margin-top:10.25pt;height:0pt;width:27.5pt;z-index:251910144;mso-width-relative:page;mso-height-relative:page;" filled="f" stroked="t" coordsize="21600,21600" o:gfxdata="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XgEP7YAAAACQEAAA8AAAAAAAAAAQAgAAAAIgAAAGRycy9kb3ducmV2&#10;LnhtbFBLAQIUABQAAAAIAIdO4kCtV6nF/AEAAM0DAAAOAAAAAAAAAAEAIAAAACcBAABkcnMvZTJv&#10;RG9jLnhtbFBLBQYAAAAABgAGAFkBAACVBQ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911168" behindDoc="0" locked="0" layoutInCell="1" allowOverlap="1">
                <wp:simplePos x="0" y="0"/>
                <wp:positionH relativeFrom="column">
                  <wp:posOffset>2812415</wp:posOffset>
                </wp:positionH>
                <wp:positionV relativeFrom="paragraph">
                  <wp:posOffset>54610</wp:posOffset>
                </wp:positionV>
                <wp:extent cx="267335" cy="1270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67335" cy="127000"/>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w:t>
                            </w:r>
                          </w:p>
                        </w:txbxContent>
                      </wps:txbx>
                      <wps:bodyPr lIns="0" tIns="0" rIns="0" bIns="0" upright="1"/>
                    </wps:wsp>
                  </a:graphicData>
                </a:graphic>
              </wp:anchor>
            </w:drawing>
          </mc:Choice>
          <mc:Fallback>
            <w:pict>
              <v:shape id="_x0000_s1026" o:spid="_x0000_s1026" o:spt="202" type="#_x0000_t202" style="position:absolute;left:0pt;margin-left:221.45pt;margin-top:4.3pt;height:10pt;width:21.05pt;z-index:251911168;mso-width-relative:page;mso-height-relative:page;" filled="f" stroked="f" coordsize="21600,21600" o:gfxdata="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eOXrXAAAACAEAAA8AAAAAAAAAAQAgAAAAIgAAAGRycy9kb3ducmV2LnhtbFBLAQIU&#10;ABQAAAAIAIdO4kAz7lkw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w:t>
                      </w:r>
                    </w:p>
                  </w:txbxContent>
                </v:textbox>
              </v:shape>
            </w:pict>
          </mc:Fallback>
        </mc:AlternateContent>
      </w:r>
    </w:p>
    <w:p>
      <w:pPr>
        <w:spacing w:line="240" w:lineRule="auto"/>
        <w:ind w:firstLine="0" w:firstLineChars="0"/>
        <w:jc w:val="center"/>
        <w:rPr>
          <w:rFonts w:eastAsia="黑体"/>
          <w:kern w:val="2"/>
          <w:sz w:val="21"/>
          <w:szCs w:val="21"/>
          <w:highlight w:val="none"/>
        </w:rPr>
      </w:pPr>
      <w:r>
        <w:rPr>
          <w:sz w:val="24"/>
          <w:highlight w:val="none"/>
        </w:rPr>
        <mc:AlternateContent>
          <mc:Choice Requires="wps">
            <w:drawing>
              <wp:anchor distT="0" distB="0" distL="114300" distR="114300" simplePos="0" relativeHeight="251890688" behindDoc="0" locked="0" layoutInCell="1" allowOverlap="1">
                <wp:simplePos x="0" y="0"/>
                <wp:positionH relativeFrom="column">
                  <wp:posOffset>2163445</wp:posOffset>
                </wp:positionH>
                <wp:positionV relativeFrom="paragraph">
                  <wp:posOffset>55245</wp:posOffset>
                </wp:positionV>
                <wp:extent cx="6350" cy="209550"/>
                <wp:effectExtent l="35560" t="0" r="34290" b="0"/>
                <wp:wrapNone/>
                <wp:docPr id="38" name="直接箭头连接符 38"/>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0.35pt;margin-top:4.35pt;height:16.5pt;width:0.5pt;z-index:251890688;mso-width-relative:page;mso-height-relative:page;" filled="f" stroked="t" coordsize="21600,21600" o:gfxdata="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y0Tv1wAAAAgBAAAPAAAAAAAAAAEAIAAAACIAAABkcnMv&#10;ZG93bnJldi54bWxQSwECFAAUAAAACACHTuJAUrd15gQCAADYAwAADgAAAAAAAAABACAAAAAmAQAA&#10;ZHJzL2Uyb0RvYy54bWxQSwUGAAAAAAYABgBZAQAAnAUAAAAA&#10;">
                <v:fill on="f" focussize="0,0"/>
                <v:stroke color="#000000 [3213]" joinstyle="round" endarrow="block"/>
                <v:imagedata o:title=""/>
                <o:lock v:ext="edit" aspectratio="f"/>
              </v:shape>
            </w:pict>
          </mc:Fallback>
        </mc:AlternateContent>
      </w:r>
    </w:p>
    <w:p>
      <w:pPr>
        <w:spacing w:line="240" w:lineRule="auto"/>
        <w:ind w:firstLine="0" w:firstLineChars="0"/>
        <w:jc w:val="center"/>
        <w:rPr>
          <w:rFonts w:eastAsia="黑体"/>
          <w:kern w:val="2"/>
          <w:sz w:val="21"/>
          <w:szCs w:val="21"/>
          <w:highlight w:val="none"/>
        </w:rPr>
      </w:pPr>
      <w:r>
        <w:rPr>
          <w:sz w:val="24"/>
          <w:highlight w:val="none"/>
        </w:rPr>
        <mc:AlternateContent>
          <mc:Choice Requires="wps">
            <w:drawing>
              <wp:anchor distT="0" distB="0" distL="114300" distR="114300" simplePos="0" relativeHeight="251891712" behindDoc="0" locked="0" layoutInCell="1" allowOverlap="1">
                <wp:simplePos x="0" y="0"/>
                <wp:positionH relativeFrom="column">
                  <wp:posOffset>2029460</wp:posOffset>
                </wp:positionH>
                <wp:positionV relativeFrom="paragraph">
                  <wp:posOffset>113665</wp:posOffset>
                </wp:positionV>
                <wp:extent cx="320675" cy="157480"/>
                <wp:effectExtent l="4445" t="4445" r="17780" b="9525"/>
                <wp:wrapNone/>
                <wp:docPr id="37" name="文本框 37"/>
                <wp:cNvGraphicFramePr/>
                <a:graphic xmlns:a="http://schemas.openxmlformats.org/drawingml/2006/main">
                  <a:graphicData uri="http://schemas.microsoft.com/office/word/2010/wordprocessingShape">
                    <wps:wsp>
                      <wps:cNvSpPr txBox="1"/>
                      <wps:spPr>
                        <a:xfrm>
                          <a:off x="0" y="0"/>
                          <a:ext cx="320675" cy="157480"/>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鄂破</w:t>
                            </w:r>
                          </w:p>
                        </w:txbxContent>
                      </wps:txbx>
                      <wps:bodyPr lIns="0" tIns="0" rIns="0" bIns="0" upright="1"/>
                    </wps:wsp>
                  </a:graphicData>
                </a:graphic>
              </wp:anchor>
            </w:drawing>
          </mc:Choice>
          <mc:Fallback>
            <w:pict>
              <v:shape id="_x0000_s1026" o:spid="_x0000_s1026" o:spt="202" type="#_x0000_t202" style="position:absolute;left:0pt;margin-left:159.8pt;margin-top:8.95pt;height:12.4pt;width:25.25pt;z-index:251891712;mso-width-relative:page;mso-height-relative:page;" filled="f" stroked="t" coordsize="21600,21600" o:gfxdata="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ZJrhdkAAAAJAQAADwAAAAAAAAABACAA&#10;AAAiAAAAZHJzL2Rvd25yZXYueG1sUEsBAhQAFAAAAAgAh07iQITL93nTAQAAnAMAAA4AAAAAAAAA&#10;AQAgAAAAKAEAAGRycy9lMm9Eb2MueG1sUEsFBgAAAAAGAAYAWQEAAG0FA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鄂破</w:t>
                      </w:r>
                    </w:p>
                  </w:txbxContent>
                </v:textbox>
              </v:shape>
            </w:pict>
          </mc:Fallback>
        </mc:AlternateContent>
      </w:r>
      <w:r>
        <w:rPr>
          <w:sz w:val="24"/>
          <w:highlight w:val="none"/>
        </w:rPr>
        <mc:AlternateContent>
          <mc:Choice Requires="wps">
            <w:drawing>
              <wp:anchor distT="0" distB="0" distL="114300" distR="114300" simplePos="0" relativeHeight="251919360" behindDoc="0" locked="0" layoutInCell="1" allowOverlap="1">
                <wp:simplePos x="0" y="0"/>
                <wp:positionH relativeFrom="column">
                  <wp:posOffset>1254760</wp:posOffset>
                </wp:positionH>
                <wp:positionV relativeFrom="paragraph">
                  <wp:posOffset>84455</wp:posOffset>
                </wp:positionV>
                <wp:extent cx="404495" cy="14795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04495" cy="147955"/>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G、N</w:t>
                            </w:r>
                          </w:p>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98.8pt;margin-top:6.65pt;height:11.65pt;width:31.85pt;z-index:251919360;mso-width-relative:page;mso-height-relative:page;" filled="f" stroked="f" coordsize="21600,21600" o:gfxdata="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3Z8KTXAAAACQEAAA8AAAAAAAAAAQAgAAAAIgAAAGRycy9kb3ducmV2LnhtbFBLAQIU&#10;ABQAAAAIAIdO4kBnJUsY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G、N</w:t>
                      </w:r>
                    </w:p>
                    <w:p>
                      <w:pPr>
                        <w:widowControl/>
                        <w:spacing w:line="240" w:lineRule="atLeast"/>
                        <w:ind w:firstLine="0" w:firstLineChars="0"/>
                        <w:textAlignment w:val="auto"/>
                        <w:rPr>
                          <w:color w:val="0000FF"/>
                          <w:sz w:val="15"/>
                          <w:szCs w:val="15"/>
                        </w:rPr>
                      </w:pPr>
                    </w:p>
                  </w:txbxContent>
                </v:textbox>
              </v:shape>
            </w:pict>
          </mc:Fallback>
        </mc:AlternateContent>
      </w:r>
      <w:r>
        <w:rPr>
          <w:sz w:val="24"/>
          <w:highlight w:val="none"/>
        </w:rPr>
        <mc:AlternateContent>
          <mc:Choice Requires="wps">
            <w:drawing>
              <wp:anchor distT="0" distB="0" distL="114300" distR="114300" simplePos="0" relativeHeight="251913216" behindDoc="0" locked="0" layoutInCell="1" allowOverlap="1">
                <wp:simplePos x="0" y="0"/>
                <wp:positionH relativeFrom="column">
                  <wp:posOffset>2774315</wp:posOffset>
                </wp:positionH>
                <wp:positionV relativeFrom="paragraph">
                  <wp:posOffset>122555</wp:posOffset>
                </wp:positionV>
                <wp:extent cx="404495" cy="1479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404495" cy="147955"/>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G、N</w:t>
                            </w:r>
                          </w:p>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218.45pt;margin-top:9.65pt;height:11.65pt;width:31.85pt;z-index:251913216;mso-width-relative:page;mso-height-relative:page;" filled="f" stroked="f" coordsize="21600,21600" o:gfxdata="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pGWfDWAAAACQEAAA8AAAAAAAAAAQAgAAAAIgAAAGRycy9kb3ducmV2LnhtbFBLAQIU&#10;ABQAAAAIAIdO4kDTwhA1vAEAAHMDAAAOAAAAAAAAAAEAIAAAACU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G、N</w:t>
                      </w:r>
                    </w:p>
                    <w:p>
                      <w:pPr>
                        <w:widowControl/>
                        <w:spacing w:line="240" w:lineRule="atLeast"/>
                        <w:ind w:firstLine="0" w:firstLineChars="0"/>
                        <w:textAlignment w:val="auto"/>
                        <w:rPr>
                          <w:color w:val="0000FF"/>
                          <w:sz w:val="15"/>
                          <w:szCs w:val="15"/>
                        </w:rPr>
                      </w:pPr>
                    </w:p>
                  </w:txbxContent>
                </v:textbox>
              </v:shape>
            </w:pict>
          </mc:Fallback>
        </mc:AlternateContent>
      </w:r>
    </w:p>
    <w:p>
      <w:pPr>
        <w:spacing w:line="240" w:lineRule="auto"/>
        <w:ind w:firstLine="0" w:firstLineChars="0"/>
        <w:jc w:val="center"/>
        <w:rPr>
          <w:rFonts w:eastAsia="黑体"/>
          <w:kern w:val="2"/>
          <w:sz w:val="21"/>
          <w:szCs w:val="21"/>
          <w:highlight w:val="none"/>
        </w:rPr>
      </w:pPr>
      <w:r>
        <w:rPr>
          <w:sz w:val="24"/>
          <w:highlight w:val="none"/>
        </w:rPr>
        <mc:AlternateContent>
          <mc:Choice Requires="wps">
            <w:drawing>
              <wp:anchor distT="0" distB="0" distL="114300" distR="114300" simplePos="0" relativeHeight="251912192" behindDoc="0" locked="0" layoutInCell="1" allowOverlap="1">
                <wp:simplePos x="0" y="0"/>
                <wp:positionH relativeFrom="column">
                  <wp:posOffset>2371090</wp:posOffset>
                </wp:positionH>
                <wp:positionV relativeFrom="paragraph">
                  <wp:posOffset>45085</wp:posOffset>
                </wp:positionV>
                <wp:extent cx="349250" cy="0"/>
                <wp:effectExtent l="0" t="38100" r="12700" b="38100"/>
                <wp:wrapNone/>
                <wp:docPr id="41" name="直接箭头连接符 41"/>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6.7pt;margin-top:3.55pt;height:0pt;width:27.5pt;z-index:251912192;mso-width-relative:page;mso-height-relative:page;" filled="f" stroked="t" coordsize="21600,21600" o:gfxdata="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wAr21QAAAAcBAAAPAAAAAAAAAAEAIAAAACIAAABkcnMvZG93bnJldi54&#10;bWxQSwECFAAUAAAACACHTuJAi3MUPv0BAADNAwAADgAAAAAAAAABACAAAAAkAQAAZHJzL2Uyb0Rv&#10;Yy54bWxQSwUGAAAAAAYABgBZAQAAkwU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892736" behindDoc="0" locked="0" layoutInCell="1" allowOverlap="1">
                <wp:simplePos x="0" y="0"/>
                <wp:positionH relativeFrom="column">
                  <wp:posOffset>2157095</wp:posOffset>
                </wp:positionH>
                <wp:positionV relativeFrom="paragraph">
                  <wp:posOffset>144780</wp:posOffset>
                </wp:positionV>
                <wp:extent cx="6350" cy="209550"/>
                <wp:effectExtent l="35560" t="0" r="34290" b="0"/>
                <wp:wrapNone/>
                <wp:docPr id="44" name="直接箭头连接符 44"/>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9.85pt;margin-top:11.4pt;height:16.5pt;width:0.5pt;z-index:251892736;mso-width-relative:page;mso-height-relative:page;" filled="f" stroked="t" coordsize="21600,21600" o:gfxdata="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Ec/RtgAAAAJAQAADwAAAAAAAAABACAAAAAiAAAAZHJz&#10;L2Rvd25yZXYueG1sUEsBAhQAFAAAAAgAh07iQKRfeMQEAgAA2AMAAA4AAAAAAAAAAQAgAAAAJwEA&#10;AGRycy9lMm9Eb2MueG1sUEsFBgAAAAAGAAYAWQEAAJ0FA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918336" behindDoc="0" locked="0" layoutInCell="1" allowOverlap="1">
                <wp:simplePos x="0" y="0"/>
                <wp:positionH relativeFrom="column">
                  <wp:posOffset>1289685</wp:posOffset>
                </wp:positionH>
                <wp:positionV relativeFrom="paragraph">
                  <wp:posOffset>201295</wp:posOffset>
                </wp:positionV>
                <wp:extent cx="215900" cy="0"/>
                <wp:effectExtent l="38100" t="0" r="38100" b="12700"/>
                <wp:wrapNone/>
                <wp:docPr id="40" name="直接箭头连接符 40"/>
                <wp:cNvGraphicFramePr/>
                <a:graphic xmlns:a="http://schemas.openxmlformats.org/drawingml/2006/main">
                  <a:graphicData uri="http://schemas.microsoft.com/office/word/2010/wordprocessingShape">
                    <wps:wsp>
                      <wps:cNvCnPr/>
                      <wps:spPr>
                        <a:xfrm rot="16200000">
                          <a:off x="0" y="0"/>
                          <a:ext cx="21590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1.55pt;margin-top:15.85pt;height:0pt;width:17pt;rotation:-5898240f;z-index:251918336;mso-width-relative:page;mso-height-relative:page;" filled="f" stroked="t" coordsize="21600,21600" o:gfxdata="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hNgYtYAAAAJAQAADwAAAAAAAAABACAAAAAiAAAAZHJz&#10;L2Rvd25yZXYueG1sUEsBAhQAFAAAAAgAh07iQIdE0QIGAgAA3AMAAA4AAAAAAAAAAQAgAAAAJQEA&#10;AGRycy9lMm9Eb2MueG1sUEsFBgAAAAAGAAYAWQEAAJ0FA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893760" behindDoc="0" locked="0" layoutInCell="1" allowOverlap="1">
                <wp:simplePos x="0" y="0"/>
                <wp:positionH relativeFrom="column">
                  <wp:posOffset>2198370</wp:posOffset>
                </wp:positionH>
                <wp:positionV relativeFrom="paragraph">
                  <wp:posOffset>146050</wp:posOffset>
                </wp:positionV>
                <wp:extent cx="288290" cy="14795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皮带</w:t>
                            </w:r>
                          </w:p>
                        </w:txbxContent>
                      </wps:txbx>
                      <wps:bodyPr lIns="0" tIns="0" rIns="0" bIns="0" upright="1"/>
                    </wps:wsp>
                  </a:graphicData>
                </a:graphic>
              </wp:anchor>
            </w:drawing>
          </mc:Choice>
          <mc:Fallback>
            <w:pict>
              <v:shape id="_x0000_s1026" o:spid="_x0000_s1026" o:spt="202" type="#_x0000_t202" style="position:absolute;left:0pt;margin-left:173.1pt;margin-top:11.5pt;height:11.65pt;width:22.7pt;z-index:251893760;mso-width-relative:page;mso-height-relative:page;" filled="f" stroked="f" coordsize="21600,21600" o:gfxdata="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wp2f9gAAAAJAQAADwAAAAAAAAABACAAAAAiAAAAZHJzL2Rvd25yZXYueG1sUEsB&#10;AhQAFAAAAAgAh07iQL0k89S8AQAAcwMAAA4AAAAAAAAAAQAgAAAAJwEAAGRycy9lMm9Eb2MueG1s&#10;UEsFBgAAAAAGAAYAWQEAAFUFA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皮带</w:t>
                      </w:r>
                    </w:p>
                  </w:txbxContent>
                </v:textbox>
              </v:shape>
            </w:pict>
          </mc:Fallback>
        </mc:AlternateContent>
      </w:r>
    </w:p>
    <w:p>
      <w:pPr>
        <w:spacing w:line="240" w:lineRule="auto"/>
        <w:ind w:firstLine="0" w:firstLineChars="0"/>
        <w:jc w:val="center"/>
        <w:rPr>
          <w:rFonts w:eastAsia="黑体"/>
          <w:kern w:val="2"/>
          <w:sz w:val="21"/>
          <w:szCs w:val="21"/>
          <w:highlight w:val="none"/>
        </w:rPr>
      </w:pPr>
      <w:r>
        <w:rPr>
          <w:sz w:val="24"/>
          <w:highlight w:val="none"/>
        </w:rPr>
        <mc:AlternateContent>
          <mc:Choice Requires="wps">
            <w:drawing>
              <wp:anchor distT="0" distB="0" distL="114300" distR="114300" simplePos="0" relativeHeight="251906048" behindDoc="0" locked="0" layoutInCell="1" allowOverlap="1">
                <wp:simplePos x="0" y="0"/>
                <wp:positionH relativeFrom="column">
                  <wp:posOffset>1687830</wp:posOffset>
                </wp:positionH>
                <wp:positionV relativeFrom="paragraph">
                  <wp:posOffset>85090</wp:posOffset>
                </wp:positionV>
                <wp:extent cx="288290" cy="15875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288290" cy="158750"/>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废石</w:t>
                            </w:r>
                          </w:p>
                        </w:txbxContent>
                      </wps:txbx>
                      <wps:bodyPr lIns="0" tIns="0" rIns="0" bIns="0" upright="1"/>
                    </wps:wsp>
                  </a:graphicData>
                </a:graphic>
              </wp:anchor>
            </w:drawing>
          </mc:Choice>
          <mc:Fallback>
            <w:pict>
              <v:shape id="_x0000_s1026" o:spid="_x0000_s1026" o:spt="202" type="#_x0000_t202" style="position:absolute;left:0pt;margin-left:132.9pt;margin-top:6.7pt;height:12.5pt;width:22.7pt;z-index:251906048;mso-width-relative:page;mso-height-relative:page;" filled="f" stroked="f" coordsize="21600,21600" o:gfxdata="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TOI2AAAAAkBAAAPAAAAAAAAAAEAIAAAACIAAABkcnMvZG93bnJldi54bWxQSwEC&#10;FAAUAAAACACHTuJA8U0cfLsBAABzAwAADgAAAAAAAAABACAAAAAn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废石</w:t>
                      </w:r>
                    </w:p>
                  </w:txbxContent>
                </v:textbox>
              </v:shape>
            </w:pict>
          </mc:Fallback>
        </mc:AlternateContent>
      </w:r>
    </w:p>
    <w:p>
      <w:pPr>
        <w:spacing w:line="240" w:lineRule="auto"/>
        <w:ind w:firstLine="0" w:firstLineChars="0"/>
        <w:jc w:val="center"/>
        <w:rPr>
          <w:rFonts w:eastAsia="黑体"/>
          <w:kern w:val="2"/>
          <w:sz w:val="21"/>
          <w:szCs w:val="21"/>
          <w:highlight w:val="none"/>
        </w:rPr>
      </w:pPr>
      <w:r>
        <w:rPr>
          <w:sz w:val="24"/>
          <w:highlight w:val="none"/>
        </w:rPr>
        <mc:AlternateContent>
          <mc:Choice Requires="wps">
            <w:drawing>
              <wp:anchor distT="0" distB="0" distL="114300" distR="114300" simplePos="0" relativeHeight="251907072" behindDoc="0" locked="0" layoutInCell="1" allowOverlap="1">
                <wp:simplePos x="0" y="0"/>
                <wp:positionH relativeFrom="column">
                  <wp:posOffset>1211580</wp:posOffset>
                </wp:positionH>
                <wp:positionV relativeFrom="paragraph">
                  <wp:posOffset>18415</wp:posOffset>
                </wp:positionV>
                <wp:extent cx="384175" cy="168275"/>
                <wp:effectExtent l="4445" t="4445" r="11430" b="17780"/>
                <wp:wrapNone/>
                <wp:docPr id="63" name="文本框 63"/>
                <wp:cNvGraphicFramePr/>
                <a:graphic xmlns:a="http://schemas.openxmlformats.org/drawingml/2006/main">
                  <a:graphicData uri="http://schemas.microsoft.com/office/word/2010/wordprocessingShape">
                    <wps:wsp>
                      <wps:cNvSpPr txBox="1"/>
                      <wps:spPr>
                        <a:xfrm>
                          <a:off x="0" y="0"/>
                          <a:ext cx="384175" cy="168275"/>
                        </a:xfrm>
                        <a:prstGeom prst="rect">
                          <a:avLst/>
                        </a:prstGeom>
                        <a:noFill/>
                        <a:ln>
                          <a:solidFill>
                            <a:schemeClr val="tx1"/>
                          </a:solidFill>
                        </a:ln>
                      </wps:spPr>
                      <wps:txbx>
                        <w:txbxContent>
                          <w:p>
                            <w:pPr>
                              <w:widowControl/>
                              <w:spacing w:line="240" w:lineRule="atLeast"/>
                              <w:ind w:firstLine="0" w:firstLineChars="0"/>
                              <w:textAlignment w:val="auto"/>
                              <w:rPr>
                                <w:rFonts w:hint="eastAsia" w:eastAsia="宋体"/>
                                <w:sz w:val="18"/>
                                <w:szCs w:val="18"/>
                                <w:lang w:val="en-US" w:eastAsia="zh-CN"/>
                              </w:rPr>
                            </w:pPr>
                            <w:r>
                              <w:rPr>
                                <w:rFonts w:hint="eastAsia" w:eastAsia="宋体"/>
                                <w:sz w:val="18"/>
                                <w:szCs w:val="18"/>
                                <w:lang w:val="en-US" w:eastAsia="zh-CN"/>
                              </w:rPr>
                              <w:t>干选</w:t>
                            </w:r>
                          </w:p>
                        </w:txbxContent>
                      </wps:txbx>
                      <wps:bodyPr lIns="0" tIns="0" rIns="0" bIns="0" upright="1"/>
                    </wps:wsp>
                  </a:graphicData>
                </a:graphic>
              </wp:anchor>
            </w:drawing>
          </mc:Choice>
          <mc:Fallback>
            <w:pict>
              <v:shape id="_x0000_s1026" o:spid="_x0000_s1026" o:spt="202" type="#_x0000_t202" style="position:absolute;left:0pt;margin-left:95.4pt;margin-top:1.45pt;height:13.25pt;width:30.25pt;z-index:251907072;mso-width-relative:page;mso-height-relative:page;" filled="f" stroked="t" coordsize="21600,21600" o:gfxdata="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jIRwHXAAAACAEAAA8AAAAAAAAAAQAgAAAAIgAA&#10;AGRycy9kb3ducmV2LnhtbFBLAQIUABQAAAAIAIdO4kB/Ys0z0AEAAJwDAAAOAAAAAAAAAAEAIAAA&#10;ACYBAABkcnMvZTJvRG9jLnhtbFBLBQYAAAAABgAGAFkBAABoBQAAAAA=&#10;">
                <v:fill on="f" focussize="0,0"/>
                <v:stroke color="#000000 [3213]" joinstyle="round"/>
                <v:imagedata o:title=""/>
                <o:lock v:ext="edit" aspectratio="f"/>
                <v:textbox inset="0mm,0mm,0mm,0mm">
                  <w:txbxContent>
                    <w:p>
                      <w:pPr>
                        <w:widowControl/>
                        <w:spacing w:line="240" w:lineRule="atLeast"/>
                        <w:ind w:firstLine="0" w:firstLineChars="0"/>
                        <w:textAlignment w:val="auto"/>
                        <w:rPr>
                          <w:rFonts w:hint="eastAsia" w:eastAsia="宋体"/>
                          <w:sz w:val="18"/>
                          <w:szCs w:val="18"/>
                          <w:lang w:val="en-US" w:eastAsia="zh-CN"/>
                        </w:rPr>
                      </w:pPr>
                      <w:r>
                        <w:rPr>
                          <w:rFonts w:hint="eastAsia" w:eastAsia="宋体"/>
                          <w:sz w:val="18"/>
                          <w:szCs w:val="18"/>
                          <w:lang w:val="en-US" w:eastAsia="zh-CN"/>
                        </w:rPr>
                        <w:t>干选</w:t>
                      </w:r>
                    </w:p>
                  </w:txbxContent>
                </v:textbox>
              </v:shape>
            </w:pict>
          </mc:Fallback>
        </mc:AlternateContent>
      </w:r>
      <w:r>
        <w:rPr>
          <w:sz w:val="24"/>
          <w:highlight w:val="none"/>
        </w:rPr>
        <mc:AlternateContent>
          <mc:Choice Requires="wps">
            <w:drawing>
              <wp:anchor distT="0" distB="0" distL="114300" distR="114300" simplePos="0" relativeHeight="251905024" behindDoc="0" locked="0" layoutInCell="1" allowOverlap="1">
                <wp:simplePos x="0" y="0"/>
                <wp:positionH relativeFrom="column">
                  <wp:posOffset>1604010</wp:posOffset>
                </wp:positionH>
                <wp:positionV relativeFrom="paragraph">
                  <wp:posOffset>107950</wp:posOffset>
                </wp:positionV>
                <wp:extent cx="431800" cy="635"/>
                <wp:effectExtent l="0" t="38100" r="6350" b="37465"/>
                <wp:wrapNone/>
                <wp:docPr id="59" name="直接箭头连接符 59"/>
                <wp:cNvGraphicFramePr/>
                <a:graphic xmlns:a="http://schemas.openxmlformats.org/drawingml/2006/main">
                  <a:graphicData uri="http://schemas.microsoft.com/office/word/2010/wordprocessingShape">
                    <wps:wsp>
                      <wps:cNvCnPr/>
                      <wps:spPr>
                        <a:xfrm rot="10800000">
                          <a:off x="0" y="0"/>
                          <a:ext cx="431800"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6.3pt;margin-top:8.5pt;height:0.05pt;width:34pt;rotation:11796480f;z-index:251905024;mso-width-relative:page;mso-height-relative:page;" filled="f" stroked="t" coordsize="21600,21600" o:gfxdata="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Vkuf9QAAAAJAQAADwAAAAAAAAABACAAAAAiAAAAZHJzL2Rv&#10;d25yZXYueG1sUEsBAhQAFAAAAAgAh07iQOSTLlEFAgAA3AMAAA4AAAAAAAAAAQAgAAAAIwEAAGRy&#10;cy9lMm9Eb2MueG1sUEsFBgAAAAAGAAYAWQEAAJoFA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894784" behindDoc="0" locked="0" layoutInCell="1" allowOverlap="1">
                <wp:simplePos x="0" y="0"/>
                <wp:positionH relativeFrom="column">
                  <wp:posOffset>2023110</wp:posOffset>
                </wp:positionH>
                <wp:positionV relativeFrom="paragraph">
                  <wp:posOffset>49530</wp:posOffset>
                </wp:positionV>
                <wp:extent cx="320675" cy="157480"/>
                <wp:effectExtent l="4445" t="4445" r="17780" b="9525"/>
                <wp:wrapNone/>
                <wp:docPr id="49" name="文本框 49"/>
                <wp:cNvGraphicFramePr/>
                <a:graphic xmlns:a="http://schemas.openxmlformats.org/drawingml/2006/main">
                  <a:graphicData uri="http://schemas.microsoft.com/office/word/2010/wordprocessingShape">
                    <wps:wsp>
                      <wps:cNvSpPr txBox="1"/>
                      <wps:spPr>
                        <a:xfrm>
                          <a:off x="0" y="0"/>
                          <a:ext cx="320675" cy="157480"/>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干选</w:t>
                            </w:r>
                          </w:p>
                        </w:txbxContent>
                      </wps:txbx>
                      <wps:bodyPr lIns="0" tIns="0" rIns="0" bIns="0" upright="1"/>
                    </wps:wsp>
                  </a:graphicData>
                </a:graphic>
              </wp:anchor>
            </w:drawing>
          </mc:Choice>
          <mc:Fallback>
            <w:pict>
              <v:shape id="_x0000_s1026" o:spid="_x0000_s1026" o:spt="202" type="#_x0000_t202" style="position:absolute;left:0pt;margin-left:159.3pt;margin-top:3.9pt;height:12.4pt;width:25.25pt;z-index:251894784;mso-width-relative:page;mso-height-relative:page;" filled="f" stroked="t" coordsize="21600,21600" o:gfxdata="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7B5/YAAAACAEAAA8AAAAAAAAAAQAgAAAA&#10;IgAAAGRycy9kb3ducmV2LnhtbFBLAQIUABQAAAAIAIdO4kCM5ycf0gEAAJwDAAAOAAAAAAAAAAEA&#10;IAAAACcBAABkcnMvZTJvRG9jLnhtbFBLBQYAAAAABgAGAFkBAABrBQ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干选</w:t>
                      </w:r>
                    </w:p>
                  </w:txbxContent>
                </v:textbox>
              </v:shape>
            </w:pict>
          </mc:Fallback>
        </mc:AlternateContent>
      </w:r>
      <w:r>
        <w:rPr>
          <w:sz w:val="24"/>
          <w:highlight w:val="none"/>
        </w:rPr>
        <mc:AlternateContent>
          <mc:Choice Requires="wps">
            <w:drawing>
              <wp:anchor distT="0" distB="0" distL="114300" distR="114300" simplePos="0" relativeHeight="251915264" behindDoc="0" locked="0" layoutInCell="1" allowOverlap="1">
                <wp:simplePos x="0" y="0"/>
                <wp:positionH relativeFrom="column">
                  <wp:posOffset>2747010</wp:posOffset>
                </wp:positionH>
                <wp:positionV relativeFrom="paragraph">
                  <wp:posOffset>59055</wp:posOffset>
                </wp:positionV>
                <wp:extent cx="331470" cy="1371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331470" cy="137160"/>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w:t>
                            </w:r>
                          </w:p>
                        </w:txbxContent>
                      </wps:txbx>
                      <wps:bodyPr lIns="0" tIns="0" rIns="0" bIns="0" upright="1"/>
                    </wps:wsp>
                  </a:graphicData>
                </a:graphic>
              </wp:anchor>
            </w:drawing>
          </mc:Choice>
          <mc:Fallback>
            <w:pict>
              <v:shape id="_x0000_s1026" o:spid="_x0000_s1026" o:spt="202" type="#_x0000_t202" style="position:absolute;left:0pt;margin-left:216.3pt;margin-top:4.65pt;height:10.8pt;width:26.1pt;z-index:251915264;mso-width-relative:page;mso-height-relative:page;" filled="f" stroked="f" coordsize="21600,21600" o:gfxdata="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QNGUtgAAAAIAQAADwAAAAAAAAABACAAAAAiAAAAZHJzL2Rvd25yZXYueG1sUEsB&#10;AhQAFAAAAAgAh07iQOQIUyq8AQAAcwMAAA4AAAAAAAAAAQAgAAAAJwEAAGRycy9lMm9Eb2MueG1s&#10;UEsFBgAAAAAGAAYAWQEAAFUFA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w:t>
                      </w:r>
                    </w:p>
                  </w:txbxContent>
                </v:textbox>
              </v:shape>
            </w:pict>
          </mc:Fallback>
        </mc:AlternateContent>
      </w:r>
      <w:r>
        <w:rPr>
          <w:sz w:val="24"/>
          <w:highlight w:val="none"/>
        </w:rPr>
        <mc:AlternateContent>
          <mc:Choice Requires="wps">
            <w:drawing>
              <wp:anchor distT="0" distB="0" distL="114300" distR="114300" simplePos="0" relativeHeight="251914240" behindDoc="0" locked="0" layoutInCell="1" allowOverlap="1">
                <wp:simplePos x="0" y="0"/>
                <wp:positionH relativeFrom="column">
                  <wp:posOffset>2364740</wp:posOffset>
                </wp:positionH>
                <wp:positionV relativeFrom="paragraph">
                  <wp:posOffset>133985</wp:posOffset>
                </wp:positionV>
                <wp:extent cx="349250" cy="0"/>
                <wp:effectExtent l="0" t="38100" r="12700" b="38100"/>
                <wp:wrapNone/>
                <wp:docPr id="46" name="直接箭头连接符 46"/>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6.2pt;margin-top:10.55pt;height:0pt;width:27.5pt;z-index:251914240;mso-width-relative:page;mso-height-relative:page;" filled="f" stroked="t" coordsize="21600,21600" o:gfxdata="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jH3iNgAAAAJAQAADwAAAAAAAAABACAAAAAiAAAAZHJzL2Rvd25y&#10;ZXYueG1sUEsBAhQAFAAAAAgAh07iQD3m8YP+AQAAzQMAAA4AAAAAAAAAAQAgAAAAJwEAAGRycy9l&#10;Mm9Eb2MueG1sUEsFBgAAAAAGAAYAWQEAAJcFAAAAAA==&#10;">
                <v:fill on="f" focussize="0,0"/>
                <v:stroke weight="1pt" color="#0070C0 [3204]" joinstyle="round" dashstyle="longDash" endarrow="block"/>
                <v:imagedata o:title=""/>
                <o:lock v:ext="edit" aspectratio="f"/>
              </v:shape>
            </w:pict>
          </mc:Fallback>
        </mc:AlternateContent>
      </w:r>
    </w:p>
    <w:p>
      <w:pPr>
        <w:spacing w:line="240" w:lineRule="auto"/>
        <w:ind w:firstLine="0" w:firstLineChars="0"/>
        <w:jc w:val="center"/>
        <w:rPr>
          <w:rFonts w:eastAsia="黑体"/>
          <w:kern w:val="2"/>
          <w:sz w:val="21"/>
          <w:szCs w:val="21"/>
          <w:highlight w:val="none"/>
        </w:rPr>
      </w:pPr>
      <w:r>
        <w:rPr>
          <w:sz w:val="24"/>
          <w:highlight w:val="none"/>
        </w:rPr>
        <mc:AlternateContent>
          <mc:Choice Requires="wps">
            <w:drawing>
              <wp:anchor distT="0" distB="0" distL="114300" distR="114300" simplePos="0" relativeHeight="251928576" behindDoc="0" locked="0" layoutInCell="1" allowOverlap="1">
                <wp:simplePos x="0" y="0"/>
                <wp:positionH relativeFrom="column">
                  <wp:posOffset>1412875</wp:posOffset>
                </wp:positionH>
                <wp:positionV relativeFrom="paragraph">
                  <wp:posOffset>64135</wp:posOffset>
                </wp:positionV>
                <wp:extent cx="288290" cy="147955"/>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矿石</w:t>
                            </w:r>
                          </w:p>
                        </w:txbxContent>
                      </wps:txbx>
                      <wps:bodyPr lIns="0" tIns="0" rIns="0" bIns="0" upright="1"/>
                    </wps:wsp>
                  </a:graphicData>
                </a:graphic>
              </wp:anchor>
            </w:drawing>
          </mc:Choice>
          <mc:Fallback>
            <w:pict>
              <v:shape id="_x0000_s1026" o:spid="_x0000_s1026" o:spt="202" type="#_x0000_t202" style="position:absolute;left:0pt;margin-left:111.25pt;margin-top:5.05pt;height:11.65pt;width:22.7pt;z-index:251928576;mso-width-relative:page;mso-height-relative:page;" filled="f" stroked="f" coordsize="21600,21600" o:gfxdata="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H20MH2AAAAAkBAAAPAAAAAAAAAAEAIAAAACIAAABkcnMvZG93bnJldi54bWxQSwEC&#10;FAAUAAAACACHTuJA1uPesrsBAAB1AwAADgAAAAAAAAABACAAAAAn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矿石</w:t>
                      </w:r>
                    </w:p>
                  </w:txbxContent>
                </v:textbox>
              </v:shape>
            </w:pict>
          </mc:Fallback>
        </mc:AlternateContent>
      </w:r>
      <w:r>
        <w:rPr>
          <w:sz w:val="24"/>
          <w:highlight w:val="none"/>
        </w:rPr>
        <mc:AlternateContent>
          <mc:Choice Requires="wps">
            <w:drawing>
              <wp:anchor distT="0" distB="0" distL="114300" distR="114300" simplePos="0" relativeHeight="251926528" behindDoc="0" locked="0" layoutInCell="1" allowOverlap="1">
                <wp:simplePos x="0" y="0"/>
                <wp:positionH relativeFrom="column">
                  <wp:posOffset>970915</wp:posOffset>
                </wp:positionH>
                <wp:positionV relativeFrom="paragraph">
                  <wp:posOffset>90805</wp:posOffset>
                </wp:positionV>
                <wp:extent cx="288290" cy="15875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288290" cy="158750"/>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废石</w:t>
                            </w:r>
                          </w:p>
                        </w:txbxContent>
                      </wps:txbx>
                      <wps:bodyPr lIns="0" tIns="0" rIns="0" bIns="0" upright="1"/>
                    </wps:wsp>
                  </a:graphicData>
                </a:graphic>
              </wp:anchor>
            </w:drawing>
          </mc:Choice>
          <mc:Fallback>
            <w:pict>
              <v:shape id="_x0000_s1026" o:spid="_x0000_s1026" o:spt="202" type="#_x0000_t202" style="position:absolute;left:0pt;margin-left:76.45pt;margin-top:7.15pt;height:12.5pt;width:22.7pt;z-index:251926528;mso-width-relative:page;mso-height-relative:page;" filled="f" stroked="f" coordsize="21600,21600" o:gfxdata="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c5pq21wAAAAkBAAAPAAAAAAAAAAEAIAAAACIAAABkcnMvZG93bnJldi54bWxQSwEC&#10;FAAUAAAACACHTuJAcKRiQrwBAAB1AwAADgAAAAAAAAABACAAAAAm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废石</w:t>
                      </w:r>
                    </w:p>
                  </w:txbxContent>
                </v:textbox>
              </v:shape>
            </w:pict>
          </mc:Fallback>
        </mc:AlternateContent>
      </w:r>
      <w:r>
        <w:rPr>
          <w:sz w:val="24"/>
          <w:highlight w:val="none"/>
        </w:rPr>
        <mc:AlternateContent>
          <mc:Choice Requires="wps">
            <w:drawing>
              <wp:anchor distT="0" distB="0" distL="114300" distR="114300" simplePos="0" relativeHeight="251908096" behindDoc="0" locked="0" layoutInCell="1" allowOverlap="1">
                <wp:simplePos x="0" y="0"/>
                <wp:positionH relativeFrom="column">
                  <wp:posOffset>1286510</wp:posOffset>
                </wp:positionH>
                <wp:positionV relativeFrom="paragraph">
                  <wp:posOffset>32385</wp:posOffset>
                </wp:positionV>
                <wp:extent cx="635" cy="288290"/>
                <wp:effectExtent l="38100" t="0" r="37465" b="16510"/>
                <wp:wrapNone/>
                <wp:docPr id="48" name="直接箭头连接符 48"/>
                <wp:cNvGraphicFramePr/>
                <a:graphic xmlns:a="http://schemas.openxmlformats.org/drawingml/2006/main">
                  <a:graphicData uri="http://schemas.microsoft.com/office/word/2010/wordprocessingShape">
                    <wps:wsp>
                      <wps:cNvCnPr/>
                      <wps:spPr>
                        <a:xfrm flipH="1">
                          <a:off x="0" y="0"/>
                          <a:ext cx="635" cy="288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3pt;margin-top:2.55pt;height:22.7pt;width:0.05pt;z-index:251908096;mso-width-relative:page;mso-height-relative:page;" filled="f" stroked="t" coordsize="21600,21600" o:gfxdata="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ZeGXzWAAAACAEAAA8AAAAAAAAAAQAgAAAAIgAAAGRycy9k&#10;b3ducmV2LnhtbFBLAQIUABQAAAAIAIdO4kCQGVGcBAIAANcDAAAOAAAAAAAAAAEAIAAAACUBAABk&#10;cnMvZTJvRG9jLnhtbFBLBQYAAAAABgAGAFkBAACbBQ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896832" behindDoc="0" locked="0" layoutInCell="1" allowOverlap="1">
                <wp:simplePos x="0" y="0"/>
                <wp:positionH relativeFrom="column">
                  <wp:posOffset>1874520</wp:posOffset>
                </wp:positionH>
                <wp:positionV relativeFrom="paragraph">
                  <wp:posOffset>59690</wp:posOffset>
                </wp:positionV>
                <wp:extent cx="288290" cy="14795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矿石</w:t>
                            </w:r>
                          </w:p>
                        </w:txbxContent>
                      </wps:txbx>
                      <wps:bodyPr lIns="0" tIns="0" rIns="0" bIns="0" upright="1"/>
                    </wps:wsp>
                  </a:graphicData>
                </a:graphic>
              </wp:anchor>
            </w:drawing>
          </mc:Choice>
          <mc:Fallback>
            <w:pict>
              <v:shape id="_x0000_s1026" o:spid="_x0000_s1026" o:spt="202" type="#_x0000_t202" style="position:absolute;left:0pt;margin-left:147.6pt;margin-top:4.7pt;height:11.65pt;width:22.7pt;z-index:251896832;mso-width-relative:page;mso-height-relative:page;" filled="f" stroked="f" coordsize="21600,21600" o:gfxdata="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HUAu2AAAAAgBAAAPAAAAAAAAAAEAIAAAACIAAABkcnMvZG93bnJldi54bWxQSwEC&#10;FAAUAAAACACHTuJA/iwlP7sBAABzAwAADgAAAAAAAAABACAAAAAn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矿石</w:t>
                      </w:r>
                    </w:p>
                  </w:txbxContent>
                </v:textbox>
              </v:shape>
            </w:pict>
          </mc:Fallback>
        </mc:AlternateContent>
      </w:r>
      <w:r>
        <w:rPr>
          <w:sz w:val="24"/>
          <w:highlight w:val="none"/>
        </w:rPr>
        <mc:AlternateContent>
          <mc:Choice Requires="wps">
            <w:drawing>
              <wp:anchor distT="0" distB="0" distL="114300" distR="114300" simplePos="0" relativeHeight="251924480" behindDoc="0" locked="0" layoutInCell="1" allowOverlap="1">
                <wp:simplePos x="0" y="0"/>
                <wp:positionH relativeFrom="column">
                  <wp:posOffset>1397635</wp:posOffset>
                </wp:positionH>
                <wp:positionV relativeFrom="paragraph">
                  <wp:posOffset>33020</wp:posOffset>
                </wp:positionV>
                <wp:extent cx="6350" cy="200660"/>
                <wp:effectExtent l="4445" t="0" r="8255" b="8890"/>
                <wp:wrapNone/>
                <wp:docPr id="102" name="直接连接符 102"/>
                <wp:cNvGraphicFramePr/>
                <a:graphic xmlns:a="http://schemas.openxmlformats.org/drawingml/2006/main">
                  <a:graphicData uri="http://schemas.microsoft.com/office/word/2010/wordprocessingShape">
                    <wps:wsp>
                      <wps:cNvCnPr>
                        <a:stCxn id="63" idx="2"/>
                      </wps:cNvCnPr>
                      <wps:spPr>
                        <a:xfrm flipH="1">
                          <a:off x="2531110" y="3942080"/>
                          <a:ext cx="6350" cy="2006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10.05pt;margin-top:2.6pt;height:15.8pt;width:0.5pt;z-index:251924480;mso-width-relative:page;mso-height-relative:page;" filled="f" stroked="t" coordsize="21600,21600" o:gfxdata="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Ye63NUAAAAIAQAADwAA&#10;AAAAAAABACAAAAAiAAAAZHJzL2Rvd25yZXYueG1sUEsBAhQAFAAAAAgAh07iQAJ1qIkZAgAAFgQA&#10;AA4AAAAAAAAAAQAgAAAAJAEAAGRycy9lMm9Eb2MueG1sUEsFBgAAAAAGAAYAWQEAAK8FAAAAAA==&#10;">
                <v:fill on="f" focussize="0,0"/>
                <v:stroke color="#000000 [3200]" joinstyle="round"/>
                <v:imagedata o:title=""/>
                <o:lock v:ext="edit" aspectratio="f"/>
              </v:line>
            </w:pict>
          </mc:Fallback>
        </mc:AlternateContent>
      </w:r>
      <w:r>
        <w:rPr>
          <w:sz w:val="24"/>
          <w:highlight w:val="none"/>
        </w:rPr>
        <mc:AlternateContent>
          <mc:Choice Requires="wps">
            <w:drawing>
              <wp:anchor distT="0" distB="0" distL="114300" distR="114300" simplePos="0" relativeHeight="251895808" behindDoc="0" locked="0" layoutInCell="1" allowOverlap="1">
                <wp:simplePos x="0" y="0"/>
                <wp:positionH relativeFrom="column">
                  <wp:posOffset>2157095</wp:posOffset>
                </wp:positionH>
                <wp:positionV relativeFrom="paragraph">
                  <wp:posOffset>64770</wp:posOffset>
                </wp:positionV>
                <wp:extent cx="6350" cy="209550"/>
                <wp:effectExtent l="35560" t="0" r="34290" b="0"/>
                <wp:wrapNone/>
                <wp:docPr id="54" name="直接箭头连接符 54"/>
                <wp:cNvGraphicFramePr/>
                <a:graphic xmlns:a="http://schemas.openxmlformats.org/drawingml/2006/main">
                  <a:graphicData uri="http://schemas.microsoft.com/office/word/2010/wordprocessingShape">
                    <wps:wsp>
                      <wps:cNvCnPr/>
                      <wps:spPr>
                        <a:xfrm flipH="1">
                          <a:off x="0" y="0"/>
                          <a:ext cx="635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9.85pt;margin-top:5.1pt;height:16.5pt;width:0.5pt;z-index:251895808;mso-width-relative:page;mso-height-relative:page;" filled="f" stroked="t" coordsize="21600,21600" o:gfxdata="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nSaNtgAAAAJAQAADwAAAAAAAAABACAAAAAiAAAAZHJz&#10;L2Rvd25yZXYueG1sUEsBAhQAFAAAAAgAh07iQOtEBdoEAgAA2AMAAA4AAAAAAAAAAQAgAAAAJwEA&#10;AGRycy9lMm9Eb2MueG1sUEsFBgAAAAAGAAYAWQEAAJ0FAAAAAA==&#10;">
                <v:fill on="f" focussize="0,0"/>
                <v:stroke color="#000000 [3213]" joinstyle="round" endarrow="block"/>
                <v:imagedata o:title=""/>
                <o:lock v:ext="edit" aspectratio="f"/>
              </v:shape>
            </w:pict>
          </mc:Fallback>
        </mc:AlternateContent>
      </w:r>
    </w:p>
    <w:p>
      <w:pPr>
        <w:spacing w:line="240" w:lineRule="auto"/>
        <w:ind w:firstLine="0" w:firstLineChars="0"/>
        <w:jc w:val="center"/>
        <w:rPr>
          <w:rFonts w:eastAsia="黑体"/>
          <w:kern w:val="2"/>
          <w:sz w:val="21"/>
          <w:szCs w:val="21"/>
          <w:highlight w:val="none"/>
        </w:rPr>
      </w:pPr>
      <w:r>
        <w:rPr>
          <w:sz w:val="21"/>
          <w:highlight w:val="none"/>
        </w:rPr>
        <mc:AlternateContent>
          <mc:Choice Requires="wps">
            <w:drawing>
              <wp:anchor distT="0" distB="0" distL="114300" distR="114300" simplePos="0" relativeHeight="251856896" behindDoc="0" locked="0" layoutInCell="1" allowOverlap="1">
                <wp:simplePos x="0" y="0"/>
                <wp:positionH relativeFrom="column">
                  <wp:posOffset>-782320</wp:posOffset>
                </wp:positionH>
                <wp:positionV relativeFrom="paragraph">
                  <wp:posOffset>119380</wp:posOffset>
                </wp:positionV>
                <wp:extent cx="5081905" cy="4551045"/>
                <wp:effectExtent l="5080" t="4445" r="18415" b="16510"/>
                <wp:wrapNone/>
                <wp:docPr id="147" name="矩形 147"/>
                <wp:cNvGraphicFramePr/>
                <a:graphic xmlns:a="http://schemas.openxmlformats.org/drawingml/2006/main">
                  <a:graphicData uri="http://schemas.microsoft.com/office/word/2010/wordprocessingShape">
                    <wps:wsp>
                      <wps:cNvSpPr/>
                      <wps:spPr>
                        <a:xfrm>
                          <a:off x="1271905" y="8330565"/>
                          <a:ext cx="5081905" cy="4551045"/>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61.6pt;margin-top:9.4pt;height:358.35pt;width:400.15pt;z-index:251856896;mso-width-relative:page;mso-height-relative:page;" filled="f" stroked="t" coordsize="21600,21600" o:gfxdata="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&#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q7f/2QAAAAsBAAAPAAAAAAAAAAEAIAAAACIAAABk&#10;cnMvZG93bnJldi54bWxQSwECFAAUAAAACACHTuJA5RA5DgUCAAAFBAAADgAAAAAAAAABACAAAAAo&#10;AQAAZHJzL2Uyb0RvYy54bWxQSwUGAAAAAAYABgBZAQAAnwUAAAAA&#10;">
                <v:fill on="f" focussize="0,0"/>
                <v:stroke color="#000000" joinstyle="miter" dashstyle="dash"/>
                <v:imagedata o:title=""/>
                <o:lock v:ext="edit" aspectratio="f"/>
              </v:rect>
            </w:pict>
          </mc:Fallback>
        </mc:AlternateContent>
      </w:r>
      <w:r>
        <w:rPr>
          <w:sz w:val="24"/>
          <w:highlight w:val="none"/>
        </w:rPr>
        <mc:AlternateContent>
          <mc:Choice Requires="wps">
            <w:drawing>
              <wp:anchor distT="0" distB="0" distL="114300" distR="114300" simplePos="0" relativeHeight="251925504" behindDoc="0" locked="0" layoutInCell="1" allowOverlap="1">
                <wp:simplePos x="0" y="0"/>
                <wp:positionH relativeFrom="column">
                  <wp:posOffset>1405255</wp:posOffset>
                </wp:positionH>
                <wp:positionV relativeFrom="paragraph">
                  <wp:posOffset>69215</wp:posOffset>
                </wp:positionV>
                <wp:extent cx="743585" cy="635"/>
                <wp:effectExtent l="0" t="0" r="0" b="0"/>
                <wp:wrapNone/>
                <wp:docPr id="103" name="直接箭头连接符 103"/>
                <wp:cNvGraphicFramePr/>
                <a:graphic xmlns:a="http://schemas.openxmlformats.org/drawingml/2006/main">
                  <a:graphicData uri="http://schemas.microsoft.com/office/word/2010/wordprocessingShape">
                    <wps:wsp>
                      <wps:cNvCnPr/>
                      <wps:spPr>
                        <a:xfrm flipV="1">
                          <a:off x="0" y="0"/>
                          <a:ext cx="743585" cy="63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0.65pt;margin-top:5.45pt;height:0.05pt;width:58.55pt;z-index:251925504;mso-width-relative:page;mso-height-relative:page;" filled="f" stroked="t" coordsize="21600,21600" o:gfxdata="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wM4gHWAAAACQEAAA8AAAAAAAAAAQAgAAAAIgAAAGRycy9kb3du&#10;cmV2LnhtbFBLAQIUABQAAAAIAIdO4kCoUa5wAQIAANUDAAAOAAAAAAAAAAEAIAAAACUBAABkcnMv&#10;ZTJvRG9jLnhtbFBLBQYAAAAABgAGAFkBAACYBQAAAAA=&#10;">
                <v:fill on="f" focussize="0,0"/>
                <v:stroke color="#000000 [3213]" joinstyle="round"/>
                <v:imagedata o:title=""/>
                <o:lock v:ext="edit" aspectratio="f"/>
              </v:shape>
            </w:pict>
          </mc:Fallback>
        </mc:AlternateContent>
      </w:r>
      <w:r>
        <w:rPr>
          <w:sz w:val="24"/>
          <w:highlight w:val="none"/>
        </w:rPr>
        <mc:AlternateContent>
          <mc:Choice Requires="wps">
            <w:drawing>
              <wp:anchor distT="0" distB="0" distL="114300" distR="114300" simplePos="0" relativeHeight="251902976" behindDoc="0" locked="0" layoutInCell="1" allowOverlap="1">
                <wp:simplePos x="0" y="0"/>
                <wp:positionH relativeFrom="column">
                  <wp:posOffset>2534920</wp:posOffset>
                </wp:positionH>
                <wp:positionV relativeFrom="paragraph">
                  <wp:posOffset>16510</wp:posOffset>
                </wp:positionV>
                <wp:extent cx="288290" cy="14795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筛上</w:t>
                            </w:r>
                          </w:p>
                        </w:txbxContent>
                      </wps:txbx>
                      <wps:bodyPr lIns="0" tIns="0" rIns="0" bIns="0" upright="1"/>
                    </wps:wsp>
                  </a:graphicData>
                </a:graphic>
              </wp:anchor>
            </w:drawing>
          </mc:Choice>
          <mc:Fallback>
            <w:pict>
              <v:shape id="_x0000_s1026" o:spid="_x0000_s1026" o:spt="202" type="#_x0000_t202" style="position:absolute;left:0pt;margin-left:199.6pt;margin-top:1.3pt;height:11.65pt;width:22.7pt;z-index:251902976;mso-width-relative:page;mso-height-relative:page;" filled="f" stroked="f" coordsize="21600,21600" o:gfxdata="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bxWF3XAAAACAEAAA8AAAAAAAAAAQAgAAAAIgAAAGRycy9kb3ducmV2LnhtbFBLAQIU&#10;ABQAAAAIAIdO4kCtrwAx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筛上</w:t>
                      </w:r>
                    </w:p>
                  </w:txbxContent>
                </v:textbox>
              </v:shape>
            </w:pict>
          </mc:Fallback>
        </mc:AlternateContent>
      </w:r>
      <w:r>
        <w:rPr>
          <w:sz w:val="24"/>
          <w:highlight w:val="none"/>
        </w:rPr>
        <mc:AlternateContent>
          <mc:Choice Requires="wps">
            <w:drawing>
              <wp:anchor distT="0" distB="0" distL="114300" distR="114300" simplePos="0" relativeHeight="251897856" behindDoc="0" locked="0" layoutInCell="1" allowOverlap="1">
                <wp:simplePos x="0" y="0"/>
                <wp:positionH relativeFrom="column">
                  <wp:posOffset>1990725</wp:posOffset>
                </wp:positionH>
                <wp:positionV relativeFrom="paragraph">
                  <wp:posOffset>140335</wp:posOffset>
                </wp:positionV>
                <wp:extent cx="384175" cy="168275"/>
                <wp:effectExtent l="4445" t="4445" r="11430" b="17780"/>
                <wp:wrapNone/>
                <wp:docPr id="71" name="文本框 71"/>
                <wp:cNvGraphicFramePr/>
                <a:graphic xmlns:a="http://schemas.openxmlformats.org/drawingml/2006/main">
                  <a:graphicData uri="http://schemas.microsoft.com/office/word/2010/wordprocessingShape">
                    <wps:wsp>
                      <wps:cNvSpPr txBox="1"/>
                      <wps:spPr>
                        <a:xfrm>
                          <a:off x="0" y="0"/>
                          <a:ext cx="384175" cy="168275"/>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振动筛</w:t>
                            </w:r>
                          </w:p>
                        </w:txbxContent>
                      </wps:txbx>
                      <wps:bodyPr lIns="0" tIns="0" rIns="0" bIns="0" upright="1"/>
                    </wps:wsp>
                  </a:graphicData>
                </a:graphic>
              </wp:anchor>
            </w:drawing>
          </mc:Choice>
          <mc:Fallback>
            <w:pict>
              <v:shape id="_x0000_s1026" o:spid="_x0000_s1026" o:spt="202" type="#_x0000_t202" style="position:absolute;left:0pt;margin-left:156.75pt;margin-top:11.05pt;height:13.25pt;width:30.25pt;z-index:251897856;mso-width-relative:page;mso-height-relative:page;" filled="f" stroked="t" coordsize="21600,21600" o:gfxdata="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fi70DaAAAACQEAAA8AAAAAAAAAAQAgAAAA&#10;IgAAAGRycy9kb3ducmV2LnhtbFBLAQIUABQAAAAIAIdO4kCKbmDr0AEAAJwDAAAOAAAAAAAAAAEA&#10;IAAAACkBAABkcnMvZTJvRG9jLnhtbFBLBQYAAAAABgAGAFkBAABrBQ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振动筛</w:t>
                      </w:r>
                    </w:p>
                  </w:txbxContent>
                </v:textbox>
              </v:shape>
            </w:pict>
          </mc:Fallback>
        </mc:AlternateContent>
      </w:r>
      <w:r>
        <w:rPr>
          <w:sz w:val="24"/>
          <w:highlight w:val="none"/>
        </w:rPr>
        <mc:AlternateContent>
          <mc:Choice Requires="wps">
            <w:drawing>
              <wp:anchor distT="0" distB="0" distL="114300" distR="114300" simplePos="0" relativeHeight="251899904" behindDoc="0" locked="0" layoutInCell="1" allowOverlap="1">
                <wp:simplePos x="0" y="0"/>
                <wp:positionH relativeFrom="column">
                  <wp:posOffset>2947035</wp:posOffset>
                </wp:positionH>
                <wp:positionV relativeFrom="paragraph">
                  <wp:posOffset>133350</wp:posOffset>
                </wp:positionV>
                <wp:extent cx="436880" cy="189865"/>
                <wp:effectExtent l="4445" t="4445" r="15875" b="15240"/>
                <wp:wrapNone/>
                <wp:docPr id="52" name="文本框 52"/>
                <wp:cNvGraphicFramePr/>
                <a:graphic xmlns:a="http://schemas.openxmlformats.org/drawingml/2006/main">
                  <a:graphicData uri="http://schemas.microsoft.com/office/word/2010/wordprocessingShape">
                    <wps:wsp>
                      <wps:cNvSpPr txBox="1"/>
                      <wps:spPr>
                        <a:xfrm>
                          <a:off x="0" y="0"/>
                          <a:ext cx="436880" cy="189865"/>
                        </a:xfrm>
                        <a:prstGeom prst="rect">
                          <a:avLst/>
                        </a:prstGeom>
                        <a:noFill/>
                        <a:ln>
                          <a:solidFill>
                            <a:schemeClr val="tx1"/>
                          </a:solidFill>
                        </a:ln>
                      </wps:spPr>
                      <wps:txbx>
                        <w:txbxContent>
                          <w:p>
                            <w:pPr>
                              <w:widowControl/>
                              <w:spacing w:line="240" w:lineRule="atLeast"/>
                              <w:ind w:firstLine="180" w:firstLineChars="100"/>
                              <w:textAlignment w:val="auto"/>
                              <w:rPr>
                                <w:sz w:val="18"/>
                                <w:szCs w:val="18"/>
                              </w:rPr>
                            </w:pPr>
                            <w:r>
                              <w:rPr>
                                <w:rFonts w:hint="eastAsia" w:eastAsia="宋体"/>
                                <w:sz w:val="18"/>
                                <w:szCs w:val="18"/>
                                <w:lang w:val="en-US" w:eastAsia="zh-CN"/>
                              </w:rPr>
                              <w:t>细</w:t>
                            </w:r>
                            <w:r>
                              <w:rPr>
                                <w:rFonts w:hint="eastAsia"/>
                                <w:sz w:val="18"/>
                                <w:szCs w:val="18"/>
                              </w:rPr>
                              <w:t>破</w:t>
                            </w:r>
                          </w:p>
                        </w:txbxContent>
                      </wps:txbx>
                      <wps:bodyPr lIns="0" tIns="0" rIns="0" bIns="0" upright="1"/>
                    </wps:wsp>
                  </a:graphicData>
                </a:graphic>
              </wp:anchor>
            </w:drawing>
          </mc:Choice>
          <mc:Fallback>
            <w:pict>
              <v:shape id="_x0000_s1026" o:spid="_x0000_s1026" o:spt="202" type="#_x0000_t202" style="position:absolute;left:0pt;margin-left:232.05pt;margin-top:10.5pt;height:14.95pt;width:34.4pt;z-index:251899904;mso-width-relative:page;mso-height-relative:page;" filled="f" stroked="t" coordsize="21600,21600" o:gfxdata="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OdNrNkAAAAJAQAADwAAAAAAAAABACAAAAAi&#10;AAAAZHJzL2Rvd25yZXYueG1sUEsBAhQAFAAAAAgAh07iQA25oSXQAQAAnAMAAA4AAAAAAAAAAQAg&#10;AAAAKAEAAGRycy9lMm9Eb2MueG1sUEsFBgAAAAAGAAYAWQEAAGoFAAAAAA==&#10;">
                <v:fill on="f" focussize="0,0"/>
                <v:stroke color="#000000 [3213]" joinstyle="round"/>
                <v:imagedata o:title=""/>
                <o:lock v:ext="edit" aspectratio="f"/>
                <v:textbox inset="0mm,0mm,0mm,0mm">
                  <w:txbxContent>
                    <w:p>
                      <w:pPr>
                        <w:widowControl/>
                        <w:spacing w:line="240" w:lineRule="atLeast"/>
                        <w:ind w:firstLine="180" w:firstLineChars="100"/>
                        <w:textAlignment w:val="auto"/>
                        <w:rPr>
                          <w:sz w:val="18"/>
                          <w:szCs w:val="18"/>
                        </w:rPr>
                      </w:pPr>
                      <w:r>
                        <w:rPr>
                          <w:rFonts w:hint="eastAsia" w:eastAsia="宋体"/>
                          <w:sz w:val="18"/>
                          <w:szCs w:val="18"/>
                          <w:lang w:val="en-US" w:eastAsia="zh-CN"/>
                        </w:rPr>
                        <w:t>细</w:t>
                      </w:r>
                      <w:r>
                        <w:rPr>
                          <w:rFonts w:hint="eastAsia"/>
                          <w:sz w:val="18"/>
                          <w:szCs w:val="18"/>
                        </w:rPr>
                        <w:t>破</w:t>
                      </w:r>
                    </w:p>
                  </w:txbxContent>
                </v:textbox>
              </v:shape>
            </w:pict>
          </mc:Fallback>
        </mc:AlternateContent>
      </w:r>
    </w:p>
    <w:p>
      <w:pPr>
        <w:spacing w:line="240" w:lineRule="auto"/>
        <w:ind w:firstLine="0" w:firstLineChars="0"/>
        <w:jc w:val="center"/>
        <w:rPr>
          <w:rFonts w:eastAsia="黑体"/>
          <w:kern w:val="2"/>
          <w:sz w:val="21"/>
          <w:szCs w:val="21"/>
          <w:highlight w:val="none"/>
        </w:rPr>
      </w:pPr>
      <w:r>
        <w:rPr>
          <w:sz w:val="24"/>
          <w:highlight w:val="none"/>
        </w:rPr>
        <mc:AlternateContent>
          <mc:Choice Requires="wps">
            <w:drawing>
              <wp:anchor distT="0" distB="0" distL="114300" distR="114300" simplePos="0" relativeHeight="251920384" behindDoc="0" locked="0" layoutInCell="1" allowOverlap="1">
                <wp:simplePos x="0" y="0"/>
                <wp:positionH relativeFrom="column">
                  <wp:posOffset>1510030</wp:posOffset>
                </wp:positionH>
                <wp:positionV relativeFrom="paragraph">
                  <wp:posOffset>5715</wp:posOffset>
                </wp:positionV>
                <wp:extent cx="404495" cy="14795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404495" cy="147955"/>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G、N</w:t>
                            </w:r>
                          </w:p>
                          <w:p>
                            <w:pPr>
                              <w:widowControl/>
                              <w:spacing w:line="240" w:lineRule="atLeast"/>
                              <w:ind w:firstLine="0" w:firstLineChars="0"/>
                              <w:textAlignment w:val="auto"/>
                              <w:rPr>
                                <w:color w:val="0000FF"/>
                                <w:sz w:val="15"/>
                                <w:szCs w:val="15"/>
                              </w:rPr>
                            </w:pPr>
                          </w:p>
                        </w:txbxContent>
                      </wps:txbx>
                      <wps:bodyPr lIns="0" tIns="0" rIns="0" bIns="0" upright="1"/>
                    </wps:wsp>
                  </a:graphicData>
                </a:graphic>
              </wp:anchor>
            </w:drawing>
          </mc:Choice>
          <mc:Fallback>
            <w:pict>
              <v:shape id="_x0000_s1026" o:spid="_x0000_s1026" o:spt="202" type="#_x0000_t202" style="position:absolute;left:0pt;margin-left:118.9pt;margin-top:0.45pt;height:11.65pt;width:31.85pt;z-index:251920384;mso-width-relative:page;mso-height-relative:page;" filled="f" stroked="f" coordsize="21600,21600" o:gfxdata="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0Zeu1wAAAAcBAAAPAAAAAAAAAAEAIAAAACIAAABkcnMvZG93bnJldi54bWxQSwEC&#10;FAAUAAAACACHTuJA/QrXGLwBAABzAwAADgAAAAAAAAABACAAAAAm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G、N</w:t>
                      </w:r>
                    </w:p>
                    <w:p>
                      <w:pPr>
                        <w:widowControl/>
                        <w:spacing w:line="240" w:lineRule="atLeast"/>
                        <w:ind w:firstLine="0" w:firstLineChars="0"/>
                        <w:textAlignment w:val="auto"/>
                        <w:rPr>
                          <w:color w:val="0000FF"/>
                          <w:sz w:val="15"/>
                          <w:szCs w:val="15"/>
                        </w:rPr>
                      </w:pPr>
                    </w:p>
                  </w:txbxContent>
                </v:textbox>
              </v:shape>
            </w:pict>
          </mc:Fallback>
        </mc:AlternateContent>
      </w:r>
      <w:r>
        <w:rPr>
          <w:sz w:val="24"/>
          <w:highlight w:val="none"/>
        </w:rPr>
        <mc:AlternateContent>
          <mc:Choice Requires="wps">
            <w:drawing>
              <wp:anchor distT="0" distB="0" distL="114300" distR="114300" simplePos="0" relativeHeight="251917312" behindDoc="0" locked="0" layoutInCell="1" allowOverlap="1">
                <wp:simplePos x="0" y="0"/>
                <wp:positionH relativeFrom="column">
                  <wp:posOffset>3756660</wp:posOffset>
                </wp:positionH>
                <wp:positionV relativeFrom="paragraph">
                  <wp:posOffset>5715</wp:posOffset>
                </wp:positionV>
                <wp:extent cx="405765" cy="14732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405765" cy="147320"/>
                        </a:xfrm>
                        <a:prstGeom prst="rect">
                          <a:avLst/>
                        </a:prstGeom>
                        <a:noFill/>
                        <a:ln>
                          <a:noFill/>
                        </a:ln>
                      </wps:spPr>
                      <wps:txbx>
                        <w:txbxContent>
                          <w:p>
                            <w:pPr>
                              <w:widowControl/>
                              <w:spacing w:line="240" w:lineRule="atLeast"/>
                              <w:ind w:firstLine="0" w:firstLineChars="0"/>
                              <w:textAlignment w:val="auto"/>
                              <w:rPr>
                                <w:color w:val="0000FF"/>
                                <w:sz w:val="15"/>
                                <w:szCs w:val="15"/>
                              </w:rPr>
                            </w:pPr>
                            <w:r>
                              <w:rPr>
                                <w:rFonts w:hint="eastAsia"/>
                                <w:color w:val="0000FF"/>
                                <w:sz w:val="15"/>
                                <w:szCs w:val="15"/>
                              </w:rPr>
                              <w:t>G、N</w:t>
                            </w:r>
                          </w:p>
                        </w:txbxContent>
                      </wps:txbx>
                      <wps:bodyPr lIns="0" tIns="0" rIns="0" bIns="0" upright="1"/>
                    </wps:wsp>
                  </a:graphicData>
                </a:graphic>
              </wp:anchor>
            </w:drawing>
          </mc:Choice>
          <mc:Fallback>
            <w:pict>
              <v:shape id="_x0000_s1026" o:spid="_x0000_s1026" o:spt="202" type="#_x0000_t202" style="position:absolute;left:0pt;margin-left:295.8pt;margin-top:0.45pt;height:11.6pt;width:31.95pt;z-index:251917312;mso-width-relative:page;mso-height-relative:page;" filled="f" stroked="f" coordsize="21600,21600" o:gfxdata="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QnA1gAAAAcBAAAPAAAAAAAAAAEAIAAAACIAAABkcnMvZG93bnJldi54bWxQSwEC&#10;FAAUAAAACACHTuJA9iLcgr0BAABzAwAADgAAAAAAAAABACAAAAAl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color w:val="0000FF"/>
                          <w:sz w:val="15"/>
                          <w:szCs w:val="15"/>
                        </w:rPr>
                      </w:pPr>
                      <w:r>
                        <w:rPr>
                          <w:rFonts w:hint="eastAsia"/>
                          <w:color w:val="0000FF"/>
                          <w:sz w:val="15"/>
                          <w:szCs w:val="15"/>
                        </w:rPr>
                        <w:t>G、N</w:t>
                      </w:r>
                    </w:p>
                  </w:txbxContent>
                </v:textbox>
              </v:shape>
            </w:pict>
          </mc:Fallback>
        </mc:AlternateContent>
      </w:r>
      <w:r>
        <w:rPr>
          <w:sz w:val="24"/>
          <w:highlight w:val="none"/>
        </w:rPr>
        <mc:AlternateContent>
          <mc:Choice Requires="wps">
            <w:drawing>
              <wp:anchor distT="0" distB="0" distL="114300" distR="114300" simplePos="0" relativeHeight="251927552" behindDoc="0" locked="0" layoutInCell="1" allowOverlap="1">
                <wp:simplePos x="0" y="0"/>
                <wp:positionH relativeFrom="column">
                  <wp:posOffset>970280</wp:posOffset>
                </wp:positionH>
                <wp:positionV relativeFrom="paragraph">
                  <wp:posOffset>1270</wp:posOffset>
                </wp:positionV>
                <wp:extent cx="457200" cy="168275"/>
                <wp:effectExtent l="4445" t="4445" r="14605" b="17780"/>
                <wp:wrapNone/>
                <wp:docPr id="106" name="文本框 106"/>
                <wp:cNvGraphicFramePr/>
                <a:graphic xmlns:a="http://schemas.openxmlformats.org/drawingml/2006/main">
                  <a:graphicData uri="http://schemas.microsoft.com/office/word/2010/wordprocessingShape">
                    <wps:wsp>
                      <wps:cNvSpPr txBox="1"/>
                      <wps:spPr>
                        <a:xfrm>
                          <a:off x="0" y="0"/>
                          <a:ext cx="457200" cy="168275"/>
                        </a:xfrm>
                        <a:prstGeom prst="rect">
                          <a:avLst/>
                        </a:prstGeom>
                        <a:noFill/>
                        <a:ln>
                          <a:solidFill>
                            <a:schemeClr val="tx1"/>
                          </a:solidFill>
                        </a:ln>
                      </wps:spPr>
                      <wps:txbx>
                        <w:txbxContent>
                          <w:p>
                            <w:pPr>
                              <w:widowControl/>
                              <w:spacing w:line="240" w:lineRule="atLeast"/>
                              <w:ind w:firstLine="0" w:firstLineChars="0"/>
                              <w:textAlignment w:val="auto"/>
                              <w:rPr>
                                <w:rFonts w:hint="default" w:eastAsia="宋体"/>
                                <w:sz w:val="18"/>
                                <w:szCs w:val="18"/>
                                <w:lang w:val="en-US" w:eastAsia="zh-CN"/>
                              </w:rPr>
                            </w:pPr>
                            <w:r>
                              <w:rPr>
                                <w:rFonts w:hint="eastAsia" w:eastAsia="宋体"/>
                                <w:sz w:val="18"/>
                                <w:szCs w:val="18"/>
                                <w:lang w:val="en-US" w:eastAsia="zh-CN"/>
                              </w:rPr>
                              <w:t>废石加工</w:t>
                            </w:r>
                          </w:p>
                        </w:txbxContent>
                      </wps:txbx>
                      <wps:bodyPr lIns="0" tIns="0" rIns="0" bIns="0" upright="1"/>
                    </wps:wsp>
                  </a:graphicData>
                </a:graphic>
              </wp:anchor>
            </w:drawing>
          </mc:Choice>
          <mc:Fallback>
            <w:pict>
              <v:shape id="_x0000_s1026" o:spid="_x0000_s1026" o:spt="202" type="#_x0000_t202" style="position:absolute;left:0pt;margin-left:76.4pt;margin-top:0.1pt;height:13.25pt;width:36pt;z-index:251927552;mso-width-relative:page;mso-height-relative:page;" filled="f" stroked="t" coordsize="21600,21600" o:gfxdata="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LEH1QAAAAcBAAAPAAAAAAAAAAEAIAAAACIAAABk&#10;cnMvZG93bnJldi54bWxQSwECFAAUAAAACACHTuJAfXRfz9ABAACeAwAADgAAAAAAAAABACAAAAAk&#10;AQAAZHJzL2Uyb0RvYy54bWxQSwUGAAAAAAYABgBZAQAAZgUAAAAA&#10;">
                <v:fill on="f" focussize="0,0"/>
                <v:stroke color="#000000 [3213]" joinstyle="round"/>
                <v:imagedata o:title=""/>
                <o:lock v:ext="edit" aspectratio="f"/>
                <v:textbox inset="0mm,0mm,0mm,0mm">
                  <w:txbxContent>
                    <w:p>
                      <w:pPr>
                        <w:widowControl/>
                        <w:spacing w:line="240" w:lineRule="atLeast"/>
                        <w:ind w:firstLine="0" w:firstLineChars="0"/>
                        <w:textAlignment w:val="auto"/>
                        <w:rPr>
                          <w:rFonts w:hint="default" w:eastAsia="宋体"/>
                          <w:sz w:val="18"/>
                          <w:szCs w:val="18"/>
                          <w:lang w:val="en-US" w:eastAsia="zh-CN"/>
                        </w:rPr>
                      </w:pPr>
                      <w:r>
                        <w:rPr>
                          <w:rFonts w:hint="eastAsia" w:eastAsia="宋体"/>
                          <w:sz w:val="18"/>
                          <w:szCs w:val="18"/>
                          <w:lang w:val="en-US" w:eastAsia="zh-CN"/>
                        </w:rPr>
                        <w:t>废石加工</w:t>
                      </w:r>
                    </w:p>
                  </w:txbxContent>
                </v:textbox>
              </v:shape>
            </w:pict>
          </mc:Fallback>
        </mc:AlternateContent>
      </w:r>
      <w:r>
        <w:rPr>
          <w:sz w:val="24"/>
          <w:highlight w:val="none"/>
        </w:rPr>
        <mc:AlternateContent>
          <mc:Choice Requires="wps">
            <w:drawing>
              <wp:anchor distT="0" distB="0" distL="114300" distR="114300" simplePos="0" relativeHeight="251900928" behindDoc="0" locked="0" layoutInCell="1" allowOverlap="1">
                <wp:simplePos x="0" y="0"/>
                <wp:positionH relativeFrom="column">
                  <wp:posOffset>2374900</wp:posOffset>
                </wp:positionH>
                <wp:positionV relativeFrom="paragraph">
                  <wp:posOffset>30480</wp:posOffset>
                </wp:positionV>
                <wp:extent cx="572135" cy="635"/>
                <wp:effectExtent l="0" t="37465" r="18415" b="38100"/>
                <wp:wrapNone/>
                <wp:docPr id="61" name="直接箭头连接符 61"/>
                <wp:cNvGraphicFramePr/>
                <a:graphic xmlns:a="http://schemas.openxmlformats.org/drawingml/2006/main">
                  <a:graphicData uri="http://schemas.microsoft.com/office/word/2010/wordprocessingShape">
                    <wps:wsp>
                      <wps:cNvCnPr/>
                      <wps:spPr>
                        <a:xfrm>
                          <a:off x="0" y="0"/>
                          <a:ext cx="572135"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pt;margin-top:2.4pt;height:0.05pt;width:45.05pt;z-index:251900928;mso-width-relative:page;mso-height-relative:page;" filled="f" stroked="t" coordsize="21600,21600" o:gfxdata="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9/0n9gAAAAHAQAADwAAAAAAAAABACAAAAAiAAAAZHJzL2Rvd25yZXYu&#10;eG1sUEsBAhQAFAAAAAgAh07iQFrzv2v7AQAAzQMAAA4AAAAAAAAAAQAgAAAAJwEAAGRycy9lMm9E&#10;b2MueG1sUEsFBgAAAAAGAAYAWQEAAJQFA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922432" behindDoc="0" locked="0" layoutInCell="1" allowOverlap="1">
                <wp:simplePos x="0" y="0"/>
                <wp:positionH relativeFrom="column">
                  <wp:posOffset>1769745</wp:posOffset>
                </wp:positionH>
                <wp:positionV relativeFrom="paragraph">
                  <wp:posOffset>84455</wp:posOffset>
                </wp:positionV>
                <wp:extent cx="215900" cy="0"/>
                <wp:effectExtent l="0" t="38100" r="12700" b="38100"/>
                <wp:wrapNone/>
                <wp:docPr id="55" name="直接箭头连接符 55"/>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39.35pt;margin-top:6.65pt;height:0pt;width:17pt;z-index:251922432;mso-width-relative:page;mso-height-relative:page;" filled="f" stroked="t" coordsize="21600,21600" o:gfxdata="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THVTtYAAAAJAQAADwAAAAAAAAABACAAAAAiAAAAZHJzL2Rv&#10;d25yZXYueG1sUEsBAhQAFAAAAAgAh07iQJUWAOcDAgAA1wMAAA4AAAAAAAAAAQAgAAAAJQEAAGRy&#10;cy9lMm9Eb2MueG1sUEsFBgAAAAAGAAYAWQEAAJoFA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916288" behindDoc="0" locked="0" layoutInCell="1" allowOverlap="1">
                <wp:simplePos x="0" y="0"/>
                <wp:positionH relativeFrom="column">
                  <wp:posOffset>3395345</wp:posOffset>
                </wp:positionH>
                <wp:positionV relativeFrom="paragraph">
                  <wp:posOffset>80010</wp:posOffset>
                </wp:positionV>
                <wp:extent cx="349250" cy="0"/>
                <wp:effectExtent l="0" t="38100" r="12700" b="38100"/>
                <wp:wrapNone/>
                <wp:docPr id="58" name="直接箭头连接符 58"/>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7.35pt;margin-top:6.3pt;height:0pt;width:27.5pt;z-index:251916288;mso-width-relative:page;mso-height-relative:page;" filled="f" stroked="t" coordsize="21600,21600" o:gfxdata="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WrTvXAAAACQEAAA8AAAAAAAAAAQAgAAAAIgAAAGRycy9kb3ducmV2&#10;LnhtbFBLAQIUABQAAAAIAIdO4kDEgBku/QEAAM0DAAAOAAAAAAAAAAEAIAAAACYBAABkcnMvZTJv&#10;RG9jLnhtbFBLBQYAAAAABgAGAFkBAACVBQAAAAA=&#10;">
                <v:fill on="f" focussize="0,0"/>
                <v:stroke weight="1pt" color="#0070C0 [3204]" joinstyle="round" dashstyle="longDash" endarrow="block"/>
                <v:imagedata o:title=""/>
                <o:lock v:ext="edit" aspectratio="f"/>
              </v:shape>
            </w:pict>
          </mc:Fallback>
        </mc:AlternateContent>
      </w:r>
      <w:r>
        <w:rPr>
          <w:sz w:val="24"/>
          <w:highlight w:val="none"/>
        </w:rPr>
        <mc:AlternateContent>
          <mc:Choice Requires="wps">
            <w:drawing>
              <wp:anchor distT="0" distB="0" distL="114300" distR="114300" simplePos="0" relativeHeight="251901952" behindDoc="0" locked="0" layoutInCell="1" allowOverlap="1">
                <wp:simplePos x="0" y="0"/>
                <wp:positionH relativeFrom="column">
                  <wp:posOffset>2378710</wp:posOffset>
                </wp:positionH>
                <wp:positionV relativeFrom="paragraph">
                  <wp:posOffset>119380</wp:posOffset>
                </wp:positionV>
                <wp:extent cx="572135" cy="635"/>
                <wp:effectExtent l="0" t="38100" r="18415" b="37465"/>
                <wp:wrapNone/>
                <wp:docPr id="60" name="直接箭头连接符 60"/>
                <wp:cNvGraphicFramePr/>
                <a:graphic xmlns:a="http://schemas.openxmlformats.org/drawingml/2006/main">
                  <a:graphicData uri="http://schemas.microsoft.com/office/word/2010/wordprocessingShape">
                    <wps:wsp>
                      <wps:cNvCnPr/>
                      <wps:spPr>
                        <a:xfrm rot="10800000">
                          <a:off x="0" y="0"/>
                          <a:ext cx="572135"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3pt;margin-top:9.4pt;height:0.05pt;width:45.05pt;rotation:11796480f;z-index:251901952;mso-width-relative:page;mso-height-relative:page;" filled="f" stroked="t" coordsize="21600,21600" o:gfxdata="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pE/x1wAAAAkBAAAPAAAAAAAAAAEAIAAAACIAAABkcnMv&#10;ZG93bnJldi54bWxQSwECFAAUAAAACACHTuJAf2BhsgQCAADcAwAADgAAAAAAAAABACAAAAAmAQAA&#10;ZHJzL2Uyb0RvYy54bWxQSwUGAAAAAAYABgBZAQAAnAUAAAAA&#10;">
                <v:fill on="f" focussize="0,0"/>
                <v:stroke color="#000000 [3213]" joinstyle="round" endarrow="block"/>
                <v:imagedata o:title=""/>
                <o:lock v:ext="edit" aspectratio="f"/>
              </v:shape>
            </w:pict>
          </mc:Fallback>
        </mc:AlternateContent>
      </w:r>
    </w:p>
    <w:p>
      <w:pPr>
        <w:spacing w:line="240" w:lineRule="auto"/>
        <w:ind w:firstLine="0" w:firstLineChars="0"/>
        <w:jc w:val="center"/>
        <w:rPr>
          <w:rFonts w:eastAsia="黑体"/>
          <w:kern w:val="2"/>
          <w:sz w:val="21"/>
          <w:szCs w:val="21"/>
          <w:highlight w:val="none"/>
        </w:rPr>
      </w:pPr>
      <w:r>
        <w:rPr>
          <w:sz w:val="24"/>
          <w:highlight w:val="none"/>
        </w:rPr>
        <mc:AlternateContent>
          <mc:Choice Requires="wps">
            <w:drawing>
              <wp:anchor distT="0" distB="0" distL="114300" distR="114300" simplePos="0" relativeHeight="251898880" behindDoc="0" locked="0" layoutInCell="1" allowOverlap="1">
                <wp:simplePos x="0" y="0"/>
                <wp:positionH relativeFrom="column">
                  <wp:posOffset>2150745</wp:posOffset>
                </wp:positionH>
                <wp:positionV relativeFrom="paragraph">
                  <wp:posOffset>635</wp:posOffset>
                </wp:positionV>
                <wp:extent cx="635" cy="288290"/>
                <wp:effectExtent l="38100" t="0" r="37465" b="16510"/>
                <wp:wrapNone/>
                <wp:docPr id="64" name="直接箭头连接符 64"/>
                <wp:cNvGraphicFramePr/>
                <a:graphic xmlns:a="http://schemas.openxmlformats.org/drawingml/2006/main">
                  <a:graphicData uri="http://schemas.microsoft.com/office/word/2010/wordprocessingShape">
                    <wps:wsp>
                      <wps:cNvCnPr/>
                      <wps:spPr>
                        <a:xfrm flipH="1">
                          <a:off x="0" y="0"/>
                          <a:ext cx="635" cy="288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9.35pt;margin-top:0.05pt;height:22.7pt;width:0.05pt;z-index:251898880;mso-width-relative:page;mso-height-relative:page;" filled="f" stroked="t" coordsize="21600,21600" o:gfxdata="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1TvkNUAAAAHAQAADwAAAAAAAAABACAAAAAiAAAAZHJzL2Rv&#10;d25yZXYueG1sUEsBAhQAFAAAAAgAh07iQL3pk8cEAgAA1wMAAA4AAAAAAAAAAQAgAAAAJAEAAGRy&#10;cy9lMm9Eb2MueG1sUEsFBgAAAAAGAAYAWQEAAJoFAAAAAA==&#10;">
                <v:fill on="f" focussize="0,0"/>
                <v:stroke color="#000000 [3213]" joinstyle="round" endarrow="block"/>
                <v:imagedata o:title=""/>
                <o:lock v:ext="edit" aspectratio="f"/>
              </v:shape>
            </w:pict>
          </mc:Fallback>
        </mc:AlternateContent>
      </w:r>
      <w:r>
        <w:rPr>
          <w:sz w:val="24"/>
          <w:highlight w:val="none"/>
        </w:rPr>
        <mc:AlternateContent>
          <mc:Choice Requires="wps">
            <w:drawing>
              <wp:anchor distT="0" distB="0" distL="114300" distR="114300" simplePos="0" relativeHeight="251904000" behindDoc="0" locked="0" layoutInCell="1" allowOverlap="1">
                <wp:simplePos x="0" y="0"/>
                <wp:positionH relativeFrom="column">
                  <wp:posOffset>2178050</wp:posOffset>
                </wp:positionH>
                <wp:positionV relativeFrom="paragraph">
                  <wp:posOffset>74295</wp:posOffset>
                </wp:positionV>
                <wp:extent cx="288290" cy="14795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288290" cy="147955"/>
                        </a:xfrm>
                        <a:prstGeom prst="rect">
                          <a:avLst/>
                        </a:prstGeom>
                        <a:noFill/>
                        <a:ln>
                          <a:noFill/>
                        </a:ln>
                      </wps:spPr>
                      <wps:txbx>
                        <w:txbxContent>
                          <w:p>
                            <w:pPr>
                              <w:widowControl/>
                              <w:spacing w:line="240" w:lineRule="atLeast"/>
                              <w:ind w:firstLine="0" w:firstLineChars="0"/>
                              <w:textAlignment w:val="auto"/>
                              <w:rPr>
                                <w:sz w:val="18"/>
                                <w:szCs w:val="18"/>
                              </w:rPr>
                            </w:pPr>
                            <w:r>
                              <w:rPr>
                                <w:rFonts w:hint="eastAsia"/>
                                <w:sz w:val="18"/>
                                <w:szCs w:val="18"/>
                              </w:rPr>
                              <w:t>筛下</w:t>
                            </w:r>
                          </w:p>
                        </w:txbxContent>
                      </wps:txbx>
                      <wps:bodyPr lIns="0" tIns="0" rIns="0" bIns="0" upright="1"/>
                    </wps:wsp>
                  </a:graphicData>
                </a:graphic>
              </wp:anchor>
            </w:drawing>
          </mc:Choice>
          <mc:Fallback>
            <w:pict>
              <v:shape id="_x0000_s1026" o:spid="_x0000_s1026" o:spt="202" type="#_x0000_t202" style="position:absolute;left:0pt;margin-left:171.5pt;margin-top:5.85pt;height:11.65pt;width:22.7pt;z-index:251904000;mso-width-relative:page;mso-height-relative:page;" filled="f" stroked="f" coordsize="21600,21600" o:gfxdata="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9Ra932AAAAAkBAAAPAAAAAAAAAAEAIAAAACIAAABkcnMvZG93bnJldi54bWxQSwEC&#10;FAAUAAAACACHTuJA+qXww7sBAABzAwAADgAAAAAAAAABACAAAAAnAQAAZHJzL2Uyb0RvYy54bWxQ&#10;SwUGAAAAAAYABgBZAQAAVAUAAAAA&#10;">
                <v:fill on="f" focussize="0,0"/>
                <v:stroke on="f"/>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筛下</w:t>
                      </w:r>
                    </w:p>
                  </w:txbxContent>
                </v:textbox>
              </v:shape>
            </w:pict>
          </mc:Fallback>
        </mc:AlternateContent>
      </w: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r>
        <w:rPr>
          <w:sz w:val="24"/>
          <w:highlight w:val="none"/>
        </w:rPr>
        <mc:AlternateContent>
          <mc:Choice Requires="wps">
            <w:drawing>
              <wp:anchor distT="0" distB="0" distL="114300" distR="114300" simplePos="0" relativeHeight="251921408" behindDoc="0" locked="0" layoutInCell="1" allowOverlap="1">
                <wp:simplePos x="0" y="0"/>
                <wp:positionH relativeFrom="column">
                  <wp:posOffset>2723515</wp:posOffset>
                </wp:positionH>
                <wp:positionV relativeFrom="paragraph">
                  <wp:posOffset>17145</wp:posOffset>
                </wp:positionV>
                <wp:extent cx="331470" cy="13716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331470" cy="137160"/>
                        </a:xfrm>
                        <a:prstGeom prst="rect">
                          <a:avLst/>
                        </a:prstGeom>
                        <a:noFill/>
                        <a:ln>
                          <a:noFill/>
                        </a:ln>
                      </wps:spPr>
                      <wps:txbx>
                        <w:txbxContent>
                          <w:p>
                            <w:pPr>
                              <w:widowControl/>
                              <w:spacing w:line="240" w:lineRule="atLeast"/>
                              <w:ind w:firstLine="0" w:firstLineChars="0"/>
                              <w:textAlignment w:val="auto"/>
                              <w:rPr>
                                <w:rFonts w:hint="eastAsia" w:eastAsia="宋体"/>
                                <w:color w:val="0000FF"/>
                                <w:sz w:val="15"/>
                                <w:szCs w:val="15"/>
                                <w:lang w:val="en-US" w:eastAsia="zh-CN"/>
                              </w:rPr>
                            </w:pPr>
                            <w:r>
                              <w:rPr>
                                <w:rFonts w:hint="eastAsia"/>
                                <w:color w:val="0000FF"/>
                                <w:sz w:val="15"/>
                                <w:szCs w:val="15"/>
                              </w:rPr>
                              <w:t>G</w:t>
                            </w:r>
                          </w:p>
                        </w:txbxContent>
                      </wps:txbx>
                      <wps:bodyPr lIns="0" tIns="0" rIns="0" bIns="0" upright="1"/>
                    </wps:wsp>
                  </a:graphicData>
                </a:graphic>
              </wp:anchor>
            </w:drawing>
          </mc:Choice>
          <mc:Fallback>
            <w:pict>
              <v:shape id="_x0000_s1026" o:spid="_x0000_s1026" o:spt="202" type="#_x0000_t202" style="position:absolute;left:0pt;margin-left:214.45pt;margin-top:1.35pt;height:10.8pt;width:26.1pt;z-index:251921408;mso-width-relative:page;mso-height-relative:page;" filled="f" stroked="f" coordsize="21600,21600" o:gfxdata="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OYb83XAAAACAEAAA8AAAAAAAAAAQAgAAAAIgAAAGRycy9kb3ducmV2LnhtbFBLAQIU&#10;ABQAAAAIAIdO4kDOcBZKuwEAAHMDAAAOAAAAAAAAAAEAIAAAACYBAABkcnMvZTJvRG9jLnhtbFBL&#10;BQYAAAAABgAGAFkBAABTBQAAAAA=&#10;">
                <v:fill on="f" focussize="0,0"/>
                <v:stroke on="f"/>
                <v:imagedata o:title=""/>
                <o:lock v:ext="edit" aspectratio="f"/>
                <v:textbox inset="0mm,0mm,0mm,0mm">
                  <w:txbxContent>
                    <w:p>
                      <w:pPr>
                        <w:widowControl/>
                        <w:spacing w:line="240" w:lineRule="atLeast"/>
                        <w:ind w:firstLine="0" w:firstLineChars="0"/>
                        <w:textAlignment w:val="auto"/>
                        <w:rPr>
                          <w:rFonts w:hint="eastAsia" w:eastAsia="宋体"/>
                          <w:color w:val="0000FF"/>
                          <w:sz w:val="15"/>
                          <w:szCs w:val="15"/>
                          <w:lang w:val="en-US" w:eastAsia="zh-CN"/>
                        </w:rPr>
                      </w:pPr>
                      <w:r>
                        <w:rPr>
                          <w:rFonts w:hint="eastAsia"/>
                          <w:color w:val="0000FF"/>
                          <w:sz w:val="15"/>
                          <w:szCs w:val="15"/>
                        </w:rPr>
                        <w:t>G</w:t>
                      </w:r>
                    </w:p>
                  </w:txbxContent>
                </v:textbox>
              </v:shape>
            </w:pict>
          </mc:Fallback>
        </mc:AlternateContent>
      </w:r>
      <w:r>
        <w:rPr>
          <w:sz w:val="24"/>
          <w:highlight w:val="none"/>
        </w:rPr>
        <mc:AlternateContent>
          <mc:Choice Requires="wps">
            <w:drawing>
              <wp:anchor distT="0" distB="0" distL="114300" distR="114300" simplePos="0" relativeHeight="251909120" behindDoc="0" locked="0" layoutInCell="1" allowOverlap="1">
                <wp:simplePos x="0" y="0"/>
                <wp:positionH relativeFrom="column">
                  <wp:posOffset>1973580</wp:posOffset>
                </wp:positionH>
                <wp:positionV relativeFrom="paragraph">
                  <wp:posOffset>7620</wp:posOffset>
                </wp:positionV>
                <wp:extent cx="384175" cy="168275"/>
                <wp:effectExtent l="4445" t="4445" r="11430" b="17780"/>
                <wp:wrapNone/>
                <wp:docPr id="101" name="文本框 101"/>
                <wp:cNvGraphicFramePr/>
                <a:graphic xmlns:a="http://schemas.openxmlformats.org/drawingml/2006/main">
                  <a:graphicData uri="http://schemas.microsoft.com/office/word/2010/wordprocessingShape">
                    <wps:wsp>
                      <wps:cNvSpPr txBox="1"/>
                      <wps:spPr>
                        <a:xfrm>
                          <a:off x="0" y="0"/>
                          <a:ext cx="384175" cy="168275"/>
                        </a:xfrm>
                        <a:prstGeom prst="rect">
                          <a:avLst/>
                        </a:prstGeom>
                        <a:noFill/>
                        <a:ln>
                          <a:solidFill>
                            <a:schemeClr val="tx1"/>
                          </a:solidFill>
                        </a:ln>
                      </wps:spPr>
                      <wps:txbx>
                        <w:txbxContent>
                          <w:p>
                            <w:pPr>
                              <w:widowControl/>
                              <w:spacing w:line="240" w:lineRule="atLeast"/>
                              <w:ind w:firstLine="0" w:firstLineChars="0"/>
                              <w:textAlignment w:val="auto"/>
                              <w:rPr>
                                <w:sz w:val="18"/>
                                <w:szCs w:val="18"/>
                              </w:rPr>
                            </w:pPr>
                            <w:r>
                              <w:rPr>
                                <w:rFonts w:hint="eastAsia"/>
                                <w:sz w:val="18"/>
                                <w:szCs w:val="18"/>
                              </w:rPr>
                              <w:t>中转仓</w:t>
                            </w:r>
                          </w:p>
                        </w:txbxContent>
                      </wps:txbx>
                      <wps:bodyPr lIns="0" tIns="0" rIns="0" bIns="0" upright="1"/>
                    </wps:wsp>
                  </a:graphicData>
                </a:graphic>
              </wp:anchor>
            </w:drawing>
          </mc:Choice>
          <mc:Fallback>
            <w:pict>
              <v:shape id="_x0000_s1026" o:spid="_x0000_s1026" o:spt="202" type="#_x0000_t202" style="position:absolute;left:0pt;margin-left:155.4pt;margin-top:0.6pt;height:13.25pt;width:30.25pt;z-index:251909120;mso-width-relative:page;mso-height-relative:page;" filled="f" stroked="t" coordsize="21600,21600" o:gfxdata="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fH0uzYAAAACAEAAA8AAAAAAAAAAQAgAAAAIgAA&#10;AGRycy9kb3ducmV2LnhtbFBLAQIUABQAAAAIAIdO4kD9rS76zwEAAJ4DAAAOAAAAAAAAAAEAIAAA&#10;ACcBAABkcnMvZTJvRG9jLnhtbFBLBQYAAAAABgAGAFkBAABoBQAAAAA=&#10;">
                <v:fill on="f" focussize="0,0"/>
                <v:stroke color="#000000 [3213]" joinstyle="round"/>
                <v:imagedata o:title=""/>
                <o:lock v:ext="edit" aspectratio="f"/>
                <v:textbox inset="0mm,0mm,0mm,0mm">
                  <w:txbxContent>
                    <w:p>
                      <w:pPr>
                        <w:widowControl/>
                        <w:spacing w:line="240" w:lineRule="atLeast"/>
                        <w:ind w:firstLine="0" w:firstLineChars="0"/>
                        <w:textAlignment w:val="auto"/>
                        <w:rPr>
                          <w:sz w:val="18"/>
                          <w:szCs w:val="18"/>
                        </w:rPr>
                      </w:pPr>
                      <w:r>
                        <w:rPr>
                          <w:rFonts w:hint="eastAsia"/>
                          <w:sz w:val="18"/>
                          <w:szCs w:val="18"/>
                        </w:rPr>
                        <w:t>中转仓</w:t>
                      </w:r>
                    </w:p>
                  </w:txbxContent>
                </v:textbox>
              </v:shape>
            </w:pict>
          </mc:Fallback>
        </mc:AlternateContent>
      </w:r>
      <w:r>
        <w:rPr>
          <w:sz w:val="24"/>
          <w:highlight w:val="none"/>
        </w:rPr>
        <mc:AlternateContent>
          <mc:Choice Requires="wps">
            <w:drawing>
              <wp:anchor distT="0" distB="0" distL="114300" distR="114300" simplePos="0" relativeHeight="251923456" behindDoc="0" locked="0" layoutInCell="1" allowOverlap="1">
                <wp:simplePos x="0" y="0"/>
                <wp:positionH relativeFrom="column">
                  <wp:posOffset>2362835</wp:posOffset>
                </wp:positionH>
                <wp:positionV relativeFrom="paragraph">
                  <wp:posOffset>91440</wp:posOffset>
                </wp:positionV>
                <wp:extent cx="349250" cy="0"/>
                <wp:effectExtent l="0" t="38100" r="12700" b="38100"/>
                <wp:wrapNone/>
                <wp:docPr id="100" name="直接箭头连接符 100"/>
                <wp:cNvGraphicFramePr/>
                <a:graphic xmlns:a="http://schemas.openxmlformats.org/drawingml/2006/main">
                  <a:graphicData uri="http://schemas.microsoft.com/office/word/2010/wordprocessingShape">
                    <wps:wsp>
                      <wps:cNvCnPr/>
                      <wps:spPr>
                        <a:xfrm>
                          <a:off x="0" y="0"/>
                          <a:ext cx="349250" cy="0"/>
                        </a:xfrm>
                        <a:prstGeom prst="straightConnector1">
                          <a:avLst/>
                        </a:prstGeom>
                        <a:ln w="12700" cmpd="sng">
                          <a:solidFill>
                            <a:srgbClr val="0070C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6.05pt;margin-top:7.2pt;height:0pt;width:27.5pt;z-index:251923456;mso-width-relative:page;mso-height-relative:page;" filled="f" stroked="t" coordsize="21600,21600" o:gfxdata="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eKx2XXAAAACQEAAA8AAAAAAAAAAQAgAAAAIgAAAGRycy9kb3ducmV2&#10;LnhtbFBLAQIUABQAAAAIAIdO4kDk7rh5/QEAAM8DAAAOAAAAAAAAAAEAIAAAACYBAABkcnMvZTJv&#10;RG9jLnhtbFBLBQYAAAAABgAGAFkBAACVBQAAAAA=&#10;">
                <v:fill on="f" focussize="0,0"/>
                <v:stroke weight="1pt" color="#0070C0 [3204]" joinstyle="round" dashstyle="longDash" endarrow="block"/>
                <v:imagedata o:title=""/>
                <o:lock v:ext="edit" aspectratio="f"/>
              </v:shape>
            </w:pict>
          </mc:Fallback>
        </mc:AlternateContent>
      </w:r>
    </w:p>
    <w:p>
      <w:pPr>
        <w:spacing w:line="240" w:lineRule="auto"/>
        <w:ind w:firstLine="0" w:firstLineChars="0"/>
        <w:jc w:val="center"/>
        <w:rPr>
          <w:rFonts w:eastAsia="黑体"/>
          <w:kern w:val="2"/>
          <w:sz w:val="21"/>
          <w:szCs w:val="21"/>
          <w:highlight w:val="none"/>
        </w:rPr>
      </w:pPr>
      <w:r>
        <w:rPr>
          <w:sz w:val="21"/>
          <w:highlight w:val="none"/>
        </w:rPr>
        <w:drawing>
          <wp:anchor distT="0" distB="0" distL="114300" distR="114300" simplePos="0" relativeHeight="251855872" behindDoc="0" locked="0" layoutInCell="1" allowOverlap="1">
            <wp:simplePos x="0" y="0"/>
            <wp:positionH relativeFrom="column">
              <wp:posOffset>-1247140</wp:posOffset>
            </wp:positionH>
            <wp:positionV relativeFrom="paragraph">
              <wp:posOffset>17145</wp:posOffset>
            </wp:positionV>
            <wp:extent cx="5279390" cy="3928110"/>
            <wp:effectExtent l="0" t="0" r="0" b="0"/>
            <wp:wrapNone/>
            <wp:docPr id="2" name="图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98"/>
                    <pic:cNvPicPr>
                      <a:picLocks noChangeAspect="1"/>
                    </pic:cNvPicPr>
                  </pic:nvPicPr>
                  <pic:blipFill>
                    <a:blip r:embed="rId143">
                      <a:clrChange>
                        <a:clrFrom>
                          <a:srgbClr val="FFFFFF">
                            <a:alpha val="100000"/>
                          </a:srgbClr>
                        </a:clrFrom>
                        <a:clrTo>
                          <a:srgbClr val="FFFFFF">
                            <a:alpha val="100000"/>
                            <a:alpha val="0"/>
                          </a:srgbClr>
                        </a:clrTo>
                      </a:clrChange>
                    </a:blip>
                    <a:srcRect t="41465"/>
                    <a:stretch>
                      <a:fillRect/>
                    </a:stretch>
                  </pic:blipFill>
                  <pic:spPr>
                    <a:xfrm>
                      <a:off x="892175" y="7859395"/>
                      <a:ext cx="5279390" cy="3928110"/>
                    </a:xfrm>
                    <a:prstGeom prst="rect">
                      <a:avLst/>
                    </a:prstGeom>
                    <a:noFill/>
                    <a:ln>
                      <a:noFill/>
                    </a:ln>
                  </pic:spPr>
                </pic:pic>
              </a:graphicData>
            </a:graphic>
          </wp:anchor>
        </w:drawing>
      </w:r>
    </w:p>
    <w:p>
      <w:pPr>
        <w:spacing w:line="240" w:lineRule="auto"/>
        <w:ind w:firstLine="0" w:firstLineChars="0"/>
        <w:jc w:val="center"/>
        <w:rPr>
          <w:rFonts w:eastAsia="黑体"/>
          <w:kern w:val="2"/>
          <w:sz w:val="21"/>
          <w:szCs w:val="21"/>
          <w:highlight w:val="none"/>
        </w:rPr>
      </w:pPr>
      <w:r>
        <w:rPr>
          <w:sz w:val="21"/>
          <w:highlight w:val="none"/>
        </w:rPr>
        <mc:AlternateContent>
          <mc:Choice Requires="wps">
            <w:drawing>
              <wp:anchor distT="0" distB="0" distL="114300" distR="114300" simplePos="0" relativeHeight="251860992" behindDoc="0" locked="0" layoutInCell="1" allowOverlap="1">
                <wp:simplePos x="0" y="0"/>
                <wp:positionH relativeFrom="column">
                  <wp:posOffset>3342640</wp:posOffset>
                </wp:positionH>
                <wp:positionV relativeFrom="paragraph">
                  <wp:posOffset>109220</wp:posOffset>
                </wp:positionV>
                <wp:extent cx="788035" cy="306070"/>
                <wp:effectExtent l="0" t="0" r="0" b="0"/>
                <wp:wrapNone/>
                <wp:docPr id="151" name="文本框 151"/>
                <wp:cNvGraphicFramePr/>
                <a:graphic xmlns:a="http://schemas.openxmlformats.org/drawingml/2006/main">
                  <a:graphicData uri="http://schemas.microsoft.com/office/word/2010/wordprocessingShape">
                    <wps:wsp>
                      <wps:cNvSpPr txBox="1"/>
                      <wps:spPr>
                        <a:xfrm>
                          <a:off x="1936115" y="7747635"/>
                          <a:ext cx="788035" cy="306070"/>
                        </a:xfrm>
                        <a:prstGeom prst="rect">
                          <a:avLst/>
                        </a:prstGeom>
                        <a:noFill/>
                        <a:ln>
                          <a:noFill/>
                        </a:ln>
                      </wps:spPr>
                      <wps:txbx>
                        <w:txbxContent>
                          <w:p>
                            <w:pPr>
                              <w:ind w:left="0" w:leftChars="0" w:firstLine="0" w:firstLineChars="0"/>
                              <w:rPr>
                                <w:rFonts w:hint="default" w:eastAsia="宋体"/>
                                <w:sz w:val="24"/>
                                <w:szCs w:val="24"/>
                                <w:lang w:val="en-US" w:eastAsia="zh-CN"/>
                              </w:rPr>
                            </w:pPr>
                            <w:r>
                              <w:rPr>
                                <w:rFonts w:hint="eastAsia"/>
                                <w:sz w:val="24"/>
                                <w:szCs w:val="24"/>
                                <w:lang w:val="en-US" w:eastAsia="zh-CN"/>
                              </w:rPr>
                              <w:t>现有工程</w:t>
                            </w:r>
                          </w:p>
                        </w:txbxContent>
                      </wps:txbx>
                      <wps:bodyPr lIns="0" tIns="0" rIns="0" bIns="0" upright="1"/>
                    </wps:wsp>
                  </a:graphicData>
                </a:graphic>
              </wp:anchor>
            </w:drawing>
          </mc:Choice>
          <mc:Fallback>
            <w:pict>
              <v:shape id="_x0000_s1026" o:spid="_x0000_s1026" o:spt="202" type="#_x0000_t202" style="position:absolute;left:0pt;margin-left:263.2pt;margin-top:8.6pt;height:24.1pt;width:62.05pt;z-index:251860992;mso-width-relative:page;mso-height-relative:page;" filled="f" stroked="f" coordsize="21600,21600" o:gfxdata="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3y2h1wAAAAkBAAAPAAAAAAAAAAEAIAAAACIAAABkcnMvZG93&#10;bnJldi54bWxQSwECFAAUAAAACACHTuJAlLbhvsgBAACBAwAADgAAAAAAAAABACAAAAAmAQAAZHJz&#10;L2Uyb0RvYy54bWxQSwUGAAAAAAYABgBZAQAAYAUAAAAA&#10;">
                <v:fill on="f" focussize="0,0"/>
                <v:stroke on="f"/>
                <v:imagedata o:title=""/>
                <o:lock v:ext="edit" aspectratio="f"/>
                <v:textbox inset="0mm,0mm,0mm,0mm">
                  <w:txbxContent>
                    <w:p>
                      <w:pPr>
                        <w:ind w:left="0" w:leftChars="0" w:firstLine="0" w:firstLineChars="0"/>
                        <w:rPr>
                          <w:rFonts w:hint="default" w:eastAsia="宋体"/>
                          <w:sz w:val="24"/>
                          <w:szCs w:val="24"/>
                          <w:lang w:val="en-US" w:eastAsia="zh-CN"/>
                        </w:rPr>
                      </w:pPr>
                      <w:r>
                        <w:rPr>
                          <w:rFonts w:hint="eastAsia"/>
                          <w:sz w:val="24"/>
                          <w:szCs w:val="24"/>
                          <w:lang w:val="en-US" w:eastAsia="zh-CN"/>
                        </w:rPr>
                        <w:t>现有工程</w:t>
                      </w:r>
                    </w:p>
                  </w:txbxContent>
                </v:textbox>
              </v:shape>
            </w:pict>
          </mc:Fallback>
        </mc:AlternateContent>
      </w: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240" w:lineRule="auto"/>
        <w:ind w:firstLine="0" w:firstLineChars="0"/>
        <w:jc w:val="center"/>
        <w:rPr>
          <w:rFonts w:eastAsia="黑体"/>
          <w:kern w:val="2"/>
          <w:sz w:val="21"/>
          <w:szCs w:val="21"/>
          <w:highlight w:val="none"/>
        </w:rPr>
      </w:pPr>
    </w:p>
    <w:p>
      <w:pPr>
        <w:spacing w:line="316" w:lineRule="exact"/>
        <w:ind w:firstLine="2142" w:firstLineChars="900"/>
        <w:rPr>
          <w:rFonts w:hint="eastAsia" w:ascii="Times New Roman" w:hAnsi="Times New Roman" w:eastAsia="宋体" w:cs="Times New Roman"/>
          <w:spacing w:val="4"/>
          <w:position w:val="1"/>
          <w:sz w:val="23"/>
          <w:szCs w:val="23"/>
          <w:highlight w:val="none"/>
          <w:lang w:val="en-US" w:eastAsia="zh-CN"/>
          <w14:textOutline w14:w="4324" w14:cap="sq" w14:cmpd="sng">
            <w14:solidFill>
              <w14:srgbClr w14:val="000000"/>
            </w14:solidFill>
            <w14:prstDash w14:val="solid"/>
            <w14:bevel/>
          </w14:textOutline>
        </w:rPr>
      </w:pPr>
      <w:r>
        <w:rPr>
          <w:rFonts w:hint="eastAsia" w:ascii="Times New Roman" w:hAnsi="Times New Roman" w:eastAsia="宋体" w:cs="Times New Roman"/>
          <w:spacing w:val="4"/>
          <w:position w:val="1"/>
          <w:sz w:val="23"/>
          <w:szCs w:val="23"/>
          <w:highlight w:val="none"/>
          <w:lang w:val="en-US" w:eastAsia="zh-CN"/>
          <w14:textOutline w14:w="4324" w14:cap="sq" w14:cmpd="sng">
            <w14:solidFill>
              <w14:srgbClr w14:val="000000"/>
            </w14:solidFill>
            <w14:prstDash w14:val="solid"/>
            <w14:bevel/>
          </w14:textOutline>
        </w:rPr>
        <w:t>图3.2-3   生产工艺流程及产排污环节分析</w:t>
      </w:r>
    </w:p>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50" w:after="0" w:afterLines="0"/>
        <w:textAlignment w:val="auto"/>
        <w:outlineLvl w:val="3"/>
        <w:rPr>
          <w:rFonts w:hint="default" w:ascii="Times New Roman" w:hAnsi="Times New Roman" w:cs="Times New Roman"/>
          <w:b w:val="0"/>
          <w:bCs/>
          <w:sz w:val="23"/>
          <w:szCs w:val="23"/>
          <w:highlight w:val="none"/>
        </w:rPr>
      </w:pPr>
      <w:r>
        <w:rPr>
          <w:rFonts w:hint="default" w:ascii="Times New Roman" w:hAnsi="Times New Roman" w:eastAsia="宋体" w:cs="Times New Roman"/>
          <w:b w:val="0"/>
          <w:bCs/>
          <w:sz w:val="23"/>
          <w:szCs w:val="23"/>
          <w:highlight w:val="none"/>
          <w:lang w:val="en-US" w:eastAsia="zh-CN"/>
        </w:rPr>
        <w:t>3.2.9.</w:t>
      </w:r>
      <w:r>
        <w:rPr>
          <w:rFonts w:hint="eastAsia" w:ascii="Times New Roman" w:hAnsi="Times New Roman" w:eastAsia="宋体" w:cs="Times New Roman"/>
          <w:b w:val="0"/>
          <w:bCs/>
          <w:sz w:val="23"/>
          <w:szCs w:val="23"/>
          <w:highlight w:val="none"/>
          <w:lang w:val="en-US" w:eastAsia="zh-CN"/>
        </w:rPr>
        <w:t>2</w:t>
      </w:r>
      <w:r>
        <w:rPr>
          <w:rFonts w:hint="eastAsia" w:ascii="Times New Roman" w:hAnsi="Times New Roman" w:cs="Times New Roman"/>
          <w:b w:val="0"/>
          <w:bCs/>
          <w:sz w:val="23"/>
          <w:szCs w:val="23"/>
          <w:highlight w:val="none"/>
          <w:lang w:val="en-US" w:eastAsia="zh-CN"/>
        </w:rPr>
        <w:t>产排污节点</w:t>
      </w:r>
      <w:r>
        <w:rPr>
          <w:rFonts w:hint="default" w:ascii="Times New Roman" w:hAnsi="Times New Roman" w:cs="Times New Roman"/>
          <w:b w:val="0"/>
          <w:bCs/>
          <w:sz w:val="23"/>
          <w:szCs w:val="23"/>
          <w:highlight w:val="none"/>
        </w:rPr>
        <w:t>分析</w:t>
      </w:r>
    </w:p>
    <w:p>
      <w:pPr>
        <w:keepNext w:val="0"/>
        <w:keepLines w:val="0"/>
        <w:pageBreakBefore w:val="0"/>
        <w:widowControl/>
        <w:kinsoku/>
        <w:wordWrap/>
        <w:overflowPunct/>
        <w:topLinePunct w:val="0"/>
        <w:autoSpaceDE/>
        <w:autoSpaceDN/>
        <w:bidi w:val="0"/>
        <w:adjustRightInd/>
        <w:snapToGrid/>
        <w:spacing w:line="460" w:lineRule="exact"/>
        <w:ind w:firstLine="480"/>
        <w:jc w:val="both"/>
        <w:textAlignment w:val="auto"/>
        <w:rPr>
          <w:rFonts w:hint="eastAsia"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rPr>
        <w:t>本项目产污节点见表3.</w:t>
      </w:r>
      <w:r>
        <w:rPr>
          <w:rFonts w:hint="eastAsia" w:ascii="Times New Roman" w:hAnsi="Times New Roman" w:eastAsia="宋体" w:cs="Times New Roman"/>
          <w:sz w:val="23"/>
          <w:szCs w:val="23"/>
          <w:highlight w:val="none"/>
          <w:lang w:val="en-US" w:eastAsia="zh-CN"/>
        </w:rPr>
        <w:t>2</w:t>
      </w:r>
      <w:r>
        <w:rPr>
          <w:rFonts w:hint="eastAsia" w:ascii="Times New Roman" w:hAnsi="Times New Roman" w:eastAsia="宋体" w:cs="Times New Roman"/>
          <w:sz w:val="23"/>
          <w:szCs w:val="23"/>
          <w:highlight w:val="none"/>
        </w:rPr>
        <w:t>-1</w:t>
      </w:r>
      <w:r>
        <w:rPr>
          <w:rFonts w:hint="eastAsia" w:ascii="Times New Roman" w:hAnsi="Times New Roman" w:eastAsia="宋体" w:cs="Times New Roman"/>
          <w:sz w:val="23"/>
          <w:szCs w:val="23"/>
          <w:highlight w:val="none"/>
          <w:lang w:val="en-US" w:eastAsia="zh-CN"/>
        </w:rPr>
        <w:t>1</w:t>
      </w:r>
      <w:r>
        <w:rPr>
          <w:rFonts w:hint="eastAsia" w:ascii="Times New Roman" w:hAnsi="Times New Roman" w:eastAsia="宋体" w:cs="Times New Roman"/>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40" w:line="228" w:lineRule="auto"/>
        <w:ind w:firstLine="2196" w:firstLineChars="900"/>
        <w:textAlignment w:val="baseline"/>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pP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表3.2-11    本项目产污节点及治理措施一览表</w:t>
      </w:r>
    </w:p>
    <w:tbl>
      <w:tblPr>
        <w:tblStyle w:val="15"/>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5"/>
        <w:gridCol w:w="1639"/>
        <w:gridCol w:w="897"/>
        <w:gridCol w:w="633"/>
        <w:gridCol w:w="511"/>
        <w:gridCol w:w="3223"/>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5"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污染物</w:t>
            </w:r>
          </w:p>
          <w:p>
            <w:pPr>
              <w:widowControl/>
              <w:spacing w:line="240" w:lineRule="auto"/>
              <w:ind w:firstLine="0" w:firstLineChars="0"/>
              <w:jc w:val="center"/>
              <w:textAlignment w:val="auto"/>
              <w:rPr>
                <w:sz w:val="21"/>
                <w:szCs w:val="21"/>
                <w:highlight w:val="none"/>
              </w:rPr>
            </w:pPr>
            <w:r>
              <w:rPr>
                <w:sz w:val="21"/>
                <w:szCs w:val="21"/>
                <w:highlight w:val="none"/>
              </w:rPr>
              <w:t>类型</w:t>
            </w:r>
          </w:p>
        </w:tc>
        <w:tc>
          <w:tcPr>
            <w:tcW w:w="1639" w:type="dxa"/>
            <w:tcBorders>
              <w:tl2br w:val="nil"/>
              <w:tr2bl w:val="nil"/>
            </w:tcBorders>
            <w:vAlign w:val="center"/>
          </w:tcPr>
          <w:p>
            <w:pPr>
              <w:widowControl/>
              <w:tabs>
                <w:tab w:val="left" w:pos="1620"/>
              </w:tabs>
              <w:spacing w:line="240" w:lineRule="auto"/>
              <w:ind w:firstLine="0" w:firstLineChars="0"/>
              <w:jc w:val="center"/>
              <w:textAlignment w:val="auto"/>
              <w:rPr>
                <w:sz w:val="21"/>
                <w:szCs w:val="21"/>
                <w:highlight w:val="none"/>
              </w:rPr>
            </w:pPr>
            <w:r>
              <w:rPr>
                <w:sz w:val="21"/>
                <w:szCs w:val="21"/>
                <w:highlight w:val="none"/>
              </w:rPr>
              <w:t>排污节点</w:t>
            </w:r>
          </w:p>
        </w:tc>
        <w:tc>
          <w:tcPr>
            <w:tcW w:w="897"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主要</w:t>
            </w:r>
          </w:p>
          <w:p>
            <w:pPr>
              <w:widowControl/>
              <w:spacing w:line="240" w:lineRule="auto"/>
              <w:ind w:firstLine="0" w:firstLineChars="0"/>
              <w:jc w:val="center"/>
              <w:textAlignment w:val="auto"/>
              <w:rPr>
                <w:sz w:val="21"/>
                <w:szCs w:val="21"/>
                <w:highlight w:val="none"/>
              </w:rPr>
            </w:pPr>
            <w:r>
              <w:rPr>
                <w:sz w:val="21"/>
                <w:szCs w:val="21"/>
                <w:highlight w:val="none"/>
              </w:rPr>
              <w:t>污染物</w:t>
            </w:r>
          </w:p>
        </w:tc>
        <w:tc>
          <w:tcPr>
            <w:tcW w:w="1144" w:type="dxa"/>
            <w:gridSpan w:val="2"/>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排放特征</w:t>
            </w:r>
          </w:p>
        </w:tc>
        <w:tc>
          <w:tcPr>
            <w:tcW w:w="322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环保措施</w:t>
            </w:r>
          </w:p>
        </w:tc>
        <w:tc>
          <w:tcPr>
            <w:tcW w:w="744"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5"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废</w:t>
            </w:r>
          </w:p>
          <w:p>
            <w:pPr>
              <w:widowControl/>
              <w:spacing w:line="240" w:lineRule="auto"/>
              <w:ind w:firstLine="0" w:firstLineChars="0"/>
              <w:jc w:val="center"/>
              <w:textAlignment w:val="auto"/>
              <w:rPr>
                <w:sz w:val="21"/>
                <w:szCs w:val="21"/>
                <w:highlight w:val="none"/>
              </w:rPr>
            </w:pPr>
            <w:r>
              <w:rPr>
                <w:sz w:val="21"/>
                <w:szCs w:val="21"/>
                <w:highlight w:val="none"/>
              </w:rPr>
              <w:t>气</w:t>
            </w:r>
          </w:p>
        </w:tc>
        <w:tc>
          <w:tcPr>
            <w:tcW w:w="1639" w:type="dxa"/>
            <w:tcBorders>
              <w:tl2br w:val="nil"/>
              <w:tr2bl w:val="nil"/>
            </w:tcBorders>
            <w:vAlign w:val="center"/>
          </w:tcPr>
          <w:p>
            <w:pPr>
              <w:autoSpaceDE w:val="0"/>
              <w:autoSpaceDN w:val="0"/>
              <w:adjustRightInd w:val="0"/>
              <w:spacing w:line="240" w:lineRule="auto"/>
              <w:ind w:firstLine="0" w:firstLineChars="0"/>
              <w:jc w:val="center"/>
              <w:rPr>
                <w:rFonts w:hint="eastAsia" w:eastAsia="宋体"/>
                <w:sz w:val="21"/>
                <w:szCs w:val="21"/>
                <w:highlight w:val="none"/>
                <w:lang w:eastAsia="zh-CN"/>
              </w:rPr>
            </w:pPr>
            <w:r>
              <w:rPr>
                <w:kern w:val="2"/>
                <w:sz w:val="21"/>
                <w:szCs w:val="21"/>
                <w:highlight w:val="none"/>
              </w:rPr>
              <w:t>原料卸料、</w:t>
            </w:r>
            <w:r>
              <w:rPr>
                <w:rFonts w:hint="eastAsia"/>
                <w:kern w:val="2"/>
                <w:sz w:val="21"/>
                <w:szCs w:val="21"/>
                <w:highlight w:val="none"/>
                <w:lang w:val="en-US" w:eastAsia="zh-CN"/>
              </w:rPr>
              <w:t>上料</w:t>
            </w:r>
          </w:p>
        </w:tc>
        <w:tc>
          <w:tcPr>
            <w:tcW w:w="897" w:type="dxa"/>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颗粒物</w:t>
            </w:r>
          </w:p>
        </w:tc>
        <w:tc>
          <w:tcPr>
            <w:tcW w:w="63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无组织</w:t>
            </w:r>
          </w:p>
        </w:tc>
        <w:tc>
          <w:tcPr>
            <w:tcW w:w="511"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连续</w:t>
            </w:r>
          </w:p>
        </w:tc>
        <w:tc>
          <w:tcPr>
            <w:tcW w:w="322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lang w:val="en-US" w:eastAsia="zh-CN"/>
              </w:rPr>
              <w:t>建设</w:t>
            </w:r>
            <w:r>
              <w:rPr>
                <w:sz w:val="21"/>
                <w:szCs w:val="21"/>
                <w:highlight w:val="none"/>
              </w:rPr>
              <w:t>三面围挡并带顶的料棚，料棚进深尺度不小于8米</w:t>
            </w:r>
            <w:r>
              <w:rPr>
                <w:kern w:val="2"/>
                <w:sz w:val="21"/>
                <w:szCs w:val="21"/>
                <w:highlight w:val="none"/>
              </w:rPr>
              <w:t>、</w:t>
            </w:r>
            <w:r>
              <w:rPr>
                <w:rFonts w:hint="eastAsia"/>
                <w:kern w:val="2"/>
                <w:sz w:val="21"/>
                <w:szCs w:val="21"/>
                <w:highlight w:val="none"/>
                <w:lang w:val="en-US" w:eastAsia="zh-CN"/>
              </w:rPr>
              <w:t>设</w:t>
            </w:r>
            <w:r>
              <w:rPr>
                <w:kern w:val="2"/>
                <w:sz w:val="21"/>
                <w:szCs w:val="21"/>
                <w:highlight w:val="none"/>
              </w:rPr>
              <w:t>喷淋装置</w:t>
            </w:r>
          </w:p>
        </w:tc>
        <w:tc>
          <w:tcPr>
            <w:tcW w:w="744"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5"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639" w:type="dxa"/>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鄂式破碎</w:t>
            </w:r>
          </w:p>
        </w:tc>
        <w:tc>
          <w:tcPr>
            <w:tcW w:w="897" w:type="dxa"/>
            <w:vMerge w:val="restart"/>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颗粒物</w:t>
            </w:r>
          </w:p>
        </w:tc>
        <w:tc>
          <w:tcPr>
            <w:tcW w:w="633"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有组织</w:t>
            </w:r>
          </w:p>
        </w:tc>
        <w:tc>
          <w:tcPr>
            <w:tcW w:w="511"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连续</w:t>
            </w:r>
          </w:p>
        </w:tc>
        <w:tc>
          <w:tcPr>
            <w:tcW w:w="3223"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eastAsia="宋体"/>
                <w:kern w:val="24"/>
                <w:sz w:val="21"/>
                <w:szCs w:val="21"/>
                <w:highlight w:val="none"/>
                <w:lang w:val="en-US" w:eastAsia="zh-CN"/>
              </w:rPr>
              <w:t>皮带输送机封闭，</w:t>
            </w:r>
            <w:r>
              <w:rPr>
                <w:kern w:val="24"/>
                <w:sz w:val="21"/>
                <w:szCs w:val="21"/>
                <w:highlight w:val="none"/>
              </w:rPr>
              <w:t>封闭车间</w:t>
            </w:r>
            <w:r>
              <w:rPr>
                <w:rFonts w:hint="eastAsia"/>
                <w:kern w:val="24"/>
                <w:sz w:val="21"/>
                <w:szCs w:val="21"/>
                <w:highlight w:val="none"/>
              </w:rPr>
              <w:t>、</w:t>
            </w:r>
            <w:r>
              <w:rPr>
                <w:kern w:val="24"/>
                <w:sz w:val="21"/>
                <w:szCs w:val="21"/>
                <w:highlight w:val="none"/>
              </w:rPr>
              <w:t>集气罩收集后经</w:t>
            </w:r>
            <w:r>
              <w:rPr>
                <w:rFonts w:hint="eastAsia"/>
                <w:kern w:val="24"/>
                <w:sz w:val="21"/>
                <w:szCs w:val="21"/>
                <w:highlight w:val="none"/>
              </w:rPr>
              <w:t>离线</w:t>
            </w:r>
            <w:r>
              <w:rPr>
                <w:kern w:val="24"/>
                <w:sz w:val="21"/>
                <w:szCs w:val="21"/>
                <w:highlight w:val="none"/>
              </w:rPr>
              <w:t>脉冲</w:t>
            </w:r>
            <w:r>
              <w:rPr>
                <w:rFonts w:hint="eastAsia"/>
                <w:kern w:val="24"/>
                <w:sz w:val="21"/>
                <w:szCs w:val="21"/>
                <w:highlight w:val="none"/>
              </w:rPr>
              <w:t>布袋</w:t>
            </w:r>
            <w:r>
              <w:rPr>
                <w:kern w:val="24"/>
                <w:sz w:val="21"/>
                <w:szCs w:val="21"/>
                <w:highlight w:val="none"/>
              </w:rPr>
              <w:t>除尘器处理，最后由</w:t>
            </w:r>
            <w:r>
              <w:rPr>
                <w:rFonts w:hint="eastAsia" w:eastAsia="宋体"/>
                <w:kern w:val="24"/>
                <w:sz w:val="21"/>
                <w:szCs w:val="21"/>
                <w:highlight w:val="none"/>
                <w:lang w:val="en-US" w:eastAsia="zh-CN"/>
              </w:rPr>
              <w:t>19</w:t>
            </w:r>
            <w:r>
              <w:rPr>
                <w:kern w:val="24"/>
                <w:sz w:val="21"/>
                <w:szCs w:val="21"/>
                <w:highlight w:val="none"/>
              </w:rPr>
              <w:t>m高排气筒排放</w:t>
            </w:r>
          </w:p>
        </w:tc>
        <w:tc>
          <w:tcPr>
            <w:tcW w:w="744"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5"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639" w:type="dxa"/>
            <w:tcBorders>
              <w:tl2br w:val="nil"/>
              <w:tr2bl w:val="nil"/>
            </w:tcBorders>
            <w:vAlign w:val="center"/>
          </w:tcPr>
          <w:p>
            <w:pPr>
              <w:autoSpaceDE w:val="0"/>
              <w:autoSpaceDN w:val="0"/>
              <w:adjustRightInd w:val="0"/>
              <w:spacing w:line="240" w:lineRule="auto"/>
              <w:ind w:firstLine="0" w:firstLineChars="0"/>
              <w:jc w:val="center"/>
              <w:rPr>
                <w:rFonts w:hint="eastAsia" w:eastAsia="宋体"/>
                <w:sz w:val="21"/>
                <w:szCs w:val="21"/>
                <w:highlight w:val="none"/>
                <w:lang w:val="en-US" w:eastAsia="zh-CN"/>
              </w:rPr>
            </w:pPr>
            <w:r>
              <w:rPr>
                <w:rFonts w:hint="eastAsia" w:eastAsia="宋体"/>
                <w:sz w:val="21"/>
                <w:szCs w:val="21"/>
                <w:highlight w:val="none"/>
                <w:lang w:val="en-US" w:eastAsia="zh-CN"/>
              </w:rPr>
              <w:t>干选</w:t>
            </w:r>
          </w:p>
        </w:tc>
        <w:tc>
          <w:tcPr>
            <w:tcW w:w="897" w:type="dxa"/>
            <w:vMerge w:val="continue"/>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p>
        </w:tc>
        <w:tc>
          <w:tcPr>
            <w:tcW w:w="633"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511"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3223" w:type="dxa"/>
            <w:vMerge w:val="continue"/>
            <w:tcBorders>
              <w:tl2br w:val="nil"/>
              <w:tr2bl w:val="nil"/>
            </w:tcBorders>
            <w:vAlign w:val="center"/>
          </w:tcPr>
          <w:p>
            <w:pPr>
              <w:widowControl/>
              <w:spacing w:line="240" w:lineRule="auto"/>
              <w:ind w:firstLine="0" w:firstLineChars="0"/>
              <w:jc w:val="center"/>
              <w:textAlignment w:val="auto"/>
              <w:rPr>
                <w:kern w:val="24"/>
                <w:sz w:val="21"/>
                <w:szCs w:val="21"/>
                <w:highlight w:val="none"/>
              </w:rPr>
            </w:pPr>
          </w:p>
        </w:tc>
        <w:tc>
          <w:tcPr>
            <w:tcW w:w="744"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4" w:hRule="atLeast"/>
          <w:jc w:val="center"/>
        </w:trPr>
        <w:tc>
          <w:tcPr>
            <w:tcW w:w="715"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639" w:type="dxa"/>
            <w:tcBorders>
              <w:tl2br w:val="nil"/>
              <w:tr2bl w:val="nil"/>
            </w:tcBorders>
            <w:vAlign w:val="center"/>
          </w:tcPr>
          <w:p>
            <w:pPr>
              <w:autoSpaceDE w:val="0"/>
              <w:autoSpaceDN w:val="0"/>
              <w:adjustRightInd w:val="0"/>
              <w:spacing w:line="240" w:lineRule="auto"/>
              <w:ind w:firstLine="0" w:firstLineChars="0"/>
              <w:jc w:val="center"/>
              <w:rPr>
                <w:rFonts w:hint="default" w:eastAsia="宋体"/>
                <w:sz w:val="21"/>
                <w:szCs w:val="21"/>
                <w:highlight w:val="none"/>
                <w:lang w:val="en-US" w:eastAsia="zh-CN"/>
              </w:rPr>
            </w:pPr>
            <w:r>
              <w:rPr>
                <w:rFonts w:hint="eastAsia" w:eastAsia="宋体"/>
                <w:sz w:val="21"/>
                <w:szCs w:val="21"/>
                <w:highlight w:val="none"/>
                <w:lang w:val="en-US" w:eastAsia="zh-CN"/>
              </w:rPr>
              <w:t>皮带输送机</w:t>
            </w:r>
          </w:p>
        </w:tc>
        <w:tc>
          <w:tcPr>
            <w:tcW w:w="897" w:type="dxa"/>
            <w:vMerge w:val="continue"/>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p>
        </w:tc>
        <w:tc>
          <w:tcPr>
            <w:tcW w:w="633"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511"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3223" w:type="dxa"/>
            <w:vMerge w:val="continue"/>
            <w:tcBorders>
              <w:tl2br w:val="nil"/>
              <w:tr2bl w:val="nil"/>
            </w:tcBorders>
            <w:vAlign w:val="center"/>
          </w:tcPr>
          <w:p>
            <w:pPr>
              <w:widowControl/>
              <w:spacing w:line="240" w:lineRule="auto"/>
              <w:ind w:firstLine="0" w:firstLineChars="0"/>
              <w:jc w:val="center"/>
              <w:textAlignment w:val="auto"/>
              <w:rPr>
                <w:kern w:val="24"/>
                <w:sz w:val="21"/>
                <w:szCs w:val="21"/>
                <w:highlight w:val="none"/>
              </w:rPr>
            </w:pPr>
          </w:p>
        </w:tc>
        <w:tc>
          <w:tcPr>
            <w:tcW w:w="744"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5"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639" w:type="dxa"/>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运输道路</w:t>
            </w:r>
          </w:p>
        </w:tc>
        <w:tc>
          <w:tcPr>
            <w:tcW w:w="897" w:type="dxa"/>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颗粒物</w:t>
            </w:r>
          </w:p>
        </w:tc>
        <w:tc>
          <w:tcPr>
            <w:tcW w:w="63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无组织</w:t>
            </w:r>
          </w:p>
        </w:tc>
        <w:tc>
          <w:tcPr>
            <w:tcW w:w="511"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间断</w:t>
            </w:r>
          </w:p>
        </w:tc>
        <w:tc>
          <w:tcPr>
            <w:tcW w:w="322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kern w:val="24"/>
                <w:sz w:val="21"/>
                <w:szCs w:val="21"/>
                <w:highlight w:val="none"/>
              </w:rPr>
              <w:t>厂区地面全部硬化，洒水降尘、保持清洁，设置洗车平台</w:t>
            </w:r>
          </w:p>
        </w:tc>
        <w:tc>
          <w:tcPr>
            <w:tcW w:w="744"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5"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639" w:type="dxa"/>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物料转运</w:t>
            </w:r>
          </w:p>
        </w:tc>
        <w:tc>
          <w:tcPr>
            <w:tcW w:w="897" w:type="dxa"/>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颗粒物</w:t>
            </w:r>
          </w:p>
        </w:tc>
        <w:tc>
          <w:tcPr>
            <w:tcW w:w="63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无组织</w:t>
            </w:r>
          </w:p>
        </w:tc>
        <w:tc>
          <w:tcPr>
            <w:tcW w:w="511"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连续</w:t>
            </w:r>
          </w:p>
        </w:tc>
        <w:tc>
          <w:tcPr>
            <w:tcW w:w="322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kern w:val="24"/>
                <w:sz w:val="21"/>
                <w:szCs w:val="21"/>
                <w:highlight w:val="none"/>
              </w:rPr>
              <w:t>设置全封闭输送廊道</w:t>
            </w:r>
          </w:p>
        </w:tc>
        <w:tc>
          <w:tcPr>
            <w:tcW w:w="744"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5"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废</w:t>
            </w:r>
          </w:p>
          <w:p>
            <w:pPr>
              <w:widowControl/>
              <w:spacing w:line="240" w:lineRule="auto"/>
              <w:ind w:firstLine="0" w:firstLineChars="0"/>
              <w:jc w:val="center"/>
              <w:textAlignment w:val="auto"/>
              <w:rPr>
                <w:sz w:val="21"/>
                <w:szCs w:val="21"/>
                <w:highlight w:val="none"/>
              </w:rPr>
            </w:pPr>
            <w:r>
              <w:rPr>
                <w:sz w:val="21"/>
                <w:szCs w:val="21"/>
                <w:highlight w:val="none"/>
              </w:rPr>
              <w:t>水</w:t>
            </w:r>
          </w:p>
        </w:tc>
        <w:tc>
          <w:tcPr>
            <w:tcW w:w="1639"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lang w:val="en-US" w:eastAsia="zh-CN"/>
              </w:rPr>
              <w:t>生产</w:t>
            </w:r>
            <w:r>
              <w:rPr>
                <w:sz w:val="21"/>
                <w:szCs w:val="21"/>
                <w:highlight w:val="none"/>
              </w:rPr>
              <w:t>废水</w:t>
            </w:r>
          </w:p>
        </w:tc>
        <w:tc>
          <w:tcPr>
            <w:tcW w:w="897"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SS</w:t>
            </w:r>
          </w:p>
        </w:tc>
        <w:tc>
          <w:tcPr>
            <w:tcW w:w="1144" w:type="dxa"/>
            <w:gridSpan w:val="2"/>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连续</w:t>
            </w:r>
          </w:p>
        </w:tc>
        <w:tc>
          <w:tcPr>
            <w:tcW w:w="322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rFonts w:hint="eastAsia"/>
                <w:sz w:val="21"/>
                <w:szCs w:val="21"/>
                <w:highlight w:val="none"/>
                <w:lang w:val="en-US" w:eastAsia="zh-CN"/>
              </w:rPr>
              <w:t>经厂区现有干排系统处理</w:t>
            </w:r>
            <w:r>
              <w:rPr>
                <w:sz w:val="21"/>
                <w:szCs w:val="21"/>
                <w:highlight w:val="none"/>
              </w:rPr>
              <w:t>经后进入清水池循环利用，不外排</w:t>
            </w:r>
          </w:p>
        </w:tc>
        <w:tc>
          <w:tcPr>
            <w:tcW w:w="744"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5"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噪</w:t>
            </w:r>
          </w:p>
          <w:p>
            <w:pPr>
              <w:widowControl/>
              <w:spacing w:line="240" w:lineRule="auto"/>
              <w:ind w:firstLine="0" w:firstLineChars="0"/>
              <w:jc w:val="center"/>
              <w:textAlignment w:val="auto"/>
              <w:rPr>
                <w:sz w:val="21"/>
                <w:szCs w:val="21"/>
                <w:highlight w:val="none"/>
              </w:rPr>
            </w:pPr>
            <w:r>
              <w:rPr>
                <w:sz w:val="21"/>
                <w:szCs w:val="21"/>
                <w:highlight w:val="none"/>
              </w:rPr>
              <w:t>声</w:t>
            </w:r>
          </w:p>
        </w:tc>
        <w:tc>
          <w:tcPr>
            <w:tcW w:w="1639"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破碎机、振动筛、</w:t>
            </w:r>
            <w:r>
              <w:rPr>
                <w:rFonts w:hint="eastAsia" w:eastAsia="宋体"/>
                <w:sz w:val="21"/>
                <w:szCs w:val="21"/>
                <w:highlight w:val="none"/>
                <w:lang w:val="en-US" w:eastAsia="zh-CN"/>
              </w:rPr>
              <w:t>风机、空压机</w:t>
            </w:r>
            <w:r>
              <w:rPr>
                <w:sz w:val="21"/>
                <w:szCs w:val="21"/>
                <w:highlight w:val="none"/>
              </w:rPr>
              <w:t>等</w:t>
            </w:r>
          </w:p>
        </w:tc>
        <w:tc>
          <w:tcPr>
            <w:tcW w:w="897" w:type="dxa"/>
            <w:tcBorders>
              <w:tl2br w:val="nil"/>
              <w:tr2bl w:val="nil"/>
            </w:tcBorders>
            <w:vAlign w:val="center"/>
          </w:tcPr>
          <w:p>
            <w:pPr>
              <w:widowControl/>
              <w:spacing w:line="240" w:lineRule="auto"/>
              <w:ind w:firstLine="0" w:firstLineChars="0"/>
              <w:jc w:val="center"/>
              <w:textAlignment w:val="auto"/>
              <w:rPr>
                <w:sz w:val="21"/>
                <w:szCs w:val="21"/>
                <w:highlight w:val="none"/>
                <w:vertAlign w:val="subscript"/>
              </w:rPr>
            </w:pPr>
            <w:r>
              <w:rPr>
                <w:sz w:val="21"/>
                <w:szCs w:val="21"/>
                <w:highlight w:val="none"/>
              </w:rPr>
              <w:t>噪声</w:t>
            </w:r>
          </w:p>
        </w:tc>
        <w:tc>
          <w:tcPr>
            <w:tcW w:w="1144" w:type="dxa"/>
            <w:gridSpan w:val="2"/>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连续</w:t>
            </w:r>
          </w:p>
        </w:tc>
        <w:tc>
          <w:tcPr>
            <w:tcW w:w="3223"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厂房隔声、</w:t>
            </w:r>
            <w:r>
              <w:rPr>
                <w:rFonts w:hint="eastAsia"/>
                <w:sz w:val="21"/>
                <w:szCs w:val="21"/>
                <w:highlight w:val="none"/>
              </w:rPr>
              <w:t>吸声、</w:t>
            </w:r>
            <w:r>
              <w:rPr>
                <w:sz w:val="21"/>
                <w:szCs w:val="21"/>
                <w:highlight w:val="none"/>
              </w:rPr>
              <w:t>基础减振等</w:t>
            </w:r>
          </w:p>
        </w:tc>
        <w:tc>
          <w:tcPr>
            <w:tcW w:w="744" w:type="dxa"/>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外环境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2" w:hRule="atLeast"/>
          <w:jc w:val="center"/>
        </w:trPr>
        <w:tc>
          <w:tcPr>
            <w:tcW w:w="715" w:type="dxa"/>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固废</w:t>
            </w:r>
          </w:p>
        </w:tc>
        <w:tc>
          <w:tcPr>
            <w:tcW w:w="1639" w:type="dxa"/>
            <w:vMerge w:val="restart"/>
            <w:tcBorders>
              <w:tl2br w:val="nil"/>
              <w:tr2bl w:val="nil"/>
            </w:tcBorders>
            <w:vAlign w:val="center"/>
          </w:tcPr>
          <w:p>
            <w:pPr>
              <w:autoSpaceDE w:val="0"/>
              <w:autoSpaceDN w:val="0"/>
              <w:adjustRightInd w:val="0"/>
              <w:spacing w:line="240" w:lineRule="auto"/>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生产过程</w:t>
            </w:r>
          </w:p>
        </w:tc>
        <w:tc>
          <w:tcPr>
            <w:tcW w:w="897" w:type="dxa"/>
            <w:tcBorders>
              <w:tl2br w:val="nil"/>
              <w:tr2bl w:val="nil"/>
            </w:tcBorders>
            <w:vAlign w:val="center"/>
          </w:tcPr>
          <w:p>
            <w:pPr>
              <w:autoSpaceDE w:val="0"/>
              <w:autoSpaceDN w:val="0"/>
              <w:adjustRightInd w:val="0"/>
              <w:ind w:firstLine="0" w:firstLineChars="0"/>
              <w:jc w:val="center"/>
              <w:rPr>
                <w:rFonts w:hint="eastAsia" w:eastAsia="宋体"/>
                <w:sz w:val="21"/>
                <w:szCs w:val="21"/>
                <w:highlight w:val="none"/>
                <w:lang w:val="en-US" w:eastAsia="zh-CN"/>
              </w:rPr>
            </w:pPr>
            <w:r>
              <w:rPr>
                <w:rFonts w:hint="eastAsia"/>
                <w:sz w:val="21"/>
                <w:szCs w:val="21"/>
                <w:highlight w:val="none"/>
                <w:lang w:val="en-US" w:eastAsia="zh-CN"/>
              </w:rPr>
              <w:t>砂石料</w:t>
            </w:r>
          </w:p>
        </w:tc>
        <w:tc>
          <w:tcPr>
            <w:tcW w:w="1144" w:type="dxa"/>
            <w:gridSpan w:val="2"/>
            <w:tcBorders>
              <w:tl2br w:val="nil"/>
              <w:tr2bl w:val="nil"/>
            </w:tcBorders>
            <w:vAlign w:val="center"/>
          </w:tcPr>
          <w:p>
            <w:pPr>
              <w:ind w:firstLine="0" w:firstLineChars="0"/>
              <w:jc w:val="center"/>
              <w:rPr>
                <w:sz w:val="21"/>
                <w:szCs w:val="21"/>
                <w:highlight w:val="none"/>
              </w:rPr>
            </w:pPr>
            <w:r>
              <w:rPr>
                <w:sz w:val="21"/>
                <w:szCs w:val="21"/>
                <w:highlight w:val="none"/>
              </w:rPr>
              <w:t>连续</w:t>
            </w:r>
          </w:p>
        </w:tc>
        <w:tc>
          <w:tcPr>
            <w:tcW w:w="3223" w:type="dxa"/>
            <w:tcBorders>
              <w:tl2br w:val="nil"/>
              <w:tr2bl w:val="nil"/>
            </w:tcBorders>
            <w:vAlign w:val="center"/>
          </w:tcPr>
          <w:p>
            <w:pPr>
              <w:widowControl/>
              <w:spacing w:line="240" w:lineRule="auto"/>
              <w:ind w:firstLine="0" w:firstLineChars="0"/>
              <w:jc w:val="center"/>
              <w:textAlignment w:val="auto"/>
              <w:rPr>
                <w:rFonts w:hint="eastAsia" w:eastAsia="宋体"/>
                <w:sz w:val="21"/>
                <w:szCs w:val="21"/>
                <w:highlight w:val="none"/>
                <w:lang w:eastAsia="zh-CN"/>
              </w:rPr>
            </w:pPr>
            <w:r>
              <w:rPr>
                <w:rFonts w:hint="eastAsia"/>
                <w:sz w:val="21"/>
                <w:szCs w:val="21"/>
                <w:highlight w:val="none"/>
              </w:rPr>
              <w:t>作</w:t>
            </w:r>
            <w:r>
              <w:rPr>
                <w:rFonts w:hint="eastAsia"/>
                <w:sz w:val="21"/>
                <w:szCs w:val="21"/>
                <w:highlight w:val="none"/>
                <w:lang w:val="en-US" w:eastAsia="zh-CN"/>
              </w:rPr>
              <w:t>为</w:t>
            </w:r>
            <w:r>
              <w:rPr>
                <w:rFonts w:hint="eastAsia"/>
                <w:sz w:val="21"/>
                <w:szCs w:val="21"/>
                <w:highlight w:val="none"/>
              </w:rPr>
              <w:t>建筑材料</w:t>
            </w:r>
            <w:r>
              <w:rPr>
                <w:rFonts w:hint="eastAsia"/>
                <w:sz w:val="21"/>
                <w:szCs w:val="21"/>
                <w:highlight w:val="none"/>
                <w:lang w:val="en-US" w:eastAsia="zh-CN"/>
              </w:rPr>
              <w:t>外售</w:t>
            </w:r>
          </w:p>
        </w:tc>
        <w:tc>
          <w:tcPr>
            <w:tcW w:w="744" w:type="dxa"/>
            <w:vMerge w:val="restart"/>
            <w:tcBorders>
              <w:tl2br w:val="nil"/>
              <w:tr2bl w:val="nil"/>
            </w:tcBorders>
            <w:vAlign w:val="center"/>
          </w:tcPr>
          <w:p>
            <w:pPr>
              <w:widowControl/>
              <w:spacing w:line="240" w:lineRule="auto"/>
              <w:ind w:firstLine="0" w:firstLineChars="0"/>
              <w:jc w:val="center"/>
              <w:textAlignment w:val="auto"/>
              <w:rPr>
                <w:rFonts w:hint="eastAsia" w:eastAsia="宋体"/>
                <w:sz w:val="21"/>
                <w:szCs w:val="21"/>
                <w:highlight w:val="none"/>
                <w:lang w:val="en-US" w:eastAsia="zh-CN"/>
              </w:rPr>
            </w:pPr>
            <w:r>
              <w:rPr>
                <w:rFonts w:hint="eastAsia" w:eastAsia="宋体"/>
                <w:sz w:val="21"/>
                <w:szCs w:val="21"/>
                <w:highlight w:val="none"/>
                <w:lang w:val="en-US" w:eastAsia="zh-CN"/>
              </w:rPr>
              <w:t>妥善</w:t>
            </w:r>
          </w:p>
          <w:p>
            <w:pPr>
              <w:widowControl/>
              <w:spacing w:line="240" w:lineRule="auto"/>
              <w:ind w:firstLine="0" w:firstLineChars="0"/>
              <w:jc w:val="center"/>
              <w:textAlignment w:val="auto"/>
              <w:rPr>
                <w:rFonts w:hint="default" w:eastAsia="宋体"/>
                <w:sz w:val="21"/>
                <w:szCs w:val="21"/>
                <w:highlight w:val="none"/>
                <w:lang w:val="en-US" w:eastAsia="zh-CN"/>
              </w:rPr>
            </w:pPr>
            <w:r>
              <w:rPr>
                <w:rFonts w:hint="eastAsia" w:eastAsia="宋体"/>
                <w:sz w:val="21"/>
                <w:szCs w:val="21"/>
                <w:highlight w:val="none"/>
                <w:lang w:val="en-US" w:eastAsia="zh-CN"/>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1" w:hRule="atLeast"/>
          <w:jc w:val="center"/>
        </w:trPr>
        <w:tc>
          <w:tcPr>
            <w:tcW w:w="715"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639" w:type="dxa"/>
            <w:vMerge w:val="continue"/>
            <w:tcBorders>
              <w:tl2br w:val="nil"/>
              <w:tr2bl w:val="nil"/>
            </w:tcBorders>
            <w:vAlign w:val="center"/>
          </w:tcPr>
          <w:p>
            <w:pPr>
              <w:autoSpaceDE w:val="0"/>
              <w:autoSpaceDN w:val="0"/>
              <w:adjustRightInd w:val="0"/>
              <w:spacing w:line="240" w:lineRule="auto"/>
              <w:ind w:firstLine="0" w:firstLineChars="0"/>
              <w:jc w:val="center"/>
              <w:rPr>
                <w:rFonts w:hint="eastAsia"/>
                <w:sz w:val="21"/>
                <w:szCs w:val="21"/>
                <w:highlight w:val="none"/>
                <w:lang w:val="en-US" w:eastAsia="zh-CN"/>
              </w:rPr>
            </w:pPr>
          </w:p>
        </w:tc>
        <w:tc>
          <w:tcPr>
            <w:tcW w:w="897" w:type="dxa"/>
            <w:tcBorders>
              <w:tl2br w:val="nil"/>
              <w:tr2bl w:val="nil"/>
            </w:tcBorders>
            <w:vAlign w:val="center"/>
          </w:tcPr>
          <w:p>
            <w:pPr>
              <w:autoSpaceDE w:val="0"/>
              <w:autoSpaceDN w:val="0"/>
              <w:adjustRightInd w:val="0"/>
              <w:ind w:firstLine="0" w:firstLineChars="0"/>
              <w:jc w:val="center"/>
              <w:rPr>
                <w:rFonts w:hint="default"/>
                <w:sz w:val="21"/>
                <w:szCs w:val="21"/>
                <w:highlight w:val="none"/>
                <w:lang w:val="en-US" w:eastAsia="zh-CN"/>
              </w:rPr>
            </w:pPr>
            <w:r>
              <w:rPr>
                <w:rFonts w:hint="eastAsia"/>
                <w:sz w:val="21"/>
                <w:szCs w:val="21"/>
                <w:highlight w:val="none"/>
                <w:lang w:val="en-US" w:eastAsia="zh-CN"/>
              </w:rPr>
              <w:t>尾矿砂</w:t>
            </w:r>
          </w:p>
        </w:tc>
        <w:tc>
          <w:tcPr>
            <w:tcW w:w="1144" w:type="dxa"/>
            <w:gridSpan w:val="2"/>
            <w:tcBorders>
              <w:tl2br w:val="nil"/>
              <w:tr2bl w:val="nil"/>
            </w:tcBorders>
            <w:vAlign w:val="center"/>
          </w:tcPr>
          <w:p>
            <w:pPr>
              <w:ind w:firstLine="0" w:firstLineChars="0"/>
              <w:jc w:val="center"/>
              <w:rPr>
                <w:sz w:val="21"/>
                <w:szCs w:val="21"/>
                <w:highlight w:val="none"/>
              </w:rPr>
            </w:pPr>
            <w:r>
              <w:rPr>
                <w:sz w:val="21"/>
                <w:szCs w:val="21"/>
                <w:highlight w:val="none"/>
              </w:rPr>
              <w:t>连续</w:t>
            </w:r>
          </w:p>
        </w:tc>
        <w:tc>
          <w:tcPr>
            <w:tcW w:w="3223" w:type="dxa"/>
            <w:tcBorders>
              <w:tl2br w:val="nil"/>
              <w:tr2bl w:val="nil"/>
            </w:tcBorders>
            <w:vAlign w:val="center"/>
          </w:tcPr>
          <w:p>
            <w:pPr>
              <w:widowControl/>
              <w:spacing w:line="240" w:lineRule="auto"/>
              <w:ind w:firstLine="0" w:firstLineChars="0"/>
              <w:jc w:val="center"/>
              <w:textAlignment w:val="auto"/>
              <w:rPr>
                <w:rFonts w:hint="eastAsia"/>
                <w:sz w:val="21"/>
                <w:szCs w:val="21"/>
                <w:highlight w:val="none"/>
              </w:rPr>
            </w:pPr>
            <w:r>
              <w:rPr>
                <w:rFonts w:hint="eastAsia"/>
                <w:sz w:val="21"/>
                <w:szCs w:val="21"/>
                <w:highlight w:val="none"/>
              </w:rPr>
              <w:t>作</w:t>
            </w:r>
            <w:r>
              <w:rPr>
                <w:rFonts w:hint="eastAsia"/>
                <w:sz w:val="21"/>
                <w:szCs w:val="21"/>
                <w:highlight w:val="none"/>
                <w:lang w:val="en-US" w:eastAsia="zh-CN"/>
              </w:rPr>
              <w:t>为</w:t>
            </w:r>
            <w:r>
              <w:rPr>
                <w:rFonts w:hint="eastAsia"/>
                <w:sz w:val="21"/>
                <w:szCs w:val="21"/>
                <w:highlight w:val="none"/>
              </w:rPr>
              <w:t>建筑材料</w:t>
            </w:r>
            <w:r>
              <w:rPr>
                <w:rFonts w:hint="eastAsia"/>
                <w:sz w:val="21"/>
                <w:szCs w:val="21"/>
                <w:highlight w:val="none"/>
                <w:lang w:val="en-US" w:eastAsia="zh-CN"/>
              </w:rPr>
              <w:t>外售</w:t>
            </w:r>
          </w:p>
        </w:tc>
        <w:tc>
          <w:tcPr>
            <w:tcW w:w="744"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1" w:hRule="atLeast"/>
          <w:jc w:val="center"/>
        </w:trPr>
        <w:tc>
          <w:tcPr>
            <w:tcW w:w="715"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639" w:type="dxa"/>
            <w:vMerge w:val="continue"/>
            <w:tcBorders>
              <w:tl2br w:val="nil"/>
              <w:tr2bl w:val="nil"/>
            </w:tcBorders>
            <w:vAlign w:val="center"/>
          </w:tcPr>
          <w:p>
            <w:pPr>
              <w:autoSpaceDE w:val="0"/>
              <w:autoSpaceDN w:val="0"/>
              <w:adjustRightInd w:val="0"/>
              <w:spacing w:line="240" w:lineRule="auto"/>
              <w:ind w:firstLine="0" w:firstLineChars="0"/>
              <w:jc w:val="center"/>
              <w:rPr>
                <w:rFonts w:hint="eastAsia"/>
                <w:sz w:val="21"/>
                <w:szCs w:val="21"/>
                <w:highlight w:val="none"/>
                <w:lang w:val="en-US" w:eastAsia="zh-CN"/>
              </w:rPr>
            </w:pPr>
          </w:p>
        </w:tc>
        <w:tc>
          <w:tcPr>
            <w:tcW w:w="897" w:type="dxa"/>
            <w:tcBorders>
              <w:tl2br w:val="nil"/>
              <w:tr2bl w:val="nil"/>
            </w:tcBorders>
            <w:vAlign w:val="center"/>
          </w:tcPr>
          <w:p>
            <w:pPr>
              <w:autoSpaceDE w:val="0"/>
              <w:autoSpaceDN w:val="0"/>
              <w:adjustRightInd w:val="0"/>
              <w:ind w:firstLine="0" w:firstLineChars="0"/>
              <w:jc w:val="center"/>
              <w:rPr>
                <w:rFonts w:hint="eastAsia" w:ascii="Arial" w:hAnsi="Arial" w:eastAsia="Arial" w:cs="Arial"/>
                <w:snapToGrid w:val="0"/>
                <w:color w:val="000000"/>
                <w:kern w:val="0"/>
                <w:sz w:val="21"/>
                <w:szCs w:val="21"/>
                <w:highlight w:val="none"/>
                <w:lang w:val="en-US" w:eastAsia="zh-CN"/>
              </w:rPr>
            </w:pPr>
            <w:r>
              <w:rPr>
                <w:rFonts w:hint="eastAsia"/>
                <w:sz w:val="21"/>
                <w:szCs w:val="21"/>
                <w:highlight w:val="none"/>
                <w:lang w:val="en-US" w:eastAsia="zh-CN"/>
              </w:rPr>
              <w:t>泥饼</w:t>
            </w:r>
          </w:p>
        </w:tc>
        <w:tc>
          <w:tcPr>
            <w:tcW w:w="1144" w:type="dxa"/>
            <w:gridSpan w:val="2"/>
            <w:tcBorders>
              <w:tl2br w:val="nil"/>
              <w:tr2bl w:val="nil"/>
            </w:tcBorders>
            <w:vAlign w:val="center"/>
          </w:tcPr>
          <w:p>
            <w:pPr>
              <w:ind w:firstLine="0" w:firstLineChars="0"/>
              <w:jc w:val="center"/>
              <w:rPr>
                <w:rFonts w:ascii="Arial" w:hAnsi="Arial" w:eastAsia="Arial" w:cs="Arial"/>
                <w:snapToGrid w:val="0"/>
                <w:color w:val="000000"/>
                <w:kern w:val="0"/>
                <w:sz w:val="21"/>
                <w:szCs w:val="21"/>
                <w:highlight w:val="none"/>
              </w:rPr>
            </w:pPr>
            <w:r>
              <w:rPr>
                <w:sz w:val="21"/>
                <w:szCs w:val="21"/>
                <w:highlight w:val="none"/>
              </w:rPr>
              <w:t>连续</w:t>
            </w:r>
          </w:p>
        </w:tc>
        <w:tc>
          <w:tcPr>
            <w:tcW w:w="3223" w:type="dxa"/>
            <w:tcBorders>
              <w:tl2br w:val="nil"/>
              <w:tr2bl w:val="nil"/>
            </w:tcBorders>
            <w:vAlign w:val="center"/>
          </w:tcPr>
          <w:p>
            <w:pPr>
              <w:widowControl/>
              <w:spacing w:line="240" w:lineRule="auto"/>
              <w:ind w:firstLine="0" w:firstLineChars="0"/>
              <w:jc w:val="center"/>
              <w:textAlignment w:val="auto"/>
              <w:rPr>
                <w:rFonts w:hint="eastAsia" w:ascii="Arial" w:hAnsi="Arial" w:eastAsia="Arial" w:cs="Arial"/>
                <w:snapToGrid w:val="0"/>
                <w:color w:val="000000"/>
                <w:kern w:val="0"/>
                <w:sz w:val="21"/>
                <w:szCs w:val="21"/>
                <w:highlight w:val="none"/>
              </w:rPr>
            </w:pPr>
            <w:r>
              <w:rPr>
                <w:rFonts w:hint="eastAsia"/>
                <w:sz w:val="21"/>
                <w:szCs w:val="21"/>
                <w:highlight w:val="none"/>
              </w:rPr>
              <w:t>作</w:t>
            </w:r>
            <w:r>
              <w:rPr>
                <w:rFonts w:hint="eastAsia"/>
                <w:sz w:val="21"/>
                <w:szCs w:val="21"/>
                <w:highlight w:val="none"/>
                <w:lang w:val="en-US" w:eastAsia="zh-CN"/>
              </w:rPr>
              <w:t>为</w:t>
            </w:r>
            <w:r>
              <w:rPr>
                <w:rFonts w:hint="eastAsia"/>
                <w:sz w:val="21"/>
                <w:szCs w:val="21"/>
                <w:highlight w:val="none"/>
              </w:rPr>
              <w:t>建筑材料</w:t>
            </w:r>
            <w:r>
              <w:rPr>
                <w:rFonts w:hint="eastAsia"/>
                <w:sz w:val="21"/>
                <w:szCs w:val="21"/>
                <w:highlight w:val="none"/>
                <w:lang w:val="en-US" w:eastAsia="zh-CN"/>
              </w:rPr>
              <w:t>外售</w:t>
            </w:r>
          </w:p>
        </w:tc>
        <w:tc>
          <w:tcPr>
            <w:tcW w:w="744"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715"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639" w:type="dxa"/>
            <w:vMerge w:val="continue"/>
            <w:tcBorders>
              <w:tl2br w:val="nil"/>
              <w:tr2bl w:val="nil"/>
            </w:tcBorders>
            <w:vAlign w:val="center"/>
          </w:tcPr>
          <w:p>
            <w:pPr>
              <w:autoSpaceDE w:val="0"/>
              <w:autoSpaceDN w:val="0"/>
              <w:adjustRightInd w:val="0"/>
              <w:spacing w:line="240" w:lineRule="auto"/>
              <w:ind w:firstLine="0" w:firstLineChars="0"/>
              <w:jc w:val="center"/>
              <w:rPr>
                <w:rFonts w:hint="eastAsia"/>
                <w:sz w:val="21"/>
                <w:szCs w:val="21"/>
                <w:highlight w:val="none"/>
                <w:lang w:val="en-US" w:eastAsia="zh-CN"/>
              </w:rPr>
            </w:pPr>
          </w:p>
        </w:tc>
        <w:tc>
          <w:tcPr>
            <w:tcW w:w="897" w:type="dxa"/>
            <w:tcBorders>
              <w:tl2br w:val="nil"/>
              <w:tr2bl w:val="nil"/>
            </w:tcBorders>
            <w:vAlign w:val="center"/>
          </w:tcPr>
          <w:p>
            <w:pPr>
              <w:autoSpaceDE w:val="0"/>
              <w:autoSpaceDN w:val="0"/>
              <w:adjustRightInd w:val="0"/>
              <w:ind w:firstLine="0" w:firstLineChars="0"/>
              <w:jc w:val="center"/>
              <w:rPr>
                <w:rFonts w:hint="default"/>
                <w:sz w:val="21"/>
                <w:szCs w:val="21"/>
                <w:highlight w:val="none"/>
                <w:lang w:val="en-US" w:eastAsia="zh-CN"/>
              </w:rPr>
            </w:pPr>
            <w:r>
              <w:rPr>
                <w:rFonts w:hint="eastAsia"/>
                <w:sz w:val="21"/>
                <w:szCs w:val="21"/>
                <w:highlight w:val="none"/>
                <w:lang w:val="en-US" w:eastAsia="zh-CN"/>
              </w:rPr>
              <w:t>废钢球</w:t>
            </w:r>
          </w:p>
        </w:tc>
        <w:tc>
          <w:tcPr>
            <w:tcW w:w="1144" w:type="dxa"/>
            <w:gridSpan w:val="2"/>
            <w:tcBorders>
              <w:tl2br w:val="nil"/>
              <w:tr2bl w:val="nil"/>
            </w:tcBorders>
            <w:vAlign w:val="center"/>
          </w:tcPr>
          <w:p>
            <w:pPr>
              <w:ind w:firstLine="0" w:firstLineChars="0"/>
              <w:jc w:val="center"/>
              <w:rPr>
                <w:sz w:val="21"/>
                <w:szCs w:val="21"/>
                <w:highlight w:val="none"/>
              </w:rPr>
            </w:pPr>
            <w:r>
              <w:rPr>
                <w:sz w:val="21"/>
                <w:szCs w:val="21"/>
                <w:highlight w:val="none"/>
              </w:rPr>
              <w:t>间断</w:t>
            </w:r>
          </w:p>
        </w:tc>
        <w:tc>
          <w:tcPr>
            <w:tcW w:w="3223" w:type="dxa"/>
            <w:tcBorders>
              <w:tl2br w:val="nil"/>
              <w:tr2bl w:val="nil"/>
            </w:tcBorders>
            <w:vAlign w:val="center"/>
          </w:tcPr>
          <w:p>
            <w:pPr>
              <w:widowControl/>
              <w:spacing w:line="240" w:lineRule="auto"/>
              <w:ind w:firstLine="0" w:firstLineChars="0"/>
              <w:jc w:val="center"/>
              <w:textAlignment w:val="auto"/>
              <w:rPr>
                <w:rFonts w:hint="default" w:eastAsia="宋体"/>
                <w:sz w:val="21"/>
                <w:szCs w:val="21"/>
                <w:highlight w:val="none"/>
                <w:lang w:val="en-US" w:eastAsia="zh-CN"/>
              </w:rPr>
            </w:pPr>
            <w:r>
              <w:rPr>
                <w:rFonts w:hint="eastAsia" w:eastAsia="宋体"/>
                <w:sz w:val="21"/>
                <w:szCs w:val="21"/>
                <w:highlight w:val="none"/>
                <w:lang w:val="en-US" w:eastAsia="zh-CN"/>
              </w:rPr>
              <w:t>外售废品回收单位</w:t>
            </w:r>
          </w:p>
        </w:tc>
        <w:tc>
          <w:tcPr>
            <w:tcW w:w="744"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5"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639" w:type="dxa"/>
            <w:vMerge w:val="restart"/>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设备维护、检修</w:t>
            </w:r>
          </w:p>
        </w:tc>
        <w:tc>
          <w:tcPr>
            <w:tcW w:w="897" w:type="dxa"/>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rFonts w:hint="eastAsia"/>
                <w:sz w:val="21"/>
                <w:szCs w:val="21"/>
                <w:highlight w:val="none"/>
              </w:rPr>
              <w:t>废矿物油</w:t>
            </w:r>
          </w:p>
        </w:tc>
        <w:tc>
          <w:tcPr>
            <w:tcW w:w="1144" w:type="dxa"/>
            <w:gridSpan w:val="2"/>
            <w:vMerge w:val="restart"/>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间断</w:t>
            </w:r>
          </w:p>
        </w:tc>
        <w:tc>
          <w:tcPr>
            <w:tcW w:w="3223" w:type="dxa"/>
            <w:vMerge w:val="restart"/>
            <w:tcBorders>
              <w:tl2br w:val="nil"/>
              <w:tr2bl w:val="nil"/>
            </w:tcBorders>
            <w:vAlign w:val="center"/>
          </w:tcPr>
          <w:p>
            <w:pPr>
              <w:spacing w:line="240" w:lineRule="auto"/>
              <w:ind w:firstLine="0" w:firstLineChars="0"/>
              <w:jc w:val="center"/>
              <w:rPr>
                <w:sz w:val="21"/>
                <w:szCs w:val="21"/>
                <w:highlight w:val="none"/>
              </w:rPr>
            </w:pPr>
            <w:r>
              <w:rPr>
                <w:sz w:val="21"/>
                <w:szCs w:val="21"/>
                <w:highlight w:val="none"/>
              </w:rPr>
              <w:t>置于危废暂存间内，委托有资质单位安全处置</w:t>
            </w:r>
          </w:p>
        </w:tc>
        <w:tc>
          <w:tcPr>
            <w:tcW w:w="744"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5"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639" w:type="dxa"/>
            <w:vMerge w:val="continue"/>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p>
        </w:tc>
        <w:tc>
          <w:tcPr>
            <w:tcW w:w="897" w:type="dxa"/>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废油桶</w:t>
            </w:r>
          </w:p>
        </w:tc>
        <w:tc>
          <w:tcPr>
            <w:tcW w:w="1144" w:type="dxa"/>
            <w:gridSpan w:val="2"/>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3223" w:type="dxa"/>
            <w:vMerge w:val="continue"/>
            <w:tcBorders>
              <w:tl2br w:val="nil"/>
              <w:tr2bl w:val="nil"/>
            </w:tcBorders>
            <w:vAlign w:val="center"/>
          </w:tcPr>
          <w:p>
            <w:pPr>
              <w:spacing w:line="240" w:lineRule="auto"/>
              <w:ind w:firstLine="0" w:firstLineChars="0"/>
              <w:jc w:val="center"/>
              <w:rPr>
                <w:sz w:val="21"/>
                <w:szCs w:val="21"/>
                <w:highlight w:val="none"/>
              </w:rPr>
            </w:pPr>
          </w:p>
        </w:tc>
        <w:tc>
          <w:tcPr>
            <w:tcW w:w="744"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715"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c>
          <w:tcPr>
            <w:tcW w:w="1639" w:type="dxa"/>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废气治理</w:t>
            </w:r>
          </w:p>
        </w:tc>
        <w:tc>
          <w:tcPr>
            <w:tcW w:w="897" w:type="dxa"/>
            <w:tcBorders>
              <w:tl2br w:val="nil"/>
              <w:tr2bl w:val="nil"/>
            </w:tcBorders>
            <w:vAlign w:val="center"/>
          </w:tcPr>
          <w:p>
            <w:pPr>
              <w:autoSpaceDE w:val="0"/>
              <w:autoSpaceDN w:val="0"/>
              <w:adjustRightInd w:val="0"/>
              <w:spacing w:line="240" w:lineRule="auto"/>
              <w:ind w:firstLine="0" w:firstLineChars="0"/>
              <w:jc w:val="center"/>
              <w:rPr>
                <w:sz w:val="21"/>
                <w:szCs w:val="21"/>
                <w:highlight w:val="none"/>
              </w:rPr>
            </w:pPr>
            <w:r>
              <w:rPr>
                <w:sz w:val="21"/>
                <w:szCs w:val="21"/>
                <w:highlight w:val="none"/>
              </w:rPr>
              <w:t>粉尘</w:t>
            </w:r>
          </w:p>
        </w:tc>
        <w:tc>
          <w:tcPr>
            <w:tcW w:w="1144" w:type="dxa"/>
            <w:gridSpan w:val="2"/>
            <w:tcBorders>
              <w:tl2br w:val="nil"/>
              <w:tr2bl w:val="nil"/>
            </w:tcBorders>
            <w:vAlign w:val="center"/>
          </w:tcPr>
          <w:p>
            <w:pPr>
              <w:widowControl/>
              <w:spacing w:line="240" w:lineRule="auto"/>
              <w:ind w:firstLine="0" w:firstLineChars="0"/>
              <w:jc w:val="center"/>
              <w:textAlignment w:val="auto"/>
              <w:rPr>
                <w:sz w:val="21"/>
                <w:szCs w:val="21"/>
                <w:highlight w:val="none"/>
              </w:rPr>
            </w:pPr>
            <w:r>
              <w:rPr>
                <w:sz w:val="21"/>
                <w:szCs w:val="21"/>
                <w:highlight w:val="none"/>
              </w:rPr>
              <w:t>间断</w:t>
            </w:r>
          </w:p>
        </w:tc>
        <w:tc>
          <w:tcPr>
            <w:tcW w:w="3223" w:type="dxa"/>
            <w:tcBorders>
              <w:tl2br w:val="nil"/>
              <w:tr2bl w:val="nil"/>
            </w:tcBorders>
            <w:vAlign w:val="center"/>
          </w:tcPr>
          <w:p>
            <w:pPr>
              <w:spacing w:line="240" w:lineRule="auto"/>
              <w:ind w:firstLine="0" w:firstLineChars="0"/>
              <w:jc w:val="center"/>
              <w:rPr>
                <w:sz w:val="21"/>
                <w:szCs w:val="21"/>
                <w:highlight w:val="none"/>
              </w:rPr>
            </w:pPr>
            <w:r>
              <w:rPr>
                <w:rFonts w:hint="eastAsia"/>
                <w:sz w:val="21"/>
                <w:szCs w:val="21"/>
                <w:highlight w:val="none"/>
              </w:rPr>
              <w:t>进入球磨工序，</w:t>
            </w:r>
            <w:r>
              <w:rPr>
                <w:sz w:val="21"/>
                <w:szCs w:val="21"/>
                <w:highlight w:val="none"/>
              </w:rPr>
              <w:t>回用于生产</w:t>
            </w:r>
          </w:p>
        </w:tc>
        <w:tc>
          <w:tcPr>
            <w:tcW w:w="744" w:type="dxa"/>
            <w:vMerge w:val="continue"/>
            <w:tcBorders>
              <w:tl2br w:val="nil"/>
              <w:tr2bl w:val="nil"/>
            </w:tcBorders>
            <w:vAlign w:val="center"/>
          </w:tcPr>
          <w:p>
            <w:pPr>
              <w:widowControl/>
              <w:spacing w:line="240" w:lineRule="auto"/>
              <w:ind w:firstLine="0" w:firstLineChars="0"/>
              <w:jc w:val="center"/>
              <w:textAlignment w:val="auto"/>
              <w:rPr>
                <w:sz w:val="21"/>
                <w:szCs w:val="21"/>
                <w:highlight w:val="none"/>
              </w:rPr>
            </w:pPr>
          </w:p>
        </w:tc>
      </w:tr>
    </w:tbl>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50" w:after="0" w:afterLines="0"/>
        <w:textAlignment w:val="auto"/>
        <w:outlineLvl w:val="3"/>
        <w:rPr>
          <w:rFonts w:hint="default" w:ascii="Times New Roman" w:hAnsi="Times New Roman" w:cs="Times New Roman"/>
          <w:b w:val="0"/>
          <w:bCs/>
          <w:sz w:val="23"/>
          <w:szCs w:val="23"/>
          <w:highlight w:val="none"/>
        </w:rPr>
      </w:pPr>
      <w:r>
        <w:rPr>
          <w:rFonts w:hint="default" w:ascii="Times New Roman" w:hAnsi="Times New Roman" w:eastAsia="宋体" w:cs="Times New Roman"/>
          <w:b w:val="0"/>
          <w:bCs/>
          <w:sz w:val="23"/>
          <w:szCs w:val="23"/>
          <w:highlight w:val="none"/>
          <w:lang w:val="en-US" w:eastAsia="zh-CN"/>
        </w:rPr>
        <w:t>3.2.9.</w:t>
      </w:r>
      <w:r>
        <w:rPr>
          <w:rFonts w:hint="eastAsia" w:ascii="Times New Roman" w:hAnsi="Times New Roman" w:eastAsia="宋体" w:cs="Times New Roman"/>
          <w:b w:val="0"/>
          <w:bCs/>
          <w:sz w:val="23"/>
          <w:szCs w:val="23"/>
          <w:highlight w:val="none"/>
          <w:lang w:val="en-US" w:eastAsia="zh-CN"/>
        </w:rPr>
        <w:t>3</w:t>
      </w:r>
      <w:r>
        <w:rPr>
          <w:rFonts w:hint="eastAsia" w:ascii="Times New Roman" w:hAnsi="Times New Roman" w:cs="Times New Roman"/>
          <w:b w:val="0"/>
          <w:bCs/>
          <w:sz w:val="23"/>
          <w:szCs w:val="23"/>
          <w:highlight w:val="none"/>
          <w:lang w:val="en-US" w:eastAsia="zh-CN"/>
        </w:rPr>
        <w:t>物料平衡</w:t>
      </w:r>
      <w:r>
        <w:rPr>
          <w:rFonts w:hint="default" w:ascii="Times New Roman" w:hAnsi="Times New Roman" w:cs="Times New Roman"/>
          <w:b w:val="0"/>
          <w:bCs/>
          <w:sz w:val="23"/>
          <w:szCs w:val="23"/>
          <w:highlight w:val="none"/>
        </w:rPr>
        <w:t>分析</w:t>
      </w:r>
    </w:p>
    <w:p>
      <w:pPr>
        <w:ind w:firstLine="48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lang w:val="en-US" w:eastAsia="zh-CN"/>
        </w:rPr>
        <w:t>改扩建项目实施后全厂</w:t>
      </w:r>
      <w:r>
        <w:rPr>
          <w:rFonts w:hint="default" w:ascii="Times New Roman" w:hAnsi="Times New Roman" w:cs="Times New Roman"/>
          <w:sz w:val="23"/>
          <w:szCs w:val="23"/>
          <w:highlight w:val="none"/>
        </w:rPr>
        <w:t>物料平衡</w:t>
      </w:r>
      <w:r>
        <w:rPr>
          <w:rFonts w:hint="default" w:ascii="Times New Roman" w:hAnsi="Times New Roman" w:cs="Times New Roman"/>
          <w:sz w:val="23"/>
          <w:szCs w:val="23"/>
          <w:highlight w:val="none"/>
          <w:lang w:val="en-US" w:eastAsia="zh-CN"/>
        </w:rPr>
        <w:t>表见表3.2-12，铁元素平衡见表3.2-13。</w:t>
      </w:r>
    </w:p>
    <w:p>
      <w:pPr>
        <w:keepNext w:val="0"/>
        <w:keepLines w:val="0"/>
        <w:pageBreakBefore w:val="0"/>
        <w:widowControl/>
        <w:kinsoku w:val="0"/>
        <w:wordWrap/>
        <w:overflowPunct/>
        <w:topLinePunct w:val="0"/>
        <w:autoSpaceDE w:val="0"/>
        <w:autoSpaceDN w:val="0"/>
        <w:bidi w:val="0"/>
        <w:adjustRightInd w:val="0"/>
        <w:snapToGrid w:val="0"/>
        <w:spacing w:before="40" w:line="228" w:lineRule="auto"/>
        <w:ind w:firstLine="2928" w:firstLineChars="1200"/>
        <w:jc w:val="both"/>
        <w:textAlignment w:val="baseline"/>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pP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表3.2-12   物料平衡表</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2124"/>
        <w:gridCol w:w="772"/>
        <w:gridCol w:w="1236"/>
        <w:gridCol w:w="3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5"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投入</w:t>
            </w:r>
          </w:p>
        </w:tc>
        <w:tc>
          <w:tcPr>
            <w:tcW w:w="2124"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收入项（t/a）</w:t>
            </w:r>
          </w:p>
        </w:tc>
        <w:tc>
          <w:tcPr>
            <w:tcW w:w="2008" w:type="dxa"/>
            <w:gridSpan w:val="2"/>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产出</w:t>
            </w:r>
          </w:p>
        </w:tc>
        <w:tc>
          <w:tcPr>
            <w:tcW w:w="3155"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支出项（t/a）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5" w:type="dxa"/>
            <w:vMerge w:val="restart"/>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铁矿石</w:t>
            </w:r>
          </w:p>
        </w:tc>
        <w:tc>
          <w:tcPr>
            <w:tcW w:w="2124" w:type="dxa"/>
            <w:vMerge w:val="restart"/>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eastAsia" w:ascii="Times New Roman" w:hAnsi="Times New Roman" w:cs="Times New Roman"/>
                <w:kern w:val="2"/>
                <w:sz w:val="21"/>
                <w:szCs w:val="21"/>
                <w:highlight w:val="none"/>
                <w:lang w:val="en-US" w:eastAsia="zh-CN"/>
              </w:rPr>
              <w:t>110</w:t>
            </w:r>
            <w:r>
              <w:rPr>
                <w:rFonts w:hint="default" w:ascii="Times New Roman" w:hAnsi="Times New Roman" w:cs="Times New Roman"/>
                <w:kern w:val="2"/>
                <w:sz w:val="21"/>
                <w:szCs w:val="21"/>
                <w:highlight w:val="none"/>
              </w:rPr>
              <w:t>0000</w:t>
            </w:r>
          </w:p>
        </w:tc>
        <w:tc>
          <w:tcPr>
            <w:tcW w:w="772"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1</w:t>
            </w:r>
          </w:p>
        </w:tc>
        <w:tc>
          <w:tcPr>
            <w:tcW w:w="1236"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铁精粉</w:t>
            </w:r>
          </w:p>
        </w:tc>
        <w:tc>
          <w:tcPr>
            <w:tcW w:w="3155"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eastAsia" w:ascii="Times New Roman" w:hAnsi="Times New Roman" w:cs="Times New Roman"/>
                <w:sz w:val="21"/>
                <w:szCs w:val="21"/>
                <w:highlight w:val="none"/>
                <w:lang w:val="en-US" w:eastAsia="zh-CN"/>
              </w:rPr>
              <w:t>40</w:t>
            </w:r>
            <w:r>
              <w:rPr>
                <w:rFonts w:hint="default" w:ascii="Times New Roman" w:hAnsi="Times New Roman" w:cs="Times New Roman"/>
                <w:sz w:val="21"/>
                <w:szCs w:val="21"/>
                <w:highlight w:val="none"/>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5"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p>
        </w:tc>
        <w:tc>
          <w:tcPr>
            <w:tcW w:w="2124"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p>
        </w:tc>
        <w:tc>
          <w:tcPr>
            <w:tcW w:w="772"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2</w:t>
            </w:r>
          </w:p>
        </w:tc>
        <w:tc>
          <w:tcPr>
            <w:tcW w:w="1236"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泥饼</w:t>
            </w:r>
          </w:p>
        </w:tc>
        <w:tc>
          <w:tcPr>
            <w:tcW w:w="3155"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lang w:val="en-US"/>
              </w:rPr>
            </w:pPr>
            <w:r>
              <w:rPr>
                <w:rFonts w:hint="eastAsia" w:ascii="Times New Roman" w:hAnsi="Times New Roman" w:cs="Times New Roman"/>
                <w:kern w:val="2"/>
                <w:sz w:val="21"/>
                <w:szCs w:val="21"/>
                <w:highlight w:val="none"/>
                <w:lang w:val="en-US" w:eastAsia="zh-CN"/>
              </w:rPr>
              <w:t>50085.191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5"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p>
        </w:tc>
        <w:tc>
          <w:tcPr>
            <w:tcW w:w="2124"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p>
        </w:tc>
        <w:tc>
          <w:tcPr>
            <w:tcW w:w="7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napToGrid w:val="0"/>
                <w:color w:val="000000"/>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3</w:t>
            </w:r>
          </w:p>
        </w:tc>
        <w:tc>
          <w:tcPr>
            <w:tcW w:w="1236" w:type="dxa"/>
            <w:tcBorders>
              <w:tl2br w:val="nil"/>
              <w:tr2bl w:val="nil"/>
            </w:tcBorders>
            <w:vAlign w:val="center"/>
          </w:tcPr>
          <w:p>
            <w:pPr>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rPr>
            </w:pPr>
            <w:r>
              <w:rPr>
                <w:rFonts w:hint="default" w:ascii="Times New Roman" w:hAnsi="Times New Roman" w:cs="Times New Roman"/>
                <w:kern w:val="2"/>
                <w:sz w:val="21"/>
                <w:szCs w:val="21"/>
                <w:highlight w:val="none"/>
              </w:rPr>
              <w:t>尾矿砂</w:t>
            </w:r>
          </w:p>
        </w:tc>
        <w:tc>
          <w:tcPr>
            <w:tcW w:w="3155"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5"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p>
        </w:tc>
        <w:tc>
          <w:tcPr>
            <w:tcW w:w="2124"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p>
        </w:tc>
        <w:tc>
          <w:tcPr>
            <w:tcW w:w="7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napToGrid w:val="0"/>
                <w:color w:val="000000"/>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4</w:t>
            </w:r>
          </w:p>
        </w:tc>
        <w:tc>
          <w:tcPr>
            <w:tcW w:w="1236"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lang w:val="en-US" w:eastAsia="zh-CN"/>
              </w:rPr>
              <w:t>砂石料</w:t>
            </w:r>
          </w:p>
        </w:tc>
        <w:tc>
          <w:tcPr>
            <w:tcW w:w="3155"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350000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5"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p>
        </w:tc>
        <w:tc>
          <w:tcPr>
            <w:tcW w:w="2124"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p>
        </w:tc>
        <w:tc>
          <w:tcPr>
            <w:tcW w:w="7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napToGrid w:val="0"/>
                <w:color w:val="000000"/>
                <w:kern w:val="2"/>
                <w:sz w:val="21"/>
                <w:szCs w:val="21"/>
                <w:highlight w:val="none"/>
                <w:lang w:eastAsia="zh-CN"/>
              </w:rPr>
            </w:pPr>
            <w:r>
              <w:rPr>
                <w:rFonts w:hint="default" w:ascii="Times New Roman" w:hAnsi="Times New Roman" w:cs="Times New Roman"/>
                <w:kern w:val="2"/>
                <w:sz w:val="21"/>
                <w:szCs w:val="21"/>
                <w:highlight w:val="none"/>
                <w:lang w:val="en-US" w:eastAsia="zh-CN"/>
              </w:rPr>
              <w:t>5</w:t>
            </w:r>
          </w:p>
        </w:tc>
        <w:tc>
          <w:tcPr>
            <w:tcW w:w="1236"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颗粒物</w:t>
            </w:r>
          </w:p>
        </w:tc>
        <w:tc>
          <w:tcPr>
            <w:tcW w:w="3155"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cs="Times New Roman"/>
                <w:sz w:val="21"/>
                <w:szCs w:val="21"/>
                <w:highlight w:val="none"/>
                <w:lang w:val="en-US" w:eastAsia="zh-CN"/>
              </w:rPr>
              <w:t>9.447</w:t>
            </w:r>
            <w:r>
              <w:rPr>
                <w:rFonts w:hint="default" w:ascii="Times New Roman" w:hAnsi="Times New Roman" w:cs="Times New Roman"/>
                <w:sz w:val="21"/>
                <w:szCs w:val="21"/>
                <w:highlight w:val="none"/>
                <w:lang w:val="en-US" w:eastAsia="zh-CN"/>
              </w:rPr>
              <w:t>（本项目新增</w:t>
            </w:r>
            <w:r>
              <w:rPr>
                <w:rFonts w:hint="eastAsia" w:ascii="Times New Roman" w:hAnsi="Times New Roman" w:cs="Times New Roman"/>
                <w:sz w:val="21"/>
                <w:szCs w:val="21"/>
                <w:highlight w:val="none"/>
                <w:lang w:val="en-US" w:eastAsia="zh-CN"/>
              </w:rPr>
              <w:t>0.881</w:t>
            </w:r>
            <w:r>
              <w:rPr>
                <w:rFonts w:hint="default" w:ascii="Times New Roman" w:hAnsi="Times New Roman"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5"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钢球</w:t>
            </w:r>
          </w:p>
        </w:tc>
        <w:tc>
          <w:tcPr>
            <w:tcW w:w="2124"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105</w:t>
            </w:r>
          </w:p>
        </w:tc>
        <w:tc>
          <w:tcPr>
            <w:tcW w:w="7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6</w:t>
            </w:r>
          </w:p>
        </w:tc>
        <w:tc>
          <w:tcPr>
            <w:tcW w:w="1236"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废钢球</w:t>
            </w:r>
          </w:p>
        </w:tc>
        <w:tc>
          <w:tcPr>
            <w:tcW w:w="3155"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5"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合计</w:t>
            </w:r>
          </w:p>
        </w:tc>
        <w:tc>
          <w:tcPr>
            <w:tcW w:w="2124"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bCs/>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110</w:t>
            </w:r>
            <w:r>
              <w:rPr>
                <w:rFonts w:hint="default" w:ascii="Times New Roman" w:hAnsi="Times New Roman" w:cs="Times New Roman"/>
                <w:kern w:val="2"/>
                <w:sz w:val="21"/>
                <w:szCs w:val="21"/>
                <w:highlight w:val="none"/>
              </w:rPr>
              <w:t>0</w:t>
            </w:r>
            <w:r>
              <w:rPr>
                <w:rFonts w:hint="eastAsia" w:ascii="Times New Roman" w:hAnsi="Times New Roman" w:eastAsia="宋体" w:cs="Times New Roman"/>
                <w:kern w:val="2"/>
                <w:sz w:val="21"/>
                <w:szCs w:val="21"/>
                <w:highlight w:val="none"/>
                <w:lang w:val="en-US" w:eastAsia="zh-CN"/>
              </w:rPr>
              <w:t>105</w:t>
            </w:r>
          </w:p>
        </w:tc>
        <w:tc>
          <w:tcPr>
            <w:tcW w:w="2008" w:type="dxa"/>
            <w:gridSpan w:val="2"/>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合计</w:t>
            </w:r>
          </w:p>
        </w:tc>
        <w:tc>
          <w:tcPr>
            <w:tcW w:w="3155" w:type="dxa"/>
            <w:tcBorders>
              <w:tl2br w:val="nil"/>
              <w:tr2bl w:val="nil"/>
            </w:tcBorders>
            <w:vAlign w:val="center"/>
          </w:tcPr>
          <w:p>
            <w:pPr>
              <w:spacing w:line="240" w:lineRule="auto"/>
              <w:ind w:firstLine="0" w:firstLineChars="0"/>
              <w:jc w:val="center"/>
              <w:textAlignment w:val="auto"/>
              <w:rPr>
                <w:rFonts w:hint="default" w:ascii="Times New Roman" w:hAnsi="Times New Roman" w:cs="Times New Roman"/>
                <w:kern w:val="2"/>
                <w:sz w:val="21"/>
                <w:szCs w:val="21"/>
                <w:highlight w:val="none"/>
              </w:rPr>
            </w:pPr>
            <w:r>
              <w:rPr>
                <w:rFonts w:hint="eastAsia" w:ascii="Times New Roman" w:hAnsi="Times New Roman" w:cs="Times New Roman"/>
                <w:kern w:val="2"/>
                <w:sz w:val="21"/>
                <w:szCs w:val="21"/>
                <w:highlight w:val="none"/>
                <w:lang w:val="en-US" w:eastAsia="zh-CN"/>
              </w:rPr>
              <w:t>110</w:t>
            </w:r>
            <w:r>
              <w:rPr>
                <w:rFonts w:hint="default" w:ascii="Times New Roman" w:hAnsi="Times New Roman" w:cs="Times New Roman"/>
                <w:kern w:val="2"/>
                <w:sz w:val="21"/>
                <w:szCs w:val="21"/>
                <w:highlight w:val="none"/>
              </w:rPr>
              <w:t>0</w:t>
            </w:r>
            <w:r>
              <w:rPr>
                <w:rFonts w:hint="eastAsia" w:ascii="Times New Roman" w:hAnsi="Times New Roman" w:eastAsia="宋体" w:cs="Times New Roman"/>
                <w:kern w:val="2"/>
                <w:sz w:val="21"/>
                <w:szCs w:val="21"/>
                <w:highlight w:val="none"/>
                <w:lang w:val="en-US" w:eastAsia="zh-CN"/>
              </w:rPr>
              <w:t>105</w:t>
            </w:r>
          </w:p>
        </w:tc>
      </w:tr>
    </w:tbl>
    <w:p>
      <w:pPr>
        <w:keepNext w:val="0"/>
        <w:keepLines w:val="0"/>
        <w:pageBreakBefore w:val="0"/>
        <w:widowControl/>
        <w:kinsoku w:val="0"/>
        <w:wordWrap/>
        <w:overflowPunct/>
        <w:topLinePunct w:val="0"/>
        <w:autoSpaceDE w:val="0"/>
        <w:autoSpaceDN w:val="0"/>
        <w:bidi w:val="0"/>
        <w:adjustRightInd w:val="0"/>
        <w:snapToGrid w:val="0"/>
        <w:spacing w:before="40" w:line="228" w:lineRule="auto"/>
        <w:ind w:firstLine="2684" w:firstLineChars="1100"/>
        <w:jc w:val="both"/>
        <w:textAlignment w:val="baseline"/>
        <w:rPr>
          <w:rFonts w:hint="eastAsia"/>
          <w:highlight w:val="none"/>
          <w:lang w:val="en-US" w:eastAsia="zh-CN"/>
        </w:rPr>
      </w:pP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表3.2-13    铁元素平衡计算表（t/a）</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1820"/>
        <w:gridCol w:w="2272"/>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4" w:type="dxa"/>
            <w:gridSpan w:val="3"/>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元素名称</w:t>
            </w:r>
          </w:p>
        </w:tc>
        <w:tc>
          <w:tcPr>
            <w:tcW w:w="21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restart"/>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投入部分</w:t>
            </w:r>
          </w:p>
        </w:tc>
        <w:tc>
          <w:tcPr>
            <w:tcW w:w="1820" w:type="dxa"/>
            <w:vMerge w:val="restart"/>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铁矿石</w:t>
            </w: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110</w:t>
            </w:r>
            <w:r>
              <w:rPr>
                <w:rFonts w:hint="default" w:ascii="Times New Roman" w:hAnsi="Times New Roman" w:eastAsia="宋体" w:cs="Times New Roman"/>
                <w:kern w:val="2"/>
                <w:sz w:val="21"/>
                <w:szCs w:val="21"/>
                <w:highlight w:val="none"/>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平均品位</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25</w:t>
            </w:r>
            <w:r>
              <w:rPr>
                <w:rFonts w:hint="default" w:ascii="Times New Roman" w:hAnsi="Times New Roman" w:eastAsia="宋体" w:cs="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元素质量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275000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1820" w:type="dxa"/>
            <w:vMerge w:val="restart"/>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钢球</w:t>
            </w: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平均品位</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元素质量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1820"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合计</w:t>
            </w: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元素质量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275105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产出部分</w:t>
            </w:r>
          </w:p>
        </w:tc>
        <w:tc>
          <w:tcPr>
            <w:tcW w:w="1820" w:type="dxa"/>
            <w:vMerge w:val="restart"/>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铁精粉</w:t>
            </w: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40</w:t>
            </w:r>
            <w:r>
              <w:rPr>
                <w:rFonts w:hint="default" w:ascii="Times New Roman" w:hAnsi="Times New Roman" w:eastAsia="宋体" w:cs="Times New Roman"/>
                <w:kern w:val="2"/>
                <w:sz w:val="21"/>
                <w:szCs w:val="21"/>
                <w:highlight w:val="none"/>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平均品位</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60</w:t>
            </w:r>
            <w:r>
              <w:rPr>
                <w:rFonts w:hint="default" w:ascii="Times New Roman" w:hAnsi="Times New Roman" w:eastAsia="宋体" w:cs="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元素质量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240</w:t>
            </w:r>
            <w:r>
              <w:rPr>
                <w:rFonts w:hint="default" w:ascii="Times New Roman" w:hAnsi="Times New Roman" w:eastAsia="宋体" w:cs="Times New Roman"/>
                <w:kern w:val="2"/>
                <w:sz w:val="21"/>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restart"/>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尾矿砂</w:t>
            </w: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rPr>
            </w:pPr>
            <w:r>
              <w:rPr>
                <w:rFonts w:hint="eastAsia" w:ascii="Times New Roman" w:hAnsi="Times New Roman" w:cs="Times New Roman"/>
                <w:kern w:val="2"/>
                <w:sz w:val="21"/>
                <w:szCs w:val="21"/>
                <w:highlight w:val="none"/>
                <w:lang w:val="en-US" w:eastAsia="zh-CN"/>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平均品位</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元素质量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sz w:val="21"/>
                <w:szCs w:val="21"/>
                <w:highlight w:val="none"/>
                <w:lang w:val="en-US" w:eastAsia="zh-CN"/>
              </w:rPr>
              <w:t>15081.89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restart"/>
            <w:tcBorders>
              <w:tl2br w:val="nil"/>
              <w:tr2bl w:val="nil"/>
            </w:tcBorders>
            <w:vAlign w:val="center"/>
          </w:tcPr>
          <w:p>
            <w:pPr>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泥饼</w:t>
            </w: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napToGrid w:val="0"/>
                <w:color w:val="000000"/>
                <w:kern w:val="2"/>
                <w:sz w:val="21"/>
                <w:szCs w:val="21"/>
                <w:highlight w:val="none"/>
              </w:rPr>
            </w:pPr>
            <w:r>
              <w:rPr>
                <w:rFonts w:hint="default" w:ascii="Times New Roman" w:hAnsi="Times New Roman" w:eastAsia="宋体" w:cs="Times New Roman"/>
                <w:kern w:val="2"/>
                <w:sz w:val="21"/>
                <w:szCs w:val="21"/>
                <w:highlight w:val="none"/>
              </w:rPr>
              <w:t>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napToGrid w:val="0"/>
                <w:color w:val="000000"/>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50085.053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napToGrid w:val="0"/>
                <w:color w:val="000000"/>
                <w:kern w:val="2"/>
                <w:sz w:val="21"/>
                <w:szCs w:val="21"/>
                <w:highlight w:val="none"/>
              </w:rPr>
            </w:pPr>
            <w:r>
              <w:rPr>
                <w:rFonts w:hint="default" w:ascii="Times New Roman" w:hAnsi="Times New Roman" w:eastAsia="宋体" w:cs="Times New Roman"/>
                <w:kern w:val="2"/>
                <w:sz w:val="21"/>
                <w:szCs w:val="21"/>
                <w:highlight w:val="none"/>
              </w:rPr>
              <w:t>平均品位</w:t>
            </w:r>
          </w:p>
        </w:tc>
        <w:tc>
          <w:tcPr>
            <w:tcW w:w="2158" w:type="dxa"/>
            <w:tcBorders>
              <w:tl2br w:val="nil"/>
              <w:tr2bl w:val="nil"/>
            </w:tcBorders>
            <w:vAlign w:val="center"/>
          </w:tcPr>
          <w:p>
            <w:pPr>
              <w:spacing w:line="240" w:lineRule="auto"/>
              <w:ind w:firstLine="0" w:firstLineChars="0"/>
              <w:jc w:val="center"/>
              <w:textAlignment w:val="auto"/>
              <w:rPr>
                <w:rFonts w:hint="eastAsia" w:ascii="Times New Roman" w:hAnsi="Times New Roman" w:eastAsia="宋体" w:cs="Times New Roman"/>
                <w:snapToGrid w:val="0"/>
                <w:color w:val="000000"/>
                <w:kern w:val="2"/>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napToGrid w:val="0"/>
                <w:color w:val="000000"/>
                <w:kern w:val="2"/>
                <w:sz w:val="21"/>
                <w:szCs w:val="21"/>
                <w:highlight w:val="none"/>
              </w:rPr>
            </w:pPr>
            <w:r>
              <w:rPr>
                <w:rFonts w:hint="default" w:ascii="Times New Roman" w:hAnsi="Times New Roman" w:eastAsia="宋体" w:cs="Times New Roman"/>
                <w:kern w:val="2"/>
                <w:sz w:val="21"/>
                <w:szCs w:val="21"/>
                <w:highlight w:val="none"/>
              </w:rPr>
              <w:t>元素质量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napToGrid w:val="0"/>
                <w:color w:val="000000"/>
                <w:kern w:val="2"/>
                <w:sz w:val="21"/>
                <w:szCs w:val="21"/>
                <w:highlight w:val="none"/>
                <w:lang w:val="en-US" w:eastAsia="zh-CN"/>
              </w:rPr>
            </w:pPr>
            <w:r>
              <w:rPr>
                <w:rFonts w:hint="eastAsia" w:ascii="Times New Roman" w:hAnsi="Times New Roman" w:eastAsia="宋体" w:cs="Times New Roman"/>
                <w:sz w:val="21"/>
                <w:szCs w:val="21"/>
                <w:highlight w:val="none"/>
                <w:lang w:val="en-US" w:eastAsia="zh-CN"/>
              </w:rPr>
              <w:t>2504.25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restart"/>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default" w:ascii="Times New Roman" w:hAnsi="Times New Roman" w:eastAsia="宋体" w:cs="Times New Roman"/>
                <w:kern w:val="2"/>
                <w:sz w:val="21"/>
                <w:szCs w:val="21"/>
                <w:highlight w:val="none"/>
                <w:lang w:val="en-US" w:eastAsia="zh-CN"/>
              </w:rPr>
              <w:t>砂石料</w:t>
            </w: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rPr>
              <w:t>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350000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rPr>
              <w:t>平均品位</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rPr>
              <w:t>元素质量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restart"/>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粉尘</w:t>
            </w: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cs="Times New Roman"/>
                <w:sz w:val="21"/>
                <w:szCs w:val="21"/>
                <w:highlight w:val="none"/>
                <w:lang w:val="en-US" w:eastAsia="zh-CN"/>
              </w:rPr>
              <w:t>9.447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平均品位</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元素质量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sz w:val="21"/>
                <w:szCs w:val="21"/>
                <w:highlight w:val="none"/>
                <w:lang w:val="en-US" w:eastAsia="zh-CN"/>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restart"/>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废钢球</w:t>
            </w: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平均品位</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kern w:val="2"/>
                <w:sz w:val="21"/>
                <w:szCs w:val="21"/>
                <w:highlight w:val="none"/>
              </w:rPr>
            </w:pPr>
          </w:p>
        </w:tc>
        <w:tc>
          <w:tcPr>
            <w:tcW w:w="1820"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元素质量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72" w:type="dxa"/>
            <w:vMerge w:val="continue"/>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1820"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bCs/>
                <w:kern w:val="2"/>
                <w:sz w:val="21"/>
                <w:szCs w:val="21"/>
                <w:highlight w:val="none"/>
              </w:rPr>
            </w:pPr>
            <w:r>
              <w:rPr>
                <w:rFonts w:hint="default" w:ascii="Times New Roman" w:hAnsi="Times New Roman" w:eastAsia="宋体" w:cs="Times New Roman"/>
                <w:bCs/>
                <w:kern w:val="2"/>
                <w:sz w:val="21"/>
                <w:szCs w:val="21"/>
                <w:highlight w:val="none"/>
              </w:rPr>
              <w:t>合计</w:t>
            </w:r>
          </w:p>
        </w:tc>
        <w:tc>
          <w:tcPr>
            <w:tcW w:w="2272"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元素质量</w:t>
            </w:r>
          </w:p>
        </w:tc>
        <w:tc>
          <w:tcPr>
            <w:tcW w:w="2158" w:type="dxa"/>
            <w:tcBorders>
              <w:tl2br w:val="nil"/>
              <w:tr2bl w:val="nil"/>
            </w:tcBorders>
            <w:vAlign w:val="center"/>
          </w:tcPr>
          <w:p>
            <w:pPr>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275105</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221" w:lineRule="auto"/>
        <w:ind w:left="17"/>
        <w:textAlignment w:val="baseline"/>
        <w:outlineLvl w:val="1"/>
        <w:rPr>
          <w:rFonts w:hint="default" w:ascii="Times New Roman" w:hAnsi="Times New Roman" w:eastAsia="宋体" w:cs="Times New Roman"/>
          <w:sz w:val="28"/>
          <w:szCs w:val="28"/>
          <w:highlight w:val="none"/>
        </w:rPr>
      </w:pPr>
      <w:bookmarkStart w:id="188" w:name="_Toc10756"/>
      <w:bookmarkStart w:id="189" w:name="_Toc6660"/>
      <w:bookmarkStart w:id="190" w:name="_Toc22796"/>
      <w:r>
        <w:rPr>
          <w:rFonts w:hint="default" w:ascii="Times New Roman" w:hAnsi="Times New Roman" w:eastAsia="Times New Roman" w:cs="Times New Roman"/>
          <w:b/>
          <w:bCs/>
          <w:spacing w:val="1"/>
          <w:sz w:val="28"/>
          <w:szCs w:val="28"/>
          <w:highlight w:val="none"/>
        </w:rPr>
        <w:t>3.</w:t>
      </w:r>
      <w:r>
        <w:rPr>
          <w:rFonts w:hint="eastAsia" w:ascii="Times New Roman" w:hAnsi="Times New Roman" w:eastAsia="宋体" w:cs="Times New Roman"/>
          <w:b/>
          <w:bCs/>
          <w:spacing w:val="1"/>
          <w:sz w:val="28"/>
          <w:szCs w:val="28"/>
          <w:highlight w:val="none"/>
          <w:lang w:val="en-US" w:eastAsia="zh-CN"/>
        </w:rPr>
        <w:t>3</w:t>
      </w:r>
      <w:r>
        <w:rPr>
          <w:rFonts w:hint="default" w:ascii="Times New Roman" w:hAnsi="Times New Roman" w:eastAsia="Times New Roman" w:cs="Times New Roman"/>
          <w:spacing w:val="1"/>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污染源</w:t>
      </w:r>
      <w:r>
        <w:rPr>
          <w:rFonts w:hint="eastAsia" w:ascii="Times New Roman" w:hAnsi="Times New Roman" w:eastAsia="宋体" w:cs="Times New Roman"/>
          <w:sz w:val="28"/>
          <w:szCs w:val="28"/>
          <w:highlight w:val="none"/>
          <w:lang w:val="en-US" w:eastAsia="zh-CN"/>
          <w14:textOutline w14:w="5103" w14:cap="sq" w14:cmpd="sng">
            <w14:solidFill>
              <w14:srgbClr w14:val="000000"/>
            </w14:solidFill>
            <w14:prstDash w14:val="solid"/>
            <w14:bevel/>
          </w14:textOutline>
        </w:rPr>
        <w:t>源强</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核算</w:t>
      </w:r>
      <w:bookmarkEnd w:id="188"/>
      <w:bookmarkEnd w:id="189"/>
      <w:bookmarkEnd w:id="190"/>
    </w:p>
    <w:p>
      <w:pPr>
        <w:spacing w:before="75" w:line="227" w:lineRule="auto"/>
        <w:ind w:left="15"/>
        <w:outlineLvl w:val="2"/>
        <w:rPr>
          <w:rFonts w:hint="default" w:ascii="Times New Roman" w:hAnsi="Times New Roman" w:eastAsia="宋体" w:cs="Times New Roman"/>
          <w:spacing w:val="4"/>
          <w:sz w:val="23"/>
          <w:szCs w:val="23"/>
          <w:highlight w:val="none"/>
          <w:lang w:val="en-US" w:eastAsia="zh-CN"/>
          <w14:textOutline w14:w="4358" w14:cap="sq" w14:cmpd="sng">
            <w14:solidFill>
              <w14:srgbClr w14:val="000000"/>
            </w14:solidFill>
            <w14:prstDash w14:val="solid"/>
            <w14:bevel/>
          </w14:textOutline>
        </w:rPr>
      </w:pPr>
      <w:bookmarkStart w:id="191" w:name="_Toc25863"/>
      <w:bookmarkStart w:id="192" w:name="_Toc8146"/>
      <w:bookmarkStart w:id="193" w:name="_Toc8313"/>
      <w:r>
        <w:rPr>
          <w:rFonts w:hint="default" w:ascii="Times New Roman" w:hAnsi="Times New Roman" w:eastAsia="Times New Roman" w:cs="Times New Roman"/>
          <w:b/>
          <w:bCs/>
          <w:spacing w:val="8"/>
          <w:sz w:val="23"/>
          <w:szCs w:val="23"/>
          <w:highlight w:val="none"/>
        </w:rPr>
        <w:t>3</w:t>
      </w:r>
      <w:r>
        <w:rPr>
          <w:rFonts w:hint="default" w:ascii="Times New Roman" w:hAnsi="Times New Roman" w:eastAsia="Times New Roman" w:cs="Times New Roman"/>
          <w:b/>
          <w:bCs/>
          <w:spacing w:val="5"/>
          <w:sz w:val="23"/>
          <w:szCs w:val="23"/>
          <w:highlight w:val="none"/>
        </w:rPr>
        <w:t>.</w:t>
      </w:r>
      <w:r>
        <w:rPr>
          <w:rFonts w:hint="eastAsia" w:ascii="Times New Roman" w:hAnsi="Times New Roman" w:eastAsia="宋体" w:cs="Times New Roman"/>
          <w:b/>
          <w:bCs/>
          <w:spacing w:val="4"/>
          <w:sz w:val="23"/>
          <w:szCs w:val="23"/>
          <w:highlight w:val="none"/>
          <w:lang w:val="en-US" w:eastAsia="zh-CN"/>
        </w:rPr>
        <w:t>3</w:t>
      </w:r>
      <w:r>
        <w:rPr>
          <w:rFonts w:hint="default" w:ascii="Times New Roman" w:hAnsi="Times New Roman" w:eastAsia="Times New Roman" w:cs="Times New Roman"/>
          <w:b/>
          <w:bCs/>
          <w:spacing w:val="4"/>
          <w:sz w:val="23"/>
          <w:szCs w:val="23"/>
          <w:highlight w:val="none"/>
        </w:rPr>
        <w:t>.1</w:t>
      </w:r>
      <w:r>
        <w:rPr>
          <w:rFonts w:hint="default" w:ascii="Times New Roman" w:hAnsi="Times New Roman" w:eastAsia="Times New Roman" w:cs="Times New Roman"/>
          <w:spacing w:val="4"/>
          <w:sz w:val="23"/>
          <w:szCs w:val="23"/>
          <w:highlight w:val="none"/>
        </w:rPr>
        <w:t xml:space="preserve">  </w:t>
      </w:r>
      <w:r>
        <w:rPr>
          <w:rFonts w:hint="eastAsia" w:ascii="Times New Roman" w:hAnsi="Times New Roman" w:eastAsia="宋体" w:cs="Times New Roman"/>
          <w:spacing w:val="4"/>
          <w:sz w:val="23"/>
          <w:szCs w:val="23"/>
          <w:highlight w:val="none"/>
          <w:lang w:val="en-US" w:eastAsia="zh-CN"/>
          <w14:textOutline w14:w="4358" w14:cap="sq" w14:cmpd="sng">
            <w14:solidFill>
              <w14:srgbClr w14:val="000000"/>
            </w14:solidFill>
            <w14:prstDash w14:val="solid"/>
            <w14:bevel/>
          </w14:textOutline>
        </w:rPr>
        <w:t>施工期环境影响因素及污染源强核算</w:t>
      </w:r>
      <w:bookmarkEnd w:id="191"/>
      <w:bookmarkEnd w:id="192"/>
      <w:bookmarkEnd w:id="193"/>
    </w:p>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50" w:after="0" w:afterLines="0" w:line="460" w:lineRule="exact"/>
        <w:textAlignment w:val="auto"/>
        <w:outlineLvl w:val="3"/>
        <w:rPr>
          <w:rFonts w:hint="default" w:ascii="Times New Roman" w:hAnsi="Times New Roman" w:cs="Times New Roman"/>
          <w:b w:val="0"/>
          <w:bCs/>
          <w:sz w:val="23"/>
          <w:szCs w:val="23"/>
          <w:highlight w:val="none"/>
          <w:lang w:val="en-US" w:eastAsia="zh-CN"/>
        </w:rPr>
      </w:pPr>
      <w:r>
        <w:rPr>
          <w:rFonts w:hint="eastAsia" w:ascii="Times New Roman" w:hAnsi="Times New Roman" w:cs="Times New Roman"/>
          <w:b w:val="0"/>
          <w:bCs/>
          <w:sz w:val="23"/>
          <w:szCs w:val="23"/>
          <w:highlight w:val="none"/>
          <w:lang w:val="en-US" w:eastAsia="zh-CN"/>
        </w:rPr>
        <w:t>3.3.1.1大气污染源</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本项目施工期大气污染源主要为土建及场地平整等过程产生的扬尘，以及运输车辆、施工机械产生的燃油废气。</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（1）扬尘</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施工过程中场地平整等过程产生的扬尘使周边空气环境中的TSP浓度增加。根据类比资料，施工扬尘的起尘量与许多因素有关。影响起尘量的因素包括：基础施工起尘量、施工渣土堆场起尘量、进出车辆夹带泥砂量、弃土外运装载起尘量以及起尘高度、采取的防护措施、空气湿度、风速等因素有关。施工现场周围扬尘浓度与源强大小及距离有关。根据类似项目的现场测定，施工扬尘一般在洒水情况下，扬尘量会小于土方量的0.1％；在干燥情况下，可以达到土方量的1%以上，影响距离不大于100m；在洒水和避免大风日施工情况下，下风向50m处TSP预测浓度会小于0.3mg/m</w:t>
      </w:r>
      <w:r>
        <w:rPr>
          <w:rFonts w:hint="default" w:ascii="Times New Roman" w:hAnsi="Times New Roman" w:cs="Times New Roman"/>
          <w:bCs/>
          <w:sz w:val="23"/>
          <w:szCs w:val="23"/>
          <w:highlight w:val="none"/>
          <w:vertAlign w:val="superscript"/>
        </w:rPr>
        <w:t>3</w:t>
      </w:r>
      <w:r>
        <w:rPr>
          <w:rFonts w:hint="default" w:ascii="Times New Roman" w:hAnsi="Times New Roman" w:cs="Times New Roman"/>
          <w:bCs/>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（2）施工机械、机动车辆排放的尾气</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施工中将会有各种工程及运输用车来往于施工现场，主要有运输卡车、翻斗车、挖掘机、铲车、推土机等。一般燃汽油和柴油卡车排放的尾气中均含有颗粒物、CO、NOx等有害物质。</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施工现场汽车尾气对大气环境的影响有如下几个特点：</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①车辆在施工现场范围内活动，尾气呈面源污染形式；</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②汽车排气筒高度较低，尾气扩散范围不大，对周围地区影响较小；</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③车辆为非连续行驶状态，污染物排放时间及排放量相对较小。</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因此建议尽量选用低能耗、低污染排放的施工机械、车辆，对于排放废气较多的车辆，应安装尾气净化装置。另外，应尽量选用质量高、对大气环境影响小的燃料。要加强机械、车辆的管理和维修，尽量减少因机械、车辆状况不佳造成的空气污染。</w:t>
      </w:r>
    </w:p>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50" w:after="0" w:afterLines="0" w:line="460" w:lineRule="exact"/>
        <w:textAlignment w:val="auto"/>
        <w:outlineLvl w:val="3"/>
        <w:rPr>
          <w:rFonts w:hint="default" w:ascii="Times New Roman" w:hAnsi="Times New Roman" w:cs="Times New Roman"/>
          <w:b w:val="0"/>
          <w:bCs/>
          <w:sz w:val="23"/>
          <w:szCs w:val="23"/>
          <w:highlight w:val="none"/>
          <w:lang w:val="en-US" w:eastAsia="zh-CN"/>
        </w:rPr>
      </w:pPr>
      <w:r>
        <w:rPr>
          <w:rFonts w:hint="default" w:ascii="Times New Roman" w:hAnsi="Times New Roman" w:cs="Times New Roman"/>
          <w:b w:val="0"/>
          <w:bCs/>
          <w:sz w:val="23"/>
          <w:szCs w:val="23"/>
          <w:highlight w:val="none"/>
          <w:lang w:val="en-US" w:eastAsia="zh-CN"/>
        </w:rPr>
        <w:t>3.3.1.2废水污染源</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lang w:val="en-GB"/>
        </w:rPr>
      </w:pPr>
      <w:r>
        <w:rPr>
          <w:rFonts w:hint="default" w:ascii="Times New Roman" w:hAnsi="Times New Roman" w:cs="Times New Roman"/>
          <w:bCs/>
          <w:sz w:val="23"/>
          <w:szCs w:val="23"/>
          <w:highlight w:val="none"/>
        </w:rPr>
        <w:t>本项目施工期间产生的废水主要为施工作业废水和施工人员的生活污水。</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（1）施工废水</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本项目施工期废水来源主要为路面喷洒降尘、施工设备和运输车辆冲洗、混凝土养护等。这部分废水排放量较少，含有的主要污染物质为泥沙，不含有害物质和其他有机物。</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施工废水中的主要水质污染指标为SS，根据同类项目作类比分析，不经处理的废水中SS浓度最高可达10000mg/L左右。此部分废水水质单一，采用沉淀池预处理后重复使用，不外排。</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此外，动力、运输设备的清洗废水主要含有石油类和悬浮物，施工场地设置简易防渗沉淀池和隔油池，将废水引入沉淀池和隔油池内沉淀、隔油后，上层清水可用于施工现场降尘、车辆清洗等作业，不外排，回收浮油进行无害化集中处理。</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（2）施工人员生活污水</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施工工人生活污水主要水污染物为COD</w:t>
      </w:r>
      <w:r>
        <w:rPr>
          <w:rFonts w:hint="default" w:ascii="Times New Roman" w:hAnsi="Times New Roman" w:cs="Times New Roman"/>
          <w:bCs/>
          <w:sz w:val="23"/>
          <w:szCs w:val="23"/>
          <w:highlight w:val="none"/>
          <w:vertAlign w:val="subscript"/>
        </w:rPr>
        <w:t>Cr</w:t>
      </w:r>
      <w:r>
        <w:rPr>
          <w:rFonts w:hint="default" w:ascii="Times New Roman" w:hAnsi="Times New Roman" w:cs="Times New Roman"/>
          <w:bCs/>
          <w:sz w:val="23"/>
          <w:szCs w:val="23"/>
          <w:highlight w:val="none"/>
        </w:rPr>
        <w:t>、BOD</w:t>
      </w:r>
      <w:r>
        <w:rPr>
          <w:rFonts w:hint="default" w:ascii="Times New Roman" w:hAnsi="Times New Roman" w:cs="Times New Roman"/>
          <w:bCs/>
          <w:sz w:val="23"/>
          <w:szCs w:val="23"/>
          <w:highlight w:val="none"/>
          <w:vertAlign w:val="subscript"/>
        </w:rPr>
        <w:t>5</w:t>
      </w:r>
      <w:r>
        <w:rPr>
          <w:rFonts w:hint="default" w:ascii="Times New Roman" w:hAnsi="Times New Roman" w:cs="Times New Roman"/>
          <w:bCs/>
          <w:sz w:val="23"/>
          <w:szCs w:val="23"/>
          <w:highlight w:val="none"/>
        </w:rPr>
        <w:t>、SS、NH</w:t>
      </w:r>
      <w:r>
        <w:rPr>
          <w:rFonts w:hint="default" w:ascii="Times New Roman" w:hAnsi="Times New Roman" w:cs="Times New Roman"/>
          <w:bCs/>
          <w:sz w:val="23"/>
          <w:szCs w:val="23"/>
          <w:highlight w:val="none"/>
          <w:vertAlign w:val="subscript"/>
        </w:rPr>
        <w:t>3</w:t>
      </w:r>
      <w:r>
        <w:rPr>
          <w:rFonts w:hint="default" w:ascii="Times New Roman" w:hAnsi="Times New Roman" w:cs="Times New Roman"/>
          <w:bCs/>
          <w:sz w:val="23"/>
          <w:szCs w:val="23"/>
          <w:highlight w:val="none"/>
        </w:rPr>
        <w:t>-N。项目施工期间日均施工人数为10人，工程施工期为10个月，工人生活用水量按30L/（人·天）计，则本项目施工期生活用水量约90m</w:t>
      </w:r>
      <w:r>
        <w:rPr>
          <w:rFonts w:hint="default" w:ascii="Times New Roman" w:hAnsi="Times New Roman" w:cs="Times New Roman"/>
          <w:bCs/>
          <w:sz w:val="23"/>
          <w:szCs w:val="23"/>
          <w:highlight w:val="none"/>
          <w:vertAlign w:val="superscript"/>
        </w:rPr>
        <w:t>3</w:t>
      </w:r>
      <w:r>
        <w:rPr>
          <w:rFonts w:hint="default" w:ascii="Times New Roman" w:hAnsi="Times New Roman" w:cs="Times New Roman"/>
          <w:bCs/>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生活污水为施工工人的盥洗废水，经收集后用于厂区道路洒水抑尘，不外排</w:t>
      </w:r>
      <w:r>
        <w:rPr>
          <w:rFonts w:hint="default" w:ascii="Times New Roman" w:hAnsi="Times New Roman" w:cs="Times New Roman"/>
          <w:sz w:val="23"/>
          <w:szCs w:val="23"/>
          <w:highlight w:val="none"/>
        </w:rPr>
        <w:t>。</w:t>
      </w:r>
    </w:p>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50" w:after="0" w:afterLines="0" w:line="460" w:lineRule="exact"/>
        <w:textAlignment w:val="auto"/>
        <w:outlineLvl w:val="3"/>
        <w:rPr>
          <w:rFonts w:hint="default" w:ascii="Times New Roman" w:hAnsi="Times New Roman" w:cs="Times New Roman"/>
          <w:b w:val="0"/>
          <w:bCs/>
          <w:sz w:val="23"/>
          <w:szCs w:val="23"/>
          <w:highlight w:val="none"/>
          <w:lang w:val="en-US" w:eastAsia="zh-CN"/>
        </w:rPr>
      </w:pPr>
      <w:r>
        <w:rPr>
          <w:rFonts w:hint="default" w:ascii="Times New Roman" w:hAnsi="Times New Roman" w:cs="Times New Roman"/>
          <w:b w:val="0"/>
          <w:bCs/>
          <w:sz w:val="23"/>
          <w:szCs w:val="23"/>
          <w:highlight w:val="none"/>
          <w:lang w:val="en-US" w:eastAsia="zh-CN"/>
        </w:rPr>
        <w:t>3.3.1.3 噪声污染源</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施工期噪声主要为施工现场的各类机械设备噪声以及物料运输过程中的交通噪声。</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施工现场噪声通常以施工机械噪声为主。根据本项目施工的特点，施工场地的主要噪声源为各类高噪声机械设备，如挖掘机、装载机等。施工机械的噪声特点是间歇或阵发性的，并具有流动性、噪声较高的特征，噪声值一般高于80dB（A）。</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施工期间另一个重要的噪声源是施工运输车辆产生的交通噪声，一般声级可达到85~90dB（A）。</w:t>
      </w:r>
    </w:p>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50" w:after="0" w:afterLines="0" w:line="460" w:lineRule="exact"/>
        <w:textAlignment w:val="auto"/>
        <w:outlineLvl w:val="3"/>
        <w:rPr>
          <w:rFonts w:hint="default" w:ascii="Times New Roman" w:hAnsi="Times New Roman" w:cs="Times New Roman"/>
          <w:b w:val="0"/>
          <w:bCs/>
          <w:sz w:val="23"/>
          <w:szCs w:val="23"/>
          <w:highlight w:val="none"/>
          <w:lang w:val="en-US" w:eastAsia="zh-CN"/>
        </w:rPr>
      </w:pPr>
      <w:r>
        <w:rPr>
          <w:rFonts w:hint="default" w:ascii="Times New Roman" w:hAnsi="Times New Roman" w:cs="Times New Roman"/>
          <w:b w:val="0"/>
          <w:bCs/>
          <w:sz w:val="23"/>
          <w:szCs w:val="23"/>
          <w:highlight w:val="none"/>
          <w:lang w:val="en-US" w:eastAsia="zh-CN"/>
        </w:rPr>
        <w:t>3.3.1.4固体废物</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本项目施工期产生的固体废物主要为施工产生的建筑垃圾、废弃土石方和施工人员产生的生活垃圾。</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（1）建筑垃圾</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项目工程施工过程中产生的建筑垃圾，主要为废砂浆混凝土、下脚料、废施工材料等，总产生量约为0.8万m</w:t>
      </w:r>
      <w:r>
        <w:rPr>
          <w:rFonts w:hint="default" w:ascii="Times New Roman" w:hAnsi="Times New Roman" w:cs="Times New Roman"/>
          <w:bCs/>
          <w:sz w:val="23"/>
          <w:szCs w:val="23"/>
          <w:highlight w:val="none"/>
          <w:vertAlign w:val="superscript"/>
        </w:rPr>
        <w:t>3</w:t>
      </w:r>
      <w:r>
        <w:rPr>
          <w:rFonts w:hint="default" w:ascii="Times New Roman" w:hAnsi="Times New Roman" w:cs="Times New Roman"/>
          <w:bCs/>
          <w:sz w:val="23"/>
          <w:szCs w:val="23"/>
          <w:highlight w:val="none"/>
        </w:rPr>
        <w:t>，</w:t>
      </w:r>
      <w:bookmarkStart w:id="194" w:name="_Hlk4969368"/>
      <w:r>
        <w:rPr>
          <w:rFonts w:hint="default" w:ascii="Times New Roman" w:hAnsi="Times New Roman" w:cs="Times New Roman"/>
          <w:bCs/>
          <w:sz w:val="23"/>
          <w:szCs w:val="23"/>
          <w:highlight w:val="none"/>
        </w:rPr>
        <w:t>全部运往遵化市垃圾渣土管理部门指定的渣土消纳场进行正规消纳处理。</w:t>
      </w:r>
      <w:bookmarkEnd w:id="194"/>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（2）废弃土石方</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废弃土石方主要来自场地平整过程中的土石盈余，对产生的废弃土方全部运往遵化市垃圾渣土管理部门指定的渣土消纳场进行正规消纳处理。</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（3）生活垃圾</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施工期的生活垃圾为施工人员休息、就餐时产生，主要为废纸、废包装物、剩饭剩菜、饭盒等。项目施工人数为10人，每人每天产生垃圾按0.2kg计，施工期10个月，则生活垃圾总量约为0.6吨。</w:t>
      </w:r>
    </w:p>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50" w:after="0" w:afterLines="0" w:line="460" w:lineRule="exact"/>
        <w:textAlignment w:val="auto"/>
        <w:outlineLvl w:val="3"/>
        <w:rPr>
          <w:rFonts w:hint="default" w:ascii="Times New Roman" w:hAnsi="Times New Roman" w:cs="Times New Roman"/>
          <w:b w:val="0"/>
          <w:bCs/>
          <w:sz w:val="23"/>
          <w:szCs w:val="23"/>
          <w:highlight w:val="none"/>
          <w:lang w:val="en-US" w:eastAsia="zh-CN"/>
        </w:rPr>
      </w:pPr>
      <w:r>
        <w:rPr>
          <w:rFonts w:hint="default" w:ascii="Times New Roman" w:hAnsi="Times New Roman" w:cs="Times New Roman"/>
          <w:b w:val="0"/>
          <w:bCs/>
          <w:sz w:val="23"/>
          <w:szCs w:val="23"/>
          <w:highlight w:val="none"/>
          <w:lang w:val="en-US" w:eastAsia="zh-CN"/>
        </w:rPr>
        <w:t>3.3.1.5生态环境</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本项目在现有</w:t>
      </w:r>
      <w:r>
        <w:rPr>
          <w:rFonts w:hint="default" w:ascii="Times New Roman" w:hAnsi="Times New Roman" w:cs="Times New Roman"/>
          <w:bCs/>
          <w:sz w:val="23"/>
          <w:szCs w:val="23"/>
          <w:highlight w:val="none"/>
          <w:lang w:val="en-US" w:eastAsia="zh-CN"/>
        </w:rPr>
        <w:t>厂区</w:t>
      </w:r>
      <w:r>
        <w:rPr>
          <w:rFonts w:hint="default" w:ascii="Times New Roman" w:hAnsi="Times New Roman" w:cs="Times New Roman"/>
          <w:bCs/>
          <w:sz w:val="23"/>
          <w:szCs w:val="23"/>
          <w:highlight w:val="none"/>
        </w:rPr>
        <w:t>内进行施工，不会改变原有土地性质。环评建议施工与绿化同步，围挡布置尽量与周围景观环境相协调，并要求建筑施工工地必须严格按照项目环境影响评价确定的施工全过程污染防治实施方案要求，组织落实各项污染防治措施，有效控制建设项目施工期间对生态环境造成的影响。</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上述施工过程中产生的污染都是暂时的、局部的，且随着施工过程的结束，该污染也将消失。</w:t>
      </w:r>
    </w:p>
    <w:p>
      <w:pPr>
        <w:spacing w:before="75" w:line="227" w:lineRule="auto"/>
        <w:ind w:left="15"/>
        <w:outlineLvl w:val="2"/>
        <w:rPr>
          <w:rFonts w:hint="default" w:ascii="Times New Roman" w:hAnsi="Times New Roman" w:eastAsia="宋体" w:cs="Times New Roman"/>
          <w:spacing w:val="4"/>
          <w:sz w:val="23"/>
          <w:szCs w:val="23"/>
          <w:highlight w:val="none"/>
          <w:lang w:val="en-US" w:eastAsia="zh-CN"/>
          <w14:textOutline w14:w="4358" w14:cap="sq" w14:cmpd="sng">
            <w14:solidFill>
              <w14:srgbClr w14:val="000000"/>
            </w14:solidFill>
            <w14:prstDash w14:val="solid"/>
            <w14:bevel/>
          </w14:textOutline>
        </w:rPr>
      </w:pPr>
      <w:bookmarkStart w:id="195" w:name="_Toc21833"/>
      <w:bookmarkStart w:id="196" w:name="_Toc30463"/>
      <w:bookmarkStart w:id="197" w:name="_Toc21772"/>
      <w:r>
        <w:rPr>
          <w:rFonts w:hint="default" w:ascii="Times New Roman" w:hAnsi="Times New Roman" w:eastAsia="Times New Roman" w:cs="Times New Roman"/>
          <w:b/>
          <w:bCs/>
          <w:spacing w:val="8"/>
          <w:sz w:val="23"/>
          <w:szCs w:val="23"/>
          <w:highlight w:val="none"/>
        </w:rPr>
        <w:t>3</w:t>
      </w:r>
      <w:r>
        <w:rPr>
          <w:rFonts w:hint="default" w:ascii="Times New Roman" w:hAnsi="Times New Roman" w:eastAsia="Times New Roman" w:cs="Times New Roman"/>
          <w:b/>
          <w:bCs/>
          <w:spacing w:val="5"/>
          <w:sz w:val="23"/>
          <w:szCs w:val="23"/>
          <w:highlight w:val="none"/>
        </w:rPr>
        <w:t>.</w:t>
      </w:r>
      <w:r>
        <w:rPr>
          <w:rFonts w:hint="eastAsia" w:ascii="Times New Roman" w:hAnsi="Times New Roman" w:eastAsia="宋体" w:cs="Times New Roman"/>
          <w:b/>
          <w:bCs/>
          <w:spacing w:val="4"/>
          <w:sz w:val="23"/>
          <w:szCs w:val="23"/>
          <w:highlight w:val="none"/>
          <w:lang w:val="en-US" w:eastAsia="zh-CN"/>
        </w:rPr>
        <w:t>3</w:t>
      </w:r>
      <w:r>
        <w:rPr>
          <w:rFonts w:hint="default" w:ascii="Times New Roman" w:hAnsi="Times New Roman" w:eastAsia="Times New Roman" w:cs="Times New Roman"/>
          <w:b/>
          <w:bCs/>
          <w:spacing w:val="4"/>
          <w:sz w:val="23"/>
          <w:szCs w:val="23"/>
          <w:highlight w:val="none"/>
        </w:rPr>
        <w:t>.</w:t>
      </w:r>
      <w:r>
        <w:rPr>
          <w:rFonts w:hint="eastAsia" w:ascii="Times New Roman" w:hAnsi="Times New Roman" w:eastAsia="宋体" w:cs="Times New Roman"/>
          <w:b/>
          <w:bCs/>
          <w:spacing w:val="4"/>
          <w:sz w:val="23"/>
          <w:szCs w:val="23"/>
          <w:highlight w:val="none"/>
          <w:lang w:val="en-US" w:eastAsia="zh-CN"/>
        </w:rPr>
        <w:t>2</w:t>
      </w:r>
      <w:r>
        <w:rPr>
          <w:rFonts w:hint="default" w:ascii="Times New Roman" w:hAnsi="Times New Roman" w:eastAsia="Times New Roman" w:cs="Times New Roman"/>
          <w:spacing w:val="4"/>
          <w:sz w:val="23"/>
          <w:szCs w:val="23"/>
          <w:highlight w:val="none"/>
        </w:rPr>
        <w:t xml:space="preserve"> </w:t>
      </w:r>
      <w:r>
        <w:rPr>
          <w:rFonts w:hint="eastAsia" w:ascii="Times New Roman" w:hAnsi="Times New Roman" w:eastAsia="宋体" w:cs="Times New Roman"/>
          <w:spacing w:val="4"/>
          <w:sz w:val="23"/>
          <w:szCs w:val="23"/>
          <w:highlight w:val="none"/>
          <w:lang w:val="en-US" w:eastAsia="zh-CN"/>
          <w14:textOutline w14:w="4358" w14:cap="sq" w14:cmpd="sng">
            <w14:solidFill>
              <w14:srgbClr w14:val="000000"/>
            </w14:solidFill>
            <w14:prstDash w14:val="solid"/>
            <w14:bevel/>
          </w14:textOutline>
        </w:rPr>
        <w:t>运营期环境影响因素及污染源强核算</w:t>
      </w:r>
      <w:bookmarkEnd w:id="195"/>
      <w:bookmarkEnd w:id="196"/>
      <w:bookmarkEnd w:id="197"/>
    </w:p>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460" w:lineRule="exact"/>
        <w:textAlignment w:val="auto"/>
        <w:outlineLvl w:val="3"/>
        <w:rPr>
          <w:rFonts w:hint="default" w:ascii="Times New Roman" w:hAnsi="Times New Roman" w:cs="Times New Roman"/>
          <w:b w:val="0"/>
          <w:bCs/>
          <w:sz w:val="23"/>
          <w:szCs w:val="23"/>
          <w:highlight w:val="none"/>
          <w:lang w:val="en-US" w:eastAsia="zh-CN"/>
        </w:rPr>
      </w:pPr>
      <w:r>
        <w:rPr>
          <w:rFonts w:hint="default" w:ascii="Times New Roman" w:hAnsi="Times New Roman" w:cs="Times New Roman"/>
          <w:b w:val="0"/>
          <w:bCs/>
          <w:sz w:val="23"/>
          <w:szCs w:val="23"/>
          <w:highlight w:val="none"/>
          <w:lang w:val="en-US" w:eastAsia="zh-CN"/>
        </w:rPr>
        <w:t>3.</w:t>
      </w:r>
      <w:r>
        <w:rPr>
          <w:rFonts w:hint="eastAsia" w:ascii="Times New Roman" w:hAnsi="Times New Roman" w:cs="Times New Roman"/>
          <w:b w:val="0"/>
          <w:bCs/>
          <w:sz w:val="23"/>
          <w:szCs w:val="23"/>
          <w:highlight w:val="none"/>
          <w:lang w:val="en-US" w:eastAsia="zh-CN"/>
        </w:rPr>
        <w:t>3</w:t>
      </w:r>
      <w:r>
        <w:rPr>
          <w:rFonts w:hint="default" w:ascii="Times New Roman" w:hAnsi="Times New Roman" w:cs="Times New Roman"/>
          <w:b w:val="0"/>
          <w:bCs/>
          <w:sz w:val="23"/>
          <w:szCs w:val="23"/>
          <w:highlight w:val="none"/>
          <w:lang w:val="en-US" w:eastAsia="zh-CN"/>
        </w:rPr>
        <w:t>.</w:t>
      </w:r>
      <w:r>
        <w:rPr>
          <w:rFonts w:hint="eastAsia" w:ascii="Times New Roman" w:hAnsi="Times New Roman" w:cs="Times New Roman"/>
          <w:b w:val="0"/>
          <w:bCs/>
          <w:sz w:val="23"/>
          <w:szCs w:val="23"/>
          <w:highlight w:val="none"/>
          <w:lang w:val="en-US" w:eastAsia="zh-CN"/>
        </w:rPr>
        <w:t>2.1</w:t>
      </w:r>
      <w:r>
        <w:rPr>
          <w:rFonts w:hint="default" w:ascii="Times New Roman" w:hAnsi="Times New Roman" w:cs="Times New Roman"/>
          <w:b w:val="0"/>
          <w:bCs/>
          <w:sz w:val="23"/>
          <w:szCs w:val="23"/>
          <w:highlight w:val="none"/>
          <w:lang w:val="en-US" w:eastAsia="zh-CN"/>
        </w:rPr>
        <w:t xml:space="preserve">  废气</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（1）有组织排放颗粒物</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eastAsia" w:ascii="Times New Roman" w:hAnsi="Times New Roman" w:cs="Times New Roman"/>
          <w:sz w:val="23"/>
          <w:szCs w:val="23"/>
          <w:highlight w:val="none"/>
          <w:lang w:val="en-US" w:eastAsia="zh-CN"/>
        </w:rPr>
      </w:pPr>
      <w:r>
        <w:rPr>
          <w:rFonts w:hint="default" w:ascii="Times New Roman" w:hAnsi="Times New Roman" w:cs="Times New Roman"/>
          <w:sz w:val="23"/>
          <w:szCs w:val="23"/>
          <w:highlight w:val="none"/>
        </w:rPr>
        <w:t>本项目</w:t>
      </w:r>
      <w:r>
        <w:rPr>
          <w:rFonts w:hint="default" w:ascii="Times New Roman" w:hAnsi="Times New Roman" w:cs="Times New Roman"/>
          <w:sz w:val="23"/>
          <w:szCs w:val="23"/>
          <w:highlight w:val="none"/>
          <w:lang w:val="en-US" w:eastAsia="zh-CN"/>
        </w:rPr>
        <w:t>新建1座</w:t>
      </w:r>
      <w:r>
        <w:rPr>
          <w:rFonts w:hint="default" w:ascii="Times New Roman" w:hAnsi="Times New Roman" w:cs="Times New Roman"/>
          <w:sz w:val="23"/>
          <w:szCs w:val="23"/>
          <w:highlight w:val="none"/>
        </w:rPr>
        <w:t>破碎车间</w:t>
      </w:r>
      <w:r>
        <w:rPr>
          <w:rFonts w:hint="eastAsia" w:ascii="Times New Roman" w:hAnsi="Times New Roman" w:eastAsia="宋体" w:cs="Times New Roman"/>
          <w:sz w:val="23"/>
          <w:szCs w:val="23"/>
          <w:highlight w:val="none"/>
          <w:lang w:eastAsia="zh-CN"/>
        </w:rPr>
        <w:t>（</w:t>
      </w:r>
      <w:r>
        <w:rPr>
          <w:rFonts w:hint="eastAsia" w:ascii="Times New Roman" w:hAnsi="Times New Roman" w:eastAsia="宋体" w:cs="Times New Roman"/>
          <w:sz w:val="23"/>
          <w:szCs w:val="23"/>
          <w:highlight w:val="none"/>
          <w:lang w:val="en-US" w:eastAsia="zh-CN"/>
        </w:rPr>
        <w:t>5#生产车间</w:t>
      </w:r>
      <w:r>
        <w:rPr>
          <w:rFonts w:hint="eastAsia" w:ascii="Times New Roman" w:hAnsi="Times New Roman" w:eastAsia="宋体" w:cs="Times New Roman"/>
          <w:sz w:val="23"/>
          <w:szCs w:val="23"/>
          <w:highlight w:val="none"/>
          <w:lang w:eastAsia="zh-CN"/>
        </w:rPr>
        <w:t>）</w:t>
      </w:r>
      <w:r>
        <w:rPr>
          <w:rFonts w:hint="default" w:ascii="Times New Roman" w:hAnsi="Times New Roman" w:cs="Times New Roman"/>
          <w:sz w:val="23"/>
          <w:szCs w:val="23"/>
          <w:highlight w:val="none"/>
        </w:rPr>
        <w:t>，</w:t>
      </w:r>
      <w:r>
        <w:rPr>
          <w:rFonts w:hint="eastAsia" w:ascii="Times New Roman" w:hAnsi="Times New Roman" w:eastAsia="宋体" w:cs="Times New Roman"/>
          <w:sz w:val="23"/>
          <w:szCs w:val="23"/>
          <w:highlight w:val="none"/>
          <w:lang w:val="en-US" w:eastAsia="zh-CN"/>
        </w:rPr>
        <w:t>新建1条7#生产线，</w:t>
      </w:r>
      <w:r>
        <w:rPr>
          <w:rFonts w:hint="default" w:ascii="Times New Roman" w:hAnsi="Times New Roman" w:cs="Times New Roman"/>
          <w:sz w:val="23"/>
          <w:szCs w:val="23"/>
          <w:highlight w:val="none"/>
          <w:lang w:val="en-US" w:eastAsia="zh-CN"/>
        </w:rPr>
        <w:t>新增1台颚式破碎机、</w:t>
      </w:r>
      <w:r>
        <w:rPr>
          <w:rFonts w:hint="eastAsia" w:ascii="Times New Roman" w:hAnsi="Times New Roman" w:cs="Times New Roman"/>
          <w:sz w:val="23"/>
          <w:szCs w:val="23"/>
          <w:highlight w:val="none"/>
          <w:lang w:val="en-US" w:eastAsia="zh-CN"/>
        </w:rPr>
        <w:t>2台磁滑轮</w:t>
      </w:r>
      <w:r>
        <w:rPr>
          <w:rFonts w:hint="default" w:ascii="Times New Roman" w:hAnsi="Times New Roman" w:cs="Times New Roman"/>
          <w:sz w:val="23"/>
          <w:szCs w:val="23"/>
          <w:highlight w:val="none"/>
          <w:lang w:val="en-US" w:eastAsia="zh-CN"/>
        </w:rPr>
        <w:t>，</w:t>
      </w:r>
      <w:r>
        <w:rPr>
          <w:rFonts w:hint="eastAsia" w:ascii="Times New Roman" w:hAnsi="Times New Roman" w:cs="Times New Roman"/>
          <w:sz w:val="23"/>
          <w:szCs w:val="23"/>
          <w:highlight w:val="none"/>
          <w:lang w:val="en-US" w:eastAsia="zh-CN"/>
        </w:rPr>
        <w:t>本项目破碎干选后的物料进入厂区现有5#生产线进一步进行磨前加工，5#生产线主要产尘设备包括1台鄂破、1台圆锥破、1台振动筛、1台磁滑轮、1座中转仓，5#生产线</w:t>
      </w:r>
      <w:r>
        <w:rPr>
          <w:rFonts w:hint="default" w:ascii="Times New Roman" w:hAnsi="Times New Roman" w:cs="Times New Roman"/>
          <w:sz w:val="23"/>
          <w:szCs w:val="23"/>
          <w:highlight w:val="none"/>
        </w:rPr>
        <w:t>设</w:t>
      </w:r>
      <w:r>
        <w:rPr>
          <w:rFonts w:hint="eastAsia" w:ascii="Times New Roman" w:hAnsi="Times New Roman" w:eastAsia="宋体" w:cs="Times New Roman"/>
          <w:sz w:val="23"/>
          <w:szCs w:val="23"/>
          <w:highlight w:val="none"/>
          <w:lang w:val="en-US" w:eastAsia="zh-CN"/>
        </w:rPr>
        <w:t>有</w:t>
      </w:r>
      <w:r>
        <w:rPr>
          <w:rFonts w:hint="default" w:ascii="Times New Roman" w:hAnsi="Times New Roman" w:cs="Times New Roman"/>
          <w:sz w:val="23"/>
          <w:szCs w:val="23"/>
          <w:highlight w:val="none"/>
        </w:rPr>
        <w:t>1套离线清灰脉冲布袋除尘器</w:t>
      </w:r>
      <w:r>
        <w:rPr>
          <w:rFonts w:hint="eastAsia" w:ascii="Times New Roman" w:hAnsi="Times New Roman" w:eastAsia="宋体" w:cs="Times New Roman"/>
          <w:sz w:val="23"/>
          <w:szCs w:val="23"/>
          <w:highlight w:val="none"/>
          <w:lang w:eastAsia="zh-CN"/>
        </w:rPr>
        <w:t>（</w:t>
      </w:r>
      <w:r>
        <w:rPr>
          <w:rFonts w:hint="eastAsia" w:ascii="Times New Roman" w:hAnsi="Times New Roman" w:eastAsia="宋体" w:cs="Times New Roman"/>
          <w:sz w:val="23"/>
          <w:szCs w:val="23"/>
          <w:highlight w:val="none"/>
          <w:lang w:val="en-US" w:eastAsia="zh-CN"/>
        </w:rPr>
        <w:t>40000m</w:t>
      </w:r>
      <w:r>
        <w:rPr>
          <w:rFonts w:hint="eastAsia" w:ascii="Times New Roman" w:hAnsi="Times New Roman" w:eastAsia="宋体" w:cs="Times New Roman"/>
          <w:sz w:val="23"/>
          <w:szCs w:val="23"/>
          <w:highlight w:val="none"/>
          <w:vertAlign w:val="superscript"/>
          <w:lang w:val="en-US" w:eastAsia="zh-CN"/>
        </w:rPr>
        <w:t>3</w:t>
      </w:r>
      <w:r>
        <w:rPr>
          <w:rFonts w:hint="eastAsia" w:ascii="Times New Roman" w:hAnsi="Times New Roman" w:eastAsia="宋体" w:cs="Times New Roman"/>
          <w:sz w:val="23"/>
          <w:szCs w:val="23"/>
          <w:highlight w:val="none"/>
          <w:lang w:val="en-US" w:eastAsia="zh-CN"/>
        </w:rPr>
        <w:t>/h</w:t>
      </w:r>
      <w:r>
        <w:rPr>
          <w:rFonts w:hint="eastAsia" w:ascii="Times New Roman" w:hAnsi="Times New Roman" w:eastAsia="宋体" w:cs="Times New Roman"/>
          <w:sz w:val="23"/>
          <w:szCs w:val="23"/>
          <w:highlight w:val="none"/>
          <w:lang w:eastAsia="zh-CN"/>
        </w:rPr>
        <w:t>）</w:t>
      </w:r>
      <w:r>
        <w:rPr>
          <w:rFonts w:hint="eastAsia" w:ascii="Times New Roman" w:hAnsi="Times New Roman" w:cs="Times New Roman"/>
          <w:sz w:val="23"/>
          <w:szCs w:val="23"/>
          <w:highlight w:val="none"/>
          <w:lang w:val="en-US" w:eastAsia="zh-CN"/>
        </w:rPr>
        <w:t>。</w:t>
      </w:r>
    </w:p>
    <w:p>
      <w:pPr>
        <w:spacing w:before="75" w:line="403" w:lineRule="auto"/>
        <w:ind w:left="21" w:firstLine="481"/>
        <w:jc w:val="both"/>
        <w:rPr>
          <w:rFonts w:hint="default" w:ascii="Times New Roman" w:hAnsi="Times New Roman" w:cs="Times New Roman"/>
          <w:bCs/>
          <w:sz w:val="23"/>
          <w:szCs w:val="23"/>
          <w:highlight w:val="none"/>
        </w:rPr>
      </w:pPr>
      <w:r>
        <w:rPr>
          <w:rFonts w:hint="eastAsia" w:ascii="Times New Roman" w:hAnsi="Times New Roman" w:eastAsia="宋体" w:cs="Times New Roman"/>
          <w:spacing w:val="4"/>
          <w:sz w:val="23"/>
          <w:szCs w:val="23"/>
          <w:highlight w:val="none"/>
          <w:lang w:val="en-US" w:eastAsia="zh-CN"/>
        </w:rPr>
        <w:t>5</w:t>
      </w:r>
      <w:r>
        <w:rPr>
          <w:rFonts w:hint="default" w:ascii="Times New Roman" w:hAnsi="Times New Roman" w:eastAsia="宋体" w:cs="Times New Roman"/>
          <w:spacing w:val="4"/>
          <w:sz w:val="23"/>
          <w:szCs w:val="23"/>
          <w:highlight w:val="none"/>
          <w:lang w:val="en-US" w:eastAsia="zh-CN"/>
        </w:rPr>
        <w:t>#生产线每天 1班，每班 8 小时工作制，仅白天生产</w:t>
      </w:r>
      <w:r>
        <w:rPr>
          <w:rFonts w:hint="eastAsia" w:ascii="Times New Roman" w:hAnsi="Times New Roman" w:eastAsia="宋体" w:cs="Times New Roman"/>
          <w:spacing w:val="4"/>
          <w:sz w:val="23"/>
          <w:szCs w:val="23"/>
          <w:highlight w:val="none"/>
          <w:lang w:val="en-US" w:eastAsia="zh-CN"/>
        </w:rPr>
        <w:t>，本项目新建</w:t>
      </w:r>
      <w:r>
        <w:rPr>
          <w:rFonts w:hint="eastAsia" w:ascii="Times New Roman" w:hAnsi="Times New Roman" w:eastAsia="宋体" w:cs="Times New Roman"/>
          <w:sz w:val="23"/>
          <w:szCs w:val="23"/>
          <w:highlight w:val="none"/>
          <w:lang w:val="en-US" w:eastAsia="zh-CN"/>
        </w:rPr>
        <w:t>7#生产线</w:t>
      </w:r>
      <w:r>
        <w:rPr>
          <w:rFonts w:hint="default" w:ascii="Times New Roman" w:hAnsi="Times New Roman" w:eastAsia="宋体" w:cs="Times New Roman"/>
          <w:spacing w:val="4"/>
          <w:sz w:val="23"/>
          <w:szCs w:val="23"/>
          <w:highlight w:val="none"/>
          <w:lang w:val="en-US" w:eastAsia="zh-CN"/>
        </w:rPr>
        <w:t>每天 1班，每班 8 小时工作制，</w:t>
      </w:r>
      <w:r>
        <w:rPr>
          <w:rFonts w:hint="eastAsia" w:ascii="Times New Roman" w:hAnsi="Times New Roman" w:eastAsia="宋体" w:cs="Times New Roman"/>
          <w:spacing w:val="4"/>
          <w:sz w:val="23"/>
          <w:szCs w:val="23"/>
          <w:highlight w:val="none"/>
          <w:lang w:val="en-US" w:eastAsia="zh-CN"/>
        </w:rPr>
        <w:t>拟在5</w:t>
      </w:r>
      <w:r>
        <w:rPr>
          <w:rFonts w:hint="default" w:ascii="Times New Roman" w:hAnsi="Times New Roman" w:eastAsia="宋体" w:cs="Times New Roman"/>
          <w:spacing w:val="4"/>
          <w:sz w:val="23"/>
          <w:szCs w:val="23"/>
          <w:highlight w:val="none"/>
          <w:lang w:val="en-US" w:eastAsia="zh-CN"/>
        </w:rPr>
        <w:t>#生产线</w:t>
      </w:r>
      <w:r>
        <w:rPr>
          <w:rFonts w:hint="eastAsia" w:ascii="Times New Roman" w:hAnsi="Times New Roman" w:eastAsia="宋体" w:cs="Times New Roman"/>
          <w:spacing w:val="4"/>
          <w:sz w:val="23"/>
          <w:szCs w:val="23"/>
          <w:highlight w:val="none"/>
          <w:lang w:val="en-US" w:eastAsia="zh-CN"/>
        </w:rPr>
        <w:t>停产时间段进行生产，利用</w:t>
      </w:r>
      <w:r>
        <w:rPr>
          <w:rFonts w:hint="eastAsia" w:ascii="Times New Roman" w:hAnsi="Times New Roman" w:cs="Times New Roman"/>
          <w:sz w:val="23"/>
          <w:szCs w:val="23"/>
          <w:highlight w:val="none"/>
          <w:lang w:val="en-US" w:eastAsia="zh-CN"/>
        </w:rPr>
        <w:t>5#生产线现有设备、设施（圆锥破、振动筛、中转仓等）进一步对原料进行磨前加工，并利用5#生产线现有除尘设施进行废气处理</w:t>
      </w:r>
      <w:bookmarkStart w:id="198" w:name="_Hlk525292128"/>
      <w:r>
        <w:rPr>
          <w:rFonts w:hint="default" w:ascii="Times New Roman" w:hAnsi="Times New Roman" w:cs="Times New Roman"/>
          <w:sz w:val="23"/>
          <w:szCs w:val="23"/>
          <w:highlight w:val="none"/>
        </w:rPr>
        <w:t>，处理后由</w:t>
      </w:r>
      <w:r>
        <w:rPr>
          <w:rFonts w:hint="eastAsia" w:ascii="Times New Roman" w:hAnsi="Times New Roman" w:eastAsia="宋体" w:cs="Times New Roman"/>
          <w:sz w:val="23"/>
          <w:szCs w:val="23"/>
          <w:highlight w:val="none"/>
          <w:lang w:val="en-US" w:eastAsia="zh-CN"/>
        </w:rPr>
        <w:t>19</w:t>
      </w:r>
      <w:r>
        <w:rPr>
          <w:rFonts w:hint="default" w:ascii="Times New Roman" w:hAnsi="Times New Roman" w:cs="Times New Roman"/>
          <w:sz w:val="23"/>
          <w:szCs w:val="23"/>
          <w:highlight w:val="none"/>
        </w:rPr>
        <w:t>m高的排气筒排放</w:t>
      </w:r>
      <w:bookmarkEnd w:id="198"/>
      <w:r>
        <w:rPr>
          <w:rFonts w:hint="default" w:ascii="Times New Roman" w:hAnsi="Times New Roman" w:cs="Times New Roman"/>
          <w:bCs/>
          <w:sz w:val="23"/>
          <w:szCs w:val="23"/>
          <w:highlight w:val="none"/>
        </w:rPr>
        <w:t>。</w:t>
      </w:r>
    </w:p>
    <w:p>
      <w:pPr>
        <w:pStyle w:val="2"/>
        <w:rPr>
          <w:rFonts w:hint="default" w:eastAsia="宋体"/>
          <w:highlight w:val="none"/>
          <w:lang w:val="en-US" w:eastAsia="zh-CN"/>
        </w:rPr>
      </w:pPr>
      <w:r>
        <w:rPr>
          <w:rFonts w:hint="eastAsia" w:ascii="Times New Roman" w:hAnsi="Times New Roman" w:eastAsia="宋体" w:cs="Times New Roman"/>
          <w:bCs/>
          <w:sz w:val="23"/>
          <w:szCs w:val="23"/>
          <w:highlight w:val="none"/>
          <w:lang w:val="en-US" w:eastAsia="zh-CN"/>
        </w:rPr>
        <w:t>本项目新增铁</w:t>
      </w:r>
      <w:r>
        <w:rPr>
          <w:rFonts w:hint="eastAsia" w:ascii="Times New Roman" w:hAnsi="Times New Roman" w:eastAsia="宋体" w:cs="Times New Roman"/>
          <w:sz w:val="23"/>
          <w:szCs w:val="23"/>
          <w:highlight w:val="none"/>
          <w:lang w:val="en-US" w:eastAsia="zh-CN"/>
        </w:rPr>
        <w:t>矿石处理量为60</w:t>
      </w:r>
      <w:r>
        <w:rPr>
          <w:rFonts w:hint="eastAsia" w:ascii="Times New Roman" w:hAnsi="Times New Roman" w:cs="Times New Roman"/>
          <w:sz w:val="23"/>
          <w:szCs w:val="23"/>
          <w:highlight w:val="none"/>
          <w:lang w:val="en-US" w:eastAsia="zh-CN"/>
        </w:rPr>
        <w:t>万t/a。</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本项目在矿石破碎、筛分等生产过程中会产生颗粒物，各工序产尘点源强估算如下：</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①破碎过程产生的源强参照《工业污染源核算》（毛应准，中国环境科学出版社，2007）的相关参数。其中，鄂式破碎工序颗粒物产生量为0.2kg/t矿石，锤式/圆锥破碎工序颗粒物产生量为0.5kg/t矿石。</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②筛分过程产生的颗粒物参照《采石场大气污染物源强分析研究》（资源调查与环境，2003年，第24卷第4期），筛分工序颗粒物产生量为筛分物料的0.05%，考虑到本项目筛分过程喷淋加水抑尘，抑尘效果按60%计，故本项目筛分工序产尘系数为筛分物料的0.02%。</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③类比其他资料，中转仓</w:t>
      </w:r>
      <w:r>
        <w:rPr>
          <w:rFonts w:hint="eastAsia" w:ascii="Times New Roman" w:hAnsi="Times New Roman" w:eastAsia="宋体" w:cs="Times New Roman"/>
          <w:sz w:val="23"/>
          <w:szCs w:val="23"/>
          <w:highlight w:val="none"/>
          <w:lang w:eastAsia="zh-CN"/>
        </w:rPr>
        <w:t>、</w:t>
      </w:r>
      <w:r>
        <w:rPr>
          <w:rFonts w:hint="eastAsia" w:ascii="Times New Roman" w:hAnsi="Times New Roman" w:eastAsia="宋体" w:cs="Times New Roman"/>
          <w:sz w:val="23"/>
          <w:szCs w:val="23"/>
          <w:highlight w:val="none"/>
          <w:lang w:val="en-US" w:eastAsia="zh-CN"/>
        </w:rPr>
        <w:t>干选</w:t>
      </w:r>
      <w:r>
        <w:rPr>
          <w:rFonts w:hint="default" w:ascii="Times New Roman" w:hAnsi="Times New Roman" w:cs="Times New Roman"/>
          <w:sz w:val="23"/>
          <w:szCs w:val="23"/>
          <w:highlight w:val="none"/>
        </w:rPr>
        <w:t>入料、出料过程产生的颗粒物为原料量为0.01%。</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eastAsia" w:ascii="Times New Roman" w:hAnsi="Times New Roman" w:eastAsia="宋体" w:cs="Times New Roman"/>
          <w:bCs/>
          <w:sz w:val="23"/>
          <w:szCs w:val="23"/>
          <w:highlight w:val="none"/>
          <w:lang w:eastAsia="zh-CN"/>
        </w:rPr>
      </w:pPr>
      <w:r>
        <w:rPr>
          <w:rFonts w:hint="default" w:ascii="Times New Roman" w:hAnsi="Times New Roman" w:cs="Times New Roman"/>
          <w:bCs/>
          <w:sz w:val="23"/>
          <w:szCs w:val="23"/>
          <w:highlight w:val="none"/>
        </w:rPr>
        <w:t>除尘器的设计风量参照《唐山市人民政府关于对采石场实施环节保护专项整治行动的通知》（唐政【2013】128号）中“采石场环境保护专项整治标准”第八条“单台破碎、筛分设备的除尘设计风量按大于12000m</w:t>
      </w:r>
      <w:r>
        <w:rPr>
          <w:rFonts w:hint="default" w:ascii="Times New Roman" w:hAnsi="Times New Roman" w:cs="Times New Roman"/>
          <w:bCs/>
          <w:sz w:val="23"/>
          <w:szCs w:val="23"/>
          <w:highlight w:val="none"/>
          <w:vertAlign w:val="superscript"/>
        </w:rPr>
        <w:t>3</w:t>
      </w:r>
      <w:r>
        <w:rPr>
          <w:rFonts w:hint="default" w:ascii="Times New Roman" w:hAnsi="Times New Roman" w:cs="Times New Roman"/>
          <w:bCs/>
          <w:sz w:val="23"/>
          <w:szCs w:val="23"/>
          <w:highlight w:val="none"/>
        </w:rPr>
        <w:t>/h计算”</w:t>
      </w:r>
      <w:r>
        <w:rPr>
          <w:rFonts w:hint="eastAsia" w:ascii="Times New Roman" w:hAnsi="Times New Roman" w:eastAsia="宋体" w:cs="Times New Roman"/>
          <w:bCs/>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本项目单台破碎机、筛分设备、料仓入料、出料过程的除尘设计风量按不小于12000 m</w:t>
      </w:r>
      <w:r>
        <w:rPr>
          <w:rFonts w:hint="default" w:ascii="Times New Roman" w:hAnsi="Times New Roman" w:cs="Times New Roman"/>
          <w:bCs/>
          <w:sz w:val="23"/>
          <w:szCs w:val="23"/>
          <w:highlight w:val="none"/>
          <w:vertAlign w:val="superscript"/>
        </w:rPr>
        <w:t>3</w:t>
      </w:r>
      <w:r>
        <w:rPr>
          <w:rFonts w:hint="default" w:ascii="Times New Roman" w:hAnsi="Times New Roman" w:cs="Times New Roman"/>
          <w:bCs/>
          <w:sz w:val="23"/>
          <w:szCs w:val="23"/>
          <w:highlight w:val="none"/>
        </w:rPr>
        <w:t>/h计算</w:t>
      </w:r>
      <w:r>
        <w:rPr>
          <w:rFonts w:hint="eastAsia" w:ascii="Times New Roman" w:hAnsi="Times New Roman" w:eastAsia="宋体" w:cs="Times New Roman"/>
          <w:bCs/>
          <w:sz w:val="23"/>
          <w:szCs w:val="23"/>
          <w:highlight w:val="none"/>
          <w:lang w:eastAsia="zh-CN"/>
        </w:rPr>
        <w:t>，</w:t>
      </w:r>
      <w:r>
        <w:rPr>
          <w:rFonts w:hint="eastAsia" w:ascii="Times New Roman" w:hAnsi="Times New Roman" w:eastAsia="宋体" w:cs="Times New Roman"/>
          <w:bCs/>
          <w:sz w:val="23"/>
          <w:szCs w:val="23"/>
          <w:highlight w:val="none"/>
          <w:lang w:val="en-US" w:eastAsia="zh-CN"/>
        </w:rPr>
        <w:t>确定</w:t>
      </w:r>
      <w:r>
        <w:rPr>
          <w:rFonts w:hint="default" w:ascii="Times New Roman" w:hAnsi="Times New Roman" w:cs="Times New Roman"/>
          <w:sz w:val="23"/>
          <w:szCs w:val="23"/>
          <w:highlight w:val="none"/>
        </w:rPr>
        <w:t>脉冲布袋除尘器</w:t>
      </w:r>
      <w:r>
        <w:rPr>
          <w:rFonts w:hint="eastAsia" w:ascii="Times New Roman" w:hAnsi="Times New Roman" w:eastAsia="宋体" w:cs="Times New Roman"/>
          <w:sz w:val="23"/>
          <w:szCs w:val="23"/>
          <w:highlight w:val="none"/>
          <w:lang w:val="en-US" w:eastAsia="zh-CN"/>
        </w:rPr>
        <w:t>除尘风量为40000m</w:t>
      </w:r>
      <w:r>
        <w:rPr>
          <w:rFonts w:hint="eastAsia" w:ascii="Times New Roman" w:hAnsi="Times New Roman" w:eastAsia="宋体" w:cs="Times New Roman"/>
          <w:sz w:val="23"/>
          <w:szCs w:val="23"/>
          <w:highlight w:val="none"/>
          <w:vertAlign w:val="superscript"/>
          <w:lang w:val="en-US" w:eastAsia="zh-CN"/>
        </w:rPr>
        <w:t>3</w:t>
      </w:r>
      <w:r>
        <w:rPr>
          <w:rFonts w:hint="eastAsia" w:ascii="Times New Roman" w:hAnsi="Times New Roman" w:eastAsia="宋体" w:cs="Times New Roman"/>
          <w:sz w:val="23"/>
          <w:szCs w:val="23"/>
          <w:highlight w:val="none"/>
          <w:lang w:val="en-US" w:eastAsia="zh-CN"/>
        </w:rPr>
        <w:t>/h</w:t>
      </w:r>
      <w:r>
        <w:rPr>
          <w:rFonts w:hint="default" w:ascii="Times New Roman" w:hAnsi="Times New Roman" w:cs="Times New Roman"/>
          <w:bCs/>
          <w:sz w:val="23"/>
          <w:szCs w:val="23"/>
          <w:highlight w:val="none"/>
        </w:rPr>
        <w:t>。集气罩集气效率按95%计，离线清灰脉冲除尘器除尘效率按99</w:t>
      </w:r>
      <w:r>
        <w:rPr>
          <w:rFonts w:hint="eastAsia" w:ascii="Times New Roman" w:hAnsi="Times New Roman" w:eastAsia="宋体" w:cs="Times New Roman"/>
          <w:bCs/>
          <w:sz w:val="23"/>
          <w:szCs w:val="23"/>
          <w:highlight w:val="none"/>
          <w:lang w:val="en-US" w:eastAsia="zh-CN"/>
        </w:rPr>
        <w:t>.9</w:t>
      </w:r>
      <w:r>
        <w:rPr>
          <w:rFonts w:hint="default" w:ascii="Times New Roman" w:hAnsi="Times New Roman" w:cs="Times New Roman"/>
          <w:bCs/>
          <w:sz w:val="23"/>
          <w:szCs w:val="23"/>
          <w:highlight w:val="none"/>
        </w:rPr>
        <w:t>%计。</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本项目各</w:t>
      </w:r>
      <w:r>
        <w:rPr>
          <w:rFonts w:hint="eastAsia" w:ascii="Times New Roman" w:hAnsi="Times New Roman" w:eastAsia="宋体" w:cs="Times New Roman"/>
          <w:bCs/>
          <w:sz w:val="23"/>
          <w:szCs w:val="23"/>
          <w:highlight w:val="none"/>
          <w:lang w:val="en-US" w:eastAsia="zh-CN"/>
        </w:rPr>
        <w:t>环节</w:t>
      </w:r>
      <w:r>
        <w:rPr>
          <w:rFonts w:hint="default" w:ascii="Times New Roman" w:hAnsi="Times New Roman" w:cs="Times New Roman"/>
          <w:bCs/>
          <w:sz w:val="23"/>
          <w:szCs w:val="23"/>
          <w:highlight w:val="none"/>
        </w:rPr>
        <w:t>颗粒物产生量情况见表3.</w:t>
      </w:r>
      <w:r>
        <w:rPr>
          <w:rFonts w:hint="eastAsia" w:ascii="Times New Roman" w:hAnsi="Times New Roman" w:cs="Times New Roman"/>
          <w:bCs/>
          <w:sz w:val="23"/>
          <w:szCs w:val="23"/>
          <w:highlight w:val="none"/>
          <w:lang w:val="en-US" w:eastAsia="zh-CN"/>
        </w:rPr>
        <w:t>3</w:t>
      </w:r>
      <w:r>
        <w:rPr>
          <w:rFonts w:hint="default" w:ascii="Times New Roman" w:hAnsi="Times New Roman" w:cs="Times New Roman"/>
          <w:bCs/>
          <w:sz w:val="23"/>
          <w:szCs w:val="23"/>
          <w:highlight w:val="none"/>
        </w:rPr>
        <w:t>-</w:t>
      </w:r>
      <w:r>
        <w:rPr>
          <w:rFonts w:hint="default" w:ascii="Times New Roman" w:hAnsi="Times New Roman" w:cs="Times New Roman"/>
          <w:bCs/>
          <w:sz w:val="23"/>
          <w:szCs w:val="23"/>
          <w:highlight w:val="none"/>
          <w:lang w:val="en-US" w:eastAsia="zh-CN"/>
        </w:rPr>
        <w:t>1</w:t>
      </w:r>
      <w:r>
        <w:rPr>
          <w:rFonts w:hint="default" w:ascii="Times New Roman" w:hAnsi="Times New Roman" w:cs="Times New Roman"/>
          <w:bCs/>
          <w:sz w:val="23"/>
          <w:szCs w:val="23"/>
          <w:highlight w:val="none"/>
        </w:rPr>
        <w:t>，除尘器配置情况及颗粒物达标分析见表3.</w:t>
      </w:r>
      <w:r>
        <w:rPr>
          <w:rFonts w:hint="eastAsia" w:ascii="Times New Roman" w:hAnsi="Times New Roman" w:cs="Times New Roman"/>
          <w:bCs/>
          <w:sz w:val="23"/>
          <w:szCs w:val="23"/>
          <w:highlight w:val="none"/>
          <w:lang w:val="en-US" w:eastAsia="zh-CN"/>
        </w:rPr>
        <w:t>3</w:t>
      </w:r>
      <w:r>
        <w:rPr>
          <w:rFonts w:hint="default" w:ascii="Times New Roman" w:hAnsi="Times New Roman" w:cs="Times New Roman"/>
          <w:bCs/>
          <w:sz w:val="23"/>
          <w:szCs w:val="23"/>
          <w:highlight w:val="none"/>
        </w:rPr>
        <w:t>-</w:t>
      </w:r>
      <w:r>
        <w:rPr>
          <w:rFonts w:hint="default" w:ascii="Times New Roman" w:hAnsi="Times New Roman" w:cs="Times New Roman"/>
          <w:bCs/>
          <w:sz w:val="23"/>
          <w:szCs w:val="23"/>
          <w:highlight w:val="none"/>
          <w:lang w:val="en-US" w:eastAsia="zh-CN"/>
        </w:rPr>
        <w:t>2</w:t>
      </w:r>
      <w:r>
        <w:rPr>
          <w:rFonts w:hint="default" w:ascii="Times New Roman" w:hAnsi="Times New Roman" w:cs="Times New Roman"/>
          <w:bCs/>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0" w:beforeLines="50" w:line="240" w:lineRule="exact"/>
        <w:ind w:firstLine="1952" w:firstLineChars="800"/>
        <w:jc w:val="both"/>
        <w:textAlignment w:val="baseline"/>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pP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表3.3-1  有组织废气排放情况表</w:t>
      </w:r>
    </w:p>
    <w:tbl>
      <w:tblPr>
        <w:tblStyle w:val="15"/>
        <w:tblpPr w:leftFromText="180" w:rightFromText="180" w:vertAnchor="text" w:horzAnchor="page" w:tblpX="1784" w:tblpY="294"/>
        <w:tblOverlap w:val="never"/>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2193"/>
        <w:gridCol w:w="1759"/>
        <w:gridCol w:w="1351"/>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7" w:type="dxa"/>
            <w:tcBorders>
              <w:tl2br w:val="nil"/>
              <w:tr2bl w:val="nil"/>
            </w:tcBorders>
            <w:vAlign w:val="center"/>
          </w:tcPr>
          <w:p>
            <w:pPr>
              <w:spacing w:line="240" w:lineRule="atLeast"/>
              <w:ind w:firstLine="210" w:firstLineChars="100"/>
              <w:contextualSpacing/>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生产线</w:t>
            </w:r>
          </w:p>
        </w:tc>
        <w:tc>
          <w:tcPr>
            <w:tcW w:w="2193" w:type="dxa"/>
            <w:tcBorders>
              <w:tl2br w:val="nil"/>
              <w:tr2bl w:val="nil"/>
            </w:tcBorders>
            <w:vAlign w:val="center"/>
          </w:tcPr>
          <w:p>
            <w:pPr>
              <w:spacing w:line="240" w:lineRule="atLeast"/>
              <w:ind w:firstLine="0" w:firstLineChars="0"/>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产尘点</w:t>
            </w:r>
          </w:p>
        </w:tc>
        <w:tc>
          <w:tcPr>
            <w:tcW w:w="1759" w:type="dxa"/>
            <w:tcBorders>
              <w:tl2br w:val="nil"/>
              <w:tr2bl w:val="nil"/>
            </w:tcBorders>
            <w:vAlign w:val="center"/>
          </w:tcPr>
          <w:p>
            <w:pPr>
              <w:spacing w:line="240" w:lineRule="atLeast"/>
              <w:ind w:firstLine="0" w:firstLineChars="0"/>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物料处理量</w:t>
            </w:r>
          </w:p>
          <w:p>
            <w:pPr>
              <w:spacing w:line="240" w:lineRule="atLeast"/>
              <w:ind w:firstLine="0" w:firstLineChars="0"/>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（万t/a）</w:t>
            </w:r>
          </w:p>
        </w:tc>
        <w:tc>
          <w:tcPr>
            <w:tcW w:w="1351" w:type="dxa"/>
            <w:tcBorders>
              <w:tl2br w:val="nil"/>
              <w:tr2bl w:val="nil"/>
            </w:tcBorders>
            <w:vAlign w:val="center"/>
          </w:tcPr>
          <w:p>
            <w:pPr>
              <w:spacing w:line="240" w:lineRule="atLeast"/>
              <w:ind w:firstLine="0" w:firstLineChars="0"/>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产尘系数</w:t>
            </w:r>
          </w:p>
        </w:tc>
        <w:tc>
          <w:tcPr>
            <w:tcW w:w="1657" w:type="dxa"/>
            <w:tcBorders>
              <w:tl2br w:val="nil"/>
              <w:tr2bl w:val="nil"/>
            </w:tcBorders>
            <w:vAlign w:val="center"/>
          </w:tcPr>
          <w:p>
            <w:pPr>
              <w:spacing w:line="240" w:lineRule="atLeast"/>
              <w:ind w:firstLine="0" w:firstLineChars="0"/>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颗粒物产生量（t/a）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7" w:type="dxa"/>
            <w:vMerge w:val="restart"/>
            <w:tcBorders>
              <w:tl2br w:val="nil"/>
              <w:tr2bl w:val="nil"/>
            </w:tcBorders>
            <w:vAlign w:val="center"/>
          </w:tcPr>
          <w:p>
            <w:pPr>
              <w:spacing w:line="240" w:lineRule="atLeast"/>
              <w:ind w:firstLine="0" w:firstLineChars="0"/>
              <w:contextualSpacing/>
              <w:jc w:val="center"/>
              <w:rPr>
                <w:rFonts w:hint="default" w:ascii="Times New Roman" w:hAnsi="Times New Roman" w:cs="Times New Roman"/>
                <w:sz w:val="21"/>
                <w:szCs w:val="21"/>
                <w:highlight w:val="none"/>
              </w:rPr>
            </w:pPr>
            <w:r>
              <w:rPr>
                <w:rFonts w:hint="eastAsia" w:ascii="Times New Roman" w:hAnsi="Times New Roman" w:eastAsia="宋体" w:cs="Times New Roman"/>
                <w:sz w:val="21"/>
                <w:szCs w:val="21"/>
                <w:highlight w:val="none"/>
                <w:lang w:val="en-US" w:eastAsia="zh-CN"/>
              </w:rPr>
              <w:t>7#</w:t>
            </w:r>
          </w:p>
          <w:p>
            <w:pPr>
              <w:spacing w:line="240" w:lineRule="atLeast"/>
              <w:ind w:firstLine="0" w:firstLineChars="0"/>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生产线</w:t>
            </w:r>
          </w:p>
        </w:tc>
        <w:tc>
          <w:tcPr>
            <w:tcW w:w="2193" w:type="dxa"/>
            <w:tcBorders>
              <w:tl2br w:val="nil"/>
              <w:tr2bl w:val="nil"/>
            </w:tcBorders>
            <w:vAlign w:val="center"/>
          </w:tcPr>
          <w:p>
            <w:pPr>
              <w:spacing w:line="240" w:lineRule="atLeast"/>
              <w:ind w:firstLine="23" w:firstLineChars="11"/>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颚式破碎机</w:t>
            </w:r>
          </w:p>
        </w:tc>
        <w:tc>
          <w:tcPr>
            <w:tcW w:w="1759" w:type="dxa"/>
            <w:tcBorders>
              <w:tl2br w:val="nil"/>
              <w:tr2bl w:val="nil"/>
            </w:tcBorders>
            <w:vAlign w:val="center"/>
          </w:tcPr>
          <w:p>
            <w:pPr>
              <w:spacing w:line="240" w:lineRule="atLeast"/>
              <w:ind w:firstLine="23" w:firstLineChars="11"/>
              <w:contextualSpacing/>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60</w:t>
            </w:r>
          </w:p>
        </w:tc>
        <w:tc>
          <w:tcPr>
            <w:tcW w:w="1351" w:type="dxa"/>
            <w:tcBorders>
              <w:tl2br w:val="nil"/>
              <w:tr2bl w:val="nil"/>
            </w:tcBorders>
            <w:vAlign w:val="center"/>
          </w:tcPr>
          <w:p>
            <w:pPr>
              <w:spacing w:line="240" w:lineRule="atLeast"/>
              <w:ind w:firstLine="23" w:firstLineChars="11"/>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0.2kg/t</w:t>
            </w:r>
          </w:p>
        </w:tc>
        <w:tc>
          <w:tcPr>
            <w:tcW w:w="1657" w:type="dxa"/>
            <w:tcBorders>
              <w:tl2br w:val="nil"/>
              <w:tr2bl w:val="nil"/>
            </w:tcBorders>
            <w:vAlign w:val="center"/>
          </w:tcPr>
          <w:p>
            <w:pPr>
              <w:spacing w:line="240" w:lineRule="atLeast"/>
              <w:ind w:firstLine="23" w:firstLineChars="11"/>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7" w:type="dxa"/>
            <w:vMerge w:val="continue"/>
            <w:tcBorders>
              <w:tl2br w:val="nil"/>
              <w:tr2bl w:val="nil"/>
            </w:tcBorders>
            <w:vAlign w:val="center"/>
          </w:tcPr>
          <w:p>
            <w:pPr>
              <w:spacing w:line="240" w:lineRule="atLeast"/>
              <w:ind w:firstLine="0" w:firstLineChars="0"/>
              <w:contextualSpacing/>
              <w:jc w:val="center"/>
              <w:rPr>
                <w:rFonts w:hint="default" w:ascii="Times New Roman" w:hAnsi="Times New Roman" w:cs="Times New Roman"/>
                <w:sz w:val="21"/>
                <w:szCs w:val="21"/>
                <w:highlight w:val="none"/>
              </w:rPr>
            </w:pPr>
          </w:p>
        </w:tc>
        <w:tc>
          <w:tcPr>
            <w:tcW w:w="2193" w:type="dxa"/>
            <w:tcBorders>
              <w:tl2br w:val="nil"/>
              <w:tr2bl w:val="nil"/>
            </w:tcBorders>
            <w:vAlign w:val="center"/>
          </w:tcPr>
          <w:p>
            <w:pPr>
              <w:spacing w:line="240" w:lineRule="atLeast"/>
              <w:ind w:firstLine="23" w:firstLineChars="11"/>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圆锥</w:t>
            </w:r>
            <w:r>
              <w:rPr>
                <w:rFonts w:hint="default" w:ascii="Times New Roman" w:hAnsi="Times New Roman" w:cs="Times New Roman"/>
                <w:sz w:val="21"/>
                <w:szCs w:val="21"/>
                <w:highlight w:val="none"/>
              </w:rPr>
              <w:t>破碎机</w:t>
            </w:r>
          </w:p>
        </w:tc>
        <w:tc>
          <w:tcPr>
            <w:tcW w:w="1759" w:type="dxa"/>
            <w:tcBorders>
              <w:tl2br w:val="nil"/>
              <w:tr2bl w:val="nil"/>
            </w:tcBorders>
            <w:vAlign w:val="center"/>
          </w:tcPr>
          <w:p>
            <w:pPr>
              <w:spacing w:line="240" w:lineRule="atLeast"/>
              <w:ind w:firstLine="23" w:firstLineChars="11"/>
              <w:contextualSpacing/>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18</w:t>
            </w:r>
          </w:p>
        </w:tc>
        <w:tc>
          <w:tcPr>
            <w:tcW w:w="1351" w:type="dxa"/>
            <w:tcBorders>
              <w:tl2br w:val="nil"/>
              <w:tr2bl w:val="nil"/>
            </w:tcBorders>
            <w:vAlign w:val="center"/>
          </w:tcPr>
          <w:p>
            <w:pPr>
              <w:spacing w:line="240" w:lineRule="atLeast"/>
              <w:ind w:firstLine="23" w:firstLineChars="11"/>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0.5kg/t</w:t>
            </w:r>
          </w:p>
        </w:tc>
        <w:tc>
          <w:tcPr>
            <w:tcW w:w="1657" w:type="dxa"/>
            <w:tcBorders>
              <w:tl2br w:val="nil"/>
              <w:tr2bl w:val="nil"/>
            </w:tcBorders>
            <w:vAlign w:val="center"/>
          </w:tcPr>
          <w:p>
            <w:pPr>
              <w:spacing w:line="240" w:lineRule="atLeast"/>
              <w:ind w:firstLine="23" w:firstLineChars="11"/>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7" w:type="dxa"/>
            <w:vMerge w:val="continue"/>
            <w:tcBorders>
              <w:tl2br w:val="nil"/>
              <w:tr2bl w:val="nil"/>
            </w:tcBorders>
            <w:vAlign w:val="center"/>
          </w:tcPr>
          <w:p>
            <w:pPr>
              <w:spacing w:line="240" w:lineRule="atLeast"/>
              <w:ind w:firstLine="0" w:firstLineChars="0"/>
              <w:contextualSpacing/>
              <w:jc w:val="center"/>
              <w:rPr>
                <w:rFonts w:hint="default" w:ascii="Times New Roman" w:hAnsi="Times New Roman" w:cs="Times New Roman"/>
                <w:sz w:val="21"/>
                <w:szCs w:val="21"/>
                <w:highlight w:val="none"/>
              </w:rPr>
            </w:pPr>
          </w:p>
        </w:tc>
        <w:tc>
          <w:tcPr>
            <w:tcW w:w="2193" w:type="dxa"/>
            <w:tcBorders>
              <w:tl2br w:val="nil"/>
              <w:tr2bl w:val="nil"/>
            </w:tcBorders>
            <w:vAlign w:val="center"/>
          </w:tcPr>
          <w:p>
            <w:pPr>
              <w:spacing w:line="240" w:lineRule="atLeast"/>
              <w:ind w:firstLine="23" w:firstLineChars="11"/>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振动筛</w:t>
            </w:r>
          </w:p>
        </w:tc>
        <w:tc>
          <w:tcPr>
            <w:tcW w:w="1759" w:type="dxa"/>
            <w:tcBorders>
              <w:tl2br w:val="nil"/>
              <w:tr2bl w:val="nil"/>
            </w:tcBorders>
            <w:vAlign w:val="center"/>
          </w:tcPr>
          <w:p>
            <w:pPr>
              <w:spacing w:line="240" w:lineRule="atLeast"/>
              <w:ind w:firstLine="23" w:firstLineChars="11"/>
              <w:contextualSpacing/>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48</w:t>
            </w:r>
          </w:p>
        </w:tc>
        <w:tc>
          <w:tcPr>
            <w:tcW w:w="1351" w:type="dxa"/>
            <w:tcBorders>
              <w:tl2br w:val="nil"/>
              <w:tr2bl w:val="nil"/>
            </w:tcBorders>
            <w:vAlign w:val="center"/>
          </w:tcPr>
          <w:p>
            <w:pPr>
              <w:spacing w:line="240" w:lineRule="atLeast"/>
              <w:ind w:firstLine="23" w:firstLineChars="11"/>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0.02%</w:t>
            </w:r>
          </w:p>
        </w:tc>
        <w:tc>
          <w:tcPr>
            <w:tcW w:w="1657" w:type="dxa"/>
            <w:tcBorders>
              <w:tl2br w:val="nil"/>
              <w:tr2bl w:val="nil"/>
            </w:tcBorders>
            <w:vAlign w:val="center"/>
          </w:tcPr>
          <w:p>
            <w:pPr>
              <w:spacing w:line="240" w:lineRule="atLeast"/>
              <w:ind w:firstLine="23" w:firstLineChars="11"/>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7" w:type="dxa"/>
            <w:vMerge w:val="continue"/>
            <w:tcBorders>
              <w:tl2br w:val="nil"/>
              <w:tr2bl w:val="nil"/>
            </w:tcBorders>
            <w:vAlign w:val="center"/>
          </w:tcPr>
          <w:p>
            <w:pPr>
              <w:spacing w:line="240" w:lineRule="atLeast"/>
              <w:ind w:firstLine="0" w:firstLineChars="0"/>
              <w:contextualSpacing/>
              <w:jc w:val="center"/>
              <w:rPr>
                <w:rFonts w:hint="default" w:ascii="Times New Roman" w:hAnsi="Times New Roman" w:cs="Times New Roman"/>
                <w:sz w:val="21"/>
                <w:szCs w:val="21"/>
                <w:highlight w:val="none"/>
              </w:rPr>
            </w:pPr>
          </w:p>
        </w:tc>
        <w:tc>
          <w:tcPr>
            <w:tcW w:w="2193" w:type="dxa"/>
            <w:tcBorders>
              <w:tl2br w:val="nil"/>
              <w:tr2bl w:val="nil"/>
            </w:tcBorders>
            <w:vAlign w:val="center"/>
          </w:tcPr>
          <w:p>
            <w:pPr>
              <w:spacing w:line="240" w:lineRule="atLeast"/>
              <w:ind w:firstLine="23" w:firstLineChars="11"/>
              <w:contextualSpacing/>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磁滑轮</w:t>
            </w:r>
          </w:p>
        </w:tc>
        <w:tc>
          <w:tcPr>
            <w:tcW w:w="1759" w:type="dxa"/>
            <w:tcBorders>
              <w:tl2br w:val="nil"/>
              <w:tr2bl w:val="nil"/>
            </w:tcBorders>
            <w:vAlign w:val="center"/>
          </w:tcPr>
          <w:p>
            <w:pPr>
              <w:spacing w:line="240" w:lineRule="atLeast"/>
              <w:ind w:firstLine="23" w:firstLineChars="11"/>
              <w:contextualSpacing/>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90</w:t>
            </w:r>
          </w:p>
        </w:tc>
        <w:tc>
          <w:tcPr>
            <w:tcW w:w="1351" w:type="dxa"/>
            <w:tcBorders>
              <w:tl2br w:val="nil"/>
              <w:tr2bl w:val="nil"/>
            </w:tcBorders>
            <w:vAlign w:val="center"/>
          </w:tcPr>
          <w:p>
            <w:pPr>
              <w:spacing w:line="240" w:lineRule="atLeast"/>
              <w:ind w:firstLine="23" w:firstLineChars="11"/>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c>
          <w:tcPr>
            <w:tcW w:w="1657" w:type="dxa"/>
            <w:tcBorders>
              <w:tl2br w:val="nil"/>
              <w:tr2bl w:val="nil"/>
            </w:tcBorders>
            <w:vAlign w:val="center"/>
          </w:tcPr>
          <w:p>
            <w:pPr>
              <w:spacing w:line="240" w:lineRule="atLeast"/>
              <w:ind w:firstLine="23" w:firstLineChars="11"/>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7" w:type="dxa"/>
            <w:vMerge w:val="continue"/>
            <w:tcBorders>
              <w:tl2br w:val="nil"/>
              <w:tr2bl w:val="nil"/>
            </w:tcBorders>
            <w:vAlign w:val="center"/>
          </w:tcPr>
          <w:p>
            <w:pPr>
              <w:spacing w:line="240" w:lineRule="atLeast"/>
              <w:ind w:firstLine="0" w:firstLineChars="0"/>
              <w:contextualSpacing/>
              <w:rPr>
                <w:rFonts w:hint="default" w:ascii="Times New Roman" w:hAnsi="Times New Roman" w:cs="Times New Roman"/>
                <w:sz w:val="21"/>
                <w:szCs w:val="21"/>
                <w:highlight w:val="none"/>
              </w:rPr>
            </w:pPr>
          </w:p>
        </w:tc>
        <w:tc>
          <w:tcPr>
            <w:tcW w:w="2193" w:type="dxa"/>
            <w:tcBorders>
              <w:tl2br w:val="nil"/>
              <w:tr2bl w:val="nil"/>
            </w:tcBorders>
            <w:vAlign w:val="center"/>
          </w:tcPr>
          <w:p>
            <w:pPr>
              <w:spacing w:line="240" w:lineRule="atLeast"/>
              <w:ind w:firstLine="23" w:firstLineChars="11"/>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中转料仓</w:t>
            </w:r>
          </w:p>
        </w:tc>
        <w:tc>
          <w:tcPr>
            <w:tcW w:w="1759" w:type="dxa"/>
            <w:tcBorders>
              <w:tl2br w:val="nil"/>
              <w:tr2bl w:val="nil"/>
            </w:tcBorders>
            <w:vAlign w:val="center"/>
          </w:tcPr>
          <w:p>
            <w:pPr>
              <w:spacing w:line="240" w:lineRule="atLeast"/>
              <w:ind w:firstLine="23" w:firstLineChars="11"/>
              <w:contextualSpacing/>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w:t>
            </w:r>
          </w:p>
        </w:tc>
        <w:tc>
          <w:tcPr>
            <w:tcW w:w="1351" w:type="dxa"/>
            <w:tcBorders>
              <w:tl2br w:val="nil"/>
              <w:tr2bl w:val="nil"/>
            </w:tcBorders>
            <w:vAlign w:val="center"/>
          </w:tcPr>
          <w:p>
            <w:pPr>
              <w:spacing w:line="240" w:lineRule="atLeast"/>
              <w:ind w:firstLine="23" w:firstLineChars="11"/>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c>
          <w:tcPr>
            <w:tcW w:w="1657" w:type="dxa"/>
            <w:tcBorders>
              <w:tl2br w:val="nil"/>
              <w:tr2bl w:val="nil"/>
            </w:tcBorders>
            <w:vAlign w:val="center"/>
          </w:tcPr>
          <w:p>
            <w:pPr>
              <w:spacing w:line="240" w:lineRule="atLeast"/>
              <w:ind w:firstLine="23" w:firstLineChars="11"/>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30" w:type="dxa"/>
            <w:gridSpan w:val="4"/>
            <w:tcBorders>
              <w:tl2br w:val="nil"/>
              <w:tr2bl w:val="nil"/>
            </w:tcBorders>
            <w:vAlign w:val="center"/>
          </w:tcPr>
          <w:p>
            <w:pPr>
              <w:spacing w:line="240" w:lineRule="atLeast"/>
              <w:ind w:firstLine="23" w:firstLineChars="11"/>
              <w:contextualSpacing/>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合计</w:t>
            </w:r>
          </w:p>
        </w:tc>
        <w:tc>
          <w:tcPr>
            <w:tcW w:w="1657" w:type="dxa"/>
            <w:tcBorders>
              <w:tl2br w:val="nil"/>
              <w:tr2bl w:val="nil"/>
            </w:tcBorders>
            <w:vAlign w:val="center"/>
          </w:tcPr>
          <w:p>
            <w:pPr>
              <w:spacing w:line="240" w:lineRule="atLeast"/>
              <w:ind w:firstLine="23" w:firstLineChars="11"/>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426</w:t>
            </w:r>
          </w:p>
        </w:tc>
      </w:tr>
    </w:tbl>
    <w:p>
      <w:pPr>
        <w:rPr>
          <w:rFonts w:hint="default" w:ascii="Times New Roman" w:hAnsi="Times New Roman" w:cs="Times New Roman"/>
          <w:highlight w:val="none"/>
        </w:rPr>
      </w:pPr>
    </w:p>
    <w:p>
      <w:pPr>
        <w:pStyle w:val="2"/>
        <w:rPr>
          <w:rFonts w:hint="default" w:eastAsia="宋体"/>
          <w:highlight w:val="none"/>
          <w:lang w:val="en-US" w:eastAsia="zh-CN"/>
        </w:rPr>
        <w:sectPr>
          <w:headerReference r:id="rId29" w:type="default"/>
          <w:footerReference r:id="rId30" w:type="default"/>
          <w:pgSz w:w="11906" w:h="16839"/>
          <w:pgMar w:top="1200" w:right="1716" w:bottom="1310" w:left="1785" w:header="882" w:footer="1027" w:gutter="0"/>
          <w:pgBorders>
            <w:top w:val="none" w:sz="0" w:space="0"/>
            <w:left w:val="none" w:sz="0" w:space="0"/>
            <w:bottom w:val="none" w:sz="0" w:space="0"/>
            <w:right w:val="none" w:sz="0" w:space="0"/>
          </w:pgBorders>
          <w:pgNumType w:fmt="decimal"/>
          <w:cols w:space="720" w:num="1"/>
        </w:sectPr>
      </w:pPr>
      <w:r>
        <w:rPr>
          <w:rFonts w:hint="eastAsia" w:eastAsia="宋体"/>
          <w:highlight w:val="none"/>
          <w:lang w:val="en-US" w:eastAsia="zh-CN"/>
        </w:rPr>
        <w:t>备注：磁滑轮选出矿石量为30万吨，筛上返料按60%计，干选出废石量为30万吨，废石进入厂区现有生产线经湿式振动筛进行筛分，分选出砂砟，筛上物料返回现有锤式破碎机进行破碎，则干选出废石破碎产尘量为90吨，现有</w:t>
      </w:r>
      <w:r>
        <w:rPr>
          <w:rFonts w:hint="default" w:ascii="Times New Roman" w:hAnsi="Times New Roman" w:cs="Times New Roman"/>
          <w:bCs/>
          <w:sz w:val="23"/>
          <w:szCs w:val="23"/>
          <w:highlight w:val="none"/>
        </w:rPr>
        <w:t>离线清灰脉冲除尘器除尘效率按99</w:t>
      </w:r>
      <w:r>
        <w:rPr>
          <w:rFonts w:hint="eastAsia" w:ascii="Times New Roman" w:hAnsi="Times New Roman" w:eastAsia="宋体" w:cs="Times New Roman"/>
          <w:bCs/>
          <w:sz w:val="23"/>
          <w:szCs w:val="23"/>
          <w:highlight w:val="none"/>
          <w:lang w:val="en-US" w:eastAsia="zh-CN"/>
        </w:rPr>
        <w:t>.9</w:t>
      </w:r>
      <w:r>
        <w:rPr>
          <w:rFonts w:hint="default" w:ascii="Times New Roman" w:hAnsi="Times New Roman" w:cs="Times New Roman"/>
          <w:bCs/>
          <w:sz w:val="23"/>
          <w:szCs w:val="23"/>
          <w:highlight w:val="none"/>
        </w:rPr>
        <w:t>%计</w:t>
      </w:r>
      <w:r>
        <w:rPr>
          <w:rFonts w:hint="eastAsia" w:ascii="Times New Roman" w:hAnsi="Times New Roman" w:eastAsia="宋体" w:cs="Times New Roman"/>
          <w:bCs/>
          <w:sz w:val="23"/>
          <w:szCs w:val="23"/>
          <w:highlight w:val="none"/>
          <w:lang w:eastAsia="zh-CN"/>
        </w:rPr>
        <w:t>，</w:t>
      </w:r>
      <w:r>
        <w:rPr>
          <w:rFonts w:hint="eastAsia" w:ascii="Times New Roman" w:hAnsi="Times New Roman" w:eastAsia="宋体" w:cs="Times New Roman"/>
          <w:bCs/>
          <w:sz w:val="23"/>
          <w:szCs w:val="23"/>
          <w:highlight w:val="none"/>
          <w:lang w:val="en-US" w:eastAsia="zh-CN"/>
        </w:rPr>
        <w:t>则干选废石处理过程新增颗粒物排放量为0.09t/a</w:t>
      </w:r>
      <w:r>
        <w:rPr>
          <w:rFonts w:hint="eastAsia" w:eastAsia="宋体"/>
          <w:highlight w:val="none"/>
          <w:lang w:val="en-US" w:eastAsia="zh-CN"/>
        </w:rPr>
        <w:t>。</w:t>
      </w:r>
    </w:p>
    <w:p>
      <w:pPr>
        <w:spacing w:before="226" w:line="227" w:lineRule="auto"/>
        <w:ind w:left="5060"/>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shape id="_x0000_s1112" o:spid="_x0000_s1112" style="position:absolute;left:0pt;margin-left:36pt;margin-top:60.75pt;height:0.75pt;width:769.95pt;mso-position-horizontal-relative:page;mso-position-vertical-relative:page;z-index:251689984;mso-width-relative:page;mso-height-relative:page;" fillcolor="#000000" filled="t" stroked="f" coordsize="15399,15" o:allowincell="f" path="m0,0l15398,0,15398,14,0,14,0,0xe">
            <v:path/>
            <v:fill on="t" focussize="0,0"/>
            <v:stroke on="f"/>
            <v:imagedata o:title=""/>
            <o:lock v:ext="edit"/>
          </v:shape>
        </w:pict>
      </w:r>
      <w:r>
        <w:rPr>
          <w:rFonts w:hint="default" w:ascii="Times New Roman" w:hAnsi="Times New Roman" w:eastAsia="宋体" w:cs="Times New Roman"/>
          <w:spacing w:val="14"/>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14"/>
          <w:sz w:val="23"/>
          <w:szCs w:val="23"/>
          <w:highlight w:val="none"/>
        </w:rPr>
        <w:t>3.</w:t>
      </w:r>
      <w:r>
        <w:rPr>
          <w:rFonts w:hint="eastAsia" w:ascii="Times New Roman" w:hAnsi="Times New Roman" w:eastAsia="宋体" w:cs="Times New Roman"/>
          <w:b/>
          <w:bCs/>
          <w:spacing w:val="7"/>
          <w:sz w:val="23"/>
          <w:szCs w:val="23"/>
          <w:highlight w:val="none"/>
          <w:lang w:val="en-US" w:eastAsia="zh-CN"/>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2</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5#生产</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车间废气</w:t>
      </w:r>
      <w:r>
        <w:rPr>
          <w:rFonts w:hint="default" w:ascii="Times New Roman" w:hAnsi="Times New Roman" w:eastAsia="宋体"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(颗粒物)</w:t>
      </w:r>
      <w:r>
        <w:rPr>
          <w:rFonts w:hint="default" w:ascii="Times New Roman" w:hAnsi="Times New Roman" w:eastAsia="宋体"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产排污节点一览表</w:t>
      </w:r>
    </w:p>
    <w:p>
      <w:pPr>
        <w:spacing w:line="22" w:lineRule="exact"/>
        <w:rPr>
          <w:rFonts w:hint="default" w:ascii="Times New Roman" w:hAnsi="Times New Roman" w:cs="Times New Roman"/>
          <w:highlight w:val="none"/>
        </w:rPr>
      </w:pPr>
    </w:p>
    <w:tbl>
      <w:tblPr>
        <w:tblStyle w:val="19"/>
        <w:tblW w:w="1561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3"/>
        <w:gridCol w:w="946"/>
        <w:gridCol w:w="1279"/>
        <w:gridCol w:w="993"/>
        <w:gridCol w:w="3124"/>
        <w:gridCol w:w="1704"/>
        <w:gridCol w:w="1279"/>
        <w:gridCol w:w="936"/>
        <w:gridCol w:w="1232"/>
        <w:gridCol w:w="861"/>
        <w:gridCol w:w="1279"/>
        <w:gridCol w:w="11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779" w:type="dxa"/>
            <w:gridSpan w:val="2"/>
            <w:vMerge w:val="restart"/>
            <w:tcBorders>
              <w:left w:val="single" w:color="000000" w:sz="10" w:space="0"/>
              <w:bottom w:val="nil"/>
            </w:tcBorders>
            <w:vAlign w:val="top"/>
          </w:tcPr>
          <w:p>
            <w:pPr>
              <w:spacing w:line="265" w:lineRule="auto"/>
              <w:rPr>
                <w:rFonts w:hint="default" w:ascii="Times New Roman" w:hAnsi="Times New Roman" w:cs="Times New Roman"/>
                <w:sz w:val="21"/>
                <w:highlight w:val="none"/>
              </w:rPr>
            </w:pPr>
          </w:p>
          <w:p>
            <w:pPr>
              <w:spacing w:before="65" w:line="230" w:lineRule="auto"/>
              <w:ind w:left="6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工</w:t>
            </w:r>
            <w:r>
              <w:rPr>
                <w:rFonts w:hint="default" w:ascii="Times New Roman" w:hAnsi="Times New Roman" w:eastAsia="宋体" w:cs="Times New Roman"/>
                <w:spacing w:val="3"/>
                <w:sz w:val="20"/>
                <w:szCs w:val="20"/>
                <w:highlight w:val="none"/>
              </w:rPr>
              <w:t>序</w:t>
            </w:r>
          </w:p>
        </w:tc>
        <w:tc>
          <w:tcPr>
            <w:tcW w:w="1279" w:type="dxa"/>
            <w:vMerge w:val="restart"/>
            <w:tcBorders>
              <w:bottom w:val="nil"/>
            </w:tcBorders>
            <w:vAlign w:val="top"/>
          </w:tcPr>
          <w:p>
            <w:pPr>
              <w:spacing w:line="265" w:lineRule="auto"/>
              <w:rPr>
                <w:rFonts w:hint="default" w:ascii="Times New Roman" w:hAnsi="Times New Roman" w:cs="Times New Roman"/>
                <w:sz w:val="21"/>
                <w:highlight w:val="none"/>
              </w:rPr>
            </w:pPr>
          </w:p>
          <w:p>
            <w:pPr>
              <w:spacing w:before="65" w:line="229" w:lineRule="auto"/>
              <w:ind w:left="4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节</w:t>
            </w:r>
            <w:r>
              <w:rPr>
                <w:rFonts w:hint="default" w:ascii="Times New Roman" w:hAnsi="Times New Roman" w:eastAsia="宋体" w:cs="Times New Roman"/>
                <w:spacing w:val="4"/>
                <w:sz w:val="20"/>
                <w:szCs w:val="20"/>
                <w:highlight w:val="none"/>
              </w:rPr>
              <w:t>点</w:t>
            </w:r>
          </w:p>
        </w:tc>
        <w:tc>
          <w:tcPr>
            <w:tcW w:w="993" w:type="dxa"/>
            <w:vMerge w:val="restart"/>
            <w:tcBorders>
              <w:bottom w:val="nil"/>
            </w:tcBorders>
            <w:vAlign w:val="top"/>
          </w:tcPr>
          <w:p>
            <w:pPr>
              <w:spacing w:before="153" w:line="280" w:lineRule="auto"/>
              <w:ind w:left="392" w:right="187" w:hanging="21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排放</w:t>
            </w:r>
            <w:r>
              <w:rPr>
                <w:rFonts w:hint="default" w:ascii="Times New Roman" w:hAnsi="Times New Roman" w:eastAsia="宋体" w:cs="Times New Roman"/>
                <w:spacing w:val="6"/>
                <w:sz w:val="20"/>
                <w:szCs w:val="20"/>
                <w:highlight w:val="none"/>
              </w:rPr>
              <w:t>特</w:t>
            </w:r>
            <w:r>
              <w:rPr>
                <w:rFonts w:hint="default" w:ascii="Times New Roman" w:hAnsi="Times New Roman" w:eastAsia="宋体" w:cs="Times New Roman"/>
                <w:sz w:val="20"/>
                <w:szCs w:val="20"/>
                <w:highlight w:val="none"/>
              </w:rPr>
              <w:t xml:space="preserve"> 征</w:t>
            </w:r>
          </w:p>
        </w:tc>
        <w:tc>
          <w:tcPr>
            <w:tcW w:w="3124" w:type="dxa"/>
            <w:vMerge w:val="restart"/>
            <w:tcBorders>
              <w:bottom w:val="nil"/>
            </w:tcBorders>
            <w:vAlign w:val="top"/>
          </w:tcPr>
          <w:p>
            <w:pPr>
              <w:spacing w:line="265" w:lineRule="auto"/>
              <w:rPr>
                <w:rFonts w:hint="default" w:ascii="Times New Roman" w:hAnsi="Times New Roman" w:cs="Times New Roman"/>
                <w:sz w:val="21"/>
                <w:highlight w:val="none"/>
              </w:rPr>
            </w:pPr>
          </w:p>
          <w:p>
            <w:pPr>
              <w:spacing w:before="65" w:line="228" w:lineRule="auto"/>
              <w:ind w:left="82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颗粒物收集方</w:t>
            </w:r>
            <w:r>
              <w:rPr>
                <w:rFonts w:hint="default" w:ascii="Times New Roman" w:hAnsi="Times New Roman" w:eastAsia="宋体" w:cs="Times New Roman"/>
                <w:spacing w:val="7"/>
                <w:sz w:val="20"/>
                <w:szCs w:val="20"/>
                <w:highlight w:val="none"/>
              </w:rPr>
              <w:t>式</w:t>
            </w:r>
          </w:p>
        </w:tc>
        <w:tc>
          <w:tcPr>
            <w:tcW w:w="1704" w:type="dxa"/>
            <w:vMerge w:val="restart"/>
            <w:tcBorders>
              <w:bottom w:val="nil"/>
            </w:tcBorders>
            <w:vAlign w:val="top"/>
          </w:tcPr>
          <w:p>
            <w:pPr>
              <w:spacing w:line="265" w:lineRule="auto"/>
              <w:rPr>
                <w:rFonts w:hint="default" w:ascii="Times New Roman" w:hAnsi="Times New Roman" w:cs="Times New Roman"/>
                <w:sz w:val="21"/>
                <w:highlight w:val="none"/>
              </w:rPr>
            </w:pPr>
          </w:p>
          <w:p>
            <w:pPr>
              <w:spacing w:before="65" w:line="228" w:lineRule="auto"/>
              <w:ind w:left="2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废</w:t>
            </w:r>
            <w:r>
              <w:rPr>
                <w:rFonts w:hint="default" w:ascii="Times New Roman" w:hAnsi="Times New Roman" w:eastAsia="宋体" w:cs="Times New Roman"/>
                <w:spacing w:val="8"/>
                <w:sz w:val="20"/>
                <w:szCs w:val="20"/>
                <w:highlight w:val="none"/>
              </w:rPr>
              <w:t>气处理方式</w:t>
            </w:r>
          </w:p>
        </w:tc>
        <w:tc>
          <w:tcPr>
            <w:tcW w:w="1279" w:type="dxa"/>
            <w:vMerge w:val="restart"/>
            <w:tcBorders>
              <w:bottom w:val="nil"/>
            </w:tcBorders>
            <w:vAlign w:val="top"/>
          </w:tcPr>
          <w:p>
            <w:pPr>
              <w:spacing w:before="153" w:line="280" w:lineRule="auto"/>
              <w:ind w:left="122" w:right="10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废</w:t>
            </w:r>
            <w:r>
              <w:rPr>
                <w:rFonts w:hint="default" w:ascii="Times New Roman" w:hAnsi="Times New Roman" w:eastAsia="宋体" w:cs="Times New Roman"/>
                <w:spacing w:val="8"/>
                <w:sz w:val="20"/>
                <w:szCs w:val="20"/>
                <w:highlight w:val="none"/>
              </w:rPr>
              <w:t>气处理量</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及</w:t>
            </w:r>
            <w:r>
              <w:rPr>
                <w:rFonts w:hint="default" w:ascii="Times New Roman" w:hAnsi="Times New Roman" w:eastAsia="宋体" w:cs="Times New Roman"/>
                <w:spacing w:val="8"/>
                <w:sz w:val="20"/>
                <w:szCs w:val="20"/>
                <w:highlight w:val="none"/>
              </w:rPr>
              <w:t>处理效率</w:t>
            </w:r>
          </w:p>
        </w:tc>
        <w:tc>
          <w:tcPr>
            <w:tcW w:w="936" w:type="dxa"/>
            <w:vAlign w:val="top"/>
          </w:tcPr>
          <w:p>
            <w:pPr>
              <w:spacing w:before="147" w:line="228" w:lineRule="auto"/>
              <w:ind w:left="16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产生</w:t>
            </w:r>
            <w:r>
              <w:rPr>
                <w:rFonts w:hint="default" w:ascii="Times New Roman" w:hAnsi="Times New Roman" w:eastAsia="宋体" w:cs="Times New Roman"/>
                <w:spacing w:val="6"/>
                <w:sz w:val="20"/>
                <w:szCs w:val="20"/>
                <w:highlight w:val="none"/>
              </w:rPr>
              <w:t>量</w:t>
            </w:r>
          </w:p>
        </w:tc>
        <w:tc>
          <w:tcPr>
            <w:tcW w:w="1232" w:type="dxa"/>
            <w:vAlign w:val="top"/>
          </w:tcPr>
          <w:p>
            <w:pPr>
              <w:spacing w:before="147" w:line="228" w:lineRule="auto"/>
              <w:ind w:left="21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产</w:t>
            </w:r>
            <w:r>
              <w:rPr>
                <w:rFonts w:hint="default" w:ascii="Times New Roman" w:hAnsi="Times New Roman" w:eastAsia="宋体" w:cs="Times New Roman"/>
                <w:spacing w:val="7"/>
                <w:sz w:val="20"/>
                <w:szCs w:val="20"/>
                <w:highlight w:val="none"/>
              </w:rPr>
              <w:t>生浓度</w:t>
            </w:r>
          </w:p>
        </w:tc>
        <w:tc>
          <w:tcPr>
            <w:tcW w:w="861" w:type="dxa"/>
            <w:vAlign w:val="top"/>
          </w:tcPr>
          <w:p>
            <w:pPr>
              <w:spacing w:before="147" w:line="230" w:lineRule="auto"/>
              <w:ind w:left="13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排放</w:t>
            </w:r>
            <w:r>
              <w:rPr>
                <w:rFonts w:hint="default" w:ascii="Times New Roman" w:hAnsi="Times New Roman" w:eastAsia="宋体" w:cs="Times New Roman"/>
                <w:spacing w:val="6"/>
                <w:sz w:val="20"/>
                <w:szCs w:val="20"/>
                <w:highlight w:val="none"/>
              </w:rPr>
              <w:t>量</w:t>
            </w:r>
          </w:p>
        </w:tc>
        <w:tc>
          <w:tcPr>
            <w:tcW w:w="1279" w:type="dxa"/>
            <w:vAlign w:val="top"/>
          </w:tcPr>
          <w:p>
            <w:pPr>
              <w:spacing w:before="147" w:line="229" w:lineRule="auto"/>
              <w:ind w:left="23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排</w:t>
            </w:r>
            <w:r>
              <w:rPr>
                <w:rFonts w:hint="default" w:ascii="Times New Roman" w:hAnsi="Times New Roman" w:eastAsia="宋体" w:cs="Times New Roman"/>
                <w:spacing w:val="7"/>
                <w:sz w:val="20"/>
                <w:szCs w:val="20"/>
                <w:highlight w:val="none"/>
              </w:rPr>
              <w:t>放浓度</w:t>
            </w:r>
          </w:p>
        </w:tc>
        <w:tc>
          <w:tcPr>
            <w:tcW w:w="1151" w:type="dxa"/>
            <w:tcBorders>
              <w:right w:val="single" w:color="000000" w:sz="10" w:space="0"/>
            </w:tcBorders>
            <w:vAlign w:val="top"/>
          </w:tcPr>
          <w:p>
            <w:pPr>
              <w:spacing w:before="147" w:line="229" w:lineRule="auto"/>
              <w:ind w:left="16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排</w:t>
            </w:r>
            <w:r>
              <w:rPr>
                <w:rFonts w:hint="default" w:ascii="Times New Roman" w:hAnsi="Times New Roman" w:eastAsia="宋体" w:cs="Times New Roman"/>
                <w:spacing w:val="7"/>
                <w:sz w:val="20"/>
                <w:szCs w:val="20"/>
                <w:highlight w:val="none"/>
              </w:rPr>
              <w:t>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79" w:type="dxa"/>
            <w:gridSpan w:val="2"/>
            <w:vMerge w:val="continue"/>
            <w:tcBorders>
              <w:top w:val="nil"/>
              <w:left w:val="single" w:color="000000" w:sz="10" w:space="0"/>
            </w:tcBorders>
            <w:vAlign w:val="top"/>
          </w:tcPr>
          <w:p>
            <w:pPr>
              <w:rPr>
                <w:rFonts w:hint="default" w:ascii="Times New Roman" w:hAnsi="Times New Roman" w:cs="Times New Roman"/>
                <w:sz w:val="21"/>
                <w:highlight w:val="none"/>
              </w:rPr>
            </w:pPr>
          </w:p>
        </w:tc>
        <w:tc>
          <w:tcPr>
            <w:tcW w:w="1279" w:type="dxa"/>
            <w:vMerge w:val="continue"/>
            <w:tcBorders>
              <w:top w:val="nil"/>
            </w:tcBorders>
            <w:vAlign w:val="top"/>
          </w:tcPr>
          <w:p>
            <w:pPr>
              <w:rPr>
                <w:rFonts w:hint="default" w:ascii="Times New Roman" w:hAnsi="Times New Roman" w:cs="Times New Roman"/>
                <w:sz w:val="21"/>
                <w:highlight w:val="none"/>
              </w:rPr>
            </w:pPr>
          </w:p>
        </w:tc>
        <w:tc>
          <w:tcPr>
            <w:tcW w:w="993" w:type="dxa"/>
            <w:vMerge w:val="continue"/>
            <w:tcBorders>
              <w:top w:val="nil"/>
            </w:tcBorders>
            <w:vAlign w:val="top"/>
          </w:tcPr>
          <w:p>
            <w:pPr>
              <w:rPr>
                <w:rFonts w:hint="default" w:ascii="Times New Roman" w:hAnsi="Times New Roman" w:cs="Times New Roman"/>
                <w:sz w:val="21"/>
                <w:highlight w:val="none"/>
              </w:rPr>
            </w:pPr>
          </w:p>
        </w:tc>
        <w:tc>
          <w:tcPr>
            <w:tcW w:w="3124" w:type="dxa"/>
            <w:vMerge w:val="continue"/>
            <w:tcBorders>
              <w:top w:val="nil"/>
            </w:tcBorders>
            <w:vAlign w:val="top"/>
          </w:tcPr>
          <w:p>
            <w:pPr>
              <w:rPr>
                <w:rFonts w:hint="default" w:ascii="Times New Roman" w:hAnsi="Times New Roman" w:cs="Times New Roman"/>
                <w:sz w:val="21"/>
                <w:highlight w:val="none"/>
              </w:rPr>
            </w:pPr>
          </w:p>
        </w:tc>
        <w:tc>
          <w:tcPr>
            <w:tcW w:w="1704" w:type="dxa"/>
            <w:vMerge w:val="continue"/>
            <w:tcBorders>
              <w:top w:val="nil"/>
            </w:tcBorders>
            <w:vAlign w:val="top"/>
          </w:tcPr>
          <w:p>
            <w:pPr>
              <w:rPr>
                <w:rFonts w:hint="default" w:ascii="Times New Roman" w:hAnsi="Times New Roman" w:cs="Times New Roman"/>
                <w:sz w:val="21"/>
                <w:highlight w:val="none"/>
              </w:rPr>
            </w:pPr>
          </w:p>
        </w:tc>
        <w:tc>
          <w:tcPr>
            <w:tcW w:w="1279" w:type="dxa"/>
            <w:vMerge w:val="continue"/>
            <w:tcBorders>
              <w:top w:val="nil"/>
            </w:tcBorders>
            <w:vAlign w:val="top"/>
          </w:tcPr>
          <w:p>
            <w:pPr>
              <w:rPr>
                <w:rFonts w:hint="default" w:ascii="Times New Roman" w:hAnsi="Times New Roman" w:cs="Times New Roman"/>
                <w:sz w:val="21"/>
                <w:highlight w:val="none"/>
              </w:rPr>
            </w:pPr>
          </w:p>
        </w:tc>
        <w:tc>
          <w:tcPr>
            <w:tcW w:w="936" w:type="dxa"/>
            <w:vAlign w:val="top"/>
          </w:tcPr>
          <w:p>
            <w:pPr>
              <w:spacing w:before="191" w:line="141" w:lineRule="exact"/>
              <w:ind w:left="488"/>
              <w:rPr>
                <w:rFonts w:hint="default" w:ascii="Times New Roman" w:hAnsi="Times New Roman" w:eastAsia="Times New Roman" w:cs="Times New Roman"/>
                <w:sz w:val="20"/>
                <w:szCs w:val="20"/>
                <w:highlight w:val="none"/>
              </w:rPr>
            </w:pPr>
            <w:r>
              <w:rPr>
                <w:rFonts w:hint="default" w:ascii="Times New Roman" w:hAnsi="Times New Roman" w:cs="Times New Roman"/>
                <w:highlight w:val="none"/>
              </w:rPr>
              <w:pict>
                <v:shape id="_x0000_s1113" o:spid="_x0000_s1113" o:spt="202" type="#_x0000_t202" style="position:absolute;left:0pt;margin-left:17.55pt;margin-top:3.2pt;height:15.75pt;width:7.75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hint="default" w:ascii="Times New Roman" w:hAnsi="Times New Roman" w:eastAsia="Times New Roman" w:cs="Times New Roman"/>
                <w:sz w:val="20"/>
                <w:szCs w:val="20"/>
                <w:highlight w:val="none"/>
              </w:rPr>
              <w:t>a</w:t>
            </w:r>
          </w:p>
        </w:tc>
        <w:tc>
          <w:tcPr>
            <w:tcW w:w="1232" w:type="dxa"/>
            <w:vAlign w:val="top"/>
          </w:tcPr>
          <w:p>
            <w:pPr>
              <w:spacing w:before="79" w:line="274" w:lineRule="exact"/>
              <w:ind w:left="343"/>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position w:val="3"/>
                <w:sz w:val="20"/>
                <w:szCs w:val="20"/>
                <w:highlight w:val="none"/>
              </w:rPr>
              <w:t>mg</w:t>
            </w:r>
            <w:r>
              <w:rPr>
                <w:rFonts w:hint="default" w:ascii="Times New Roman" w:hAnsi="Times New Roman" w:eastAsia="Times New Roman" w:cs="Times New Roman"/>
                <w:spacing w:val="14"/>
                <w:position w:val="3"/>
                <w:sz w:val="20"/>
                <w:szCs w:val="20"/>
                <w:highlight w:val="none"/>
              </w:rPr>
              <w:t>/</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13"/>
                <w:position w:val="9"/>
                <w:sz w:val="13"/>
                <w:szCs w:val="13"/>
                <w:highlight w:val="none"/>
              </w:rPr>
              <w:t>3</w:t>
            </w:r>
          </w:p>
        </w:tc>
        <w:tc>
          <w:tcPr>
            <w:tcW w:w="861" w:type="dxa"/>
            <w:vAlign w:val="top"/>
          </w:tcPr>
          <w:p>
            <w:pPr>
              <w:spacing w:before="191" w:line="141" w:lineRule="exact"/>
              <w:ind w:left="456"/>
              <w:rPr>
                <w:rFonts w:hint="default" w:ascii="Times New Roman" w:hAnsi="Times New Roman" w:eastAsia="Times New Roman" w:cs="Times New Roman"/>
                <w:sz w:val="20"/>
                <w:szCs w:val="20"/>
                <w:highlight w:val="none"/>
              </w:rPr>
            </w:pPr>
            <w:r>
              <w:rPr>
                <w:rFonts w:hint="default" w:ascii="Times New Roman" w:hAnsi="Times New Roman" w:cs="Times New Roman"/>
                <w:highlight w:val="none"/>
              </w:rPr>
              <w:pict>
                <v:shape id="_x0000_s1114" o:spid="_x0000_s1114" o:spt="202" type="#_x0000_t202" style="position:absolute;left:0pt;margin-left:15.95pt;margin-top:3.2pt;height:15.75pt;width:7.75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hint="default" w:ascii="Times New Roman" w:hAnsi="Times New Roman" w:eastAsia="Times New Roman" w:cs="Times New Roman"/>
                <w:sz w:val="20"/>
                <w:szCs w:val="20"/>
                <w:highlight w:val="none"/>
              </w:rPr>
              <w:t>a</w:t>
            </w:r>
          </w:p>
        </w:tc>
        <w:tc>
          <w:tcPr>
            <w:tcW w:w="1279" w:type="dxa"/>
            <w:vAlign w:val="top"/>
          </w:tcPr>
          <w:p>
            <w:pPr>
              <w:spacing w:before="79" w:line="274" w:lineRule="exact"/>
              <w:ind w:left="371"/>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position w:val="3"/>
                <w:sz w:val="20"/>
                <w:szCs w:val="20"/>
                <w:highlight w:val="none"/>
              </w:rPr>
              <w:t>mg</w:t>
            </w:r>
            <w:r>
              <w:rPr>
                <w:rFonts w:hint="default" w:ascii="Times New Roman" w:hAnsi="Times New Roman" w:eastAsia="Times New Roman" w:cs="Times New Roman"/>
                <w:spacing w:val="12"/>
                <w:position w:val="3"/>
                <w:sz w:val="20"/>
                <w:szCs w:val="20"/>
                <w:highlight w:val="none"/>
              </w:rPr>
              <w:t>/</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12"/>
                <w:position w:val="9"/>
                <w:sz w:val="13"/>
                <w:szCs w:val="13"/>
                <w:highlight w:val="none"/>
              </w:rPr>
              <w:t>3</w:t>
            </w:r>
          </w:p>
        </w:tc>
        <w:tc>
          <w:tcPr>
            <w:tcW w:w="1151" w:type="dxa"/>
            <w:tcBorders>
              <w:right w:val="single" w:color="000000" w:sz="10" w:space="0"/>
            </w:tcBorders>
            <w:vAlign w:val="top"/>
          </w:tcPr>
          <w:p>
            <w:pPr>
              <w:spacing w:before="79" w:line="274" w:lineRule="exact"/>
              <w:ind w:left="299"/>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position w:val="3"/>
                <w:sz w:val="20"/>
                <w:szCs w:val="20"/>
                <w:highlight w:val="none"/>
              </w:rPr>
              <w:t>mg</w:t>
            </w:r>
            <w:r>
              <w:rPr>
                <w:rFonts w:hint="default" w:ascii="Times New Roman" w:hAnsi="Times New Roman" w:eastAsia="Times New Roman" w:cs="Times New Roman"/>
                <w:spacing w:val="14"/>
                <w:position w:val="3"/>
                <w:sz w:val="20"/>
                <w:szCs w:val="20"/>
                <w:highlight w:val="none"/>
              </w:rPr>
              <w:t>/</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13"/>
                <w:position w:val="9"/>
                <w:sz w:val="13"/>
                <w:szCs w:val="13"/>
                <w:highlight w:val="none"/>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3" w:type="dxa"/>
            <w:vMerge w:val="restart"/>
            <w:tcBorders>
              <w:left w:val="single" w:color="000000" w:sz="10" w:space="0"/>
              <w:bottom w:val="nil"/>
            </w:tcBorders>
            <w:vAlign w:val="top"/>
          </w:tcPr>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pStyle w:val="3"/>
              <w:rPr>
                <w:rFonts w:hint="default"/>
                <w:highlight w:val="none"/>
              </w:rPr>
            </w:pPr>
          </w:p>
          <w:p>
            <w:pPr>
              <w:spacing w:before="65" w:line="390" w:lineRule="exact"/>
              <w:ind w:left="213"/>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2"/>
                <w:position w:val="10"/>
                <w:sz w:val="20"/>
                <w:szCs w:val="20"/>
                <w:highlight w:val="none"/>
                <w:lang w:val="en-US" w:eastAsia="zh-CN"/>
              </w:rPr>
              <w:t>7</w:t>
            </w:r>
            <w:r>
              <w:rPr>
                <w:rFonts w:hint="default" w:ascii="Times New Roman" w:hAnsi="Times New Roman" w:eastAsia="Times New Roman" w:cs="Times New Roman"/>
                <w:spacing w:val="-2"/>
                <w:position w:val="10"/>
                <w:sz w:val="20"/>
                <w:szCs w:val="20"/>
                <w:highlight w:val="none"/>
              </w:rPr>
              <w:t>#</w:t>
            </w:r>
            <w:r>
              <w:rPr>
                <w:rFonts w:hint="default" w:ascii="Times New Roman" w:hAnsi="Times New Roman" w:eastAsia="宋体" w:cs="Times New Roman"/>
                <w:spacing w:val="-1"/>
                <w:position w:val="10"/>
                <w:sz w:val="20"/>
                <w:szCs w:val="20"/>
                <w:highlight w:val="none"/>
              </w:rPr>
              <w:t>生</w:t>
            </w:r>
          </w:p>
          <w:p>
            <w:pPr>
              <w:spacing w:line="228" w:lineRule="auto"/>
              <w:ind w:left="19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产</w:t>
            </w:r>
            <w:r>
              <w:rPr>
                <w:rFonts w:hint="default" w:ascii="Times New Roman" w:hAnsi="Times New Roman" w:eastAsia="宋体" w:cs="Times New Roman"/>
                <w:spacing w:val="4"/>
                <w:sz w:val="20"/>
                <w:szCs w:val="20"/>
                <w:highlight w:val="none"/>
              </w:rPr>
              <w:t>线</w:t>
            </w:r>
          </w:p>
        </w:tc>
        <w:tc>
          <w:tcPr>
            <w:tcW w:w="946" w:type="dxa"/>
            <w:vMerge w:val="restart"/>
            <w:tcBorders>
              <w:bottom w:val="nil"/>
            </w:tcBorders>
            <w:vAlign w:val="top"/>
          </w:tcPr>
          <w:p>
            <w:pPr>
              <w:spacing w:before="295" w:line="228" w:lineRule="auto"/>
              <w:ind w:left="26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颚破</w:t>
            </w:r>
          </w:p>
        </w:tc>
        <w:tc>
          <w:tcPr>
            <w:tcW w:w="1279" w:type="dxa"/>
            <w:vAlign w:val="top"/>
          </w:tcPr>
          <w:p>
            <w:pPr>
              <w:spacing w:before="110" w:line="228" w:lineRule="auto"/>
              <w:ind w:left="21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破</w:t>
            </w:r>
            <w:r>
              <w:rPr>
                <w:rFonts w:hint="default" w:ascii="Times New Roman" w:hAnsi="Times New Roman" w:eastAsia="宋体" w:cs="Times New Roman"/>
                <w:spacing w:val="7"/>
                <w:sz w:val="20"/>
                <w:szCs w:val="20"/>
                <w:highlight w:val="none"/>
              </w:rPr>
              <w:t>碎过程</w:t>
            </w:r>
          </w:p>
        </w:tc>
        <w:tc>
          <w:tcPr>
            <w:tcW w:w="993" w:type="dxa"/>
            <w:vAlign w:val="top"/>
          </w:tcPr>
          <w:p>
            <w:pPr>
              <w:spacing w:before="110" w:line="229" w:lineRule="auto"/>
              <w:ind w:left="180" w:leftChars="0"/>
              <w:rPr>
                <w:rFonts w:hint="default" w:ascii="Times New Roman" w:hAnsi="Times New Roman" w:cs="Times New Roman"/>
                <w:sz w:val="21"/>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Align w:val="top"/>
          </w:tcPr>
          <w:p>
            <w:pPr>
              <w:spacing w:before="110" w:line="228" w:lineRule="auto"/>
              <w:ind w:left="114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集</w:t>
            </w:r>
            <w:r>
              <w:rPr>
                <w:rFonts w:hint="default" w:ascii="Times New Roman" w:hAnsi="Times New Roman" w:eastAsia="宋体" w:cs="Times New Roman"/>
                <w:spacing w:val="7"/>
                <w:sz w:val="20"/>
                <w:szCs w:val="20"/>
                <w:highlight w:val="none"/>
              </w:rPr>
              <w:t>尘管道</w:t>
            </w:r>
          </w:p>
        </w:tc>
        <w:tc>
          <w:tcPr>
            <w:tcW w:w="1704" w:type="dxa"/>
            <w:vMerge w:val="restart"/>
            <w:tcBorders>
              <w:bottom w:val="nil"/>
            </w:tcBorders>
            <w:vAlign w:val="top"/>
          </w:tcPr>
          <w:p>
            <w:pPr>
              <w:spacing w:line="259" w:lineRule="auto"/>
              <w:rPr>
                <w:rFonts w:hint="default" w:ascii="Times New Roman" w:hAnsi="Times New Roman" w:cs="Times New Roman"/>
                <w:sz w:val="21"/>
                <w:highlight w:val="none"/>
              </w:rPr>
            </w:pPr>
          </w:p>
          <w:p>
            <w:pPr>
              <w:spacing w:line="259" w:lineRule="auto"/>
              <w:rPr>
                <w:rFonts w:hint="default" w:ascii="Times New Roman" w:hAnsi="Times New Roman" w:cs="Times New Roman"/>
                <w:sz w:val="21"/>
                <w:highlight w:val="none"/>
              </w:rPr>
            </w:pPr>
          </w:p>
          <w:p>
            <w:pPr>
              <w:spacing w:line="259" w:lineRule="auto"/>
              <w:rPr>
                <w:rFonts w:hint="default" w:ascii="Times New Roman" w:hAnsi="Times New Roman" w:cs="Times New Roman"/>
                <w:sz w:val="21"/>
                <w:highlight w:val="none"/>
              </w:rPr>
            </w:pPr>
          </w:p>
          <w:p>
            <w:pPr>
              <w:spacing w:line="259" w:lineRule="auto"/>
              <w:rPr>
                <w:rFonts w:hint="default" w:ascii="Times New Roman" w:hAnsi="Times New Roman" w:cs="Times New Roman"/>
                <w:sz w:val="21"/>
                <w:highlight w:val="none"/>
              </w:rPr>
            </w:pPr>
          </w:p>
          <w:p>
            <w:pPr>
              <w:spacing w:line="259" w:lineRule="auto"/>
              <w:rPr>
                <w:rFonts w:hint="default" w:ascii="Times New Roman" w:hAnsi="Times New Roman" w:cs="Times New Roman"/>
                <w:sz w:val="21"/>
                <w:highlight w:val="none"/>
              </w:rPr>
            </w:pPr>
          </w:p>
          <w:p>
            <w:pPr>
              <w:spacing w:line="259" w:lineRule="auto"/>
              <w:rPr>
                <w:rFonts w:hint="default" w:ascii="Times New Roman" w:hAnsi="Times New Roman" w:cs="Times New Roman"/>
                <w:sz w:val="21"/>
                <w:highlight w:val="none"/>
              </w:rPr>
            </w:pPr>
          </w:p>
          <w:p>
            <w:pPr>
              <w:spacing w:before="65" w:line="227" w:lineRule="auto"/>
              <w:ind w:left="166"/>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6"/>
                <w:sz w:val="20"/>
                <w:szCs w:val="20"/>
                <w:highlight w:val="none"/>
              </w:rPr>
              <w:t>1</w:t>
            </w:r>
            <w:r>
              <w:rPr>
                <w:rFonts w:hint="default" w:ascii="Times New Roman" w:hAnsi="Times New Roman" w:eastAsia="Times New Roman" w:cs="Times New Roman"/>
                <w:spacing w:val="5"/>
                <w:sz w:val="20"/>
                <w:szCs w:val="20"/>
                <w:highlight w:val="none"/>
              </w:rPr>
              <w:t xml:space="preserve"> </w:t>
            </w:r>
            <w:r>
              <w:rPr>
                <w:rFonts w:hint="default" w:ascii="Times New Roman" w:hAnsi="Times New Roman" w:eastAsia="宋体" w:cs="Times New Roman"/>
                <w:spacing w:val="5"/>
                <w:sz w:val="20"/>
                <w:szCs w:val="20"/>
                <w:highlight w:val="none"/>
              </w:rPr>
              <w:t>套离线清灰脉</w:t>
            </w:r>
          </w:p>
          <w:p>
            <w:pPr>
              <w:spacing w:before="113" w:line="228" w:lineRule="auto"/>
              <w:ind w:left="23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冲布袋除尘器</w:t>
            </w:r>
          </w:p>
          <w:p>
            <w:pPr>
              <w:spacing w:before="82" w:line="274" w:lineRule="exact"/>
              <w:ind w:left="162"/>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r>
              <w:rPr>
                <w:rFonts w:hint="default" w:ascii="Times New Roman" w:hAnsi="Times New Roman" w:eastAsia="Times New Roman" w:cs="Times New Roman"/>
                <w:spacing w:val="1"/>
                <w:position w:val="1"/>
                <w:sz w:val="20"/>
                <w:szCs w:val="20"/>
                <w:highlight w:val="none"/>
              </w:rPr>
              <w:t xml:space="preserve"> 19</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1"/>
                <w:position w:val="1"/>
                <w:sz w:val="20"/>
                <w:szCs w:val="20"/>
                <w:highlight w:val="none"/>
              </w:rPr>
              <w:t xml:space="preserve"> </w:t>
            </w:r>
            <w:r>
              <w:rPr>
                <w:rFonts w:hint="default" w:ascii="Times New Roman" w:hAnsi="Times New Roman" w:eastAsia="宋体" w:cs="Times New Roman"/>
                <w:spacing w:val="1"/>
                <w:position w:val="1"/>
                <w:sz w:val="20"/>
                <w:szCs w:val="20"/>
                <w:highlight w:val="none"/>
              </w:rPr>
              <w:t>高排气筒</w:t>
            </w:r>
          </w:p>
        </w:tc>
        <w:tc>
          <w:tcPr>
            <w:tcW w:w="1279" w:type="dxa"/>
            <w:vMerge w:val="restart"/>
            <w:tcBorders>
              <w:bottom w:val="nil"/>
            </w:tcBorders>
            <w:vAlign w:val="top"/>
          </w:tcPr>
          <w:p>
            <w:pPr>
              <w:spacing w:line="246" w:lineRule="auto"/>
              <w:rPr>
                <w:rFonts w:hint="default" w:ascii="Times New Roman" w:hAnsi="Times New Roman" w:cs="Times New Roman"/>
                <w:sz w:val="21"/>
                <w:highlight w:val="none"/>
              </w:rPr>
            </w:pPr>
          </w:p>
          <w:p>
            <w:pPr>
              <w:spacing w:line="246"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before="65" w:line="367" w:lineRule="auto"/>
              <w:ind w:left="457" w:right="86" w:hanging="339"/>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1"/>
                <w:sz w:val="20"/>
                <w:szCs w:val="20"/>
                <w:highlight w:val="none"/>
                <w:lang w:val="en-US" w:eastAsia="zh-CN"/>
              </w:rPr>
              <w:t>4</w:t>
            </w:r>
            <w:r>
              <w:rPr>
                <w:rFonts w:hint="default" w:ascii="Times New Roman" w:hAnsi="Times New Roman" w:eastAsia="Times New Roman" w:cs="Times New Roman"/>
                <w:spacing w:val="-1"/>
                <w:sz w:val="20"/>
                <w:szCs w:val="20"/>
                <w:highlight w:val="none"/>
              </w:rPr>
              <w:t>0000</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1"/>
                <w:position w:val="6"/>
                <w:sz w:val="13"/>
                <w:szCs w:val="13"/>
                <w:highlight w:val="none"/>
              </w:rPr>
              <w:t>3</w:t>
            </w:r>
            <w:r>
              <w:rPr>
                <w:rFonts w:hint="default" w:ascii="Times New Roman" w:hAnsi="Times New Roman" w:eastAsia="Times New Roman" w:cs="Times New Roman"/>
                <w:spacing w:val="-1"/>
                <w:sz w:val="20"/>
                <w:szCs w:val="20"/>
                <w:highlight w:val="none"/>
              </w:rPr>
              <w:t>/</w:t>
            </w:r>
            <w:r>
              <w:rPr>
                <w:rFonts w:hint="default" w:ascii="Times New Roman" w:hAnsi="Times New Roman" w:eastAsia="Times New Roman" w:cs="Times New Roman"/>
                <w:sz w:val="20"/>
                <w:szCs w:val="20"/>
                <w:highlight w:val="none"/>
              </w:rPr>
              <w:t>h</w:t>
            </w:r>
            <w:r>
              <w:rPr>
                <w:rFonts w:hint="default" w:ascii="Times New Roman" w:hAnsi="Times New Roman" w:eastAsia="宋体" w:cs="Times New Roman"/>
                <w:spacing w:val="-1"/>
                <w:sz w:val="20"/>
                <w:szCs w:val="20"/>
                <w:highlight w:val="none"/>
              </w:rPr>
              <w:t>，</w:t>
            </w: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spacing w:val="4"/>
                <w:sz w:val="20"/>
                <w:szCs w:val="20"/>
                <w:highlight w:val="none"/>
              </w:rPr>
              <w:t>9</w:t>
            </w:r>
            <w:r>
              <w:rPr>
                <w:rFonts w:hint="default" w:ascii="Times New Roman" w:hAnsi="Times New Roman" w:eastAsia="Times New Roman" w:cs="Times New Roman"/>
                <w:spacing w:val="3"/>
                <w:sz w:val="20"/>
                <w:szCs w:val="20"/>
                <w:highlight w:val="none"/>
              </w:rPr>
              <w:t>9</w:t>
            </w:r>
            <w:r>
              <w:rPr>
                <w:rFonts w:hint="eastAsia" w:ascii="Times New Roman" w:hAnsi="Times New Roman" w:eastAsia="宋体" w:cs="Times New Roman"/>
                <w:spacing w:val="3"/>
                <w:sz w:val="20"/>
                <w:szCs w:val="20"/>
                <w:highlight w:val="none"/>
                <w:lang w:val="en-US" w:eastAsia="zh-CN"/>
              </w:rPr>
              <w:t>.9</w:t>
            </w:r>
            <w:r>
              <w:rPr>
                <w:rFonts w:hint="default" w:ascii="Times New Roman" w:hAnsi="Times New Roman" w:eastAsia="Times New Roman" w:cs="Times New Roman"/>
                <w:spacing w:val="3"/>
                <w:sz w:val="20"/>
                <w:szCs w:val="20"/>
                <w:highlight w:val="none"/>
              </w:rPr>
              <w:t>%</w:t>
            </w:r>
          </w:p>
        </w:tc>
        <w:tc>
          <w:tcPr>
            <w:tcW w:w="936" w:type="dxa"/>
            <w:vMerge w:val="restart"/>
            <w:tcBorders>
              <w:bottom w:val="nil"/>
            </w:tcBorders>
            <w:vAlign w:val="center"/>
          </w:tcPr>
          <w:p>
            <w:pPr>
              <w:spacing w:line="240" w:lineRule="atLeast"/>
              <w:ind w:firstLine="23" w:firstLineChars="11"/>
              <w:jc w:val="center"/>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z w:val="21"/>
                <w:szCs w:val="21"/>
                <w:highlight w:val="none"/>
                <w:lang w:val="en-US" w:eastAsia="zh-CN"/>
              </w:rPr>
              <w:t>120</w:t>
            </w:r>
          </w:p>
        </w:tc>
        <w:tc>
          <w:tcPr>
            <w:tcW w:w="1232" w:type="dxa"/>
            <w:vMerge w:val="restart"/>
            <w:tcBorders>
              <w:bottom w:val="nil"/>
            </w:tcBorders>
            <w:vAlign w:val="top"/>
          </w:tcPr>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before="58" w:line="195" w:lineRule="auto"/>
              <w:ind w:left="294" w:firstLine="188" w:firstLineChars="10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5059</w:t>
            </w:r>
          </w:p>
        </w:tc>
        <w:tc>
          <w:tcPr>
            <w:tcW w:w="861" w:type="dxa"/>
            <w:vMerge w:val="restart"/>
            <w:tcBorders>
              <w:bottom w:val="nil"/>
            </w:tcBorders>
            <w:vAlign w:val="top"/>
          </w:tcPr>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before="57" w:line="195" w:lineRule="auto"/>
              <w:ind w:left="209"/>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0.4045</w:t>
            </w:r>
          </w:p>
        </w:tc>
        <w:tc>
          <w:tcPr>
            <w:tcW w:w="1279" w:type="dxa"/>
            <w:vMerge w:val="restart"/>
            <w:tcBorders>
              <w:bottom w:val="nil"/>
            </w:tcBorders>
            <w:vAlign w:val="top"/>
          </w:tcPr>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before="57" w:line="195" w:lineRule="auto"/>
              <w:ind w:left="423"/>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5.06</w:t>
            </w:r>
          </w:p>
        </w:tc>
        <w:tc>
          <w:tcPr>
            <w:tcW w:w="1151" w:type="dxa"/>
            <w:vMerge w:val="restart"/>
            <w:tcBorders>
              <w:bottom w:val="nil"/>
              <w:right w:val="single" w:color="000000" w:sz="10" w:space="0"/>
            </w:tcBorders>
            <w:vAlign w:val="top"/>
          </w:tcPr>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before="58" w:line="195" w:lineRule="auto"/>
              <w:ind w:left="49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7"/>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33"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946" w:type="dxa"/>
            <w:vMerge w:val="continue"/>
            <w:tcBorders>
              <w:top w:val="nil"/>
            </w:tcBorders>
            <w:vAlign w:val="top"/>
          </w:tcPr>
          <w:p>
            <w:pPr>
              <w:rPr>
                <w:rFonts w:hint="default" w:ascii="Times New Roman" w:hAnsi="Times New Roman" w:cs="Times New Roman"/>
                <w:sz w:val="21"/>
                <w:highlight w:val="none"/>
              </w:rPr>
            </w:pPr>
          </w:p>
        </w:tc>
        <w:tc>
          <w:tcPr>
            <w:tcW w:w="1279" w:type="dxa"/>
            <w:vAlign w:val="top"/>
          </w:tcPr>
          <w:p>
            <w:pPr>
              <w:spacing w:before="110" w:line="228" w:lineRule="auto"/>
              <w:ind w:left="2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颚破出料</w:t>
            </w:r>
          </w:p>
        </w:tc>
        <w:tc>
          <w:tcPr>
            <w:tcW w:w="993" w:type="dxa"/>
            <w:vAlign w:val="top"/>
          </w:tcPr>
          <w:p>
            <w:pPr>
              <w:spacing w:before="110" w:line="229" w:lineRule="auto"/>
              <w:ind w:left="180" w:leftChars="0"/>
              <w:rPr>
                <w:rFonts w:hint="default" w:ascii="Times New Roman" w:hAnsi="Times New Roman" w:cs="Times New Roman"/>
                <w:sz w:val="21"/>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Align w:val="top"/>
          </w:tcPr>
          <w:p>
            <w:pPr>
              <w:spacing w:before="79" w:line="274" w:lineRule="exact"/>
              <w:ind w:left="26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position w:val="1"/>
                <w:sz w:val="20"/>
                <w:szCs w:val="20"/>
                <w:highlight w:val="none"/>
              </w:rPr>
              <w:t>出</w:t>
            </w:r>
            <w:r>
              <w:rPr>
                <w:rFonts w:hint="default" w:ascii="Times New Roman" w:hAnsi="Times New Roman" w:eastAsia="宋体" w:cs="Times New Roman"/>
                <w:spacing w:val="7"/>
                <w:position w:val="1"/>
                <w:sz w:val="20"/>
                <w:szCs w:val="20"/>
                <w:highlight w:val="none"/>
              </w:rPr>
              <w:t>料口设置集气罩</w:t>
            </w:r>
            <w:r>
              <w:rPr>
                <w:rFonts w:hint="default" w:ascii="Times New Roman" w:hAnsi="Times New Roman" w:eastAsia="Times New Roman" w:cs="Times New Roman"/>
                <w:spacing w:val="7"/>
                <w:position w:val="1"/>
                <w:sz w:val="20"/>
                <w:szCs w:val="20"/>
                <w:highlight w:val="none"/>
              </w:rPr>
              <w:t>+</w:t>
            </w:r>
            <w:r>
              <w:rPr>
                <w:rFonts w:hint="default" w:ascii="Times New Roman" w:hAnsi="Times New Roman" w:eastAsia="宋体" w:cs="Times New Roman"/>
                <w:spacing w:val="7"/>
                <w:position w:val="1"/>
                <w:sz w:val="20"/>
                <w:szCs w:val="20"/>
                <w:highlight w:val="none"/>
              </w:rPr>
              <w:t>集尘管道</w:t>
            </w:r>
          </w:p>
        </w:tc>
        <w:tc>
          <w:tcPr>
            <w:tcW w:w="1704"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936" w:type="dxa"/>
            <w:vMerge w:val="continue"/>
            <w:tcBorders>
              <w:top w:val="nil"/>
            </w:tcBorders>
            <w:vAlign w:val="top"/>
          </w:tcPr>
          <w:p>
            <w:pPr>
              <w:rPr>
                <w:rFonts w:hint="default" w:ascii="Times New Roman" w:hAnsi="Times New Roman" w:cs="Times New Roman"/>
                <w:sz w:val="21"/>
                <w:highlight w:val="none"/>
              </w:rPr>
            </w:pPr>
          </w:p>
        </w:tc>
        <w:tc>
          <w:tcPr>
            <w:tcW w:w="1232" w:type="dxa"/>
            <w:vMerge w:val="continue"/>
            <w:tcBorders>
              <w:top w:val="nil"/>
              <w:bottom w:val="nil"/>
            </w:tcBorders>
            <w:vAlign w:val="top"/>
          </w:tcPr>
          <w:p>
            <w:pPr>
              <w:rPr>
                <w:rFonts w:hint="default" w:ascii="Times New Roman" w:hAnsi="Times New Roman" w:cs="Times New Roman"/>
                <w:sz w:val="21"/>
                <w:highlight w:val="none"/>
              </w:rPr>
            </w:pPr>
          </w:p>
        </w:tc>
        <w:tc>
          <w:tcPr>
            <w:tcW w:w="861"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1151"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3"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946" w:type="dxa"/>
            <w:vMerge w:val="restart"/>
            <w:tcBorders>
              <w:bottom w:val="nil"/>
            </w:tcBorders>
            <w:vAlign w:val="top"/>
          </w:tcPr>
          <w:p>
            <w:pPr>
              <w:spacing w:line="412" w:lineRule="auto"/>
              <w:rPr>
                <w:rFonts w:hint="default" w:ascii="Times New Roman" w:hAnsi="Times New Roman" w:cs="Times New Roman"/>
                <w:sz w:val="21"/>
                <w:highlight w:val="none"/>
              </w:rPr>
            </w:pPr>
          </w:p>
          <w:p>
            <w:pPr>
              <w:spacing w:before="65" w:line="229" w:lineRule="auto"/>
              <w:ind w:left="278"/>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5"/>
                <w:sz w:val="20"/>
                <w:szCs w:val="20"/>
                <w:highlight w:val="none"/>
                <w:lang w:val="en-US" w:eastAsia="zh-CN"/>
              </w:rPr>
              <w:t>圆锥</w:t>
            </w:r>
            <w:r>
              <w:rPr>
                <w:rFonts w:hint="default" w:ascii="Times New Roman" w:hAnsi="Times New Roman" w:eastAsia="宋体" w:cs="Times New Roman"/>
                <w:spacing w:val="-5"/>
                <w:sz w:val="20"/>
                <w:szCs w:val="20"/>
                <w:highlight w:val="none"/>
              </w:rPr>
              <w:t>破</w:t>
            </w:r>
          </w:p>
        </w:tc>
        <w:tc>
          <w:tcPr>
            <w:tcW w:w="1279" w:type="dxa"/>
            <w:vAlign w:val="top"/>
          </w:tcPr>
          <w:p>
            <w:pPr>
              <w:spacing w:before="110" w:line="229" w:lineRule="auto"/>
              <w:ind w:left="4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入料</w:t>
            </w:r>
          </w:p>
        </w:tc>
        <w:tc>
          <w:tcPr>
            <w:tcW w:w="993" w:type="dxa"/>
            <w:vAlign w:val="top"/>
          </w:tcPr>
          <w:p>
            <w:pPr>
              <w:spacing w:before="110" w:line="229" w:lineRule="auto"/>
              <w:ind w:left="18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Merge w:val="restart"/>
            <w:tcBorders>
              <w:bottom w:val="nil"/>
            </w:tcBorders>
            <w:vAlign w:val="top"/>
          </w:tcPr>
          <w:p>
            <w:pPr>
              <w:spacing w:before="84" w:line="298" w:lineRule="auto"/>
              <w:ind w:left="1458" w:right="140" w:hanging="13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入料口上方设置集气罩</w:t>
            </w:r>
            <w:r>
              <w:rPr>
                <w:rFonts w:hint="default" w:ascii="Times New Roman" w:hAnsi="Times New Roman" w:eastAsia="Times New Roman" w:cs="Times New Roman"/>
                <w:spacing w:val="9"/>
                <w:sz w:val="20"/>
                <w:szCs w:val="20"/>
                <w:highlight w:val="none"/>
              </w:rPr>
              <w:t>+</w:t>
            </w:r>
            <w:r>
              <w:rPr>
                <w:rFonts w:hint="default" w:ascii="Times New Roman" w:hAnsi="Times New Roman" w:eastAsia="宋体" w:cs="Times New Roman"/>
                <w:spacing w:val="9"/>
                <w:sz w:val="20"/>
                <w:szCs w:val="20"/>
                <w:highlight w:val="none"/>
              </w:rPr>
              <w:t>集尘管</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
                <w:sz w:val="20"/>
                <w:szCs w:val="20"/>
                <w:highlight w:val="none"/>
              </w:rPr>
              <w:t>道</w:t>
            </w:r>
          </w:p>
        </w:tc>
        <w:tc>
          <w:tcPr>
            <w:tcW w:w="1704"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936" w:type="dxa"/>
            <w:vMerge w:val="restart"/>
            <w:tcBorders>
              <w:bottom w:val="nil"/>
            </w:tcBorders>
            <w:vAlign w:val="center"/>
          </w:tcPr>
          <w:p>
            <w:pPr>
              <w:spacing w:line="240" w:lineRule="atLeast"/>
              <w:ind w:firstLine="23" w:firstLineChars="11"/>
              <w:jc w:val="center"/>
              <w:rPr>
                <w:rFonts w:hint="default" w:ascii="Times New Roman" w:hAnsi="Times New Roman" w:eastAsia="Times New Roman" w:cs="Times New Roman"/>
                <w:sz w:val="20"/>
                <w:szCs w:val="20"/>
                <w:highlight w:val="none"/>
                <w:lang w:val="en-US"/>
              </w:rPr>
            </w:pPr>
            <w:r>
              <w:rPr>
                <w:rFonts w:hint="eastAsia" w:ascii="Times New Roman" w:hAnsi="Times New Roman" w:eastAsia="宋体" w:cs="Times New Roman"/>
                <w:sz w:val="21"/>
                <w:szCs w:val="21"/>
                <w:highlight w:val="none"/>
                <w:lang w:val="en-US" w:eastAsia="zh-CN"/>
              </w:rPr>
              <w:t>90</w:t>
            </w:r>
          </w:p>
        </w:tc>
        <w:tc>
          <w:tcPr>
            <w:tcW w:w="1232" w:type="dxa"/>
            <w:vMerge w:val="continue"/>
            <w:tcBorders>
              <w:top w:val="nil"/>
              <w:bottom w:val="nil"/>
            </w:tcBorders>
            <w:vAlign w:val="top"/>
          </w:tcPr>
          <w:p>
            <w:pPr>
              <w:rPr>
                <w:rFonts w:hint="default" w:ascii="Times New Roman" w:hAnsi="Times New Roman" w:cs="Times New Roman"/>
                <w:sz w:val="21"/>
                <w:highlight w:val="none"/>
              </w:rPr>
            </w:pPr>
          </w:p>
        </w:tc>
        <w:tc>
          <w:tcPr>
            <w:tcW w:w="861"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1151"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3"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946"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Align w:val="top"/>
          </w:tcPr>
          <w:p>
            <w:pPr>
              <w:spacing w:before="110" w:line="228" w:lineRule="auto"/>
              <w:ind w:left="4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破碎</w:t>
            </w:r>
          </w:p>
        </w:tc>
        <w:tc>
          <w:tcPr>
            <w:tcW w:w="993" w:type="dxa"/>
            <w:vAlign w:val="top"/>
          </w:tcPr>
          <w:p>
            <w:pPr>
              <w:spacing w:before="110" w:line="229" w:lineRule="auto"/>
              <w:ind w:left="18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Merge w:val="continue"/>
            <w:tcBorders>
              <w:top w:val="nil"/>
            </w:tcBorders>
            <w:vAlign w:val="top"/>
          </w:tcPr>
          <w:p>
            <w:pPr>
              <w:rPr>
                <w:rFonts w:hint="default" w:ascii="Times New Roman" w:hAnsi="Times New Roman" w:cs="Times New Roman"/>
                <w:sz w:val="21"/>
                <w:highlight w:val="none"/>
              </w:rPr>
            </w:pPr>
          </w:p>
        </w:tc>
        <w:tc>
          <w:tcPr>
            <w:tcW w:w="1704"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936" w:type="dxa"/>
            <w:vMerge w:val="continue"/>
            <w:tcBorders>
              <w:top w:val="nil"/>
              <w:bottom w:val="nil"/>
            </w:tcBorders>
            <w:vAlign w:val="top"/>
          </w:tcPr>
          <w:p>
            <w:pPr>
              <w:rPr>
                <w:rFonts w:hint="default" w:ascii="Times New Roman" w:hAnsi="Times New Roman" w:cs="Times New Roman"/>
                <w:sz w:val="21"/>
                <w:highlight w:val="none"/>
              </w:rPr>
            </w:pPr>
          </w:p>
        </w:tc>
        <w:tc>
          <w:tcPr>
            <w:tcW w:w="1232" w:type="dxa"/>
            <w:vMerge w:val="continue"/>
            <w:tcBorders>
              <w:top w:val="nil"/>
              <w:bottom w:val="nil"/>
            </w:tcBorders>
            <w:vAlign w:val="top"/>
          </w:tcPr>
          <w:p>
            <w:pPr>
              <w:rPr>
                <w:rFonts w:hint="default" w:ascii="Times New Roman" w:hAnsi="Times New Roman" w:cs="Times New Roman"/>
                <w:sz w:val="21"/>
                <w:highlight w:val="none"/>
              </w:rPr>
            </w:pPr>
          </w:p>
        </w:tc>
        <w:tc>
          <w:tcPr>
            <w:tcW w:w="861"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1151"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3"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946" w:type="dxa"/>
            <w:vMerge w:val="continue"/>
            <w:tcBorders>
              <w:top w:val="nil"/>
            </w:tcBorders>
            <w:vAlign w:val="top"/>
          </w:tcPr>
          <w:p>
            <w:pPr>
              <w:rPr>
                <w:rFonts w:hint="default" w:ascii="Times New Roman" w:hAnsi="Times New Roman" w:cs="Times New Roman"/>
                <w:sz w:val="21"/>
                <w:highlight w:val="none"/>
              </w:rPr>
            </w:pPr>
          </w:p>
        </w:tc>
        <w:tc>
          <w:tcPr>
            <w:tcW w:w="1279" w:type="dxa"/>
            <w:vAlign w:val="top"/>
          </w:tcPr>
          <w:p>
            <w:pPr>
              <w:spacing w:before="112" w:line="229" w:lineRule="auto"/>
              <w:ind w:left="44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出</w:t>
            </w:r>
            <w:r>
              <w:rPr>
                <w:rFonts w:hint="default" w:ascii="Times New Roman" w:hAnsi="Times New Roman" w:eastAsia="宋体" w:cs="Times New Roman"/>
                <w:spacing w:val="-4"/>
                <w:sz w:val="20"/>
                <w:szCs w:val="20"/>
                <w:highlight w:val="none"/>
              </w:rPr>
              <w:t>料</w:t>
            </w:r>
          </w:p>
        </w:tc>
        <w:tc>
          <w:tcPr>
            <w:tcW w:w="993" w:type="dxa"/>
            <w:vAlign w:val="top"/>
          </w:tcPr>
          <w:p>
            <w:pPr>
              <w:spacing w:before="112" w:line="229" w:lineRule="auto"/>
              <w:ind w:left="18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Align w:val="top"/>
          </w:tcPr>
          <w:p>
            <w:pPr>
              <w:spacing w:before="81" w:line="274" w:lineRule="exact"/>
              <w:ind w:left="26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position w:val="1"/>
                <w:sz w:val="20"/>
                <w:szCs w:val="20"/>
                <w:highlight w:val="none"/>
              </w:rPr>
              <w:t>出</w:t>
            </w:r>
            <w:r>
              <w:rPr>
                <w:rFonts w:hint="default" w:ascii="Times New Roman" w:hAnsi="Times New Roman" w:eastAsia="宋体" w:cs="Times New Roman"/>
                <w:spacing w:val="7"/>
                <w:position w:val="1"/>
                <w:sz w:val="20"/>
                <w:szCs w:val="20"/>
                <w:highlight w:val="none"/>
              </w:rPr>
              <w:t>料口设置集气罩</w:t>
            </w:r>
            <w:r>
              <w:rPr>
                <w:rFonts w:hint="default" w:ascii="Times New Roman" w:hAnsi="Times New Roman" w:eastAsia="Times New Roman" w:cs="Times New Roman"/>
                <w:spacing w:val="7"/>
                <w:position w:val="1"/>
                <w:sz w:val="20"/>
                <w:szCs w:val="20"/>
                <w:highlight w:val="none"/>
              </w:rPr>
              <w:t>+</w:t>
            </w:r>
            <w:r>
              <w:rPr>
                <w:rFonts w:hint="default" w:ascii="Times New Roman" w:hAnsi="Times New Roman" w:eastAsia="宋体" w:cs="Times New Roman"/>
                <w:spacing w:val="7"/>
                <w:position w:val="1"/>
                <w:sz w:val="20"/>
                <w:szCs w:val="20"/>
                <w:highlight w:val="none"/>
              </w:rPr>
              <w:t>集尘管道</w:t>
            </w:r>
          </w:p>
        </w:tc>
        <w:tc>
          <w:tcPr>
            <w:tcW w:w="1704"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936" w:type="dxa"/>
            <w:vMerge w:val="continue"/>
            <w:tcBorders>
              <w:top w:val="nil"/>
            </w:tcBorders>
            <w:vAlign w:val="top"/>
          </w:tcPr>
          <w:p>
            <w:pPr>
              <w:rPr>
                <w:rFonts w:hint="default" w:ascii="Times New Roman" w:hAnsi="Times New Roman" w:cs="Times New Roman"/>
                <w:sz w:val="21"/>
                <w:highlight w:val="none"/>
              </w:rPr>
            </w:pPr>
          </w:p>
        </w:tc>
        <w:tc>
          <w:tcPr>
            <w:tcW w:w="1232" w:type="dxa"/>
            <w:vMerge w:val="continue"/>
            <w:tcBorders>
              <w:top w:val="nil"/>
              <w:bottom w:val="nil"/>
            </w:tcBorders>
            <w:vAlign w:val="top"/>
          </w:tcPr>
          <w:p>
            <w:pPr>
              <w:rPr>
                <w:rFonts w:hint="default" w:ascii="Times New Roman" w:hAnsi="Times New Roman" w:cs="Times New Roman"/>
                <w:sz w:val="21"/>
                <w:highlight w:val="none"/>
              </w:rPr>
            </w:pPr>
          </w:p>
        </w:tc>
        <w:tc>
          <w:tcPr>
            <w:tcW w:w="861"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1151"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3"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946" w:type="dxa"/>
            <w:vMerge w:val="restart"/>
            <w:tcBorders>
              <w:bottom w:val="nil"/>
            </w:tcBorders>
            <w:vAlign w:val="top"/>
          </w:tcPr>
          <w:p>
            <w:pPr>
              <w:spacing w:before="65" w:line="229" w:lineRule="auto"/>
              <w:ind w:left="278"/>
              <w:rPr>
                <w:rFonts w:hint="default" w:ascii="Times New Roman" w:hAnsi="Times New Roman" w:eastAsia="宋体" w:cs="Times New Roman"/>
                <w:spacing w:val="-5"/>
                <w:sz w:val="20"/>
                <w:szCs w:val="20"/>
                <w:highlight w:val="none"/>
                <w:lang w:val="en-US" w:eastAsia="zh-CN"/>
              </w:rPr>
            </w:pPr>
          </w:p>
          <w:p>
            <w:pPr>
              <w:spacing w:before="65" w:line="229" w:lineRule="auto"/>
              <w:ind w:left="278"/>
              <w:rPr>
                <w:rFonts w:hint="default" w:ascii="Times New Roman" w:hAnsi="Times New Roman" w:eastAsia="宋体" w:cs="Times New Roman"/>
                <w:spacing w:val="-5"/>
                <w:sz w:val="20"/>
                <w:szCs w:val="20"/>
                <w:highlight w:val="none"/>
                <w:lang w:val="en-US" w:eastAsia="zh-CN"/>
              </w:rPr>
            </w:pPr>
            <w:r>
              <w:rPr>
                <w:rFonts w:hint="default" w:ascii="Times New Roman" w:hAnsi="Times New Roman" w:eastAsia="宋体" w:cs="Times New Roman"/>
                <w:spacing w:val="-5"/>
                <w:sz w:val="20"/>
                <w:szCs w:val="20"/>
                <w:highlight w:val="none"/>
                <w:lang w:val="en-US" w:eastAsia="zh-CN"/>
              </w:rPr>
              <w:t>筛分</w:t>
            </w:r>
          </w:p>
        </w:tc>
        <w:tc>
          <w:tcPr>
            <w:tcW w:w="1279" w:type="dxa"/>
            <w:vAlign w:val="top"/>
          </w:tcPr>
          <w:p>
            <w:pPr>
              <w:spacing w:before="112" w:line="228" w:lineRule="auto"/>
              <w:ind w:left="11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振</w:t>
            </w:r>
            <w:r>
              <w:rPr>
                <w:rFonts w:hint="default" w:ascii="Times New Roman" w:hAnsi="Times New Roman" w:eastAsia="宋体" w:cs="Times New Roman"/>
                <w:spacing w:val="8"/>
                <w:sz w:val="20"/>
                <w:szCs w:val="20"/>
                <w:highlight w:val="none"/>
              </w:rPr>
              <w:t>动筛入料</w:t>
            </w:r>
          </w:p>
        </w:tc>
        <w:tc>
          <w:tcPr>
            <w:tcW w:w="993" w:type="dxa"/>
            <w:vAlign w:val="top"/>
          </w:tcPr>
          <w:p>
            <w:pPr>
              <w:spacing w:before="112" w:line="229" w:lineRule="auto"/>
              <w:ind w:left="18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Merge w:val="restart"/>
            <w:tcBorders>
              <w:bottom w:val="nil"/>
            </w:tcBorders>
            <w:vAlign w:val="top"/>
          </w:tcPr>
          <w:p>
            <w:pPr>
              <w:spacing w:before="265" w:line="275" w:lineRule="exact"/>
              <w:ind w:left="24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position w:val="1"/>
                <w:sz w:val="20"/>
                <w:szCs w:val="20"/>
                <w:highlight w:val="none"/>
              </w:rPr>
              <w:t>入料口、筛面封闭</w:t>
            </w:r>
            <w:r>
              <w:rPr>
                <w:rFonts w:hint="default" w:ascii="Times New Roman" w:hAnsi="Times New Roman" w:eastAsia="Times New Roman" w:cs="Times New Roman"/>
                <w:spacing w:val="9"/>
                <w:position w:val="1"/>
                <w:sz w:val="20"/>
                <w:szCs w:val="20"/>
                <w:highlight w:val="none"/>
              </w:rPr>
              <w:t>+</w:t>
            </w:r>
            <w:r>
              <w:rPr>
                <w:rFonts w:hint="default" w:ascii="Times New Roman" w:hAnsi="Times New Roman" w:eastAsia="宋体" w:cs="Times New Roman"/>
                <w:spacing w:val="9"/>
                <w:position w:val="1"/>
                <w:sz w:val="20"/>
                <w:szCs w:val="20"/>
                <w:highlight w:val="none"/>
              </w:rPr>
              <w:t>集尘管</w:t>
            </w:r>
            <w:r>
              <w:rPr>
                <w:rFonts w:hint="default" w:ascii="Times New Roman" w:hAnsi="Times New Roman" w:eastAsia="宋体" w:cs="Times New Roman"/>
                <w:spacing w:val="7"/>
                <w:position w:val="1"/>
                <w:sz w:val="20"/>
                <w:szCs w:val="20"/>
                <w:highlight w:val="none"/>
              </w:rPr>
              <w:t>道</w:t>
            </w:r>
          </w:p>
        </w:tc>
        <w:tc>
          <w:tcPr>
            <w:tcW w:w="1704"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936" w:type="dxa"/>
            <w:vMerge w:val="restart"/>
            <w:tcBorders>
              <w:bottom w:val="nil"/>
            </w:tcBorders>
            <w:vAlign w:val="center"/>
          </w:tcPr>
          <w:p>
            <w:pPr>
              <w:spacing w:line="240" w:lineRule="atLeast"/>
              <w:ind w:firstLine="23" w:firstLineChars="11"/>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96</w:t>
            </w:r>
          </w:p>
        </w:tc>
        <w:tc>
          <w:tcPr>
            <w:tcW w:w="1232" w:type="dxa"/>
            <w:vMerge w:val="continue"/>
            <w:tcBorders>
              <w:top w:val="nil"/>
              <w:bottom w:val="nil"/>
            </w:tcBorders>
            <w:vAlign w:val="top"/>
          </w:tcPr>
          <w:p>
            <w:pPr>
              <w:rPr>
                <w:rFonts w:hint="default" w:ascii="Times New Roman" w:hAnsi="Times New Roman" w:cs="Times New Roman"/>
                <w:sz w:val="21"/>
                <w:highlight w:val="none"/>
              </w:rPr>
            </w:pPr>
          </w:p>
        </w:tc>
        <w:tc>
          <w:tcPr>
            <w:tcW w:w="861"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1151"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3"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946" w:type="dxa"/>
            <w:vMerge w:val="continue"/>
            <w:tcBorders>
              <w:top w:val="nil"/>
              <w:bottom w:val="nil"/>
            </w:tcBorders>
            <w:vAlign w:val="top"/>
          </w:tcPr>
          <w:p>
            <w:pPr>
              <w:spacing w:before="65" w:line="229" w:lineRule="auto"/>
              <w:ind w:left="278"/>
              <w:rPr>
                <w:rFonts w:hint="default" w:ascii="Times New Roman" w:hAnsi="Times New Roman" w:eastAsia="宋体" w:cs="Times New Roman"/>
                <w:spacing w:val="-5"/>
                <w:sz w:val="20"/>
                <w:szCs w:val="20"/>
                <w:highlight w:val="none"/>
                <w:lang w:val="en-US" w:eastAsia="zh-CN"/>
              </w:rPr>
            </w:pPr>
          </w:p>
        </w:tc>
        <w:tc>
          <w:tcPr>
            <w:tcW w:w="1279" w:type="dxa"/>
            <w:vAlign w:val="top"/>
          </w:tcPr>
          <w:p>
            <w:pPr>
              <w:spacing w:before="111" w:line="228" w:lineRule="auto"/>
              <w:ind w:left="4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筛</w:t>
            </w:r>
            <w:r>
              <w:rPr>
                <w:rFonts w:hint="default" w:ascii="Times New Roman" w:hAnsi="Times New Roman" w:eastAsia="宋体" w:cs="Times New Roman"/>
                <w:spacing w:val="3"/>
                <w:sz w:val="20"/>
                <w:szCs w:val="20"/>
                <w:highlight w:val="none"/>
              </w:rPr>
              <w:t>分</w:t>
            </w:r>
          </w:p>
        </w:tc>
        <w:tc>
          <w:tcPr>
            <w:tcW w:w="993" w:type="dxa"/>
            <w:vAlign w:val="top"/>
          </w:tcPr>
          <w:p>
            <w:pPr>
              <w:spacing w:before="111" w:line="229" w:lineRule="auto"/>
              <w:ind w:left="18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Merge w:val="continue"/>
            <w:tcBorders>
              <w:top w:val="nil"/>
            </w:tcBorders>
            <w:vAlign w:val="top"/>
          </w:tcPr>
          <w:p>
            <w:pPr>
              <w:rPr>
                <w:rFonts w:hint="default" w:ascii="Times New Roman" w:hAnsi="Times New Roman" w:cs="Times New Roman"/>
                <w:sz w:val="21"/>
                <w:highlight w:val="none"/>
              </w:rPr>
            </w:pPr>
          </w:p>
        </w:tc>
        <w:tc>
          <w:tcPr>
            <w:tcW w:w="1704"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936" w:type="dxa"/>
            <w:vMerge w:val="continue"/>
            <w:tcBorders>
              <w:top w:val="nil"/>
              <w:bottom w:val="nil"/>
            </w:tcBorders>
            <w:vAlign w:val="top"/>
          </w:tcPr>
          <w:p>
            <w:pPr>
              <w:spacing w:line="240" w:lineRule="atLeast"/>
              <w:ind w:firstLine="23" w:firstLineChars="11"/>
              <w:jc w:val="center"/>
              <w:rPr>
                <w:rFonts w:hint="default" w:ascii="Times New Roman" w:hAnsi="Times New Roman" w:eastAsia="宋体" w:cs="Times New Roman"/>
                <w:sz w:val="21"/>
                <w:szCs w:val="21"/>
                <w:highlight w:val="none"/>
                <w:lang w:val="en-US" w:eastAsia="zh-CN"/>
              </w:rPr>
            </w:pPr>
          </w:p>
        </w:tc>
        <w:tc>
          <w:tcPr>
            <w:tcW w:w="1232" w:type="dxa"/>
            <w:vMerge w:val="continue"/>
            <w:tcBorders>
              <w:top w:val="nil"/>
              <w:bottom w:val="nil"/>
            </w:tcBorders>
            <w:vAlign w:val="top"/>
          </w:tcPr>
          <w:p>
            <w:pPr>
              <w:rPr>
                <w:rFonts w:hint="default" w:ascii="Times New Roman" w:hAnsi="Times New Roman" w:cs="Times New Roman"/>
                <w:sz w:val="21"/>
                <w:highlight w:val="none"/>
              </w:rPr>
            </w:pPr>
          </w:p>
        </w:tc>
        <w:tc>
          <w:tcPr>
            <w:tcW w:w="861"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1151"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3"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946" w:type="dxa"/>
            <w:vMerge w:val="continue"/>
            <w:tcBorders>
              <w:top w:val="nil"/>
              <w:bottom w:val="single" w:color="auto" w:sz="4" w:space="0"/>
            </w:tcBorders>
            <w:vAlign w:val="top"/>
          </w:tcPr>
          <w:p>
            <w:pPr>
              <w:spacing w:before="65" w:line="229" w:lineRule="auto"/>
              <w:ind w:left="278"/>
              <w:rPr>
                <w:rFonts w:hint="default" w:ascii="Times New Roman" w:hAnsi="Times New Roman" w:eastAsia="宋体" w:cs="Times New Roman"/>
                <w:spacing w:val="-5"/>
                <w:sz w:val="20"/>
                <w:szCs w:val="20"/>
                <w:highlight w:val="none"/>
                <w:lang w:val="en-US" w:eastAsia="zh-CN"/>
              </w:rPr>
            </w:pPr>
          </w:p>
        </w:tc>
        <w:tc>
          <w:tcPr>
            <w:tcW w:w="1279" w:type="dxa"/>
            <w:vAlign w:val="top"/>
          </w:tcPr>
          <w:p>
            <w:pPr>
              <w:spacing w:before="111" w:line="228" w:lineRule="auto"/>
              <w:ind w:left="21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筛分出</w:t>
            </w:r>
            <w:r>
              <w:rPr>
                <w:rFonts w:hint="default" w:ascii="Times New Roman" w:hAnsi="Times New Roman" w:eastAsia="宋体" w:cs="Times New Roman"/>
                <w:spacing w:val="6"/>
                <w:sz w:val="20"/>
                <w:szCs w:val="20"/>
                <w:highlight w:val="none"/>
              </w:rPr>
              <w:t>料</w:t>
            </w:r>
          </w:p>
        </w:tc>
        <w:tc>
          <w:tcPr>
            <w:tcW w:w="993" w:type="dxa"/>
            <w:vAlign w:val="top"/>
          </w:tcPr>
          <w:p>
            <w:pPr>
              <w:spacing w:before="111" w:line="229" w:lineRule="auto"/>
              <w:ind w:left="18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Align w:val="top"/>
          </w:tcPr>
          <w:p>
            <w:pPr>
              <w:spacing w:before="80" w:line="274" w:lineRule="exact"/>
              <w:ind w:left="26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position w:val="1"/>
                <w:sz w:val="20"/>
                <w:szCs w:val="20"/>
                <w:highlight w:val="none"/>
              </w:rPr>
              <w:t>出</w:t>
            </w:r>
            <w:r>
              <w:rPr>
                <w:rFonts w:hint="default" w:ascii="Times New Roman" w:hAnsi="Times New Roman" w:eastAsia="宋体" w:cs="Times New Roman"/>
                <w:spacing w:val="7"/>
                <w:position w:val="1"/>
                <w:sz w:val="20"/>
                <w:szCs w:val="20"/>
                <w:highlight w:val="none"/>
              </w:rPr>
              <w:t>料口设置集气罩</w:t>
            </w:r>
            <w:r>
              <w:rPr>
                <w:rFonts w:hint="default" w:ascii="Times New Roman" w:hAnsi="Times New Roman" w:eastAsia="Times New Roman" w:cs="Times New Roman"/>
                <w:spacing w:val="7"/>
                <w:position w:val="1"/>
                <w:sz w:val="20"/>
                <w:szCs w:val="20"/>
                <w:highlight w:val="none"/>
              </w:rPr>
              <w:t>+</w:t>
            </w:r>
            <w:r>
              <w:rPr>
                <w:rFonts w:hint="default" w:ascii="Times New Roman" w:hAnsi="Times New Roman" w:eastAsia="宋体" w:cs="Times New Roman"/>
                <w:spacing w:val="7"/>
                <w:position w:val="1"/>
                <w:sz w:val="20"/>
                <w:szCs w:val="20"/>
                <w:highlight w:val="none"/>
              </w:rPr>
              <w:t>集尘管道</w:t>
            </w:r>
          </w:p>
        </w:tc>
        <w:tc>
          <w:tcPr>
            <w:tcW w:w="1704"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936" w:type="dxa"/>
            <w:vMerge w:val="continue"/>
            <w:tcBorders>
              <w:top w:val="nil"/>
              <w:bottom w:val="single" w:color="auto" w:sz="4" w:space="0"/>
            </w:tcBorders>
            <w:vAlign w:val="top"/>
          </w:tcPr>
          <w:p>
            <w:pPr>
              <w:spacing w:line="240" w:lineRule="atLeast"/>
              <w:ind w:firstLine="23" w:firstLineChars="11"/>
              <w:jc w:val="center"/>
              <w:rPr>
                <w:rFonts w:hint="default" w:ascii="Times New Roman" w:hAnsi="Times New Roman" w:eastAsia="宋体" w:cs="Times New Roman"/>
                <w:sz w:val="21"/>
                <w:szCs w:val="21"/>
                <w:highlight w:val="none"/>
                <w:lang w:val="en-US" w:eastAsia="zh-CN"/>
              </w:rPr>
            </w:pPr>
          </w:p>
        </w:tc>
        <w:tc>
          <w:tcPr>
            <w:tcW w:w="1232" w:type="dxa"/>
            <w:vMerge w:val="continue"/>
            <w:tcBorders>
              <w:top w:val="nil"/>
              <w:bottom w:val="nil"/>
            </w:tcBorders>
            <w:vAlign w:val="top"/>
          </w:tcPr>
          <w:p>
            <w:pPr>
              <w:rPr>
                <w:rFonts w:hint="default" w:ascii="Times New Roman" w:hAnsi="Times New Roman" w:cs="Times New Roman"/>
                <w:sz w:val="21"/>
                <w:highlight w:val="none"/>
              </w:rPr>
            </w:pPr>
          </w:p>
        </w:tc>
        <w:tc>
          <w:tcPr>
            <w:tcW w:w="861"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1151"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3"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946" w:type="dxa"/>
            <w:vMerge w:val="restart"/>
            <w:tcBorders>
              <w:top w:val="single" w:color="auto" w:sz="4" w:space="0"/>
            </w:tcBorders>
            <w:vAlign w:val="center"/>
          </w:tcPr>
          <w:p>
            <w:pPr>
              <w:spacing w:before="65" w:line="229" w:lineRule="auto"/>
              <w:ind w:left="278"/>
              <w:jc w:val="both"/>
              <w:rPr>
                <w:rFonts w:hint="default" w:ascii="Times New Roman" w:hAnsi="Times New Roman" w:eastAsia="宋体" w:cs="Times New Roman"/>
                <w:spacing w:val="-5"/>
                <w:sz w:val="20"/>
                <w:szCs w:val="20"/>
                <w:highlight w:val="none"/>
                <w:lang w:val="en-US" w:eastAsia="zh-CN"/>
              </w:rPr>
            </w:pPr>
            <w:r>
              <w:rPr>
                <w:rFonts w:hint="eastAsia" w:ascii="Times New Roman" w:hAnsi="Times New Roman" w:eastAsia="宋体" w:cs="Times New Roman"/>
                <w:spacing w:val="-5"/>
                <w:sz w:val="20"/>
                <w:szCs w:val="20"/>
                <w:highlight w:val="none"/>
                <w:lang w:val="en-US" w:eastAsia="zh-CN"/>
              </w:rPr>
              <w:t>干选</w:t>
            </w:r>
          </w:p>
        </w:tc>
        <w:tc>
          <w:tcPr>
            <w:tcW w:w="1279" w:type="dxa"/>
            <w:vAlign w:val="top"/>
          </w:tcPr>
          <w:p>
            <w:pPr>
              <w:spacing w:before="291" w:line="229" w:lineRule="auto"/>
              <w:ind w:left="426" w:leftChars="0"/>
              <w:rPr>
                <w:rFonts w:hint="default" w:ascii="Times New Roman" w:hAnsi="Times New Roman" w:eastAsia="宋体" w:cs="Times New Roman"/>
                <w:spacing w:val="7"/>
                <w:sz w:val="20"/>
                <w:szCs w:val="20"/>
                <w:highlight w:val="none"/>
              </w:rPr>
            </w:pPr>
            <w:r>
              <w:rPr>
                <w:rFonts w:hint="default" w:ascii="Times New Roman" w:hAnsi="Times New Roman" w:eastAsia="宋体" w:cs="Times New Roman"/>
                <w:spacing w:val="5"/>
                <w:sz w:val="20"/>
                <w:szCs w:val="20"/>
                <w:highlight w:val="none"/>
              </w:rPr>
              <w:t>入料</w:t>
            </w:r>
          </w:p>
        </w:tc>
        <w:tc>
          <w:tcPr>
            <w:tcW w:w="993" w:type="dxa"/>
            <w:vAlign w:val="top"/>
          </w:tcPr>
          <w:p>
            <w:pPr>
              <w:spacing w:before="291" w:line="229" w:lineRule="auto"/>
              <w:ind w:left="180" w:leftChars="0"/>
              <w:rPr>
                <w:rFonts w:hint="default" w:ascii="Times New Roman" w:hAnsi="Times New Roman" w:eastAsia="宋体" w:cs="Times New Roman"/>
                <w:spacing w:val="7"/>
                <w:sz w:val="20"/>
                <w:szCs w:val="20"/>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Align w:val="top"/>
          </w:tcPr>
          <w:p>
            <w:pPr>
              <w:spacing w:before="80" w:line="295" w:lineRule="auto"/>
              <w:ind w:left="1042" w:leftChars="0" w:right="140" w:rightChars="0" w:hanging="903" w:firstLineChars="0"/>
              <w:rPr>
                <w:rFonts w:hint="default" w:ascii="Times New Roman" w:hAnsi="Times New Roman" w:eastAsia="宋体" w:cs="Times New Roman"/>
                <w:spacing w:val="12"/>
                <w:position w:val="1"/>
                <w:sz w:val="20"/>
                <w:szCs w:val="20"/>
                <w:highlight w:val="none"/>
              </w:rPr>
            </w:pPr>
            <w:r>
              <w:rPr>
                <w:rFonts w:hint="eastAsia" w:ascii="Times New Roman" w:hAnsi="Times New Roman" w:eastAsia="宋体" w:cs="Times New Roman"/>
                <w:spacing w:val="9"/>
                <w:sz w:val="20"/>
                <w:szCs w:val="20"/>
                <w:highlight w:val="none"/>
                <w:lang w:val="en-US" w:eastAsia="zh-CN"/>
              </w:rPr>
              <w:t>全</w:t>
            </w:r>
            <w:r>
              <w:rPr>
                <w:rFonts w:hint="default" w:ascii="Times New Roman" w:hAnsi="Times New Roman" w:eastAsia="宋体" w:cs="Times New Roman"/>
                <w:spacing w:val="9"/>
                <w:sz w:val="20"/>
                <w:szCs w:val="20"/>
                <w:highlight w:val="none"/>
              </w:rPr>
              <w:t>封闭</w:t>
            </w:r>
            <w:r>
              <w:rPr>
                <w:rFonts w:hint="default" w:ascii="Times New Roman" w:hAnsi="Times New Roman" w:eastAsia="Times New Roman" w:cs="Times New Roman"/>
                <w:spacing w:val="9"/>
                <w:sz w:val="20"/>
                <w:szCs w:val="20"/>
                <w:highlight w:val="none"/>
              </w:rPr>
              <w:t>+</w:t>
            </w:r>
            <w:r>
              <w:rPr>
                <w:rFonts w:hint="default" w:ascii="Times New Roman" w:hAnsi="Times New Roman" w:eastAsia="宋体" w:cs="Times New Roman"/>
                <w:spacing w:val="9"/>
                <w:sz w:val="20"/>
                <w:szCs w:val="20"/>
                <w:highlight w:val="none"/>
              </w:rPr>
              <w:t>集尘管道，留</w:t>
            </w:r>
            <w:r>
              <w:rPr>
                <w:rFonts w:hint="default" w:ascii="Times New Roman" w:hAnsi="Times New Roman" w:eastAsia="宋体" w:cs="Times New Roman"/>
                <w:spacing w:val="8"/>
                <w:sz w:val="20"/>
                <w:szCs w:val="20"/>
                <w:highlight w:val="none"/>
              </w:rPr>
              <w:t>有</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皮</w:t>
            </w:r>
            <w:r>
              <w:rPr>
                <w:rFonts w:hint="default" w:ascii="Times New Roman" w:hAnsi="Times New Roman" w:eastAsia="宋体" w:cs="Times New Roman"/>
                <w:spacing w:val="7"/>
                <w:sz w:val="20"/>
                <w:szCs w:val="20"/>
                <w:highlight w:val="none"/>
              </w:rPr>
              <w:t>带落料口</w:t>
            </w:r>
          </w:p>
        </w:tc>
        <w:tc>
          <w:tcPr>
            <w:tcW w:w="1704"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936" w:type="dxa"/>
            <w:vMerge w:val="restart"/>
            <w:tcBorders>
              <w:top w:val="single" w:color="auto" w:sz="4" w:space="0"/>
            </w:tcBorders>
            <w:vAlign w:val="center"/>
          </w:tcPr>
          <w:p>
            <w:pPr>
              <w:spacing w:line="240" w:lineRule="atLeast"/>
              <w:ind w:firstLine="23" w:firstLineChars="11"/>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90</w:t>
            </w:r>
          </w:p>
        </w:tc>
        <w:tc>
          <w:tcPr>
            <w:tcW w:w="1232" w:type="dxa"/>
            <w:vMerge w:val="continue"/>
            <w:tcBorders>
              <w:top w:val="nil"/>
              <w:bottom w:val="nil"/>
            </w:tcBorders>
            <w:vAlign w:val="top"/>
          </w:tcPr>
          <w:p>
            <w:pPr>
              <w:rPr>
                <w:rFonts w:hint="default" w:ascii="Times New Roman" w:hAnsi="Times New Roman" w:cs="Times New Roman"/>
                <w:sz w:val="21"/>
                <w:highlight w:val="none"/>
              </w:rPr>
            </w:pPr>
          </w:p>
        </w:tc>
        <w:tc>
          <w:tcPr>
            <w:tcW w:w="861"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1151"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3"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946" w:type="dxa"/>
            <w:vMerge w:val="continue"/>
            <w:vAlign w:val="top"/>
          </w:tcPr>
          <w:p>
            <w:pPr>
              <w:rPr>
                <w:rFonts w:hint="default" w:ascii="Times New Roman" w:hAnsi="Times New Roman" w:cs="Times New Roman"/>
                <w:sz w:val="21"/>
                <w:highlight w:val="none"/>
              </w:rPr>
            </w:pPr>
          </w:p>
        </w:tc>
        <w:tc>
          <w:tcPr>
            <w:tcW w:w="1279" w:type="dxa"/>
            <w:vAlign w:val="top"/>
          </w:tcPr>
          <w:p>
            <w:pPr>
              <w:spacing w:before="112" w:line="229" w:lineRule="auto"/>
              <w:ind w:left="444" w:leftChars="0"/>
              <w:rPr>
                <w:rFonts w:hint="default" w:ascii="Times New Roman" w:hAnsi="Times New Roman" w:eastAsia="宋体" w:cs="Times New Roman"/>
                <w:spacing w:val="7"/>
                <w:sz w:val="20"/>
                <w:szCs w:val="20"/>
                <w:highlight w:val="none"/>
              </w:rPr>
            </w:pPr>
            <w:r>
              <w:rPr>
                <w:rFonts w:hint="default" w:ascii="Times New Roman" w:hAnsi="Times New Roman" w:eastAsia="宋体" w:cs="Times New Roman"/>
                <w:spacing w:val="-5"/>
                <w:sz w:val="20"/>
                <w:szCs w:val="20"/>
                <w:highlight w:val="none"/>
              </w:rPr>
              <w:t>出</w:t>
            </w:r>
            <w:r>
              <w:rPr>
                <w:rFonts w:hint="default" w:ascii="Times New Roman" w:hAnsi="Times New Roman" w:eastAsia="宋体" w:cs="Times New Roman"/>
                <w:spacing w:val="-4"/>
                <w:sz w:val="20"/>
                <w:szCs w:val="20"/>
                <w:highlight w:val="none"/>
              </w:rPr>
              <w:t>料</w:t>
            </w:r>
          </w:p>
        </w:tc>
        <w:tc>
          <w:tcPr>
            <w:tcW w:w="993" w:type="dxa"/>
            <w:vAlign w:val="top"/>
          </w:tcPr>
          <w:p>
            <w:pPr>
              <w:spacing w:before="112" w:line="229" w:lineRule="auto"/>
              <w:ind w:left="180" w:leftChars="0"/>
              <w:rPr>
                <w:rFonts w:hint="default" w:ascii="Times New Roman" w:hAnsi="Times New Roman" w:eastAsia="宋体" w:cs="Times New Roman"/>
                <w:spacing w:val="7"/>
                <w:sz w:val="20"/>
                <w:szCs w:val="20"/>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Align w:val="top"/>
          </w:tcPr>
          <w:p>
            <w:pPr>
              <w:spacing w:before="81" w:line="274" w:lineRule="exact"/>
              <w:ind w:left="263" w:leftChars="0"/>
              <w:rPr>
                <w:rFonts w:hint="default" w:ascii="Times New Roman" w:hAnsi="Times New Roman" w:eastAsia="宋体" w:cs="Times New Roman"/>
                <w:spacing w:val="12"/>
                <w:position w:val="1"/>
                <w:sz w:val="20"/>
                <w:szCs w:val="20"/>
                <w:highlight w:val="none"/>
              </w:rPr>
            </w:pPr>
            <w:r>
              <w:rPr>
                <w:rFonts w:hint="default" w:ascii="Times New Roman" w:hAnsi="Times New Roman" w:eastAsia="宋体" w:cs="Times New Roman"/>
                <w:spacing w:val="12"/>
                <w:position w:val="1"/>
                <w:sz w:val="20"/>
                <w:szCs w:val="20"/>
                <w:highlight w:val="none"/>
              </w:rPr>
              <w:t>出</w:t>
            </w:r>
            <w:r>
              <w:rPr>
                <w:rFonts w:hint="default" w:ascii="Times New Roman" w:hAnsi="Times New Roman" w:eastAsia="宋体" w:cs="Times New Roman"/>
                <w:spacing w:val="7"/>
                <w:position w:val="1"/>
                <w:sz w:val="20"/>
                <w:szCs w:val="20"/>
                <w:highlight w:val="none"/>
              </w:rPr>
              <w:t>料口设置集气罩</w:t>
            </w:r>
            <w:r>
              <w:rPr>
                <w:rFonts w:hint="default" w:ascii="Times New Roman" w:hAnsi="Times New Roman" w:eastAsia="Times New Roman" w:cs="Times New Roman"/>
                <w:spacing w:val="7"/>
                <w:position w:val="1"/>
                <w:sz w:val="20"/>
                <w:szCs w:val="20"/>
                <w:highlight w:val="none"/>
              </w:rPr>
              <w:t>+</w:t>
            </w:r>
            <w:r>
              <w:rPr>
                <w:rFonts w:hint="default" w:ascii="Times New Roman" w:hAnsi="Times New Roman" w:eastAsia="宋体" w:cs="Times New Roman"/>
                <w:spacing w:val="7"/>
                <w:position w:val="1"/>
                <w:sz w:val="20"/>
                <w:szCs w:val="20"/>
                <w:highlight w:val="none"/>
              </w:rPr>
              <w:t>集尘管道</w:t>
            </w:r>
          </w:p>
        </w:tc>
        <w:tc>
          <w:tcPr>
            <w:tcW w:w="1704"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936" w:type="dxa"/>
            <w:vMerge w:val="continue"/>
            <w:vAlign w:val="top"/>
          </w:tcPr>
          <w:p>
            <w:pPr>
              <w:rPr>
                <w:rFonts w:hint="default" w:ascii="Times New Roman" w:hAnsi="Times New Roman" w:cs="Times New Roman"/>
                <w:sz w:val="21"/>
                <w:highlight w:val="none"/>
              </w:rPr>
            </w:pPr>
          </w:p>
        </w:tc>
        <w:tc>
          <w:tcPr>
            <w:tcW w:w="1232" w:type="dxa"/>
            <w:vMerge w:val="continue"/>
            <w:tcBorders>
              <w:top w:val="nil"/>
              <w:bottom w:val="nil"/>
            </w:tcBorders>
            <w:vAlign w:val="top"/>
          </w:tcPr>
          <w:p>
            <w:pPr>
              <w:rPr>
                <w:rFonts w:hint="default" w:ascii="Times New Roman" w:hAnsi="Times New Roman" w:cs="Times New Roman"/>
                <w:sz w:val="21"/>
                <w:highlight w:val="none"/>
              </w:rPr>
            </w:pPr>
          </w:p>
        </w:tc>
        <w:tc>
          <w:tcPr>
            <w:tcW w:w="861"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1151"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33"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946" w:type="dxa"/>
            <w:vMerge w:val="restart"/>
            <w:tcBorders>
              <w:bottom w:val="nil"/>
            </w:tcBorders>
            <w:vAlign w:val="top"/>
          </w:tcPr>
          <w:p>
            <w:pPr>
              <w:spacing w:line="409" w:lineRule="auto"/>
              <w:rPr>
                <w:rFonts w:hint="default" w:ascii="Times New Roman" w:hAnsi="Times New Roman" w:cs="Times New Roman"/>
                <w:sz w:val="21"/>
                <w:highlight w:val="none"/>
              </w:rPr>
            </w:pPr>
          </w:p>
          <w:p>
            <w:pPr>
              <w:spacing w:before="65" w:line="229" w:lineRule="auto"/>
              <w:ind w:left="154"/>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8"/>
                <w:sz w:val="20"/>
                <w:szCs w:val="20"/>
                <w:highlight w:val="none"/>
                <w:lang w:val="en-US" w:eastAsia="zh-CN"/>
              </w:rPr>
              <w:t>中转</w:t>
            </w:r>
            <w:r>
              <w:rPr>
                <w:rFonts w:hint="default" w:ascii="Times New Roman" w:hAnsi="Times New Roman" w:eastAsia="宋体" w:cs="Times New Roman"/>
                <w:spacing w:val="6"/>
                <w:sz w:val="20"/>
                <w:szCs w:val="20"/>
                <w:highlight w:val="none"/>
              </w:rPr>
              <w:t>仓</w:t>
            </w:r>
          </w:p>
        </w:tc>
        <w:tc>
          <w:tcPr>
            <w:tcW w:w="1279" w:type="dxa"/>
            <w:vAlign w:val="top"/>
          </w:tcPr>
          <w:p>
            <w:pPr>
              <w:spacing w:before="291" w:line="229" w:lineRule="auto"/>
              <w:ind w:left="4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入料</w:t>
            </w:r>
          </w:p>
        </w:tc>
        <w:tc>
          <w:tcPr>
            <w:tcW w:w="993" w:type="dxa"/>
            <w:vAlign w:val="top"/>
          </w:tcPr>
          <w:p>
            <w:pPr>
              <w:spacing w:before="291" w:line="229" w:lineRule="auto"/>
              <w:ind w:left="18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Align w:val="top"/>
          </w:tcPr>
          <w:p>
            <w:pPr>
              <w:spacing w:before="80" w:line="295" w:lineRule="auto"/>
              <w:ind w:left="1042" w:right="140" w:hanging="90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料仓顶部封闭</w:t>
            </w:r>
            <w:r>
              <w:rPr>
                <w:rFonts w:hint="default" w:ascii="Times New Roman" w:hAnsi="Times New Roman" w:eastAsia="Times New Roman" w:cs="Times New Roman"/>
                <w:spacing w:val="9"/>
                <w:sz w:val="20"/>
                <w:szCs w:val="20"/>
                <w:highlight w:val="none"/>
              </w:rPr>
              <w:t>+</w:t>
            </w:r>
            <w:r>
              <w:rPr>
                <w:rFonts w:hint="default" w:ascii="Times New Roman" w:hAnsi="Times New Roman" w:eastAsia="宋体" w:cs="Times New Roman"/>
                <w:spacing w:val="9"/>
                <w:sz w:val="20"/>
                <w:szCs w:val="20"/>
                <w:highlight w:val="none"/>
              </w:rPr>
              <w:t>集尘管道，留</w:t>
            </w:r>
            <w:r>
              <w:rPr>
                <w:rFonts w:hint="default" w:ascii="Times New Roman" w:hAnsi="Times New Roman" w:eastAsia="宋体" w:cs="Times New Roman"/>
                <w:spacing w:val="8"/>
                <w:sz w:val="20"/>
                <w:szCs w:val="20"/>
                <w:highlight w:val="none"/>
              </w:rPr>
              <w:t>有</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皮</w:t>
            </w:r>
            <w:r>
              <w:rPr>
                <w:rFonts w:hint="default" w:ascii="Times New Roman" w:hAnsi="Times New Roman" w:eastAsia="宋体" w:cs="Times New Roman"/>
                <w:spacing w:val="7"/>
                <w:sz w:val="20"/>
                <w:szCs w:val="20"/>
                <w:highlight w:val="none"/>
              </w:rPr>
              <w:t>带落料口</w:t>
            </w:r>
          </w:p>
        </w:tc>
        <w:tc>
          <w:tcPr>
            <w:tcW w:w="1704"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936" w:type="dxa"/>
            <w:vMerge w:val="restart"/>
            <w:tcBorders>
              <w:bottom w:val="nil"/>
            </w:tcBorders>
            <w:vAlign w:val="center"/>
          </w:tcPr>
          <w:p>
            <w:pPr>
              <w:spacing w:line="240" w:lineRule="atLeast"/>
              <w:ind w:firstLine="23" w:firstLineChars="11"/>
              <w:jc w:val="center"/>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z w:val="21"/>
                <w:szCs w:val="21"/>
                <w:highlight w:val="none"/>
                <w:lang w:val="en-US" w:eastAsia="zh-CN"/>
              </w:rPr>
              <w:t>30</w:t>
            </w:r>
          </w:p>
        </w:tc>
        <w:tc>
          <w:tcPr>
            <w:tcW w:w="1232" w:type="dxa"/>
            <w:vMerge w:val="continue"/>
            <w:tcBorders>
              <w:top w:val="nil"/>
              <w:bottom w:val="nil"/>
            </w:tcBorders>
            <w:vAlign w:val="top"/>
          </w:tcPr>
          <w:p>
            <w:pPr>
              <w:rPr>
                <w:rFonts w:hint="default" w:ascii="Times New Roman" w:hAnsi="Times New Roman" w:cs="Times New Roman"/>
                <w:sz w:val="21"/>
                <w:highlight w:val="none"/>
              </w:rPr>
            </w:pPr>
          </w:p>
        </w:tc>
        <w:tc>
          <w:tcPr>
            <w:tcW w:w="861" w:type="dxa"/>
            <w:vMerge w:val="continue"/>
            <w:tcBorders>
              <w:top w:val="nil"/>
              <w:bottom w:val="nil"/>
            </w:tcBorders>
            <w:vAlign w:val="top"/>
          </w:tcPr>
          <w:p>
            <w:pPr>
              <w:rPr>
                <w:rFonts w:hint="default" w:ascii="Times New Roman" w:hAnsi="Times New Roman" w:cs="Times New Roman"/>
                <w:sz w:val="21"/>
                <w:highlight w:val="none"/>
              </w:rPr>
            </w:pPr>
          </w:p>
        </w:tc>
        <w:tc>
          <w:tcPr>
            <w:tcW w:w="1279" w:type="dxa"/>
            <w:vMerge w:val="continue"/>
            <w:tcBorders>
              <w:top w:val="nil"/>
              <w:bottom w:val="nil"/>
            </w:tcBorders>
            <w:vAlign w:val="top"/>
          </w:tcPr>
          <w:p>
            <w:pPr>
              <w:rPr>
                <w:rFonts w:hint="default" w:ascii="Times New Roman" w:hAnsi="Times New Roman" w:cs="Times New Roman"/>
                <w:sz w:val="21"/>
                <w:highlight w:val="none"/>
              </w:rPr>
            </w:pPr>
          </w:p>
        </w:tc>
        <w:tc>
          <w:tcPr>
            <w:tcW w:w="1151"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3" w:type="dxa"/>
            <w:vMerge w:val="continue"/>
            <w:tcBorders>
              <w:top w:val="nil"/>
              <w:left w:val="single" w:color="000000" w:sz="10" w:space="0"/>
            </w:tcBorders>
            <w:vAlign w:val="top"/>
          </w:tcPr>
          <w:p>
            <w:pPr>
              <w:rPr>
                <w:rFonts w:hint="default" w:ascii="Times New Roman" w:hAnsi="Times New Roman" w:cs="Times New Roman"/>
                <w:sz w:val="21"/>
                <w:highlight w:val="none"/>
              </w:rPr>
            </w:pPr>
          </w:p>
        </w:tc>
        <w:tc>
          <w:tcPr>
            <w:tcW w:w="946" w:type="dxa"/>
            <w:vMerge w:val="continue"/>
            <w:tcBorders>
              <w:top w:val="nil"/>
            </w:tcBorders>
            <w:vAlign w:val="top"/>
          </w:tcPr>
          <w:p>
            <w:pPr>
              <w:rPr>
                <w:rFonts w:hint="default" w:ascii="Times New Roman" w:hAnsi="Times New Roman" w:cs="Times New Roman"/>
                <w:sz w:val="21"/>
                <w:highlight w:val="none"/>
              </w:rPr>
            </w:pPr>
          </w:p>
        </w:tc>
        <w:tc>
          <w:tcPr>
            <w:tcW w:w="1279" w:type="dxa"/>
            <w:vAlign w:val="top"/>
          </w:tcPr>
          <w:p>
            <w:pPr>
              <w:spacing w:before="112" w:line="229" w:lineRule="auto"/>
              <w:ind w:left="44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出</w:t>
            </w:r>
            <w:r>
              <w:rPr>
                <w:rFonts w:hint="default" w:ascii="Times New Roman" w:hAnsi="Times New Roman" w:eastAsia="宋体" w:cs="Times New Roman"/>
                <w:spacing w:val="-4"/>
                <w:sz w:val="20"/>
                <w:szCs w:val="20"/>
                <w:highlight w:val="none"/>
              </w:rPr>
              <w:t>料</w:t>
            </w:r>
          </w:p>
        </w:tc>
        <w:tc>
          <w:tcPr>
            <w:tcW w:w="993" w:type="dxa"/>
            <w:vAlign w:val="top"/>
          </w:tcPr>
          <w:p>
            <w:pPr>
              <w:spacing w:before="112" w:line="229" w:lineRule="auto"/>
              <w:ind w:left="18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有</w:t>
            </w:r>
            <w:r>
              <w:rPr>
                <w:rFonts w:hint="default" w:ascii="Times New Roman" w:hAnsi="Times New Roman" w:eastAsia="宋体" w:cs="Times New Roman"/>
                <w:spacing w:val="6"/>
                <w:sz w:val="20"/>
                <w:szCs w:val="20"/>
                <w:highlight w:val="none"/>
              </w:rPr>
              <w:t>组织</w:t>
            </w:r>
          </w:p>
        </w:tc>
        <w:tc>
          <w:tcPr>
            <w:tcW w:w="3124" w:type="dxa"/>
            <w:vAlign w:val="top"/>
          </w:tcPr>
          <w:p>
            <w:pPr>
              <w:spacing w:before="81" w:line="274" w:lineRule="exact"/>
              <w:ind w:left="26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position w:val="1"/>
                <w:sz w:val="20"/>
                <w:szCs w:val="20"/>
                <w:highlight w:val="none"/>
              </w:rPr>
              <w:t>出</w:t>
            </w:r>
            <w:r>
              <w:rPr>
                <w:rFonts w:hint="default" w:ascii="Times New Roman" w:hAnsi="Times New Roman" w:eastAsia="宋体" w:cs="Times New Roman"/>
                <w:spacing w:val="7"/>
                <w:position w:val="1"/>
                <w:sz w:val="20"/>
                <w:szCs w:val="20"/>
                <w:highlight w:val="none"/>
              </w:rPr>
              <w:t>料口设置集气罩</w:t>
            </w:r>
            <w:r>
              <w:rPr>
                <w:rFonts w:hint="default" w:ascii="Times New Roman" w:hAnsi="Times New Roman" w:eastAsia="Times New Roman" w:cs="Times New Roman"/>
                <w:spacing w:val="7"/>
                <w:position w:val="1"/>
                <w:sz w:val="20"/>
                <w:szCs w:val="20"/>
                <w:highlight w:val="none"/>
              </w:rPr>
              <w:t>+</w:t>
            </w:r>
            <w:r>
              <w:rPr>
                <w:rFonts w:hint="default" w:ascii="Times New Roman" w:hAnsi="Times New Roman" w:eastAsia="宋体" w:cs="Times New Roman"/>
                <w:spacing w:val="7"/>
                <w:position w:val="1"/>
                <w:sz w:val="20"/>
                <w:szCs w:val="20"/>
                <w:highlight w:val="none"/>
              </w:rPr>
              <w:t>集尘管道</w:t>
            </w:r>
          </w:p>
        </w:tc>
        <w:tc>
          <w:tcPr>
            <w:tcW w:w="1704" w:type="dxa"/>
            <w:vMerge w:val="continue"/>
            <w:tcBorders>
              <w:top w:val="nil"/>
            </w:tcBorders>
            <w:vAlign w:val="top"/>
          </w:tcPr>
          <w:p>
            <w:pPr>
              <w:rPr>
                <w:rFonts w:hint="default" w:ascii="Times New Roman" w:hAnsi="Times New Roman" w:cs="Times New Roman"/>
                <w:sz w:val="21"/>
                <w:highlight w:val="none"/>
              </w:rPr>
            </w:pPr>
          </w:p>
        </w:tc>
        <w:tc>
          <w:tcPr>
            <w:tcW w:w="1279" w:type="dxa"/>
            <w:vMerge w:val="continue"/>
            <w:tcBorders>
              <w:top w:val="nil"/>
            </w:tcBorders>
            <w:vAlign w:val="top"/>
          </w:tcPr>
          <w:p>
            <w:pPr>
              <w:rPr>
                <w:rFonts w:hint="default" w:ascii="Times New Roman" w:hAnsi="Times New Roman" w:cs="Times New Roman"/>
                <w:sz w:val="21"/>
                <w:highlight w:val="none"/>
              </w:rPr>
            </w:pPr>
          </w:p>
        </w:tc>
        <w:tc>
          <w:tcPr>
            <w:tcW w:w="936" w:type="dxa"/>
            <w:vMerge w:val="continue"/>
            <w:tcBorders>
              <w:top w:val="nil"/>
            </w:tcBorders>
            <w:vAlign w:val="top"/>
          </w:tcPr>
          <w:p>
            <w:pPr>
              <w:rPr>
                <w:rFonts w:hint="default" w:ascii="Times New Roman" w:hAnsi="Times New Roman" w:cs="Times New Roman"/>
                <w:sz w:val="21"/>
                <w:highlight w:val="none"/>
              </w:rPr>
            </w:pPr>
          </w:p>
        </w:tc>
        <w:tc>
          <w:tcPr>
            <w:tcW w:w="1232" w:type="dxa"/>
            <w:vMerge w:val="continue"/>
            <w:tcBorders>
              <w:top w:val="nil"/>
            </w:tcBorders>
            <w:vAlign w:val="top"/>
          </w:tcPr>
          <w:p>
            <w:pPr>
              <w:rPr>
                <w:rFonts w:hint="default" w:ascii="Times New Roman" w:hAnsi="Times New Roman" w:cs="Times New Roman"/>
                <w:sz w:val="21"/>
                <w:highlight w:val="none"/>
              </w:rPr>
            </w:pPr>
          </w:p>
        </w:tc>
        <w:tc>
          <w:tcPr>
            <w:tcW w:w="861" w:type="dxa"/>
            <w:vMerge w:val="continue"/>
            <w:tcBorders>
              <w:top w:val="nil"/>
            </w:tcBorders>
            <w:vAlign w:val="top"/>
          </w:tcPr>
          <w:p>
            <w:pPr>
              <w:rPr>
                <w:rFonts w:hint="default" w:ascii="Times New Roman" w:hAnsi="Times New Roman" w:cs="Times New Roman"/>
                <w:sz w:val="21"/>
                <w:highlight w:val="none"/>
              </w:rPr>
            </w:pPr>
          </w:p>
        </w:tc>
        <w:tc>
          <w:tcPr>
            <w:tcW w:w="1279" w:type="dxa"/>
            <w:vMerge w:val="continue"/>
            <w:tcBorders>
              <w:top w:val="nil"/>
            </w:tcBorders>
            <w:vAlign w:val="top"/>
          </w:tcPr>
          <w:p>
            <w:pPr>
              <w:rPr>
                <w:rFonts w:hint="default" w:ascii="Times New Roman" w:hAnsi="Times New Roman" w:cs="Times New Roman"/>
                <w:sz w:val="21"/>
                <w:highlight w:val="none"/>
              </w:rPr>
            </w:pPr>
          </w:p>
        </w:tc>
        <w:tc>
          <w:tcPr>
            <w:tcW w:w="1151" w:type="dxa"/>
            <w:vMerge w:val="continue"/>
            <w:tcBorders>
              <w:top w:val="nil"/>
              <w:right w:val="single" w:color="000000" w:sz="10" w:space="0"/>
            </w:tcBorders>
            <w:vAlign w:val="top"/>
          </w:tcPr>
          <w:p>
            <w:pPr>
              <w:rPr>
                <w:rFonts w:hint="default" w:ascii="Times New Roman" w:hAnsi="Times New Roman" w:cs="Times New Roman"/>
                <w:sz w:val="21"/>
                <w:highlight w:val="none"/>
              </w:rPr>
            </w:pPr>
          </w:p>
        </w:tc>
      </w:tr>
    </w:tbl>
    <w:p>
      <w:pPr>
        <w:rPr>
          <w:rFonts w:hint="default" w:ascii="Times New Roman" w:hAnsi="Times New Roman" w:cs="Times New Roman"/>
          <w:sz w:val="21"/>
          <w:highlight w:val="none"/>
        </w:rPr>
      </w:pPr>
    </w:p>
    <w:p>
      <w:pPr>
        <w:spacing w:line="414" w:lineRule="auto"/>
        <w:ind w:firstLine="420" w:firstLineChars="200"/>
        <w:rPr>
          <w:rFonts w:hint="default" w:ascii="Times New Roman" w:hAnsi="Times New Roman" w:eastAsia="宋体" w:cs="Times New Roman"/>
          <w:sz w:val="23"/>
          <w:szCs w:val="23"/>
          <w:highlight w:val="none"/>
        </w:rPr>
      </w:pPr>
      <w:r>
        <w:rPr>
          <w:rFonts w:hint="default" w:ascii="Times New Roman" w:hAnsi="Times New Roman" w:cs="Times New Roman"/>
          <w:highlight w:val="none"/>
        </w:rPr>
        <mc:AlternateContent>
          <mc:Choice Requires="wps">
            <w:drawing>
              <wp:anchor distT="0" distB="0" distL="114300" distR="114300" simplePos="0" relativeHeight="251872256" behindDoc="0" locked="0" layoutInCell="0" allowOverlap="1">
                <wp:simplePos x="0" y="0"/>
                <wp:positionH relativeFrom="page">
                  <wp:posOffset>457200</wp:posOffset>
                </wp:positionH>
                <wp:positionV relativeFrom="page">
                  <wp:posOffset>725805</wp:posOffset>
                </wp:positionV>
                <wp:extent cx="9778365" cy="36830"/>
                <wp:effectExtent l="0" t="0" r="13335" b="1270"/>
                <wp:wrapNone/>
                <wp:docPr id="155" name="矩形 155"/>
                <wp:cNvGraphicFramePr/>
                <a:graphic xmlns:a="http://schemas.openxmlformats.org/drawingml/2006/main">
                  <a:graphicData uri="http://schemas.microsoft.com/office/word/2010/wordprocessingShape">
                    <wps:wsp>
                      <wps:cNvSpPr/>
                      <wps:spPr>
                        <a:xfrm>
                          <a:off x="0" y="0"/>
                          <a:ext cx="9778365" cy="3683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6pt;margin-top:57.15pt;height:2.9pt;width:769.95pt;mso-position-horizontal-relative:page;mso-position-vertical-relative:page;z-index:251872256;mso-width-relative:page;mso-height-relative:page;" fillcolor="#000000" filled="t" stroked="f" coordsize="21600,21600" o:allowincell="f" o:gfxdata="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Q6+QL2gAAAAsBAAAPAAAAAAAAAAEAIAAAACIAAABkcnMvZG93bnJldi54bWxQSwECFAAUAAAA&#10;CACHTuJAmTfah7MBAABiAwAADgAAAAAAAAABACAAAAApAQAAZHJzL2Uyb0RvYy54bWxQSwUGAAAA&#10;AAYABgBZAQAATgUAAAAA&#10;">
                <v:fill on="t" focussize="0,0"/>
                <v:stroke on="f"/>
                <v:imagedata o:title=""/>
                <o:lock v:ext="edit" aspectratio="f"/>
              </v:rect>
            </w:pict>
          </mc:Fallback>
        </mc:AlternateContent>
      </w:r>
      <w:r>
        <w:rPr>
          <w:rFonts w:hint="default" w:ascii="Times New Roman" w:hAnsi="Times New Roman" w:cs="Times New Roman"/>
          <w:highlight w:val="none"/>
        </w:rPr>
        <mc:AlternateContent>
          <mc:Choice Requires="wps">
            <w:drawing>
              <wp:anchor distT="0" distB="0" distL="114300" distR="114300" simplePos="0" relativeHeight="251874304" behindDoc="0" locked="0" layoutInCell="0" allowOverlap="1">
                <wp:simplePos x="0" y="0"/>
                <wp:positionH relativeFrom="page">
                  <wp:posOffset>1141095</wp:posOffset>
                </wp:positionH>
                <wp:positionV relativeFrom="page">
                  <wp:posOffset>9841865</wp:posOffset>
                </wp:positionV>
                <wp:extent cx="5278755" cy="9525"/>
                <wp:effectExtent l="0" t="0" r="0" b="0"/>
                <wp:wrapNone/>
                <wp:docPr id="156" name="矩形 156"/>
                <wp:cNvGraphicFramePr/>
                <a:graphic xmlns:a="http://schemas.openxmlformats.org/drawingml/2006/main">
                  <a:graphicData uri="http://schemas.microsoft.com/office/word/2010/wordprocessingShape">
                    <wps:wsp>
                      <wps:cNvSpPr/>
                      <wps:spPr>
                        <a:xfrm>
                          <a:off x="0" y="0"/>
                          <a:ext cx="5278755"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89.85pt;margin-top:774.95pt;height:0.75pt;width:415.65pt;mso-position-horizontal-relative:page;mso-position-vertical-relative:page;z-index:251874304;mso-width-relative:page;mso-height-relative:page;" fillcolor="#000000" filled="t" stroked="f" coordsize="21600,21600" o:allowincell="f" o:gfxdata="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oepbtsAAAAOAQAADwAAAAAAAAABACAAAAAiAAAAZHJzL2Rvd25yZXYueG1sUEsBAhQAFAAAAAgA&#10;h07iQOHBji6wAQAAYQMAAA4AAAAAAAAAAQAgAAAAKgEAAGRycy9lMm9Eb2MueG1sUEsFBgAAAAAG&#10;AAYAWQEAAEwFAAAAAA==&#10;">
                <v:fill on="t" focussize="0,0"/>
                <v:stroke on="f"/>
                <v:imagedata o:title=""/>
                <o:lock v:ext="edit" aspectratio="f"/>
              </v:rect>
            </w:pict>
          </mc:Fallback>
        </mc:AlternateContent>
      </w:r>
      <w:r>
        <w:rPr>
          <w:rFonts w:hint="default" w:ascii="Times New Roman" w:hAnsi="Times New Roman" w:cs="Times New Roman"/>
          <w:highlight w:val="none"/>
        </w:rPr>
        <mc:AlternateContent>
          <mc:Choice Requires="wps">
            <w:drawing>
              <wp:anchor distT="0" distB="0" distL="114300" distR="114300" simplePos="0" relativeHeight="251873280" behindDoc="0" locked="0" layoutInCell="0" allowOverlap="1">
                <wp:simplePos x="0" y="0"/>
                <wp:positionH relativeFrom="page">
                  <wp:posOffset>1141095</wp:posOffset>
                </wp:positionH>
                <wp:positionV relativeFrom="page">
                  <wp:posOffset>771525</wp:posOffset>
                </wp:positionV>
                <wp:extent cx="5278755" cy="9525"/>
                <wp:effectExtent l="0" t="0" r="0" b="0"/>
                <wp:wrapNone/>
                <wp:docPr id="154" name="任意多边形 154"/>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60.75pt;height:0.75pt;width:415.65pt;mso-position-horizontal-relative:page;mso-position-vertical-relative:page;z-index:251873280;mso-width-relative:page;mso-height-relative:page;" fillcolor="#000000" filled="t" stroked="f" coordsize="8312,15" o:allowincell="f" o:gfxdata="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EcOWNoAAAAMAQAADwAAAAAA&#10;AAABACAAAAAiAAAAZHJzL2Rvd25yZXYueG1sUEsBAhQAFAAAAAgAh07iQCWR1PMRAgAAfwQAAA4A&#10;AAAAAAAAAQAgAAAAKQEAAGRycy9lMm9Eb2MueG1sUEsFBgAAAAAGAAYAWQEAAKwFAAAAAA==&#10;" path="m0,0l8312,0,8312,14,0,14,0,0xe">
                <v:fill on="t" focussize="0,0"/>
                <v:stroke on="f"/>
                <v:imagedata o:title=""/>
                <o:lock v:ext="edit" aspectratio="f"/>
              </v:shape>
            </w:pict>
          </mc:Fallback>
        </mc:AlternateContent>
      </w:r>
      <w:r>
        <w:rPr>
          <w:rFonts w:hint="default" w:ascii="Times New Roman" w:hAnsi="Times New Roman" w:eastAsia="宋体" w:cs="Times New Roman"/>
          <w:spacing w:val="10"/>
          <w:sz w:val="23"/>
          <w:szCs w:val="23"/>
          <w:highlight w:val="none"/>
        </w:rPr>
        <w:t>由</w:t>
      </w:r>
      <w:r>
        <w:rPr>
          <w:rFonts w:hint="default" w:ascii="Times New Roman" w:hAnsi="Times New Roman" w:eastAsia="宋体" w:cs="Times New Roman"/>
          <w:spacing w:val="6"/>
          <w:sz w:val="23"/>
          <w:szCs w:val="23"/>
          <w:highlight w:val="none"/>
        </w:rPr>
        <w:t>上述表格可知，本项目矿石破碎、筛分及中转等过程产生的颗粒物经离线</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清</w:t>
      </w:r>
      <w:r>
        <w:rPr>
          <w:rFonts w:hint="default" w:ascii="Times New Roman" w:hAnsi="Times New Roman" w:eastAsia="宋体" w:cs="Times New Roman"/>
          <w:spacing w:val="7"/>
          <w:sz w:val="23"/>
          <w:szCs w:val="23"/>
          <w:highlight w:val="none"/>
        </w:rPr>
        <w:t>灰脉冲布袋除尘器处理后，颗粒物排放浓度满足《铁矿采选工业污染物排放标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4"/>
          <w:sz w:val="23"/>
          <w:szCs w:val="23"/>
          <w:highlight w:val="none"/>
        </w:rPr>
        <w:t>28661-2012</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pacing w:val="2"/>
          <w:sz w:val="23"/>
          <w:szCs w:val="23"/>
          <w:highlight w:val="none"/>
        </w:rPr>
        <w:t xml:space="preserve"> 表 </w:t>
      </w:r>
      <w:r>
        <w:rPr>
          <w:rFonts w:hint="default" w:ascii="Times New Roman" w:hAnsi="Times New Roman" w:eastAsia="Times New Roman" w:cs="Times New Roman"/>
          <w:spacing w:val="2"/>
          <w:sz w:val="23"/>
          <w:szCs w:val="23"/>
          <w:highlight w:val="none"/>
        </w:rPr>
        <w:t xml:space="preserve">6 </w:t>
      </w:r>
      <w:r>
        <w:rPr>
          <w:rFonts w:hint="default" w:ascii="Times New Roman" w:hAnsi="Times New Roman" w:eastAsia="宋体" w:cs="Times New Roman"/>
          <w:spacing w:val="2"/>
          <w:sz w:val="23"/>
          <w:szCs w:val="23"/>
          <w:highlight w:val="none"/>
        </w:rPr>
        <w:t xml:space="preserve">中粉尘特别排放限值 </w:t>
      </w:r>
      <w:r>
        <w:rPr>
          <w:rFonts w:hint="default" w:ascii="Times New Roman" w:hAnsi="Times New Roman" w:eastAsia="Times New Roman" w:cs="Times New Roman"/>
          <w:spacing w:val="2"/>
          <w:sz w:val="23"/>
          <w:szCs w:val="23"/>
          <w:highlight w:val="none"/>
        </w:rPr>
        <w:t>10</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position w:val="7"/>
          <w:sz w:val="15"/>
          <w:szCs w:val="15"/>
          <w:highlight w:val="none"/>
        </w:rPr>
        <w:t xml:space="preserve">3 </w:t>
      </w:r>
      <w:r>
        <w:rPr>
          <w:rFonts w:hint="default" w:ascii="Times New Roman" w:hAnsi="Times New Roman" w:eastAsia="宋体" w:cs="Times New Roman"/>
          <w:spacing w:val="2"/>
          <w:sz w:val="23"/>
          <w:szCs w:val="23"/>
          <w:highlight w:val="none"/>
        </w:rPr>
        <w:t>的要求</w:t>
      </w:r>
      <w:r>
        <w:rPr>
          <w:rFonts w:hint="default" w:ascii="Times New Roman" w:hAnsi="Times New Roman" w:eastAsia="宋体" w:cs="Times New Roman"/>
          <w:spacing w:val="5"/>
          <w:sz w:val="23"/>
          <w:szCs w:val="23"/>
          <w:highlight w:val="none"/>
        </w:rPr>
        <w:t xml:space="preserve"> 。</w:t>
      </w:r>
    </w:p>
    <w:p>
      <w:pPr>
        <w:rPr>
          <w:rFonts w:hint="default" w:ascii="Times New Roman" w:hAnsi="Times New Roman" w:cs="Times New Roman"/>
          <w:highlight w:val="none"/>
        </w:rPr>
        <w:sectPr>
          <w:headerReference r:id="rId31" w:type="default"/>
          <w:footerReference r:id="rId32" w:type="default"/>
          <w:pgSz w:w="16839" w:h="11906"/>
          <w:pgMar w:top="1200" w:right="597" w:bottom="1339" w:left="597" w:header="882" w:footer="1027"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0" w:beforeLines="50" w:line="228" w:lineRule="auto"/>
        <w:ind w:left="510"/>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16"/>
          <w:sz w:val="23"/>
          <w:szCs w:val="23"/>
          <w:highlight w:val="none"/>
        </w:rPr>
        <w:t>2</w:t>
      </w:r>
      <w:r>
        <w:rPr>
          <w:rFonts w:hint="default" w:ascii="Times New Roman" w:hAnsi="Times New Roman" w:eastAsia="宋体" w:cs="Times New Roman"/>
          <w:spacing w:val="16"/>
          <w:sz w:val="23"/>
          <w:szCs w:val="23"/>
          <w:highlight w:val="none"/>
        </w:rPr>
        <w:t>) 无组织排放颗粒物</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①上料粉尘</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本项目</w:t>
      </w:r>
      <w:r>
        <w:rPr>
          <w:rFonts w:hint="default" w:ascii="Times New Roman" w:hAnsi="Times New Roman" w:cs="Times New Roman"/>
          <w:bCs/>
          <w:sz w:val="23"/>
          <w:szCs w:val="23"/>
          <w:highlight w:val="none"/>
          <w:lang w:val="en-US" w:eastAsia="zh-CN"/>
        </w:rPr>
        <w:t>原矿石不在厂区内存储，运输车辆进厂后直接进入进深不小于8米的原料棚内</w:t>
      </w:r>
      <w:r>
        <w:rPr>
          <w:rFonts w:hint="default" w:ascii="Times New Roman" w:hAnsi="Times New Roman" w:cs="Times New Roman"/>
          <w:bCs/>
          <w:sz w:val="23"/>
          <w:szCs w:val="23"/>
          <w:highlight w:val="none"/>
        </w:rPr>
        <w:t>，</w:t>
      </w:r>
      <w:r>
        <w:rPr>
          <w:rFonts w:hint="default" w:ascii="Times New Roman" w:hAnsi="Times New Roman" w:cs="Times New Roman"/>
          <w:bCs/>
          <w:sz w:val="23"/>
          <w:szCs w:val="23"/>
          <w:highlight w:val="none"/>
          <w:lang w:val="en-US" w:eastAsia="zh-CN"/>
        </w:rPr>
        <w:t>卸料至受料仓，受料仓顶部</w:t>
      </w:r>
      <w:r>
        <w:rPr>
          <w:rFonts w:hint="default" w:ascii="Times New Roman" w:hAnsi="Times New Roman" w:cs="Times New Roman"/>
          <w:bCs/>
          <w:sz w:val="23"/>
          <w:szCs w:val="23"/>
          <w:highlight w:val="none"/>
        </w:rPr>
        <w:t>设置喷淋抑尘装置。根据同类企业实际运行效果，采取以上方式后，上料粉尘产生量很少。</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②堆场粉尘</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本项目</w:t>
      </w:r>
      <w:r>
        <w:rPr>
          <w:rFonts w:hint="default" w:ascii="Times New Roman" w:hAnsi="Times New Roman" w:cs="Times New Roman"/>
          <w:bCs/>
          <w:sz w:val="23"/>
          <w:szCs w:val="23"/>
          <w:highlight w:val="none"/>
          <w:lang w:val="en-US" w:eastAsia="zh-CN"/>
        </w:rPr>
        <w:t>仅新建1座生产车间，</w:t>
      </w:r>
      <w:r>
        <w:rPr>
          <w:rFonts w:hint="eastAsia" w:ascii="Times New Roman" w:hAnsi="Times New Roman" w:cs="Times New Roman"/>
          <w:bCs/>
          <w:sz w:val="23"/>
          <w:szCs w:val="23"/>
          <w:highlight w:val="none"/>
          <w:lang w:val="en-US" w:eastAsia="zh-CN"/>
        </w:rPr>
        <w:t>成品存储依托现有库房，针对本次改扩建生产规模核算物料堆存新增粉尘产排量</w:t>
      </w:r>
      <w:r>
        <w:rPr>
          <w:rFonts w:hint="default" w:ascii="Times New Roman" w:hAnsi="Times New Roman" w:cs="Times New Roman"/>
          <w:bCs/>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lang w:val="en-US" w:eastAsia="zh-CN"/>
        </w:rPr>
      </w:pPr>
      <w:r>
        <w:rPr>
          <w:rFonts w:hint="default" w:ascii="Times New Roman" w:hAnsi="Times New Roman" w:cs="Times New Roman"/>
          <w:bCs/>
          <w:sz w:val="23"/>
          <w:szCs w:val="23"/>
          <w:highlight w:val="none"/>
          <w:lang w:val="en-US" w:eastAsia="zh-CN"/>
        </w:rPr>
        <w:t>本项目</w:t>
      </w:r>
      <w:r>
        <w:rPr>
          <w:rFonts w:hint="eastAsia" w:ascii="Times New Roman" w:hAnsi="Times New Roman" w:cs="Times New Roman"/>
          <w:bCs/>
          <w:sz w:val="23"/>
          <w:szCs w:val="23"/>
          <w:highlight w:val="none"/>
          <w:lang w:val="en-US" w:eastAsia="zh-CN"/>
        </w:rPr>
        <w:t>物料</w:t>
      </w:r>
      <w:r>
        <w:rPr>
          <w:rFonts w:hint="default" w:ascii="Times New Roman" w:hAnsi="Times New Roman" w:cs="Times New Roman"/>
          <w:bCs/>
          <w:sz w:val="23"/>
          <w:szCs w:val="23"/>
          <w:highlight w:val="none"/>
          <w:lang w:val="en-US" w:eastAsia="zh-CN"/>
        </w:rPr>
        <w:t>装卸、堆存粉尘产生量参照生态环境部发布的《排放源统计调查产排污核算方法和系数手册》的公告（2021年 第24号）中附表2《固体物料堆存颗粒物产排污核算系数手册》进行核算。</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lang w:val="en-US" w:eastAsia="zh-CN"/>
        </w:rPr>
      </w:pPr>
      <w:r>
        <w:rPr>
          <w:rFonts w:hint="default" w:ascii="Times New Roman" w:hAnsi="Times New Roman" w:cs="Times New Roman"/>
          <w:bCs/>
          <w:sz w:val="23"/>
          <w:szCs w:val="23"/>
          <w:highlight w:val="none"/>
          <w:lang w:val="en-US" w:eastAsia="zh-CN"/>
        </w:rPr>
        <w:t>工业企业固体物料堆存颗粒物包括装卸场尘和风蚀扬尘，颗粒物产生量核算公式如下：</w:t>
      </w:r>
    </w:p>
    <w:p>
      <w:pPr>
        <w:spacing w:line="480" w:lineRule="exact"/>
        <w:ind w:left="0" w:leftChars="0" w:firstLine="0" w:firstLineChars="0"/>
        <w:jc w:val="center"/>
        <w:rPr>
          <w:rFonts w:hint="default" w:ascii="Times New Roman" w:hAnsi="Times New Roman" w:cs="Times New Roman"/>
          <w:sz w:val="23"/>
          <w:szCs w:val="23"/>
          <w:highlight w:val="none"/>
          <w:lang w:eastAsia="zh-CN"/>
        </w:rPr>
      </w:pPr>
      <w:r>
        <w:rPr>
          <w:rFonts w:hint="default" w:ascii="Times New Roman" w:hAnsi="Times New Roman" w:cs="Times New Roman"/>
          <w:sz w:val="23"/>
          <w:szCs w:val="23"/>
          <w:highlight w:val="none"/>
          <w:lang w:eastAsia="zh-CN"/>
        </w:rPr>
        <w:object>
          <v:shape id="_x0000_i1025" o:spt="75" type="#_x0000_t75" style="height:20pt;width:247pt;" o:ole="t" filled="f" o:preferrelative="t" stroked="f" coordsize="21600,21600">
            <v:path/>
            <v:fill on="f" focussize="0,0"/>
            <v:stroke on="f"/>
            <v:imagedata r:id="rId145" o:title=""/>
            <o:lock v:ext="edit" aspectratio="t"/>
            <w10:wrap type="none"/>
            <w10:anchorlock/>
          </v:shape>
          <o:OLEObject Type="Embed" ProgID="Equation.KSEE3" ShapeID="_x0000_i1025" DrawAspect="Content" ObjectID="_1468075725" r:id="rId144">
            <o:LockedField>false</o:LockedField>
          </o:OLEObject>
        </w:object>
      </w:r>
    </w:p>
    <w:p>
      <w:pPr>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式中：P指颗粒物产生量（单位：吨）；</w:t>
      </w:r>
    </w:p>
    <w:p>
      <w:pPr>
        <w:spacing w:line="480" w:lineRule="exact"/>
        <w:ind w:firstLine="1150" w:firstLineChars="5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ZCy指装卸扬尘产生量（单位：吨）；</w:t>
      </w:r>
    </w:p>
    <w:p>
      <w:pPr>
        <w:spacing w:line="480" w:lineRule="exact"/>
        <w:ind w:firstLine="1150" w:firstLineChars="5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FCy指风蚀扬尘产生量（单位：吨）；</w:t>
      </w:r>
    </w:p>
    <w:p>
      <w:pPr>
        <w:spacing w:line="480" w:lineRule="exact"/>
        <w:ind w:firstLine="1150" w:firstLineChars="5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N</w:t>
      </w:r>
      <w:r>
        <w:rPr>
          <w:rFonts w:hint="default" w:ascii="Times New Roman" w:hAnsi="Times New Roman" w:cs="Times New Roman"/>
          <w:sz w:val="23"/>
          <w:szCs w:val="23"/>
          <w:highlight w:val="none"/>
          <w:lang w:val="en-US" w:eastAsia="zh-CN"/>
        </w:rPr>
        <w:t>c</w:t>
      </w:r>
      <w:r>
        <w:rPr>
          <w:rFonts w:hint="default" w:ascii="Times New Roman" w:hAnsi="Times New Roman" w:cs="Times New Roman"/>
          <w:sz w:val="23"/>
          <w:szCs w:val="23"/>
          <w:highlight w:val="none"/>
        </w:rPr>
        <w:t>指年物料运载车次（单位：车）</w:t>
      </w:r>
      <w:r>
        <w:rPr>
          <w:rFonts w:hint="default" w:ascii="Times New Roman" w:hAnsi="Times New Roman" w:cs="Times New Roman"/>
          <w:sz w:val="23"/>
          <w:szCs w:val="23"/>
          <w:highlight w:val="none"/>
          <w:lang w:eastAsia="zh-CN"/>
        </w:rPr>
        <w:t>，本项目为</w:t>
      </w:r>
      <w:r>
        <w:rPr>
          <w:rFonts w:hint="eastAsia" w:ascii="Times New Roman" w:hAnsi="Times New Roman" w:cs="Times New Roman"/>
          <w:sz w:val="23"/>
          <w:szCs w:val="23"/>
          <w:highlight w:val="none"/>
          <w:lang w:val="en-US" w:eastAsia="zh-CN"/>
        </w:rPr>
        <w:t>120</w:t>
      </w:r>
      <w:r>
        <w:rPr>
          <w:rFonts w:hint="default" w:ascii="Times New Roman" w:hAnsi="Times New Roman" w:cs="Times New Roman"/>
          <w:sz w:val="23"/>
          <w:szCs w:val="23"/>
          <w:highlight w:val="none"/>
          <w:lang w:val="en-US" w:eastAsia="zh-CN"/>
        </w:rPr>
        <w:t>00车</w:t>
      </w:r>
      <w:r>
        <w:rPr>
          <w:rFonts w:hint="default" w:ascii="Times New Roman" w:hAnsi="Times New Roman" w:cs="Times New Roman"/>
          <w:sz w:val="23"/>
          <w:szCs w:val="23"/>
          <w:highlight w:val="none"/>
        </w:rPr>
        <w:t>；</w:t>
      </w:r>
    </w:p>
    <w:p>
      <w:pPr>
        <w:spacing w:line="480" w:lineRule="exact"/>
        <w:ind w:firstLine="1150" w:firstLineChars="5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D指单车平均运载量（单位：吨/车）</w:t>
      </w:r>
      <w:r>
        <w:rPr>
          <w:rFonts w:hint="default" w:ascii="Times New Roman" w:hAnsi="Times New Roman" w:cs="Times New Roman"/>
          <w:sz w:val="23"/>
          <w:szCs w:val="23"/>
          <w:highlight w:val="none"/>
          <w:lang w:eastAsia="zh-CN"/>
        </w:rPr>
        <w:t>，本项目为</w:t>
      </w:r>
      <w:r>
        <w:rPr>
          <w:rFonts w:hint="default" w:ascii="Times New Roman" w:hAnsi="Times New Roman" w:cs="Times New Roman"/>
          <w:sz w:val="23"/>
          <w:szCs w:val="23"/>
          <w:highlight w:val="none"/>
          <w:lang w:val="en-US" w:eastAsia="zh-CN"/>
        </w:rPr>
        <w:t>50吨/车</w:t>
      </w:r>
      <w:r>
        <w:rPr>
          <w:rFonts w:hint="default" w:ascii="Times New Roman" w:hAnsi="Times New Roman" w:cs="Times New Roman"/>
          <w:sz w:val="23"/>
          <w:szCs w:val="23"/>
          <w:highlight w:val="none"/>
        </w:rPr>
        <w:t>；</w:t>
      </w:r>
    </w:p>
    <w:p>
      <w:pPr>
        <w:spacing w:line="480" w:lineRule="exact"/>
        <w:rPr>
          <w:rFonts w:hint="default" w:ascii="Times New Roman" w:hAnsi="Times New Roman" w:cs="Times New Roman"/>
          <w:sz w:val="23"/>
          <w:szCs w:val="23"/>
          <w:highlight w:val="none"/>
          <w:lang w:val="en-US" w:eastAsia="zh-CN"/>
        </w:rPr>
      </w:pPr>
      <w:r>
        <w:rPr>
          <w:rFonts w:hint="default" w:ascii="Times New Roman" w:hAnsi="Times New Roman" w:cs="Times New Roman"/>
          <w:sz w:val="23"/>
          <w:szCs w:val="23"/>
          <w:highlight w:val="none"/>
          <w:lang w:eastAsia="zh-CN"/>
        </w:rPr>
        <w:t>（</w:t>
      </w:r>
      <w:r>
        <w:rPr>
          <w:rFonts w:hint="default" w:ascii="Times New Roman" w:hAnsi="Times New Roman" w:cs="Times New Roman"/>
          <w:sz w:val="23"/>
          <w:szCs w:val="23"/>
          <w:highlight w:val="none"/>
          <w:lang w:val="en-US" w:eastAsia="zh-CN"/>
        </w:rPr>
        <w:t>a/b</w:t>
      </w:r>
      <w:r>
        <w:rPr>
          <w:rFonts w:hint="default" w:ascii="Times New Roman" w:hAnsi="Times New Roman" w:cs="Times New Roman"/>
          <w:sz w:val="23"/>
          <w:szCs w:val="23"/>
          <w:highlight w:val="none"/>
          <w:lang w:eastAsia="zh-CN"/>
        </w:rPr>
        <w:t>）</w:t>
      </w:r>
      <w:r>
        <w:rPr>
          <w:rFonts w:hint="default" w:ascii="Times New Roman" w:hAnsi="Times New Roman" w:cs="Times New Roman"/>
          <w:sz w:val="23"/>
          <w:szCs w:val="23"/>
          <w:highlight w:val="none"/>
        </w:rPr>
        <w:t>指装卸扬尘概化系数（单位：千克/吨）</w:t>
      </w:r>
      <w:r>
        <w:rPr>
          <w:rFonts w:hint="default" w:ascii="Times New Roman" w:hAnsi="Times New Roman" w:cs="Times New Roman"/>
          <w:sz w:val="23"/>
          <w:szCs w:val="23"/>
          <w:highlight w:val="none"/>
          <w:lang w:eastAsia="zh-CN"/>
        </w:rPr>
        <w:t>，本项目</w:t>
      </w:r>
      <w:r>
        <w:rPr>
          <w:rFonts w:hint="default" w:ascii="Times New Roman" w:hAnsi="Times New Roman" w:cs="Times New Roman"/>
          <w:sz w:val="23"/>
          <w:szCs w:val="23"/>
          <w:highlight w:val="none"/>
          <w:lang w:val="en-US" w:eastAsia="zh-CN"/>
        </w:rPr>
        <w:t>a取0.001，b取0.0074；</w:t>
      </w:r>
    </w:p>
    <w:p>
      <w:pPr>
        <w:spacing w:line="480" w:lineRule="exact"/>
        <w:ind w:firstLine="1150" w:firstLineChars="500"/>
        <w:rPr>
          <w:rFonts w:hint="default" w:ascii="Times New Roman" w:hAnsi="Times New Roman" w:cs="Times New Roman"/>
          <w:sz w:val="23"/>
          <w:szCs w:val="23"/>
          <w:highlight w:val="none"/>
          <w:lang w:eastAsia="zh-CN"/>
        </w:rPr>
      </w:pPr>
      <w:r>
        <w:rPr>
          <w:rFonts w:hint="default" w:ascii="Times New Roman" w:hAnsi="Times New Roman" w:cs="Times New Roman"/>
          <w:sz w:val="23"/>
          <w:szCs w:val="23"/>
          <w:highlight w:val="none"/>
        </w:rPr>
        <w:t>Ef指堆场风蚀扬尘概化系数</w:t>
      </w:r>
      <w:r>
        <w:rPr>
          <w:rFonts w:hint="default" w:ascii="Times New Roman" w:hAnsi="Times New Roman" w:cs="Times New Roman"/>
          <w:sz w:val="23"/>
          <w:szCs w:val="23"/>
          <w:highlight w:val="none"/>
          <w:lang w:eastAsia="zh-CN"/>
        </w:rPr>
        <w:t>，本项目为</w:t>
      </w:r>
      <w:r>
        <w:rPr>
          <w:rFonts w:hint="default" w:ascii="Times New Roman" w:hAnsi="Times New Roman" w:cs="Times New Roman"/>
          <w:sz w:val="23"/>
          <w:szCs w:val="23"/>
          <w:highlight w:val="none"/>
          <w:lang w:val="en-US" w:eastAsia="zh-CN"/>
        </w:rPr>
        <w:t>0</w:t>
      </w:r>
      <w:r>
        <w:rPr>
          <w:rFonts w:hint="default" w:ascii="Times New Roman" w:hAnsi="Times New Roman" w:cs="Times New Roman"/>
          <w:sz w:val="23"/>
          <w:szCs w:val="23"/>
          <w:highlight w:val="none"/>
          <w:lang w:eastAsia="zh-CN"/>
        </w:rPr>
        <w:t>；</w:t>
      </w:r>
    </w:p>
    <w:p>
      <w:pPr>
        <w:spacing w:line="480" w:lineRule="exact"/>
        <w:ind w:firstLine="1150" w:firstLineChars="500"/>
        <w:rPr>
          <w:rFonts w:hint="default" w:ascii="Times New Roman" w:hAnsi="Times New Roman" w:cs="Times New Roman"/>
          <w:sz w:val="23"/>
          <w:szCs w:val="23"/>
          <w:highlight w:val="none"/>
          <w:lang w:val="en-US" w:eastAsia="zh-CN"/>
        </w:rPr>
      </w:pPr>
      <w:r>
        <w:rPr>
          <w:rFonts w:hint="default" w:ascii="Times New Roman" w:hAnsi="Times New Roman" w:cs="Times New Roman"/>
          <w:sz w:val="23"/>
          <w:szCs w:val="23"/>
          <w:highlight w:val="none"/>
          <w:lang w:val="en-US" w:eastAsia="zh-CN"/>
        </w:rPr>
        <w:t>S指堆场占地面积（单位：平方米）。</w:t>
      </w:r>
    </w:p>
    <w:p>
      <w:pPr>
        <w:spacing w:line="480" w:lineRule="exact"/>
        <w:rPr>
          <w:rFonts w:hint="default" w:ascii="Times New Roman" w:hAnsi="Times New Roman" w:cs="Times New Roman"/>
          <w:sz w:val="23"/>
          <w:szCs w:val="23"/>
          <w:highlight w:val="none"/>
          <w:lang w:val="en-US" w:eastAsia="zh-CN"/>
        </w:rPr>
      </w:pPr>
      <w:r>
        <w:rPr>
          <w:rFonts w:hint="default" w:ascii="Times New Roman" w:hAnsi="Times New Roman" w:cs="Times New Roman"/>
          <w:sz w:val="23"/>
          <w:szCs w:val="23"/>
          <w:highlight w:val="none"/>
          <w:lang w:val="en-US" w:eastAsia="zh-CN"/>
        </w:rPr>
        <w:t>经计算可知，P为</w:t>
      </w:r>
      <w:r>
        <w:rPr>
          <w:rFonts w:hint="eastAsia" w:ascii="Times New Roman" w:hAnsi="Times New Roman" w:cs="Times New Roman"/>
          <w:sz w:val="23"/>
          <w:szCs w:val="23"/>
          <w:highlight w:val="none"/>
          <w:lang w:val="en-US" w:eastAsia="zh-CN"/>
        </w:rPr>
        <w:t>81.081</w:t>
      </w:r>
      <w:r>
        <w:rPr>
          <w:rFonts w:hint="default" w:ascii="Times New Roman" w:hAnsi="Times New Roman" w:cs="Times New Roman"/>
          <w:sz w:val="23"/>
          <w:szCs w:val="23"/>
          <w:highlight w:val="none"/>
          <w:lang w:val="en-US" w:eastAsia="zh-CN"/>
        </w:rPr>
        <w:t>吨。</w:t>
      </w:r>
    </w:p>
    <w:p>
      <w:pPr>
        <w:spacing w:line="480" w:lineRule="exact"/>
        <w:rPr>
          <w:rFonts w:hint="default" w:ascii="Times New Roman" w:hAnsi="Times New Roman" w:cs="Times New Roman"/>
          <w:sz w:val="23"/>
          <w:szCs w:val="23"/>
          <w:highlight w:val="none"/>
          <w:lang w:eastAsia="zh-CN"/>
        </w:rPr>
      </w:pPr>
      <w:r>
        <w:rPr>
          <w:rFonts w:hint="default" w:ascii="Times New Roman" w:hAnsi="Times New Roman" w:cs="Times New Roman"/>
          <w:sz w:val="23"/>
          <w:szCs w:val="23"/>
          <w:highlight w:val="none"/>
          <w:lang w:eastAsia="zh-CN"/>
        </w:rPr>
        <w:t>工业企业固体物料堆场颗粒物排放量核算公式如下：</w:t>
      </w:r>
    </w:p>
    <w:p>
      <w:pPr>
        <w:spacing w:line="480" w:lineRule="exact"/>
        <w:jc w:val="center"/>
        <w:rPr>
          <w:rFonts w:hint="default" w:ascii="Times New Roman" w:hAnsi="Times New Roman" w:cs="Times New Roman"/>
          <w:sz w:val="23"/>
          <w:szCs w:val="23"/>
          <w:highlight w:val="none"/>
          <w:lang w:eastAsia="zh-CN"/>
        </w:rPr>
      </w:pPr>
      <w:r>
        <w:rPr>
          <w:rFonts w:hint="default" w:ascii="Times New Roman" w:hAnsi="Times New Roman" w:cs="Times New Roman"/>
          <w:sz w:val="23"/>
          <w:szCs w:val="23"/>
          <w:highlight w:val="none"/>
          <w:lang w:eastAsia="zh-CN"/>
        </w:rPr>
        <w:object>
          <v:shape id="_x0000_i1026" o:spt="75" type="#_x0000_t75" style="height:18pt;width:121.95pt;" o:ole="t" filled="f" o:preferrelative="t" stroked="f" coordsize="21600,21600">
            <v:path/>
            <v:fill on="f" focussize="0,0"/>
            <v:stroke on="f"/>
            <v:imagedata r:id="rId147" o:title=""/>
            <o:lock v:ext="edit" aspectratio="t"/>
            <w10:wrap type="none"/>
            <w10:anchorlock/>
          </v:shape>
          <o:OLEObject Type="Embed" ProgID="Equation.KSEE3" ShapeID="_x0000_i1026" DrawAspect="Content" ObjectID="_1468075726" r:id="rId146">
            <o:LockedField>false</o:LockedField>
          </o:OLEObject>
        </w:object>
      </w:r>
    </w:p>
    <w:p>
      <w:pPr>
        <w:spacing w:line="480" w:lineRule="exact"/>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lang w:val="en-US" w:eastAsia="zh-CN"/>
        </w:rPr>
        <w:t xml:space="preserve">式中：P指颗粒物产生量（单位：吨）； </w:t>
      </w:r>
    </w:p>
    <w:p>
      <w:pPr>
        <w:spacing w:line="480" w:lineRule="exact"/>
        <w:ind w:firstLine="1150" w:firstLineChars="5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lang w:val="en-US" w:eastAsia="zh-CN"/>
        </w:rPr>
        <w:t>Uc指颗粒物排放量（单位：吨）；</w:t>
      </w:r>
    </w:p>
    <w:p>
      <w:pPr>
        <w:spacing w:line="480" w:lineRule="exact"/>
        <w:ind w:firstLine="1150" w:firstLineChars="5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lang w:val="en-US" w:eastAsia="zh-CN"/>
        </w:rPr>
        <w:t>Cm指颗粒物控制措施控制效率（单位：%），本项目取值78%；</w:t>
      </w:r>
    </w:p>
    <w:p>
      <w:pPr>
        <w:spacing w:line="480" w:lineRule="exact"/>
        <w:ind w:firstLine="1150" w:firstLineChars="500"/>
        <w:rPr>
          <w:rFonts w:hint="default" w:ascii="Times New Roman" w:hAnsi="Times New Roman" w:cs="Times New Roman"/>
          <w:sz w:val="23"/>
          <w:szCs w:val="23"/>
          <w:highlight w:val="none"/>
          <w:lang w:eastAsia="zh-CN"/>
        </w:rPr>
      </w:pPr>
      <w:r>
        <w:rPr>
          <w:rFonts w:hint="default" w:ascii="Times New Roman" w:hAnsi="Times New Roman" w:cs="Times New Roman"/>
          <w:sz w:val="23"/>
          <w:szCs w:val="23"/>
          <w:highlight w:val="none"/>
          <w:lang w:eastAsia="zh-CN"/>
        </w:rPr>
        <w:t>Tm指堆场类型控制效率（单位：%），本项目取值</w:t>
      </w:r>
      <w:r>
        <w:rPr>
          <w:rFonts w:hint="default" w:ascii="Times New Roman" w:hAnsi="Times New Roman" w:cs="Times New Roman"/>
          <w:sz w:val="23"/>
          <w:szCs w:val="23"/>
          <w:highlight w:val="none"/>
          <w:lang w:val="en-US" w:eastAsia="zh-CN"/>
        </w:rPr>
        <w:t>99%</w:t>
      </w:r>
      <w:r>
        <w:rPr>
          <w:rFonts w:hint="default" w:ascii="Times New Roman" w:hAnsi="Times New Roman" w:cs="Times New Roman"/>
          <w:sz w:val="23"/>
          <w:szCs w:val="23"/>
          <w:highlight w:val="none"/>
          <w:lang w:eastAsia="zh-CN"/>
        </w:rPr>
        <w:t>；</w:t>
      </w:r>
    </w:p>
    <w:p>
      <w:pPr>
        <w:spacing w:line="480" w:lineRule="exact"/>
        <w:ind w:firstLine="230" w:firstLineChars="100"/>
        <w:rPr>
          <w:rFonts w:hint="default" w:ascii="Times New Roman" w:hAnsi="Times New Roman" w:cs="Times New Roman"/>
          <w:sz w:val="23"/>
          <w:szCs w:val="23"/>
          <w:highlight w:val="none"/>
          <w:lang w:val="en-US" w:eastAsia="zh-CN"/>
        </w:rPr>
      </w:pPr>
      <w:r>
        <w:rPr>
          <w:rFonts w:hint="default" w:ascii="Times New Roman" w:hAnsi="Times New Roman" w:cs="Times New Roman"/>
          <w:sz w:val="23"/>
          <w:szCs w:val="23"/>
          <w:highlight w:val="none"/>
          <w:lang w:val="en-US" w:eastAsia="zh-CN"/>
        </w:rPr>
        <w:t>由上述计算，物料装卸、堆存排放颗粒物为</w:t>
      </w:r>
      <w:r>
        <w:rPr>
          <w:rFonts w:hint="eastAsia" w:ascii="Times New Roman" w:hAnsi="Times New Roman" w:cs="Times New Roman"/>
          <w:sz w:val="23"/>
          <w:szCs w:val="23"/>
          <w:highlight w:val="none"/>
          <w:lang w:val="en-US" w:eastAsia="zh-CN"/>
        </w:rPr>
        <w:t>0.178</w:t>
      </w:r>
      <w:r>
        <w:rPr>
          <w:rFonts w:hint="default" w:ascii="Times New Roman" w:hAnsi="Times New Roman" w:cs="Times New Roman"/>
          <w:sz w:val="23"/>
          <w:szCs w:val="23"/>
          <w:highlight w:val="none"/>
          <w:lang w:val="en-US" w:eastAsia="zh-CN"/>
        </w:rPr>
        <w:t>t/a，在</w:t>
      </w:r>
      <w:r>
        <w:rPr>
          <w:rFonts w:hint="eastAsia" w:ascii="Times New Roman" w:hAnsi="Times New Roman" w:cs="Times New Roman"/>
          <w:sz w:val="23"/>
          <w:szCs w:val="23"/>
          <w:highlight w:val="none"/>
          <w:lang w:val="en-US" w:eastAsia="zh-CN"/>
        </w:rPr>
        <w:t>车间</w:t>
      </w:r>
      <w:r>
        <w:rPr>
          <w:rFonts w:hint="default" w:ascii="Times New Roman" w:hAnsi="Times New Roman" w:cs="Times New Roman"/>
          <w:sz w:val="23"/>
          <w:szCs w:val="23"/>
          <w:highlight w:val="none"/>
          <w:lang w:val="en-US" w:eastAsia="zh-CN"/>
        </w:rPr>
        <w:t>内以无组织形式排放，排放速率为0.</w:t>
      </w:r>
      <w:r>
        <w:rPr>
          <w:rFonts w:hint="eastAsia" w:ascii="Times New Roman" w:hAnsi="Times New Roman" w:cs="Times New Roman"/>
          <w:sz w:val="23"/>
          <w:szCs w:val="23"/>
          <w:highlight w:val="none"/>
          <w:lang w:val="en-US" w:eastAsia="zh-CN"/>
        </w:rPr>
        <w:t>089</w:t>
      </w:r>
      <w:r>
        <w:rPr>
          <w:rFonts w:hint="default" w:ascii="Times New Roman" w:hAnsi="Times New Roman" w:cs="Times New Roman"/>
          <w:sz w:val="23"/>
          <w:szCs w:val="23"/>
          <w:highlight w:val="none"/>
          <w:lang w:val="en-US" w:eastAsia="zh-CN"/>
        </w:rPr>
        <w:t>kg/h。</w:t>
      </w:r>
    </w:p>
    <w:p>
      <w:pPr>
        <w:ind w:firstLine="480"/>
        <w:jc w:val="both"/>
        <w:rPr>
          <w:bCs/>
          <w:sz w:val="24"/>
          <w:szCs w:val="24"/>
          <w:highlight w:val="none"/>
        </w:rPr>
      </w:pPr>
      <w:r>
        <w:rPr>
          <w:rFonts w:hint="eastAsia" w:ascii="宋体" w:hAnsi="宋体" w:cs="宋体"/>
          <w:bCs/>
          <w:sz w:val="24"/>
          <w:szCs w:val="24"/>
          <w:highlight w:val="none"/>
        </w:rPr>
        <w:t>③</w:t>
      </w:r>
      <w:r>
        <w:rPr>
          <w:bCs/>
          <w:sz w:val="24"/>
          <w:szCs w:val="24"/>
          <w:highlight w:val="none"/>
        </w:rPr>
        <w:t>破碎、筛分环节逸散粉尘</w:t>
      </w:r>
    </w:p>
    <w:p>
      <w:pPr>
        <w:spacing w:line="480" w:lineRule="exact"/>
        <w:ind w:firstLine="230" w:firstLineChars="100"/>
        <w:jc w:val="both"/>
        <w:rPr>
          <w:rFonts w:hint="default" w:ascii="Times New Roman" w:hAnsi="Times New Roman" w:cs="Times New Roman"/>
          <w:sz w:val="23"/>
          <w:szCs w:val="23"/>
          <w:highlight w:val="none"/>
          <w:lang w:val="en-US" w:eastAsia="zh-CN"/>
        </w:rPr>
      </w:pPr>
      <w:r>
        <w:rPr>
          <w:rFonts w:hint="default" w:ascii="Times New Roman" w:hAnsi="Times New Roman" w:cs="Times New Roman"/>
          <w:sz w:val="23"/>
          <w:szCs w:val="23"/>
          <w:highlight w:val="none"/>
          <w:lang w:val="en-US" w:eastAsia="zh-CN"/>
        </w:rPr>
        <w:t>破碎、筛分过程未被集气罩收集的粉尘以无组织形式逸散在车间内，集气罩集气效率按照95%计，则有5%逸散到车间内。根据表3.</w:t>
      </w:r>
      <w:r>
        <w:rPr>
          <w:rFonts w:hint="eastAsia" w:ascii="Times New Roman" w:hAnsi="Times New Roman" w:cs="Times New Roman"/>
          <w:sz w:val="23"/>
          <w:szCs w:val="23"/>
          <w:highlight w:val="none"/>
          <w:lang w:val="en-US" w:eastAsia="zh-CN"/>
        </w:rPr>
        <w:t>3</w:t>
      </w:r>
      <w:r>
        <w:rPr>
          <w:rFonts w:hint="default" w:ascii="Times New Roman" w:hAnsi="Times New Roman" w:cs="Times New Roman"/>
          <w:sz w:val="23"/>
          <w:szCs w:val="23"/>
          <w:highlight w:val="none"/>
          <w:lang w:val="en-US" w:eastAsia="zh-CN"/>
        </w:rPr>
        <w:t>-</w:t>
      </w:r>
      <w:r>
        <w:rPr>
          <w:rFonts w:hint="eastAsia" w:ascii="Times New Roman" w:hAnsi="Times New Roman" w:cs="Times New Roman"/>
          <w:sz w:val="23"/>
          <w:szCs w:val="23"/>
          <w:highlight w:val="none"/>
          <w:lang w:val="en-US" w:eastAsia="zh-CN"/>
        </w:rPr>
        <w:t>3</w:t>
      </w:r>
      <w:r>
        <w:rPr>
          <w:rFonts w:hint="default" w:ascii="Times New Roman" w:hAnsi="Times New Roman" w:cs="Times New Roman"/>
          <w:sz w:val="23"/>
          <w:szCs w:val="23"/>
          <w:highlight w:val="none"/>
          <w:lang w:val="en-US" w:eastAsia="zh-CN"/>
        </w:rPr>
        <w:t>，</w:t>
      </w:r>
      <w:r>
        <w:rPr>
          <w:rFonts w:hint="eastAsia" w:ascii="Times New Roman" w:hAnsi="Times New Roman" w:cs="Times New Roman"/>
          <w:sz w:val="23"/>
          <w:szCs w:val="23"/>
          <w:highlight w:val="none"/>
          <w:lang w:val="en-US" w:eastAsia="zh-CN"/>
        </w:rPr>
        <w:t>生产</w:t>
      </w:r>
      <w:r>
        <w:rPr>
          <w:rFonts w:hint="default" w:ascii="Times New Roman" w:hAnsi="Times New Roman" w:cs="Times New Roman"/>
          <w:sz w:val="23"/>
          <w:szCs w:val="23"/>
          <w:highlight w:val="none"/>
          <w:lang w:val="en-US" w:eastAsia="zh-CN"/>
        </w:rPr>
        <w:t>车间逸散量为</w:t>
      </w:r>
      <w:r>
        <w:rPr>
          <w:rFonts w:hint="eastAsia" w:ascii="Times New Roman" w:hAnsi="Times New Roman" w:cs="Times New Roman"/>
          <w:sz w:val="23"/>
          <w:szCs w:val="23"/>
          <w:highlight w:val="none"/>
          <w:lang w:val="en-US" w:eastAsia="zh-CN"/>
        </w:rPr>
        <w:t>21.3</w:t>
      </w:r>
      <w:r>
        <w:rPr>
          <w:rFonts w:hint="default" w:ascii="Times New Roman" w:hAnsi="Times New Roman" w:cs="Times New Roman"/>
          <w:sz w:val="23"/>
          <w:szCs w:val="23"/>
          <w:highlight w:val="none"/>
          <w:lang w:val="en-US" w:eastAsia="zh-CN"/>
        </w:rPr>
        <w:t>t/a，其中约9</w:t>
      </w:r>
      <w:r>
        <w:rPr>
          <w:rFonts w:hint="eastAsia" w:ascii="Times New Roman" w:hAnsi="Times New Roman" w:cs="Times New Roman"/>
          <w:sz w:val="23"/>
          <w:szCs w:val="23"/>
          <w:highlight w:val="none"/>
          <w:lang w:val="en-US" w:eastAsia="zh-CN"/>
        </w:rPr>
        <w:t>9</w:t>
      </w:r>
      <w:r>
        <w:rPr>
          <w:rFonts w:hint="default" w:ascii="Times New Roman" w:hAnsi="Times New Roman" w:cs="Times New Roman"/>
          <w:sz w:val="23"/>
          <w:szCs w:val="23"/>
          <w:highlight w:val="none"/>
          <w:lang w:val="en-US" w:eastAsia="zh-CN"/>
        </w:rPr>
        <w:t>%的粉尘沉降在车间内，</w:t>
      </w:r>
      <w:r>
        <w:rPr>
          <w:rFonts w:hint="eastAsia" w:ascii="Times New Roman" w:hAnsi="Times New Roman" w:cs="Times New Roman"/>
          <w:sz w:val="23"/>
          <w:szCs w:val="23"/>
          <w:highlight w:val="none"/>
          <w:lang w:val="en-US" w:eastAsia="zh-CN"/>
        </w:rPr>
        <w:t>1</w:t>
      </w:r>
      <w:r>
        <w:rPr>
          <w:rFonts w:hint="default" w:ascii="Times New Roman" w:hAnsi="Times New Roman" w:cs="Times New Roman"/>
          <w:sz w:val="23"/>
          <w:szCs w:val="23"/>
          <w:highlight w:val="none"/>
          <w:lang w:val="en-US" w:eastAsia="zh-CN"/>
        </w:rPr>
        <w:t>%的粉尘通过车间进出口逸散，则以无组织形式排放至外环境的粉尘量为：</w:t>
      </w:r>
      <w:r>
        <w:rPr>
          <w:rFonts w:hint="eastAsia" w:ascii="Times New Roman" w:hAnsi="Times New Roman" w:cs="Times New Roman"/>
          <w:sz w:val="23"/>
          <w:szCs w:val="23"/>
          <w:highlight w:val="none"/>
          <w:lang w:val="en-US" w:eastAsia="zh-CN"/>
        </w:rPr>
        <w:t>0.195</w:t>
      </w:r>
      <w:r>
        <w:rPr>
          <w:rFonts w:hint="default" w:ascii="Times New Roman" w:hAnsi="Times New Roman" w:cs="Times New Roman"/>
          <w:sz w:val="23"/>
          <w:szCs w:val="23"/>
          <w:highlight w:val="none"/>
          <w:lang w:val="en-US" w:eastAsia="zh-CN"/>
        </w:rPr>
        <w:t>t/。</w:t>
      </w:r>
    </w:p>
    <w:p>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表3.</w:t>
      </w:r>
      <w:r>
        <w:rPr>
          <w:rFonts w:hint="eastAsia" w:ascii="Times New Roman" w:hAnsi="Times New Roman" w:eastAsia="宋体" w:cs="Times New Roman"/>
          <w:b/>
          <w:color w:val="auto"/>
          <w:highlight w:val="none"/>
          <w:lang w:val="en-US" w:eastAsia="zh-CN"/>
        </w:rPr>
        <w:t>3</w:t>
      </w:r>
      <w:r>
        <w:rPr>
          <w:rFonts w:hint="default" w:ascii="Times New Roman" w:hAnsi="Times New Roman" w:eastAsia="宋体" w:cs="Times New Roman"/>
          <w:b/>
          <w:color w:val="auto"/>
          <w:highlight w:val="none"/>
        </w:rPr>
        <w:t>-</w:t>
      </w:r>
      <w:r>
        <w:rPr>
          <w:rFonts w:hint="eastAsia" w:ascii="Times New Roman" w:hAnsi="Times New Roman" w:eastAsia="宋体" w:cs="Times New Roman"/>
          <w:b/>
          <w:color w:val="auto"/>
          <w:highlight w:val="none"/>
          <w:lang w:val="en-US" w:eastAsia="zh-CN"/>
        </w:rPr>
        <w:t>3</w:t>
      </w:r>
      <w:r>
        <w:rPr>
          <w:rFonts w:hint="eastAsia" w:ascii="Times New Roman" w:hAnsi="Times New Roman" w:eastAsia="宋体" w:cs="Times New Roman"/>
          <w:b/>
          <w:color w:val="auto"/>
          <w:highlight w:val="none"/>
        </w:rPr>
        <w:t xml:space="preserve">   </w:t>
      </w:r>
      <w:r>
        <w:rPr>
          <w:rFonts w:hint="eastAsia" w:ascii="Times New Roman" w:hAnsi="Times New Roman" w:eastAsia="宋体" w:cs="Times New Roman"/>
          <w:b/>
          <w:color w:val="auto"/>
          <w:highlight w:val="none"/>
          <w:lang w:val="en-US" w:eastAsia="zh-CN"/>
        </w:rPr>
        <w:t>生产</w:t>
      </w:r>
      <w:r>
        <w:rPr>
          <w:rFonts w:hint="default" w:ascii="Times New Roman" w:hAnsi="Times New Roman" w:eastAsia="宋体" w:cs="Times New Roman"/>
          <w:b/>
          <w:color w:val="auto"/>
          <w:highlight w:val="none"/>
        </w:rPr>
        <w:t>车间无组织废气排放情况表</w:t>
      </w:r>
    </w:p>
    <w:tbl>
      <w:tblPr>
        <w:tblStyle w:val="15"/>
        <w:tblW w:w="8522" w:type="dxa"/>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15" w:type="dxa"/>
          <w:left w:w="108" w:type="dxa"/>
          <w:bottom w:w="15" w:type="dxa"/>
          <w:right w:w="108" w:type="dxa"/>
        </w:tblCellMar>
      </w:tblPr>
      <w:tblGrid>
        <w:gridCol w:w="1383"/>
        <w:gridCol w:w="970"/>
        <w:gridCol w:w="1178"/>
        <w:gridCol w:w="1178"/>
        <w:gridCol w:w="1457"/>
        <w:gridCol w:w="1178"/>
        <w:gridCol w:w="117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08" w:type="dxa"/>
            <w:bottom w:w="15" w:type="dxa"/>
            <w:right w:w="108" w:type="dxa"/>
          </w:tblCellMar>
        </w:tblPrEx>
        <w:trPr>
          <w:trHeight w:val="555" w:hRule="atLeast"/>
        </w:trPr>
        <w:tc>
          <w:tcPr>
            <w:tcW w:w="1383" w:type="dxa"/>
            <w:tcBorders>
              <w:left w:val="single" w:color="000000" w:sz="6" w:space="0"/>
            </w:tcBorders>
            <w:noWrap w:val="0"/>
            <w:vAlign w:val="center"/>
          </w:tcPr>
          <w:p>
            <w:pPr>
              <w:widowControl/>
              <w:spacing w:line="240" w:lineRule="auto"/>
              <w:ind w:firstLine="420" w:firstLineChars="0"/>
              <w:jc w:val="center"/>
              <w:textAlignment w:val="auto"/>
              <w:rPr>
                <w:sz w:val="20"/>
                <w:szCs w:val="20"/>
                <w:highlight w:val="none"/>
              </w:rPr>
            </w:pPr>
            <w:r>
              <w:rPr>
                <w:sz w:val="20"/>
                <w:szCs w:val="20"/>
                <w:highlight w:val="none"/>
              </w:rPr>
              <w:t>污染源</w:t>
            </w:r>
          </w:p>
        </w:tc>
        <w:tc>
          <w:tcPr>
            <w:tcW w:w="970" w:type="dxa"/>
            <w:noWrap w:val="0"/>
            <w:vAlign w:val="center"/>
          </w:tcPr>
          <w:p>
            <w:pPr>
              <w:widowControl/>
              <w:spacing w:line="240" w:lineRule="auto"/>
              <w:ind w:firstLine="0" w:firstLineChars="0"/>
              <w:jc w:val="center"/>
              <w:textAlignment w:val="auto"/>
              <w:rPr>
                <w:sz w:val="20"/>
                <w:szCs w:val="20"/>
                <w:highlight w:val="none"/>
              </w:rPr>
            </w:pPr>
            <w:r>
              <w:rPr>
                <w:sz w:val="20"/>
                <w:szCs w:val="20"/>
                <w:highlight w:val="none"/>
              </w:rPr>
              <w:t>污染物</w:t>
            </w:r>
          </w:p>
        </w:tc>
        <w:tc>
          <w:tcPr>
            <w:tcW w:w="1178" w:type="dxa"/>
            <w:noWrap w:val="0"/>
            <w:vAlign w:val="center"/>
          </w:tcPr>
          <w:p>
            <w:pPr>
              <w:widowControl/>
              <w:spacing w:line="240" w:lineRule="auto"/>
              <w:ind w:firstLine="0" w:firstLineChars="0"/>
              <w:jc w:val="center"/>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产生量</w:t>
            </w:r>
          </w:p>
          <w:p>
            <w:pPr>
              <w:widowControl/>
              <w:spacing w:line="240" w:lineRule="auto"/>
              <w:ind w:firstLine="0" w:firstLineChars="0"/>
              <w:jc w:val="center"/>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（t/a）</w:t>
            </w:r>
          </w:p>
        </w:tc>
        <w:tc>
          <w:tcPr>
            <w:tcW w:w="1178" w:type="dxa"/>
            <w:noWrap w:val="0"/>
            <w:vAlign w:val="center"/>
          </w:tcPr>
          <w:p>
            <w:pPr>
              <w:widowControl/>
              <w:spacing w:line="240" w:lineRule="auto"/>
              <w:ind w:firstLine="0" w:firstLineChars="0"/>
              <w:jc w:val="center"/>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排放量</w:t>
            </w:r>
          </w:p>
          <w:p>
            <w:pPr>
              <w:widowControl/>
              <w:spacing w:line="240" w:lineRule="auto"/>
              <w:ind w:firstLine="0" w:firstLineChars="0"/>
              <w:jc w:val="center"/>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（t/a）</w:t>
            </w:r>
          </w:p>
        </w:tc>
        <w:tc>
          <w:tcPr>
            <w:tcW w:w="1457" w:type="dxa"/>
            <w:noWrap w:val="0"/>
            <w:vAlign w:val="center"/>
          </w:tcPr>
          <w:p>
            <w:pPr>
              <w:widowControl/>
              <w:spacing w:line="240" w:lineRule="auto"/>
              <w:ind w:firstLine="0" w:firstLineChars="0"/>
              <w:jc w:val="center"/>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排放速率</w:t>
            </w:r>
          </w:p>
          <w:p>
            <w:pPr>
              <w:widowControl/>
              <w:spacing w:line="240" w:lineRule="auto"/>
              <w:ind w:firstLine="0" w:firstLineChars="0"/>
              <w:jc w:val="center"/>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（kg/h）</w:t>
            </w:r>
          </w:p>
        </w:tc>
        <w:tc>
          <w:tcPr>
            <w:tcW w:w="1178" w:type="dxa"/>
            <w:noWrap w:val="0"/>
            <w:vAlign w:val="center"/>
          </w:tcPr>
          <w:p>
            <w:pPr>
              <w:widowControl/>
              <w:spacing w:line="240" w:lineRule="auto"/>
              <w:ind w:firstLine="0" w:firstLineChars="0"/>
              <w:jc w:val="center"/>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长×宽</w:t>
            </w:r>
          </w:p>
          <w:p>
            <w:pPr>
              <w:widowControl/>
              <w:spacing w:line="240" w:lineRule="auto"/>
              <w:ind w:firstLine="0" w:firstLineChars="0"/>
              <w:jc w:val="center"/>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（m）</w:t>
            </w:r>
          </w:p>
        </w:tc>
        <w:tc>
          <w:tcPr>
            <w:tcW w:w="1178" w:type="dxa"/>
            <w:tcBorders>
              <w:right w:val="single" w:color="000000" w:sz="6" w:space="0"/>
            </w:tcBorders>
            <w:noWrap w:val="0"/>
            <w:vAlign w:val="center"/>
          </w:tcPr>
          <w:p>
            <w:pPr>
              <w:widowControl/>
              <w:spacing w:line="240" w:lineRule="auto"/>
              <w:ind w:firstLine="0" w:firstLineChars="0"/>
              <w:jc w:val="center"/>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面源高度（m）</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08" w:type="dxa"/>
            <w:bottom w:w="15" w:type="dxa"/>
            <w:right w:w="108" w:type="dxa"/>
          </w:tblCellMar>
        </w:tblPrEx>
        <w:trPr>
          <w:trHeight w:val="540" w:hRule="atLeast"/>
        </w:trPr>
        <w:tc>
          <w:tcPr>
            <w:tcW w:w="1383" w:type="dxa"/>
            <w:tcBorders>
              <w:left w:val="single" w:color="000000" w:sz="6" w:space="0"/>
            </w:tcBorders>
            <w:noWrap w:val="0"/>
            <w:vAlign w:val="center"/>
          </w:tcPr>
          <w:p>
            <w:pPr>
              <w:widowControl/>
              <w:spacing w:line="240" w:lineRule="auto"/>
              <w:ind w:firstLine="0" w:firstLineChars="0"/>
              <w:jc w:val="center"/>
              <w:textAlignment w:val="auto"/>
              <w:rPr>
                <w:sz w:val="20"/>
                <w:szCs w:val="20"/>
                <w:highlight w:val="none"/>
              </w:rPr>
            </w:pPr>
            <w:r>
              <w:rPr>
                <w:rFonts w:hint="eastAsia"/>
                <w:sz w:val="20"/>
                <w:szCs w:val="20"/>
                <w:highlight w:val="none"/>
                <w:lang w:val="en-US" w:eastAsia="zh-CN"/>
              </w:rPr>
              <w:t>生产</w:t>
            </w:r>
            <w:r>
              <w:rPr>
                <w:sz w:val="20"/>
                <w:szCs w:val="20"/>
                <w:highlight w:val="none"/>
              </w:rPr>
              <w:t>车间</w:t>
            </w:r>
          </w:p>
        </w:tc>
        <w:tc>
          <w:tcPr>
            <w:tcW w:w="970" w:type="dxa"/>
            <w:noWrap w:val="0"/>
            <w:vAlign w:val="center"/>
          </w:tcPr>
          <w:p>
            <w:pPr>
              <w:widowControl/>
              <w:spacing w:line="240" w:lineRule="auto"/>
              <w:ind w:firstLine="0" w:firstLineChars="0"/>
              <w:jc w:val="center"/>
              <w:textAlignment w:val="auto"/>
              <w:rPr>
                <w:sz w:val="20"/>
                <w:szCs w:val="20"/>
                <w:highlight w:val="none"/>
              </w:rPr>
            </w:pPr>
            <w:r>
              <w:rPr>
                <w:sz w:val="20"/>
                <w:szCs w:val="20"/>
                <w:highlight w:val="none"/>
              </w:rPr>
              <w:t>颗粒物</w:t>
            </w:r>
          </w:p>
        </w:tc>
        <w:tc>
          <w:tcPr>
            <w:tcW w:w="1178" w:type="dxa"/>
            <w:noWrap w:val="0"/>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21.3</w:t>
            </w:r>
          </w:p>
        </w:tc>
        <w:tc>
          <w:tcPr>
            <w:tcW w:w="1178" w:type="dxa"/>
            <w:noWrap w:val="0"/>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0.213</w:t>
            </w:r>
          </w:p>
        </w:tc>
        <w:tc>
          <w:tcPr>
            <w:tcW w:w="1457" w:type="dxa"/>
            <w:noWrap w:val="0"/>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0.1</w:t>
            </w:r>
          </w:p>
        </w:tc>
        <w:tc>
          <w:tcPr>
            <w:tcW w:w="1178" w:type="dxa"/>
            <w:noWrap w:val="0"/>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lang w:val="en-US" w:eastAsia="zh-CN"/>
              </w:rPr>
            </w:pPr>
            <w:r>
              <w:rPr>
                <w:rFonts w:hint="default" w:ascii="Times New Roman" w:hAnsi="Times New Roman" w:cs="Times New Roman"/>
                <w:color w:val="auto"/>
                <w:sz w:val="20"/>
                <w:szCs w:val="20"/>
                <w:highlight w:val="none"/>
              </w:rPr>
              <w:t>70m×</w:t>
            </w:r>
            <w:r>
              <w:rPr>
                <w:rFonts w:hint="eastAsia" w:ascii="Times New Roman" w:hAnsi="Times New Roman" w:eastAsia="宋体" w:cs="Times New Roman"/>
                <w:color w:val="auto"/>
                <w:sz w:val="20"/>
                <w:szCs w:val="20"/>
                <w:highlight w:val="none"/>
                <w:lang w:val="en-US" w:eastAsia="zh-CN"/>
              </w:rPr>
              <w:t>4</w:t>
            </w:r>
            <w:r>
              <w:rPr>
                <w:rFonts w:hint="default" w:ascii="Times New Roman" w:hAnsi="Times New Roman" w:cs="Times New Roman"/>
                <w:color w:val="auto"/>
                <w:sz w:val="20"/>
                <w:szCs w:val="20"/>
                <w:highlight w:val="none"/>
              </w:rPr>
              <w:t>0m</w:t>
            </w:r>
          </w:p>
        </w:tc>
        <w:tc>
          <w:tcPr>
            <w:tcW w:w="1178" w:type="dxa"/>
            <w:tcBorders>
              <w:right w:val="single" w:color="000000" w:sz="6" w:space="0"/>
            </w:tcBorders>
            <w:noWrap w:val="0"/>
            <w:vAlign w:val="center"/>
          </w:tcPr>
          <w:p>
            <w:pPr>
              <w:widowControl/>
              <w:spacing w:line="240" w:lineRule="auto"/>
              <w:ind w:firstLine="0" w:firstLineChars="0"/>
              <w:jc w:val="center"/>
              <w:textAlignment w:val="auto"/>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12</w:t>
            </w:r>
          </w:p>
        </w:tc>
      </w:tr>
    </w:tbl>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（3）道路运输扬尘</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道路扬尘计算公式：</w:t>
      </w:r>
    </w:p>
    <w:p>
      <w:pPr>
        <w:ind w:firstLine="210" w:firstLineChars="100"/>
        <w:jc w:val="center"/>
        <w:rPr>
          <w:bCs/>
          <w:sz w:val="24"/>
          <w:szCs w:val="24"/>
          <w:highlight w:val="none"/>
        </w:rPr>
      </w:pPr>
      <w:r>
        <w:rPr>
          <w:highlight w:val="none"/>
        </w:rPr>
        <w:drawing>
          <wp:inline distT="0" distB="0" distL="0" distR="0">
            <wp:extent cx="3268980" cy="624840"/>
            <wp:effectExtent l="0" t="0" r="7620" b="3810"/>
            <wp:docPr id="16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03"/>
                    <pic:cNvPicPr>
                      <a:picLocks noChangeAspect="1" noChangeArrowheads="1"/>
                    </pic:cNvPicPr>
                  </pic:nvPicPr>
                  <pic:blipFill>
                    <a:blip r:embed="rId148" cstate="print"/>
                    <a:srcRect/>
                    <a:stretch>
                      <a:fillRect/>
                    </a:stretch>
                  </pic:blipFill>
                  <pic:spPr>
                    <a:xfrm>
                      <a:off x="0" y="0"/>
                      <a:ext cx="3268980" cy="624840"/>
                    </a:xfrm>
                    <a:prstGeom prst="rect">
                      <a:avLst/>
                    </a:prstGeom>
                    <a:noFill/>
                    <a:ln w="9525">
                      <a:noFill/>
                      <a:miter lim="800000"/>
                      <a:headEnd/>
                      <a:tailEnd/>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计算参数：Qp——道路扬尘量，（kg/km·辆）；</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Q'</w:t>
      </w:r>
      <w:r>
        <w:rPr>
          <w:rFonts w:hint="default" w:ascii="Times New Roman" w:hAnsi="Times New Roman" w:cs="Times New Roman"/>
          <w:bCs/>
          <w:sz w:val="23"/>
          <w:szCs w:val="23"/>
          <w:highlight w:val="none"/>
          <w:vertAlign w:val="subscript"/>
        </w:rPr>
        <w:t>p</w:t>
      </w:r>
      <w:r>
        <w:rPr>
          <w:rFonts w:hint="default" w:ascii="Times New Roman" w:hAnsi="Times New Roman" w:cs="Times New Roman"/>
          <w:bCs/>
          <w:sz w:val="23"/>
          <w:szCs w:val="23"/>
          <w:highlight w:val="none"/>
        </w:rPr>
        <w:t>——总扬尘量，（kg/a）；</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V——车辆速度，（20km/h）；</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M——车辆载重，50t/辆；</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P——路面灰尘覆盖率，0.3kg/m</w:t>
      </w:r>
      <w:r>
        <w:rPr>
          <w:rFonts w:hint="default" w:ascii="Times New Roman" w:hAnsi="Times New Roman" w:cs="Times New Roman"/>
          <w:bCs/>
          <w:sz w:val="23"/>
          <w:szCs w:val="23"/>
          <w:highlight w:val="none"/>
          <w:vertAlign w:val="superscript"/>
        </w:rPr>
        <w:t>2</w:t>
      </w:r>
      <w:r>
        <w:rPr>
          <w:rFonts w:hint="default" w:ascii="Times New Roman" w:hAnsi="Times New Roman" w:cs="Times New Roman"/>
          <w:bCs/>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L——运距，（约100m）；</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Q——运输量。</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经计算，物料在厂区内运输过程中的产尘量为</w:t>
      </w:r>
      <w:r>
        <w:rPr>
          <w:rFonts w:hint="eastAsia" w:ascii="Times New Roman" w:hAnsi="Times New Roman" w:eastAsia="宋体" w:cs="Times New Roman"/>
          <w:bCs/>
          <w:sz w:val="23"/>
          <w:szCs w:val="23"/>
          <w:highlight w:val="none"/>
          <w:lang w:val="en-US" w:eastAsia="zh-CN"/>
        </w:rPr>
        <w:t>3.6</w:t>
      </w:r>
      <w:r>
        <w:rPr>
          <w:rFonts w:hint="default" w:ascii="Times New Roman" w:hAnsi="Times New Roman" w:cs="Times New Roman"/>
          <w:bCs/>
          <w:sz w:val="23"/>
          <w:szCs w:val="23"/>
          <w:highlight w:val="none"/>
        </w:rPr>
        <w:t>/a，在采取厂区地面全部硬化，道路洒水降尘、保洁等措施后，可以抑制扬尘量约80%，采取措施后运输扬尘量为0.</w:t>
      </w:r>
      <w:r>
        <w:rPr>
          <w:rFonts w:hint="eastAsia" w:ascii="Times New Roman" w:hAnsi="Times New Roman" w:eastAsia="宋体" w:cs="Times New Roman"/>
          <w:bCs/>
          <w:sz w:val="23"/>
          <w:szCs w:val="23"/>
          <w:highlight w:val="none"/>
          <w:lang w:val="en-US" w:eastAsia="zh-CN"/>
        </w:rPr>
        <w:t>72</w:t>
      </w:r>
      <w:r>
        <w:rPr>
          <w:rFonts w:hint="default" w:ascii="Times New Roman" w:hAnsi="Times New Roman" w:cs="Times New Roman"/>
          <w:bCs/>
          <w:sz w:val="23"/>
          <w:szCs w:val="23"/>
          <w:highlight w:val="none"/>
        </w:rPr>
        <w:t>t/a。</w:t>
      </w:r>
    </w:p>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460" w:lineRule="exact"/>
        <w:textAlignment w:val="auto"/>
        <w:outlineLvl w:val="3"/>
        <w:rPr>
          <w:rFonts w:hint="default" w:ascii="Times New Roman" w:hAnsi="Times New Roman" w:cs="Times New Roman"/>
          <w:b w:val="0"/>
          <w:bCs/>
          <w:sz w:val="23"/>
          <w:szCs w:val="23"/>
          <w:highlight w:val="none"/>
          <w:lang w:val="en-US" w:eastAsia="zh-CN"/>
        </w:rPr>
      </w:pPr>
      <w:r>
        <w:rPr>
          <w:rFonts w:hint="default" w:ascii="Times New Roman" w:hAnsi="Times New Roman" w:cs="Times New Roman"/>
          <w:b w:val="0"/>
          <w:bCs/>
          <w:sz w:val="23"/>
          <w:szCs w:val="23"/>
          <w:highlight w:val="none"/>
          <w:lang w:val="en-US" w:eastAsia="zh-CN"/>
        </w:rPr>
        <w:pict>
          <v:shape id="_x0000_s1122" o:spid="_x0000_s1122" style="position:absolute;left:0pt;margin-left:89.85pt;margin-top:60.75pt;height:0.75pt;width:415.65pt;mso-position-horizontal-relative:page;mso-position-vertical-relative:page;z-index:251692032;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cs="Times New Roman"/>
          <w:b w:val="0"/>
          <w:bCs/>
          <w:sz w:val="23"/>
          <w:szCs w:val="23"/>
          <w:highlight w:val="none"/>
          <w:lang w:val="en-US" w:eastAsia="zh-CN"/>
        </w:rPr>
        <w:pict>
          <v:shape id="_x0000_s1123" o:spid="_x0000_s1123" style="position:absolute;left:0pt;margin-left:89.85pt;margin-top:774.95pt;height:0.75pt;width:415.65pt;mso-position-horizontal-relative:page;mso-position-vertical-relative:page;z-index:251691008;mso-width-relative:page;mso-height-relative:page;" fillcolor="#FFFFFF" filled="t" stroked="f" coordsize="8312,15" o:allowincell="f" path="m0,0l8312,0,8312,14,0,14,0,0xe">
            <v:path/>
            <v:fill on="t" color2="#FFFFFF" focussize="0,0"/>
            <v:stroke on="f"/>
            <v:imagedata o:title=""/>
            <o:lock v:ext="edit" aspectratio="f"/>
          </v:shape>
        </w:pict>
      </w:r>
      <w:r>
        <w:rPr>
          <w:rFonts w:hint="default" w:ascii="Times New Roman" w:hAnsi="Times New Roman" w:cs="Times New Roman"/>
          <w:b w:val="0"/>
          <w:bCs/>
          <w:sz w:val="23"/>
          <w:szCs w:val="23"/>
          <w:highlight w:val="none"/>
          <w:lang w:val="en-US" w:eastAsia="zh-CN"/>
        </w:rPr>
        <w:t>3.</w:t>
      </w:r>
      <w:r>
        <w:rPr>
          <w:rFonts w:hint="eastAsia" w:ascii="Times New Roman" w:hAnsi="Times New Roman" w:cs="Times New Roman"/>
          <w:b w:val="0"/>
          <w:bCs/>
          <w:sz w:val="23"/>
          <w:szCs w:val="23"/>
          <w:highlight w:val="none"/>
          <w:lang w:val="en-US" w:eastAsia="zh-CN"/>
        </w:rPr>
        <w:t>3</w:t>
      </w:r>
      <w:r>
        <w:rPr>
          <w:rFonts w:hint="default" w:ascii="Times New Roman" w:hAnsi="Times New Roman" w:cs="Times New Roman"/>
          <w:b w:val="0"/>
          <w:bCs/>
          <w:sz w:val="23"/>
          <w:szCs w:val="23"/>
          <w:highlight w:val="none"/>
          <w:lang w:val="en-US" w:eastAsia="zh-CN"/>
        </w:rPr>
        <w:t>.2</w:t>
      </w:r>
      <w:r>
        <w:rPr>
          <w:rFonts w:hint="eastAsia" w:ascii="Times New Roman" w:hAnsi="Times New Roman" w:cs="Times New Roman"/>
          <w:b w:val="0"/>
          <w:bCs/>
          <w:sz w:val="23"/>
          <w:szCs w:val="23"/>
          <w:highlight w:val="none"/>
          <w:lang w:val="en-US" w:eastAsia="zh-CN"/>
        </w:rPr>
        <w:t>.2</w:t>
      </w:r>
      <w:r>
        <w:rPr>
          <w:rFonts w:hint="default" w:ascii="Times New Roman" w:hAnsi="Times New Roman" w:cs="Times New Roman"/>
          <w:b w:val="0"/>
          <w:bCs/>
          <w:sz w:val="23"/>
          <w:szCs w:val="23"/>
          <w:highlight w:val="none"/>
          <w:lang w:val="en-US" w:eastAsia="zh-CN"/>
        </w:rPr>
        <w:t xml:space="preserve">  废水</w:t>
      </w:r>
    </w:p>
    <w:p>
      <w:pPr>
        <w:spacing w:before="74" w:line="394" w:lineRule="auto"/>
        <w:ind w:left="16" w:right="56" w:firstLine="495"/>
        <w:jc w:val="both"/>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23"/>
          <w:sz w:val="23"/>
          <w:szCs w:val="23"/>
          <w:highlight w:val="none"/>
          <w:lang w:eastAsia="zh-CN"/>
        </w:rPr>
        <w:t>（</w:t>
      </w:r>
      <w:r>
        <w:rPr>
          <w:rFonts w:hint="eastAsia" w:ascii="Times New Roman" w:hAnsi="Times New Roman" w:eastAsia="宋体" w:cs="Times New Roman"/>
          <w:spacing w:val="23"/>
          <w:sz w:val="23"/>
          <w:szCs w:val="23"/>
          <w:highlight w:val="none"/>
          <w:lang w:val="en-US" w:eastAsia="zh-CN"/>
        </w:rPr>
        <w:t>1</w:t>
      </w:r>
      <w:r>
        <w:rPr>
          <w:rFonts w:hint="eastAsia" w:ascii="Times New Roman" w:hAnsi="Times New Roman" w:eastAsia="宋体" w:cs="Times New Roman"/>
          <w:spacing w:val="23"/>
          <w:sz w:val="23"/>
          <w:szCs w:val="23"/>
          <w:highlight w:val="none"/>
          <w:lang w:eastAsia="zh-CN"/>
        </w:rPr>
        <w:t>）</w:t>
      </w:r>
      <w:r>
        <w:rPr>
          <w:rFonts w:hint="default" w:ascii="Times New Roman" w:hAnsi="Times New Roman" w:eastAsia="宋体" w:cs="Times New Roman"/>
          <w:spacing w:val="12"/>
          <w:sz w:val="23"/>
          <w:szCs w:val="23"/>
          <w:highlight w:val="none"/>
        </w:rPr>
        <w:t>生产废水：生产工艺用水主要为球磨和磁选工序用水</w:t>
      </w:r>
      <w:r>
        <w:rPr>
          <w:rFonts w:hint="default" w:ascii="Times New Roman" w:hAnsi="Times New Roman" w:eastAsia="宋体" w:cs="Times New Roman"/>
          <w:sz w:val="23"/>
          <w:szCs w:val="23"/>
          <w:highlight w:val="none"/>
        </w:rPr>
        <w:t xml:space="preserve">，生产工序产生的含尾 </w:t>
      </w:r>
      <w:r>
        <w:rPr>
          <w:rFonts w:hint="default" w:ascii="Times New Roman" w:hAnsi="Times New Roman" w:eastAsia="宋体" w:cs="Times New Roman"/>
          <w:spacing w:val="14"/>
          <w:sz w:val="23"/>
          <w:szCs w:val="23"/>
          <w:highlight w:val="none"/>
        </w:rPr>
        <w:t>矿</w:t>
      </w:r>
      <w:r>
        <w:rPr>
          <w:rFonts w:hint="default" w:ascii="Times New Roman" w:hAnsi="Times New Roman" w:eastAsia="宋体" w:cs="Times New Roman"/>
          <w:spacing w:val="11"/>
          <w:sz w:val="23"/>
          <w:szCs w:val="23"/>
          <w:highlight w:val="none"/>
        </w:rPr>
        <w:t>浆</w:t>
      </w:r>
      <w:r>
        <w:rPr>
          <w:rFonts w:hint="default" w:ascii="Times New Roman" w:hAnsi="Times New Roman" w:eastAsia="宋体" w:cs="Times New Roman"/>
          <w:spacing w:val="7"/>
          <w:sz w:val="23"/>
          <w:szCs w:val="23"/>
          <w:highlight w:val="none"/>
        </w:rPr>
        <w:t>废水全部排入浓密池，再经沉淀、脱水筛脱水后，上清液排入清水池，回用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于</w:t>
      </w:r>
      <w:r>
        <w:rPr>
          <w:rFonts w:hint="default" w:ascii="Times New Roman" w:hAnsi="Times New Roman" w:eastAsia="宋体" w:cs="Times New Roman"/>
          <w:spacing w:val="8"/>
          <w:sz w:val="23"/>
          <w:szCs w:val="23"/>
          <w:highlight w:val="none"/>
        </w:rPr>
        <w:t>生产工序不外排。</w:t>
      </w:r>
    </w:p>
    <w:p>
      <w:pPr>
        <w:spacing w:before="1" w:line="401" w:lineRule="auto"/>
        <w:ind w:left="23" w:right="58" w:firstLine="488"/>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10"/>
          <w:sz w:val="23"/>
          <w:szCs w:val="23"/>
          <w:highlight w:val="none"/>
          <w:lang w:eastAsia="zh-CN"/>
        </w:rPr>
        <w:t>（</w:t>
      </w:r>
      <w:r>
        <w:rPr>
          <w:rFonts w:hint="eastAsia" w:ascii="Times New Roman" w:hAnsi="Times New Roman" w:eastAsia="宋体" w:cs="Times New Roman"/>
          <w:spacing w:val="10"/>
          <w:sz w:val="23"/>
          <w:szCs w:val="23"/>
          <w:highlight w:val="none"/>
          <w:lang w:val="en-US" w:eastAsia="zh-CN"/>
        </w:rPr>
        <w:t>2</w:t>
      </w:r>
      <w:r>
        <w:rPr>
          <w:rFonts w:hint="eastAsia" w:ascii="Times New Roman" w:hAnsi="Times New Roman" w:eastAsia="宋体" w:cs="Times New Roman"/>
          <w:spacing w:val="10"/>
          <w:sz w:val="23"/>
          <w:szCs w:val="23"/>
          <w:highlight w:val="none"/>
          <w:lang w:eastAsia="zh-CN"/>
        </w:rPr>
        <w:t>）</w:t>
      </w:r>
      <w:r>
        <w:rPr>
          <w:rFonts w:hint="default" w:ascii="Times New Roman" w:hAnsi="Times New Roman" w:eastAsia="宋体" w:cs="Times New Roman"/>
          <w:spacing w:val="10"/>
          <w:sz w:val="23"/>
          <w:szCs w:val="23"/>
          <w:highlight w:val="none"/>
        </w:rPr>
        <w:t xml:space="preserve"> </w:t>
      </w:r>
      <w:r>
        <w:rPr>
          <w:rFonts w:hint="default" w:ascii="Times New Roman" w:hAnsi="Times New Roman" w:eastAsia="宋体" w:cs="Times New Roman"/>
          <w:spacing w:val="7"/>
          <w:sz w:val="23"/>
          <w:szCs w:val="23"/>
          <w:highlight w:val="none"/>
        </w:rPr>
        <w:t>车</w:t>
      </w:r>
      <w:r>
        <w:rPr>
          <w:rFonts w:hint="default" w:ascii="Times New Roman" w:hAnsi="Times New Roman" w:eastAsia="宋体" w:cs="Times New Roman"/>
          <w:spacing w:val="5"/>
          <w:sz w:val="23"/>
          <w:szCs w:val="23"/>
          <w:highlight w:val="none"/>
        </w:rPr>
        <w:t>辆冲洗：车辆</w:t>
      </w:r>
      <w:r>
        <w:rPr>
          <w:rFonts w:hint="default" w:ascii="Times New Roman" w:hAnsi="Times New Roman" w:eastAsia="宋体" w:cs="Times New Roman"/>
          <w:spacing w:val="4"/>
          <w:sz w:val="23"/>
          <w:szCs w:val="23"/>
          <w:highlight w:val="none"/>
        </w:rPr>
        <w:t>冲洗废水经沉淀后循环使用，不外排</w:t>
      </w:r>
      <w:r>
        <w:rPr>
          <w:rFonts w:hint="default" w:ascii="Times New Roman" w:hAnsi="Times New Roman" w:eastAsia="宋体" w:cs="Times New Roman"/>
          <w:spacing w:val="1"/>
          <w:sz w:val="23"/>
          <w:szCs w:val="23"/>
          <w:highlight w:val="none"/>
        </w:rPr>
        <w:t>。</w:t>
      </w:r>
    </w:p>
    <w:p>
      <w:pPr>
        <w:spacing w:before="2" w:line="407" w:lineRule="auto"/>
        <w:ind w:left="22" w:right="61" w:firstLine="490"/>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12"/>
          <w:sz w:val="23"/>
          <w:szCs w:val="23"/>
          <w:highlight w:val="none"/>
          <w:lang w:eastAsia="zh-CN"/>
        </w:rPr>
        <w:t>（</w:t>
      </w:r>
      <w:r>
        <w:rPr>
          <w:rFonts w:hint="eastAsia" w:ascii="Times New Roman" w:hAnsi="Times New Roman" w:eastAsia="宋体" w:cs="Times New Roman"/>
          <w:spacing w:val="12"/>
          <w:sz w:val="23"/>
          <w:szCs w:val="23"/>
          <w:highlight w:val="none"/>
          <w:lang w:val="en-US" w:eastAsia="zh-CN"/>
        </w:rPr>
        <w:t>3</w:t>
      </w:r>
      <w:r>
        <w:rPr>
          <w:rFonts w:hint="eastAsia" w:ascii="Times New Roman" w:hAnsi="Times New Roman" w:eastAsia="宋体" w:cs="Times New Roman"/>
          <w:spacing w:val="12"/>
          <w:sz w:val="23"/>
          <w:szCs w:val="23"/>
          <w:highlight w:val="none"/>
          <w:lang w:eastAsia="zh-CN"/>
        </w:rPr>
        <w:t>）</w:t>
      </w:r>
      <w:r>
        <w:rPr>
          <w:rFonts w:hint="default" w:ascii="Times New Roman" w:hAnsi="Times New Roman" w:eastAsia="宋体" w:cs="Times New Roman"/>
          <w:spacing w:val="6"/>
          <w:sz w:val="23"/>
          <w:szCs w:val="23"/>
          <w:highlight w:val="none"/>
        </w:rPr>
        <w:t>喷雾抑尘：本项目喷雾抑尘用水全部进入产品中蒸发损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耗</w:t>
      </w:r>
      <w:r>
        <w:rPr>
          <w:rFonts w:hint="default" w:ascii="Times New Roman" w:hAnsi="Times New Roman" w:eastAsia="宋体" w:cs="Times New Roman"/>
          <w:spacing w:val="6"/>
          <w:sz w:val="23"/>
          <w:szCs w:val="23"/>
          <w:highlight w:val="none"/>
        </w:rPr>
        <w:t>，不外排。</w:t>
      </w:r>
    </w:p>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460" w:lineRule="exact"/>
        <w:textAlignment w:val="auto"/>
        <w:outlineLvl w:val="3"/>
        <w:rPr>
          <w:rFonts w:hint="default" w:ascii="Times New Roman" w:hAnsi="Times New Roman" w:cs="Times New Roman"/>
          <w:b w:val="0"/>
          <w:bCs/>
          <w:sz w:val="23"/>
          <w:szCs w:val="23"/>
          <w:highlight w:val="none"/>
          <w:lang w:val="en-US" w:eastAsia="zh-CN"/>
        </w:rPr>
      </w:pPr>
      <w:r>
        <w:rPr>
          <w:rFonts w:hint="default" w:ascii="Times New Roman" w:hAnsi="Times New Roman" w:cs="Times New Roman"/>
          <w:b w:val="0"/>
          <w:bCs/>
          <w:sz w:val="23"/>
          <w:szCs w:val="23"/>
          <w:highlight w:val="none"/>
          <w:lang w:val="en-US" w:eastAsia="zh-CN"/>
        </w:rPr>
        <w:t>3.</w:t>
      </w:r>
      <w:r>
        <w:rPr>
          <w:rFonts w:hint="eastAsia" w:ascii="Times New Roman" w:hAnsi="Times New Roman" w:cs="Times New Roman"/>
          <w:b w:val="0"/>
          <w:bCs/>
          <w:sz w:val="23"/>
          <w:szCs w:val="23"/>
          <w:highlight w:val="none"/>
          <w:lang w:val="en-US" w:eastAsia="zh-CN"/>
        </w:rPr>
        <w:t>3</w:t>
      </w:r>
      <w:r>
        <w:rPr>
          <w:rFonts w:hint="default" w:ascii="Times New Roman" w:hAnsi="Times New Roman" w:cs="Times New Roman"/>
          <w:b w:val="0"/>
          <w:bCs/>
          <w:sz w:val="23"/>
          <w:szCs w:val="23"/>
          <w:highlight w:val="none"/>
          <w:lang w:val="en-US" w:eastAsia="zh-CN"/>
        </w:rPr>
        <w:t>.</w:t>
      </w:r>
      <w:r>
        <w:rPr>
          <w:rFonts w:hint="eastAsia" w:ascii="Times New Roman" w:hAnsi="Times New Roman" w:cs="Times New Roman"/>
          <w:b w:val="0"/>
          <w:bCs/>
          <w:sz w:val="23"/>
          <w:szCs w:val="23"/>
          <w:highlight w:val="none"/>
          <w:lang w:val="en-US" w:eastAsia="zh-CN"/>
        </w:rPr>
        <w:t>2.</w:t>
      </w:r>
      <w:r>
        <w:rPr>
          <w:rFonts w:hint="default" w:ascii="Times New Roman" w:hAnsi="Times New Roman" w:cs="Times New Roman"/>
          <w:b w:val="0"/>
          <w:bCs/>
          <w:sz w:val="23"/>
          <w:szCs w:val="23"/>
          <w:highlight w:val="none"/>
          <w:lang w:val="en-US" w:eastAsia="zh-CN"/>
        </w:rPr>
        <w:t>3 噪声</w:t>
      </w:r>
    </w:p>
    <w:p>
      <w:pPr>
        <w:keepNext w:val="0"/>
        <w:keepLines w:val="0"/>
        <w:pageBreakBefore w:val="0"/>
        <w:widowControl/>
        <w:kinsoku w:val="0"/>
        <w:wordWrap/>
        <w:overflowPunct/>
        <w:topLinePunct w:val="0"/>
        <w:autoSpaceDE w:val="0"/>
        <w:autoSpaceDN w:val="0"/>
        <w:bidi w:val="0"/>
        <w:adjustRightInd w:val="0"/>
        <w:snapToGrid w:val="0"/>
        <w:spacing w:before="75" w:line="460" w:lineRule="exact"/>
        <w:ind w:left="26" w:right="14" w:firstLine="475"/>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本</w:t>
      </w:r>
      <w:r>
        <w:rPr>
          <w:rFonts w:hint="default" w:ascii="Times New Roman" w:hAnsi="Times New Roman" w:eastAsia="宋体" w:cs="Times New Roman"/>
          <w:spacing w:val="15"/>
          <w:sz w:val="23"/>
          <w:szCs w:val="23"/>
          <w:highlight w:val="none"/>
        </w:rPr>
        <w:t>项</w:t>
      </w:r>
      <w:r>
        <w:rPr>
          <w:rFonts w:hint="default" w:ascii="Times New Roman" w:hAnsi="Times New Roman" w:eastAsia="宋体" w:cs="Times New Roman"/>
          <w:spacing w:val="8"/>
          <w:sz w:val="23"/>
          <w:szCs w:val="23"/>
          <w:highlight w:val="none"/>
        </w:rPr>
        <w:t>目</w:t>
      </w:r>
      <w:r>
        <w:rPr>
          <w:rFonts w:hint="eastAsia" w:ascii="Times New Roman" w:hAnsi="Times New Roman" w:eastAsia="宋体" w:cs="Times New Roman"/>
          <w:spacing w:val="8"/>
          <w:sz w:val="23"/>
          <w:szCs w:val="23"/>
          <w:highlight w:val="none"/>
          <w:lang w:val="en-US" w:eastAsia="zh-CN"/>
        </w:rPr>
        <w:t>新增</w:t>
      </w:r>
      <w:r>
        <w:rPr>
          <w:rFonts w:hint="default" w:ascii="Times New Roman" w:hAnsi="Times New Roman" w:eastAsia="宋体" w:cs="Times New Roman"/>
          <w:spacing w:val="8"/>
          <w:sz w:val="23"/>
          <w:szCs w:val="23"/>
          <w:highlight w:val="none"/>
        </w:rPr>
        <w:t>主要噪声源为</w:t>
      </w:r>
      <w:r>
        <w:rPr>
          <w:rFonts w:hint="eastAsia" w:ascii="Times New Roman" w:hAnsi="Times New Roman" w:eastAsia="宋体" w:cs="Times New Roman"/>
          <w:spacing w:val="8"/>
          <w:sz w:val="23"/>
          <w:szCs w:val="23"/>
          <w:highlight w:val="none"/>
          <w:lang w:val="en-US" w:eastAsia="zh-CN"/>
        </w:rPr>
        <w:t>颚式破碎机、圆锥</w:t>
      </w:r>
      <w:r>
        <w:rPr>
          <w:rFonts w:hint="default" w:ascii="Times New Roman" w:hAnsi="Times New Roman" w:eastAsia="宋体" w:cs="Times New Roman"/>
          <w:spacing w:val="8"/>
          <w:sz w:val="23"/>
          <w:szCs w:val="23"/>
          <w:highlight w:val="none"/>
        </w:rPr>
        <w:t>破碎机、</w:t>
      </w:r>
      <w:r>
        <w:rPr>
          <w:rFonts w:hint="eastAsia" w:ascii="Times New Roman" w:hAnsi="Times New Roman" w:eastAsia="宋体" w:cs="Times New Roman"/>
          <w:spacing w:val="8"/>
          <w:sz w:val="23"/>
          <w:szCs w:val="23"/>
          <w:highlight w:val="none"/>
          <w:lang w:val="en-US" w:eastAsia="zh-CN"/>
        </w:rPr>
        <w:t>振动筛</w:t>
      </w:r>
      <w:r>
        <w:rPr>
          <w:rFonts w:hint="default" w:ascii="Times New Roman" w:hAnsi="Times New Roman" w:eastAsia="宋体" w:cs="Times New Roman"/>
          <w:spacing w:val="8"/>
          <w:sz w:val="23"/>
          <w:szCs w:val="23"/>
          <w:highlight w:val="none"/>
        </w:rPr>
        <w:t>、给料机</w:t>
      </w:r>
      <w:r>
        <w:rPr>
          <w:rFonts w:hint="default" w:ascii="Times New Roman" w:hAnsi="Times New Roman" w:eastAsia="宋体" w:cs="Times New Roman"/>
          <w:spacing w:val="7"/>
          <w:sz w:val="23"/>
          <w:szCs w:val="23"/>
          <w:highlight w:val="none"/>
        </w:rPr>
        <w:t>、皮带机、</w:t>
      </w:r>
      <w:r>
        <w:rPr>
          <w:rFonts w:hint="eastAsia" w:ascii="Times New Roman" w:hAnsi="Times New Roman" w:eastAsia="宋体" w:cs="Times New Roman"/>
          <w:spacing w:val="7"/>
          <w:sz w:val="23"/>
          <w:szCs w:val="23"/>
          <w:highlight w:val="none"/>
          <w:lang w:val="en-US" w:eastAsia="zh-CN"/>
        </w:rPr>
        <w:t>空压机</w:t>
      </w:r>
      <w:r>
        <w:rPr>
          <w:rFonts w:hint="default" w:ascii="Times New Roman" w:hAnsi="Times New Roman" w:eastAsia="宋体" w:cs="Times New Roman"/>
          <w:spacing w:val="7"/>
          <w:sz w:val="23"/>
          <w:szCs w:val="23"/>
          <w:highlight w:val="none"/>
        </w:rPr>
        <w:t>、风机等生产设备运行产生的噪声，噪声源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强为</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Times New Roman" w:cs="Times New Roman"/>
          <w:spacing w:val="-3"/>
          <w:sz w:val="23"/>
          <w:szCs w:val="23"/>
          <w:highlight w:val="none"/>
        </w:rPr>
        <w:t>70~ 100dB(A)</w:t>
      </w:r>
      <w:r>
        <w:rPr>
          <w:rFonts w:hint="default" w:ascii="Times New Roman" w:hAnsi="Times New Roman" w:eastAsia="宋体" w:cs="Times New Roman"/>
          <w:spacing w:val="-3"/>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74" w:line="460" w:lineRule="exact"/>
        <w:ind w:left="16" w:right="56" w:firstLine="495"/>
        <w:jc w:val="both"/>
        <w:textAlignment w:val="baseline"/>
        <w:rPr>
          <w:rFonts w:hint="default" w:ascii="Times New Roman" w:hAnsi="Times New Roman" w:eastAsia="宋体" w:cs="Times New Roman"/>
          <w:spacing w:val="7"/>
          <w:sz w:val="23"/>
          <w:szCs w:val="23"/>
          <w:highlight w:val="none"/>
        </w:rPr>
      </w:pPr>
      <w:r>
        <w:rPr>
          <w:rFonts w:hint="default" w:ascii="Times New Roman" w:hAnsi="Times New Roman" w:eastAsia="宋体" w:cs="Times New Roman"/>
          <w:spacing w:val="7"/>
          <w:sz w:val="23"/>
          <w:szCs w:val="23"/>
          <w:highlight w:val="none"/>
        </w:rPr>
        <w:t>对于破碎机、</w:t>
      </w:r>
      <w:r>
        <w:rPr>
          <w:rFonts w:hint="eastAsia" w:ascii="Times New Roman" w:hAnsi="Times New Roman" w:eastAsia="宋体" w:cs="Times New Roman"/>
          <w:spacing w:val="7"/>
          <w:sz w:val="23"/>
          <w:szCs w:val="23"/>
          <w:highlight w:val="none"/>
          <w:lang w:val="en-US" w:eastAsia="zh-CN"/>
        </w:rPr>
        <w:t>振动筛</w:t>
      </w:r>
      <w:r>
        <w:rPr>
          <w:rFonts w:hint="default" w:ascii="Times New Roman" w:hAnsi="Times New Roman" w:eastAsia="宋体" w:cs="Times New Roman"/>
          <w:spacing w:val="7"/>
          <w:sz w:val="23"/>
          <w:szCs w:val="23"/>
          <w:highlight w:val="none"/>
        </w:rPr>
        <w:t>、</w:t>
      </w:r>
      <w:r>
        <w:rPr>
          <w:rFonts w:hint="eastAsia" w:ascii="Times New Roman" w:hAnsi="Times New Roman" w:eastAsia="宋体" w:cs="Times New Roman"/>
          <w:spacing w:val="7"/>
          <w:sz w:val="23"/>
          <w:szCs w:val="23"/>
          <w:highlight w:val="none"/>
          <w:lang w:val="en-US" w:eastAsia="zh-CN"/>
        </w:rPr>
        <w:t>给料</w:t>
      </w:r>
      <w:r>
        <w:rPr>
          <w:rFonts w:hint="default" w:ascii="Times New Roman" w:hAnsi="Times New Roman" w:eastAsia="宋体" w:cs="Times New Roman"/>
          <w:spacing w:val="7"/>
          <w:sz w:val="23"/>
          <w:szCs w:val="23"/>
          <w:highlight w:val="none"/>
        </w:rPr>
        <w:t xml:space="preserve">机等固定声源，项目设备选用低噪声设备，生产设备基础加装减震垫，可降噪 5dB(A)以上；各设备置于封闭的双层夹芯 (5cm 厚隔声棉) 彩钢结构生产车间内 ，可降噪 </w:t>
      </w:r>
      <w:r>
        <w:rPr>
          <w:rFonts w:hint="eastAsia" w:ascii="Times New Roman" w:hAnsi="Times New Roman" w:eastAsia="宋体" w:cs="Times New Roman"/>
          <w:spacing w:val="7"/>
          <w:sz w:val="23"/>
          <w:szCs w:val="23"/>
          <w:highlight w:val="none"/>
          <w:lang w:val="en-US" w:eastAsia="zh-CN"/>
        </w:rPr>
        <w:t>15</w:t>
      </w:r>
      <w:r>
        <w:rPr>
          <w:rFonts w:hint="default" w:ascii="Times New Roman" w:hAnsi="Times New Roman" w:eastAsia="宋体" w:cs="Times New Roman"/>
          <w:spacing w:val="7"/>
          <w:sz w:val="23"/>
          <w:szCs w:val="23"/>
          <w:highlight w:val="none"/>
        </w:rPr>
        <w:t>dB(A) ，并安装基础减震；对于运输车辆等流动声源，由于噪声具有偶发性及间断性，需让运输车辆进场减速、平稳启动， 最大程度降低噪声影响；装载机主要在库房和生产车间内装卸运送物料，装载机产生的噪声具有间断性，对其定期维修，加强设备润滑，能有效控制噪声对环境的影响。采取上述隔音降噪措施后，可综合降噪 2</w:t>
      </w:r>
      <w:r>
        <w:rPr>
          <w:rFonts w:hint="eastAsia" w:ascii="Times New Roman" w:hAnsi="Times New Roman" w:eastAsia="宋体" w:cs="Times New Roman"/>
          <w:spacing w:val="7"/>
          <w:sz w:val="23"/>
          <w:szCs w:val="23"/>
          <w:highlight w:val="none"/>
          <w:lang w:val="en-US" w:eastAsia="zh-CN"/>
        </w:rPr>
        <w:t>5</w:t>
      </w:r>
      <w:r>
        <w:rPr>
          <w:rFonts w:hint="default" w:ascii="Times New Roman" w:hAnsi="Times New Roman" w:eastAsia="宋体" w:cs="Times New Roman"/>
          <w:spacing w:val="7"/>
          <w:sz w:val="23"/>
          <w:szCs w:val="23"/>
          <w:highlight w:val="none"/>
        </w:rPr>
        <w:t>dB(A)以上。</w:t>
      </w:r>
    </w:p>
    <w:p>
      <w:pPr>
        <w:rPr>
          <w:rFonts w:hint="default" w:ascii="Times New Roman" w:hAnsi="Times New Roman" w:cs="Times New Roman"/>
          <w:highlight w:val="none"/>
        </w:rPr>
        <w:sectPr>
          <w:headerReference r:id="rId33" w:type="default"/>
          <w:footerReference r:id="rId34" w:type="default"/>
          <w:pgSz w:w="11906" w:h="16839"/>
          <w:pgMar w:top="1200" w:right="1733" w:bottom="1310" w:left="1785" w:header="882" w:footer="1027" w:gutter="0"/>
          <w:pgBorders>
            <w:top w:val="none" w:sz="0" w:space="0"/>
            <w:left w:val="none" w:sz="0" w:space="0"/>
            <w:bottom w:val="none" w:sz="0" w:space="0"/>
            <w:right w:val="none" w:sz="0" w:space="0"/>
          </w:pgBorders>
          <w:pgNumType w:fmt="decimal"/>
          <w:cols w:space="720" w:num="1"/>
        </w:sectPr>
      </w:pPr>
    </w:p>
    <w:p>
      <w:pPr>
        <w:rPr>
          <w:rFonts w:hint="default" w:ascii="Times New Roman" w:hAnsi="Times New Roman" w:cs="Times New Roman"/>
          <w:highlight w:val="none"/>
        </w:rPr>
      </w:pPr>
      <w:r>
        <w:rPr>
          <w:rFonts w:hint="default" w:ascii="Times New Roman" w:hAnsi="Times New Roman" w:cs="Times New Roman"/>
          <w:highlight w:val="none"/>
        </w:rPr>
        <w:pict>
          <v:shape id="_x0000_s1124" o:spid="_x0000_s1124" style="position:absolute;left:0pt;margin-left:72pt;margin-top:60.75pt;height:0.75pt;width:697.95pt;mso-position-horizontal-relative:page;mso-position-vertical-relative:page;z-index:251693056;mso-width-relative:page;mso-height-relative:page;" fillcolor="#000000" filled="t" stroked="f" coordsize="13959,15" o:allowincell="f" path="m0,0l13958,0,13958,14,0,14,0,0xe">
            <v:path/>
            <v:fill on="t" focussize="0,0"/>
            <v:stroke on="f"/>
            <v:imagedata o:title=""/>
            <o:lock v:ext="edit"/>
          </v:shape>
        </w:pict>
      </w:r>
    </w:p>
    <w:p>
      <w:pPr>
        <w:spacing w:line="17" w:lineRule="exact"/>
        <w:rPr>
          <w:rFonts w:hint="default" w:ascii="Times New Roman" w:hAnsi="Times New Roman" w:cs="Times New Roman"/>
          <w:highlight w:val="none"/>
        </w:rPr>
      </w:pPr>
    </w:p>
    <w:p>
      <w:pPr>
        <w:rPr>
          <w:rFonts w:hint="default" w:ascii="Times New Roman" w:hAnsi="Times New Roman" w:cs="Times New Roman"/>
          <w:highlight w:val="none"/>
        </w:rPr>
        <w:sectPr>
          <w:headerReference r:id="rId35" w:type="default"/>
          <w:footerReference r:id="rId36" w:type="default"/>
          <w:pgSz w:w="16839" w:h="11906"/>
          <w:pgMar w:top="1200" w:right="1317" w:bottom="1339" w:left="1317" w:header="882" w:footer="1027" w:gutter="0"/>
          <w:pgBorders>
            <w:top w:val="none" w:sz="0" w:space="0"/>
            <w:left w:val="none" w:sz="0" w:space="0"/>
            <w:bottom w:val="none" w:sz="0" w:space="0"/>
            <w:right w:val="none" w:sz="0" w:space="0"/>
          </w:pgBorders>
          <w:pgNumType w:fmt="decimal"/>
          <w:cols w:equalWidth="0" w:num="1">
            <w:col w:w="14203"/>
          </w:cols>
        </w:sectPr>
      </w:pPr>
    </w:p>
    <w:p>
      <w:pPr>
        <w:spacing w:before="48" w:line="228" w:lineRule="auto"/>
        <w:ind w:left="61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5"/>
          <w:sz w:val="23"/>
          <w:szCs w:val="23"/>
          <w:highlight w:val="none"/>
        </w:rPr>
        <w:t>项</w:t>
      </w:r>
      <w:r>
        <w:rPr>
          <w:rFonts w:hint="default" w:ascii="Times New Roman" w:hAnsi="Times New Roman" w:eastAsia="宋体" w:cs="Times New Roman"/>
          <w:spacing w:val="4"/>
          <w:sz w:val="23"/>
          <w:szCs w:val="23"/>
          <w:highlight w:val="none"/>
        </w:rPr>
        <w:t>目</w:t>
      </w:r>
      <w:r>
        <w:rPr>
          <w:rFonts w:hint="eastAsia" w:ascii="Times New Roman" w:hAnsi="Times New Roman" w:eastAsia="宋体" w:cs="Times New Roman"/>
          <w:spacing w:val="4"/>
          <w:sz w:val="23"/>
          <w:szCs w:val="23"/>
          <w:highlight w:val="none"/>
          <w:lang w:val="en-US" w:eastAsia="zh-CN"/>
        </w:rPr>
        <w:t>新增</w:t>
      </w:r>
      <w:r>
        <w:rPr>
          <w:rFonts w:hint="default" w:ascii="Times New Roman" w:hAnsi="Times New Roman" w:eastAsia="宋体" w:cs="Times New Roman"/>
          <w:spacing w:val="4"/>
          <w:sz w:val="23"/>
          <w:szCs w:val="23"/>
          <w:highlight w:val="none"/>
        </w:rPr>
        <w:t xml:space="preserve">噪声源强及治理措施见表 </w:t>
      </w:r>
      <w:r>
        <w:rPr>
          <w:rFonts w:hint="default" w:ascii="Times New Roman" w:hAnsi="Times New Roman" w:eastAsia="Times New Roman" w:cs="Times New Roman"/>
          <w:spacing w:val="4"/>
          <w:sz w:val="23"/>
          <w:szCs w:val="23"/>
          <w:highlight w:val="none"/>
        </w:rPr>
        <w:t>3.</w:t>
      </w:r>
      <w:r>
        <w:rPr>
          <w:rFonts w:hint="eastAsia" w:ascii="Times New Roman" w:hAnsi="Times New Roman" w:eastAsia="宋体" w:cs="Times New Roman"/>
          <w:spacing w:val="4"/>
          <w:sz w:val="23"/>
          <w:szCs w:val="23"/>
          <w:highlight w:val="none"/>
          <w:lang w:val="en-US" w:eastAsia="zh-CN"/>
        </w:rPr>
        <w:t>3</w:t>
      </w:r>
      <w:r>
        <w:rPr>
          <w:rFonts w:hint="default" w:ascii="Times New Roman" w:hAnsi="Times New Roman" w:eastAsia="Times New Roman" w:cs="Times New Roman"/>
          <w:spacing w:val="4"/>
          <w:sz w:val="23"/>
          <w:szCs w:val="23"/>
          <w:highlight w:val="none"/>
        </w:rPr>
        <w:t>-</w:t>
      </w:r>
      <w:r>
        <w:rPr>
          <w:rFonts w:hint="eastAsia" w:ascii="Times New Roman" w:hAnsi="Times New Roman" w:eastAsia="宋体" w:cs="Times New Roman"/>
          <w:spacing w:val="4"/>
          <w:sz w:val="23"/>
          <w:szCs w:val="23"/>
          <w:highlight w:val="none"/>
          <w:lang w:val="en-US" w:eastAsia="zh-CN"/>
        </w:rPr>
        <w:t>7</w:t>
      </w:r>
      <w:r>
        <w:rPr>
          <w:rFonts w:hint="default" w:ascii="Times New Roman" w:hAnsi="Times New Roman" w:eastAsia="宋体" w:cs="Times New Roman"/>
          <w:spacing w:val="4"/>
          <w:sz w:val="23"/>
          <w:szCs w:val="23"/>
          <w:highlight w:val="none"/>
        </w:rPr>
        <w:t>。</w:t>
      </w:r>
    </w:p>
    <w:p>
      <w:pPr>
        <w:spacing w:before="217" w:line="193" w:lineRule="auto"/>
        <w:ind w:left="4340"/>
        <w:rPr>
          <w:rFonts w:hint="eastAsia" w:ascii="Times New Roman" w:hAnsi="Times New Roman" w:eastAsia="宋体" w:cs="Times New Roman"/>
          <w:sz w:val="23"/>
          <w:szCs w:val="23"/>
          <w:highlight w:val="none"/>
          <w:lang w:eastAsia="zh-CN"/>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3"/>
          <w:sz w:val="23"/>
          <w:szCs w:val="23"/>
          <w:highlight w:val="none"/>
        </w:rPr>
        <w:t>3.</w:t>
      </w:r>
      <w:r>
        <w:rPr>
          <w:rFonts w:hint="eastAsia" w:ascii="Times New Roman" w:hAnsi="Times New Roman" w:eastAsia="宋体" w:cs="Times New Roman"/>
          <w:b/>
          <w:bCs/>
          <w:spacing w:val="3"/>
          <w:sz w:val="23"/>
          <w:szCs w:val="23"/>
          <w:highlight w:val="none"/>
          <w:lang w:val="en-US" w:eastAsia="zh-CN"/>
        </w:rPr>
        <w:t>3</w:t>
      </w:r>
      <w:r>
        <w:rPr>
          <w:rFonts w:hint="default" w:ascii="Times New Roman" w:hAnsi="Times New Roman" w:eastAsia="Times New Roman" w:cs="Times New Roman"/>
          <w:b/>
          <w:bCs/>
          <w:spacing w:val="3"/>
          <w:sz w:val="23"/>
          <w:szCs w:val="23"/>
          <w:highlight w:val="none"/>
        </w:rPr>
        <w:t>-</w:t>
      </w:r>
      <w:r>
        <w:rPr>
          <w:rFonts w:hint="eastAsia" w:ascii="Times New Roman" w:hAnsi="Times New Roman" w:eastAsia="宋体" w:cs="Times New Roman"/>
          <w:b/>
          <w:bCs/>
          <w:spacing w:val="3"/>
          <w:sz w:val="23"/>
          <w:szCs w:val="23"/>
          <w:highlight w:val="none"/>
          <w:lang w:val="en-US" w:eastAsia="zh-CN"/>
        </w:rPr>
        <w:t>7</w:t>
      </w:r>
    </w:p>
    <w:tbl>
      <w:tblPr>
        <w:tblStyle w:val="19"/>
        <w:tblpPr w:leftFromText="180" w:rightFromText="180" w:vertAnchor="page" w:horzAnchor="page" w:tblpX="1829" w:tblpY="2414"/>
        <w:tblOverlap w:val="never"/>
        <w:tblW w:w="1417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5"/>
        <w:gridCol w:w="866"/>
        <w:gridCol w:w="1285"/>
        <w:gridCol w:w="1311"/>
        <w:gridCol w:w="823"/>
        <w:gridCol w:w="1235"/>
        <w:gridCol w:w="5254"/>
        <w:gridCol w:w="1248"/>
        <w:gridCol w:w="1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615" w:type="dxa"/>
            <w:tcBorders>
              <w:left w:val="single" w:color="000000" w:sz="10" w:space="0"/>
            </w:tcBorders>
            <w:textDirection w:val="tbRlV"/>
            <w:vAlign w:val="top"/>
          </w:tcPr>
          <w:p>
            <w:pPr>
              <w:spacing w:before="204" w:line="218" w:lineRule="auto"/>
              <w:ind w:left="26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14:textOutline w14:w="3795" w14:cap="sq" w14:cmpd="sng">
                  <w14:solidFill>
                    <w14:srgbClr w14:val="000000"/>
                  </w14:solidFill>
                  <w14:prstDash w14:val="solid"/>
                  <w14:bevel/>
                </w14:textOutline>
              </w:rPr>
              <w:t>序</w:t>
            </w:r>
            <w:r>
              <w:rPr>
                <w:rFonts w:hint="default" w:ascii="Times New Roman" w:hAnsi="Times New Roman" w:eastAsia="宋体" w:cs="Times New Roman"/>
                <w:spacing w:val="9"/>
                <w:sz w:val="20"/>
                <w:szCs w:val="20"/>
                <w:highlight w:val="none"/>
              </w:rPr>
              <w:t xml:space="preserve"> </w:t>
            </w: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号</w:t>
            </w:r>
          </w:p>
        </w:tc>
        <w:tc>
          <w:tcPr>
            <w:tcW w:w="2151" w:type="dxa"/>
            <w:gridSpan w:val="2"/>
            <w:vAlign w:val="top"/>
          </w:tcPr>
          <w:p>
            <w:pPr>
              <w:spacing w:line="352" w:lineRule="auto"/>
              <w:rPr>
                <w:rFonts w:hint="default" w:ascii="Times New Roman" w:hAnsi="Times New Roman" w:cs="Times New Roman"/>
                <w:sz w:val="21"/>
                <w:highlight w:val="none"/>
              </w:rPr>
            </w:pPr>
          </w:p>
          <w:p>
            <w:pPr>
              <w:spacing w:before="65" w:line="230" w:lineRule="auto"/>
              <w:ind w:left="65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14:textOutline w14:w="3795" w14:cap="sq" w14:cmpd="sng">
                  <w14:solidFill>
                    <w14:srgbClr w14:val="000000"/>
                  </w14:solidFill>
                  <w14:prstDash w14:val="solid"/>
                  <w14:bevel/>
                </w14:textOutline>
              </w:rPr>
              <w:t>设</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备名称</w:t>
            </w:r>
          </w:p>
        </w:tc>
        <w:tc>
          <w:tcPr>
            <w:tcW w:w="1311" w:type="dxa"/>
            <w:vAlign w:val="top"/>
          </w:tcPr>
          <w:p>
            <w:pPr>
              <w:spacing w:before="262" w:line="308" w:lineRule="auto"/>
              <w:ind w:left="109" w:right="107" w:hanging="1"/>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8"/>
                <w:sz w:val="20"/>
                <w:szCs w:val="20"/>
                <w:highlight w:val="none"/>
                <w14:textOutline w14:w="3795" w14:cap="sq" w14:cmpd="sng">
                  <w14:solidFill>
                    <w14:srgbClr w14:val="000000"/>
                  </w14:solidFill>
                  <w14:prstDash w14:val="solid"/>
                  <w14:bevel/>
                </w14:textOutline>
              </w:rPr>
              <w:t>单台设备</w:t>
            </w:r>
            <w:r>
              <w:rPr>
                <w:rFonts w:hint="default" w:ascii="Times New Roman" w:hAnsi="Times New Roman" w:eastAsia="宋体" w:cs="Times New Roman"/>
                <w:spacing w:val="17"/>
                <w:sz w:val="20"/>
                <w:szCs w:val="20"/>
                <w:highlight w:val="none"/>
                <w14:textOutline w14:w="3795" w14:cap="sq" w14:cmpd="sng">
                  <w14:solidFill>
                    <w14:srgbClr w14:val="000000"/>
                  </w14:solidFill>
                  <w14:prstDash w14:val="solid"/>
                  <w14:bevel/>
                </w14:textOutline>
              </w:rPr>
              <w:t>声</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级值</w:t>
            </w:r>
            <w:r>
              <w:rPr>
                <w:rFonts w:hint="default" w:ascii="Times New Roman" w:hAnsi="Times New Roman" w:eastAsia="Times New Roman" w:cs="Times New Roman"/>
                <w:b/>
                <w:bCs/>
                <w:spacing w:val="7"/>
                <w:sz w:val="20"/>
                <w:szCs w:val="20"/>
                <w:highlight w:val="none"/>
              </w:rPr>
              <w:t>/</w:t>
            </w:r>
            <w:r>
              <w:rPr>
                <w:rFonts w:hint="default" w:ascii="Times New Roman" w:hAnsi="Times New Roman" w:eastAsia="Times New Roman" w:cs="Times New Roman"/>
                <w:b/>
                <w:bCs/>
                <w:sz w:val="20"/>
                <w:szCs w:val="20"/>
                <w:highlight w:val="none"/>
              </w:rPr>
              <w:t>dB</w:t>
            </w:r>
            <w:r>
              <w:rPr>
                <w:rFonts w:hint="default" w:ascii="Times New Roman" w:hAnsi="Times New Roman" w:eastAsia="Times New Roman" w:cs="Times New Roman"/>
                <w:b/>
                <w:bCs/>
                <w:spacing w:val="7"/>
                <w:sz w:val="20"/>
                <w:szCs w:val="20"/>
                <w:highlight w:val="none"/>
              </w:rPr>
              <w:t>(</w:t>
            </w:r>
            <w:r>
              <w:rPr>
                <w:rFonts w:hint="default" w:ascii="Times New Roman" w:hAnsi="Times New Roman" w:eastAsia="Times New Roman" w:cs="Times New Roman"/>
                <w:b/>
                <w:bCs/>
                <w:sz w:val="20"/>
                <w:szCs w:val="20"/>
                <w:highlight w:val="none"/>
              </w:rPr>
              <w:t>A</w:t>
            </w:r>
            <w:r>
              <w:rPr>
                <w:rFonts w:hint="default" w:ascii="Times New Roman" w:hAnsi="Times New Roman" w:eastAsia="Times New Roman" w:cs="Times New Roman"/>
                <w:b/>
                <w:bCs/>
                <w:spacing w:val="7"/>
                <w:sz w:val="20"/>
                <w:szCs w:val="20"/>
                <w:highlight w:val="none"/>
              </w:rPr>
              <w:t>)</w:t>
            </w:r>
          </w:p>
        </w:tc>
        <w:tc>
          <w:tcPr>
            <w:tcW w:w="823" w:type="dxa"/>
            <w:vAlign w:val="top"/>
          </w:tcPr>
          <w:p>
            <w:pPr>
              <w:spacing w:before="227" w:line="309" w:lineRule="auto"/>
              <w:ind w:left="309" w:right="131" w:hanging="16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14:textOutline w14:w="3795" w14:cap="sq" w14:cmpd="sng">
                  <w14:solidFill>
                    <w14:srgbClr w14:val="000000"/>
                  </w14:solidFill>
                  <w14:prstDash w14:val="solid"/>
                  <w14:bevel/>
                </w14:textOutline>
              </w:rPr>
              <w:t>台</w:t>
            </w:r>
            <w:r>
              <w:rPr>
                <w:rFonts w:hint="default" w:ascii="Times New Roman" w:hAnsi="Times New Roman" w:eastAsia="Times New Roman" w:cs="Times New Roman"/>
                <w:b/>
                <w:bCs/>
                <w:spacing w:val="1"/>
                <w:sz w:val="20"/>
                <w:szCs w:val="20"/>
                <w:highlight w:val="none"/>
              </w:rPr>
              <w:t>(</w:t>
            </w:r>
            <w:r>
              <w:rPr>
                <w:rFonts w:hint="default" w:ascii="Times New Roman" w:hAnsi="Times New Roman" w:eastAsia="宋体" w:cs="Times New Roman"/>
                <w:spacing w:val="1"/>
                <w:sz w:val="20"/>
                <w:szCs w:val="20"/>
                <w:highlight w:val="none"/>
                <w14:textOutline w14:w="3795" w14:cap="sq" w14:cmpd="sng">
                  <w14:solidFill>
                    <w14:srgbClr w14:val="000000"/>
                  </w14:solidFill>
                  <w14:prstDash w14:val="solid"/>
                  <w14:bevel/>
                </w14:textOutline>
              </w:rPr>
              <w:t>套</w:t>
            </w:r>
            <w:r>
              <w:rPr>
                <w:rFonts w:hint="default" w:ascii="Times New Roman" w:hAnsi="Times New Roman" w:eastAsia="Times New Roman" w:cs="Times New Roman"/>
                <w:b/>
                <w:bCs/>
                <w:sz w:val="20"/>
                <w:szCs w:val="20"/>
                <w:highlight w:val="none"/>
              </w:rPr>
              <w:t>)</w:t>
            </w:r>
            <w:r>
              <w:rPr>
                <w:rFonts w:hint="default" w:ascii="Times New Roman" w:hAnsi="Times New Roman" w:eastAsia="Times New Roman" w:cs="Times New Roman"/>
                <w:sz w:val="20"/>
                <w:szCs w:val="20"/>
                <w:highlight w:val="none"/>
              </w:rPr>
              <w:t xml:space="preserve"> </w:t>
            </w:r>
            <w:r>
              <w:rPr>
                <w:rFonts w:hint="default" w:ascii="Times New Roman" w:hAnsi="Times New Roman" w:eastAsia="宋体" w:cs="Times New Roman"/>
                <w:sz w:val="20"/>
                <w:szCs w:val="20"/>
                <w:highlight w:val="none"/>
                <w14:textOutline w14:w="3795" w14:cap="sq" w14:cmpd="sng">
                  <w14:solidFill>
                    <w14:srgbClr w14:val="000000"/>
                  </w14:solidFill>
                  <w14:prstDash w14:val="solid"/>
                  <w14:bevel/>
                </w14:textOutline>
              </w:rPr>
              <w:t>数</w:t>
            </w:r>
          </w:p>
        </w:tc>
        <w:tc>
          <w:tcPr>
            <w:tcW w:w="1235" w:type="dxa"/>
            <w:vAlign w:val="top"/>
          </w:tcPr>
          <w:p>
            <w:pPr>
              <w:spacing w:line="353" w:lineRule="auto"/>
              <w:rPr>
                <w:rFonts w:hint="default" w:ascii="Times New Roman" w:hAnsi="Times New Roman" w:cs="Times New Roman"/>
                <w:sz w:val="21"/>
                <w:highlight w:val="none"/>
              </w:rPr>
            </w:pPr>
          </w:p>
          <w:p>
            <w:pPr>
              <w:spacing w:before="65" w:line="229" w:lineRule="auto"/>
              <w:ind w:left="2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14:textOutline w14:w="3795" w14:cap="sq" w14:cmpd="sng">
                  <w14:solidFill>
                    <w14:srgbClr w14:val="000000"/>
                  </w14:solidFill>
                  <w14:prstDash w14:val="solid"/>
                  <w14:bevel/>
                </w14:textOutline>
              </w:rPr>
              <w:t>运</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行情况</w:t>
            </w:r>
          </w:p>
        </w:tc>
        <w:tc>
          <w:tcPr>
            <w:tcW w:w="5254" w:type="dxa"/>
            <w:vAlign w:val="top"/>
          </w:tcPr>
          <w:p>
            <w:pPr>
              <w:spacing w:line="353" w:lineRule="auto"/>
              <w:rPr>
                <w:rFonts w:hint="default" w:ascii="Times New Roman" w:hAnsi="Times New Roman" w:cs="Times New Roman"/>
                <w:sz w:val="21"/>
                <w:highlight w:val="none"/>
              </w:rPr>
            </w:pPr>
          </w:p>
          <w:p>
            <w:pPr>
              <w:spacing w:before="65" w:line="229" w:lineRule="auto"/>
              <w:ind w:left="22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治</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理措施</w:t>
            </w:r>
          </w:p>
        </w:tc>
        <w:tc>
          <w:tcPr>
            <w:tcW w:w="1248" w:type="dxa"/>
            <w:vAlign w:val="top"/>
          </w:tcPr>
          <w:p>
            <w:pPr>
              <w:spacing w:before="262" w:line="328" w:lineRule="auto"/>
              <w:ind w:left="113" w:right="94" w:firstLine="24"/>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3"/>
                <w:sz w:val="20"/>
                <w:szCs w:val="20"/>
                <w:highlight w:val="none"/>
                <w14:textOutline w14:w="3795" w14:cap="sq" w14:cmpd="sng">
                  <w14:solidFill>
                    <w14:srgbClr w14:val="000000"/>
                  </w14:solidFill>
                  <w14:prstDash w14:val="solid"/>
                  <w14:bevel/>
                </w14:textOutline>
              </w:rPr>
              <w:t>降</w:t>
            </w:r>
            <w:r>
              <w:rPr>
                <w:rFonts w:hint="default" w:ascii="Times New Roman" w:hAnsi="Times New Roman" w:eastAsia="宋体" w:cs="Times New Roman"/>
                <w:spacing w:val="-13"/>
                <w:sz w:val="20"/>
                <w:szCs w:val="20"/>
                <w:highlight w:val="none"/>
              </w:rPr>
              <w:t xml:space="preserve"> </w:t>
            </w:r>
            <w:r>
              <w:rPr>
                <w:rFonts w:hint="default" w:ascii="Times New Roman" w:hAnsi="Times New Roman" w:eastAsia="宋体" w:cs="Times New Roman"/>
                <w:spacing w:val="-13"/>
                <w:sz w:val="20"/>
                <w:szCs w:val="20"/>
                <w:highlight w:val="none"/>
                <w14:textOutline w14:w="3795" w14:cap="sq" w14:cmpd="sng">
                  <w14:solidFill>
                    <w14:srgbClr w14:val="000000"/>
                  </w14:solidFill>
                  <w14:prstDash w14:val="solid"/>
                  <w14:bevel/>
                </w14:textOutline>
              </w:rPr>
              <w:t>噪</w:t>
            </w:r>
            <w:r>
              <w:rPr>
                <w:rFonts w:hint="default" w:ascii="Times New Roman" w:hAnsi="Times New Roman" w:eastAsia="宋体" w:cs="Times New Roman"/>
                <w:spacing w:val="-13"/>
                <w:sz w:val="20"/>
                <w:szCs w:val="20"/>
                <w:highlight w:val="none"/>
              </w:rPr>
              <w:t xml:space="preserve"> </w:t>
            </w:r>
            <w:r>
              <w:rPr>
                <w:rFonts w:hint="default" w:ascii="Times New Roman" w:hAnsi="Times New Roman" w:eastAsia="宋体" w:cs="Times New Roman"/>
                <w:spacing w:val="-13"/>
                <w:sz w:val="20"/>
                <w:szCs w:val="20"/>
                <w:highlight w:val="none"/>
                <w14:textOutline w14:w="3795" w14:cap="sq" w14:cmpd="sng">
                  <w14:solidFill>
                    <w14:srgbClr w14:val="000000"/>
                  </w14:solidFill>
                  <w14:prstDash w14:val="solid"/>
                  <w14:bevel/>
                </w14:textOutline>
              </w:rPr>
              <w:t>效</w:t>
            </w:r>
            <w:r>
              <w:rPr>
                <w:rFonts w:hint="default" w:ascii="Times New Roman" w:hAnsi="Times New Roman" w:eastAsia="宋体" w:cs="Times New Roman"/>
                <w:spacing w:val="-13"/>
                <w:sz w:val="20"/>
                <w:szCs w:val="20"/>
                <w:highlight w:val="none"/>
              </w:rPr>
              <w:t xml:space="preserve"> </w:t>
            </w:r>
            <w:r>
              <w:rPr>
                <w:rFonts w:hint="default" w:ascii="Times New Roman" w:hAnsi="Times New Roman" w:eastAsia="宋体" w:cs="Times New Roman"/>
                <w:spacing w:val="-12"/>
                <w:sz w:val="20"/>
                <w:szCs w:val="20"/>
                <w:highlight w:val="none"/>
                <w14:textOutline w14:w="3795" w14:cap="sq" w14:cmpd="sng">
                  <w14:solidFill>
                    <w14:srgbClr w14:val="000000"/>
                  </w14:solidFill>
                  <w14:prstDash w14:val="solid"/>
                  <w14:bevel/>
                </w14:textOutline>
              </w:rPr>
              <w:t>果</w:t>
            </w: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b/>
                <w:bCs/>
                <w:spacing w:val="9"/>
                <w:sz w:val="20"/>
                <w:szCs w:val="20"/>
                <w:highlight w:val="none"/>
              </w:rPr>
              <w:t>/</w:t>
            </w:r>
            <w:r>
              <w:rPr>
                <w:rFonts w:hint="default" w:ascii="Times New Roman" w:hAnsi="Times New Roman" w:eastAsia="Times New Roman" w:cs="Times New Roman"/>
                <w:b/>
                <w:bCs/>
                <w:sz w:val="20"/>
                <w:szCs w:val="20"/>
                <w:highlight w:val="none"/>
              </w:rPr>
              <w:t>dB</w:t>
            </w:r>
            <w:r>
              <w:rPr>
                <w:rFonts w:hint="default" w:ascii="Times New Roman" w:hAnsi="Times New Roman" w:eastAsia="Times New Roman" w:cs="Times New Roman"/>
                <w:b/>
                <w:bCs/>
                <w:spacing w:val="9"/>
                <w:sz w:val="20"/>
                <w:szCs w:val="20"/>
                <w:highlight w:val="none"/>
              </w:rPr>
              <w:t>(</w:t>
            </w:r>
            <w:r>
              <w:rPr>
                <w:rFonts w:hint="default" w:ascii="Times New Roman" w:hAnsi="Times New Roman" w:eastAsia="Times New Roman" w:cs="Times New Roman"/>
                <w:b/>
                <w:bCs/>
                <w:sz w:val="20"/>
                <w:szCs w:val="20"/>
                <w:highlight w:val="none"/>
              </w:rPr>
              <w:t>A</w:t>
            </w:r>
            <w:r>
              <w:rPr>
                <w:rFonts w:hint="default" w:ascii="Times New Roman" w:hAnsi="Times New Roman" w:eastAsia="Times New Roman" w:cs="Times New Roman"/>
                <w:b/>
                <w:bCs/>
                <w:spacing w:val="8"/>
                <w:sz w:val="20"/>
                <w:szCs w:val="20"/>
                <w:highlight w:val="none"/>
              </w:rPr>
              <w:t>)</w:t>
            </w:r>
          </w:p>
        </w:tc>
        <w:tc>
          <w:tcPr>
            <w:tcW w:w="1540" w:type="dxa"/>
            <w:tcBorders>
              <w:right w:val="single" w:color="000000" w:sz="10" w:space="0"/>
            </w:tcBorders>
            <w:vAlign w:val="top"/>
          </w:tcPr>
          <w:p>
            <w:pPr>
              <w:spacing w:before="101" w:line="284" w:lineRule="auto"/>
              <w:ind w:left="116" w:right="93" w:firstLine="12"/>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7"/>
                <w:sz w:val="20"/>
                <w:szCs w:val="20"/>
                <w:highlight w:val="none"/>
                <w14:textOutline w14:w="3795" w14:cap="sq" w14:cmpd="sng">
                  <w14:solidFill>
                    <w14:srgbClr w14:val="000000"/>
                  </w14:solidFill>
                  <w14:prstDash w14:val="solid"/>
                  <w14:bevel/>
                </w14:textOutline>
              </w:rPr>
              <w:t>治理后单台设</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35"/>
                <w:sz w:val="20"/>
                <w:szCs w:val="20"/>
                <w:highlight w:val="none"/>
                <w14:textOutline w14:w="3795" w14:cap="sq" w14:cmpd="sng">
                  <w14:solidFill>
                    <w14:srgbClr w14:val="000000"/>
                  </w14:solidFill>
                  <w14:prstDash w14:val="solid"/>
                  <w14:bevel/>
                </w14:textOutline>
              </w:rPr>
              <w:t>备</w:t>
            </w:r>
            <w:r>
              <w:rPr>
                <w:rFonts w:hint="default" w:ascii="Times New Roman" w:hAnsi="Times New Roman" w:eastAsia="宋体" w:cs="Times New Roman"/>
                <w:spacing w:val="30"/>
                <w:sz w:val="20"/>
                <w:szCs w:val="20"/>
                <w:highlight w:val="none"/>
              </w:rPr>
              <w:t xml:space="preserve"> </w:t>
            </w:r>
            <w:r>
              <w:rPr>
                <w:rFonts w:hint="default" w:ascii="Times New Roman" w:hAnsi="Times New Roman" w:eastAsia="宋体" w:cs="Times New Roman"/>
                <w:spacing w:val="30"/>
                <w:sz w:val="20"/>
                <w:szCs w:val="20"/>
                <w:highlight w:val="none"/>
                <w14:textOutline w14:w="3795" w14:cap="sq" w14:cmpd="sng">
                  <w14:solidFill>
                    <w14:srgbClr w14:val="000000"/>
                  </w14:solidFill>
                  <w14:prstDash w14:val="solid"/>
                  <w14:bevel/>
                </w14:textOutline>
              </w:rPr>
              <w:t>声</w:t>
            </w:r>
            <w:r>
              <w:rPr>
                <w:rFonts w:hint="default" w:ascii="Times New Roman" w:hAnsi="Times New Roman" w:eastAsia="宋体" w:cs="Times New Roman"/>
                <w:spacing w:val="30"/>
                <w:sz w:val="20"/>
                <w:szCs w:val="20"/>
                <w:highlight w:val="none"/>
              </w:rPr>
              <w:t xml:space="preserve"> </w:t>
            </w:r>
            <w:r>
              <w:rPr>
                <w:rFonts w:hint="default" w:ascii="Times New Roman" w:hAnsi="Times New Roman" w:eastAsia="宋体" w:cs="Times New Roman"/>
                <w:spacing w:val="30"/>
                <w:sz w:val="20"/>
                <w:szCs w:val="20"/>
                <w:highlight w:val="none"/>
                <w14:textOutline w14:w="3795" w14:cap="sq" w14:cmpd="sng">
                  <w14:solidFill>
                    <w14:srgbClr w14:val="000000"/>
                  </w14:solidFill>
                  <w14:prstDash w14:val="solid"/>
                  <w14:bevel/>
                </w14:textOutline>
              </w:rPr>
              <w:t>级</w:t>
            </w:r>
            <w:r>
              <w:rPr>
                <w:rFonts w:hint="default" w:ascii="Times New Roman" w:hAnsi="Times New Roman" w:eastAsia="宋体" w:cs="Times New Roman"/>
                <w:spacing w:val="30"/>
                <w:sz w:val="20"/>
                <w:szCs w:val="20"/>
                <w:highlight w:val="none"/>
              </w:rPr>
              <w:t xml:space="preserve"> </w:t>
            </w:r>
            <w:r>
              <w:rPr>
                <w:rFonts w:hint="default" w:ascii="Times New Roman" w:hAnsi="Times New Roman" w:eastAsia="宋体" w:cs="Times New Roman"/>
                <w:spacing w:val="30"/>
                <w:sz w:val="20"/>
                <w:szCs w:val="20"/>
                <w:highlight w:val="none"/>
                <w14:textOutline w14:w="3795" w14:cap="sq" w14:cmpd="sng">
                  <w14:solidFill>
                    <w14:srgbClr w14:val="000000"/>
                  </w14:solidFill>
                  <w14:prstDash w14:val="solid"/>
                  <w14:bevel/>
                </w14:textOutline>
              </w:rPr>
              <w:t>值</w:t>
            </w: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b/>
                <w:bCs/>
                <w:spacing w:val="9"/>
                <w:sz w:val="20"/>
                <w:szCs w:val="20"/>
                <w:highlight w:val="none"/>
              </w:rPr>
              <w:t>/</w:t>
            </w:r>
            <w:r>
              <w:rPr>
                <w:rFonts w:hint="default" w:ascii="Times New Roman" w:hAnsi="Times New Roman" w:eastAsia="Times New Roman" w:cs="Times New Roman"/>
                <w:b/>
                <w:bCs/>
                <w:sz w:val="20"/>
                <w:szCs w:val="20"/>
                <w:highlight w:val="none"/>
              </w:rPr>
              <w:t>dB</w:t>
            </w:r>
            <w:r>
              <w:rPr>
                <w:rFonts w:hint="default" w:ascii="Times New Roman" w:hAnsi="Times New Roman" w:eastAsia="Times New Roman" w:cs="Times New Roman"/>
                <w:b/>
                <w:bCs/>
                <w:spacing w:val="9"/>
                <w:sz w:val="20"/>
                <w:szCs w:val="20"/>
                <w:highlight w:val="none"/>
              </w:rPr>
              <w:t>(</w:t>
            </w:r>
            <w:r>
              <w:rPr>
                <w:rFonts w:hint="default" w:ascii="Times New Roman" w:hAnsi="Times New Roman" w:eastAsia="Times New Roman" w:cs="Times New Roman"/>
                <w:b/>
                <w:bCs/>
                <w:sz w:val="20"/>
                <w:szCs w:val="20"/>
                <w:highlight w:val="none"/>
              </w:rPr>
              <w:t>A</w:t>
            </w:r>
            <w:r>
              <w:rPr>
                <w:rFonts w:hint="default" w:ascii="Times New Roman" w:hAnsi="Times New Roman" w:eastAsia="Times New Roman" w:cs="Times New Roman"/>
                <w:b/>
                <w:bCs/>
                <w:spacing w:val="8"/>
                <w:sz w:val="20"/>
                <w:szCs w:val="20"/>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15" w:type="dxa"/>
            <w:vMerge w:val="restart"/>
            <w:tcBorders>
              <w:left w:val="single" w:color="000000" w:sz="10" w:space="0"/>
              <w:bottom w:val="nil"/>
            </w:tcBorders>
            <w:vAlign w:val="top"/>
          </w:tcPr>
          <w:p>
            <w:pPr>
              <w:spacing w:line="261"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line="261" w:lineRule="auto"/>
              <w:rPr>
                <w:rFonts w:hint="default" w:ascii="Times New Roman" w:hAnsi="Times New Roman" w:cs="Times New Roman"/>
                <w:sz w:val="21"/>
                <w:highlight w:val="none"/>
              </w:rPr>
            </w:pPr>
          </w:p>
          <w:p>
            <w:pPr>
              <w:spacing w:line="262" w:lineRule="auto"/>
              <w:rPr>
                <w:rFonts w:hint="default" w:ascii="Times New Roman" w:hAnsi="Times New Roman" w:cs="Times New Roman"/>
                <w:sz w:val="21"/>
                <w:highlight w:val="none"/>
              </w:rPr>
            </w:pPr>
          </w:p>
          <w:p>
            <w:pPr>
              <w:spacing w:line="262" w:lineRule="auto"/>
              <w:rPr>
                <w:rFonts w:hint="default" w:ascii="Times New Roman" w:hAnsi="Times New Roman" w:cs="Times New Roman"/>
                <w:sz w:val="21"/>
                <w:highlight w:val="none"/>
              </w:rPr>
            </w:pPr>
          </w:p>
          <w:p>
            <w:pPr>
              <w:spacing w:before="57" w:line="195" w:lineRule="auto"/>
              <w:ind w:left="26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866" w:type="dxa"/>
            <w:vMerge w:val="restart"/>
            <w:tcBorders>
              <w:bottom w:val="nil"/>
            </w:tcBorders>
            <w:vAlign w:val="top"/>
          </w:tcPr>
          <w:p>
            <w:pPr>
              <w:spacing w:line="266" w:lineRule="auto"/>
              <w:rPr>
                <w:rFonts w:hint="default" w:ascii="Times New Roman" w:hAnsi="Times New Roman" w:cs="Times New Roman"/>
                <w:sz w:val="21"/>
                <w:highlight w:val="none"/>
              </w:rPr>
            </w:pPr>
          </w:p>
          <w:p>
            <w:pPr>
              <w:spacing w:line="266" w:lineRule="auto"/>
              <w:rPr>
                <w:rFonts w:hint="default" w:ascii="Times New Roman" w:hAnsi="Times New Roman" w:cs="Times New Roman"/>
                <w:sz w:val="21"/>
                <w:highlight w:val="none"/>
              </w:rPr>
            </w:pPr>
          </w:p>
          <w:p>
            <w:pPr>
              <w:spacing w:line="266" w:lineRule="auto"/>
              <w:rPr>
                <w:rFonts w:hint="default" w:ascii="Times New Roman" w:hAnsi="Times New Roman" w:cs="Times New Roman"/>
                <w:sz w:val="21"/>
                <w:highlight w:val="none"/>
              </w:rPr>
            </w:pPr>
          </w:p>
          <w:p>
            <w:pPr>
              <w:spacing w:line="266" w:lineRule="auto"/>
              <w:rPr>
                <w:rFonts w:hint="default" w:ascii="Times New Roman" w:hAnsi="Times New Roman" w:cs="Times New Roman"/>
                <w:sz w:val="21"/>
                <w:highlight w:val="none"/>
              </w:rPr>
            </w:pPr>
          </w:p>
          <w:p>
            <w:pPr>
              <w:spacing w:line="266" w:lineRule="auto"/>
              <w:rPr>
                <w:rFonts w:hint="default" w:ascii="Times New Roman" w:hAnsi="Times New Roman" w:cs="Times New Roman"/>
                <w:sz w:val="21"/>
                <w:highlight w:val="none"/>
              </w:rPr>
            </w:pPr>
          </w:p>
          <w:p>
            <w:pPr>
              <w:spacing w:line="266" w:lineRule="auto"/>
              <w:rPr>
                <w:rFonts w:hint="default" w:ascii="Times New Roman" w:hAnsi="Times New Roman" w:cs="Times New Roman"/>
                <w:sz w:val="21"/>
                <w:highlight w:val="none"/>
              </w:rPr>
            </w:pPr>
          </w:p>
          <w:p>
            <w:pPr>
              <w:spacing w:before="65" w:line="309" w:lineRule="auto"/>
              <w:ind w:left="218" w:right="127" w:hanging="90"/>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1"/>
                <w:sz w:val="20"/>
                <w:szCs w:val="20"/>
                <w:highlight w:val="none"/>
                <w:lang w:val="en-US" w:eastAsia="zh-CN"/>
              </w:rPr>
              <w:t>5</w:t>
            </w:r>
            <w:r>
              <w:rPr>
                <w:rFonts w:hint="default" w:ascii="Times New Roman" w:hAnsi="Times New Roman" w:eastAsia="Times New Roman" w:cs="Times New Roman"/>
                <w:spacing w:val="1"/>
                <w:sz w:val="20"/>
                <w:szCs w:val="20"/>
                <w:highlight w:val="none"/>
              </w:rPr>
              <w:t>#</w:t>
            </w:r>
            <w:r>
              <w:rPr>
                <w:rFonts w:hint="default" w:ascii="Times New Roman" w:hAnsi="Times New Roman" w:eastAsia="宋体" w:cs="Times New Roman"/>
                <w:spacing w:val="1"/>
                <w:sz w:val="20"/>
                <w:szCs w:val="20"/>
                <w:highlight w:val="none"/>
              </w:rPr>
              <w:t>生产</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4"/>
                <w:sz w:val="20"/>
                <w:szCs w:val="20"/>
                <w:highlight w:val="none"/>
              </w:rPr>
              <w:t>车</w:t>
            </w:r>
            <w:r>
              <w:rPr>
                <w:rFonts w:hint="default" w:ascii="Times New Roman" w:hAnsi="Times New Roman" w:eastAsia="宋体" w:cs="Times New Roman"/>
                <w:spacing w:val="3"/>
                <w:sz w:val="20"/>
                <w:szCs w:val="20"/>
                <w:highlight w:val="none"/>
              </w:rPr>
              <w:t>间</w:t>
            </w:r>
          </w:p>
        </w:tc>
        <w:tc>
          <w:tcPr>
            <w:tcW w:w="1285" w:type="dxa"/>
            <w:vAlign w:val="top"/>
          </w:tcPr>
          <w:p>
            <w:pPr>
              <w:spacing w:before="238" w:line="228" w:lineRule="auto"/>
              <w:ind w:left="324" w:leftChars="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给</w:t>
            </w:r>
            <w:r>
              <w:rPr>
                <w:rFonts w:hint="default" w:ascii="Times New Roman" w:hAnsi="Times New Roman" w:eastAsia="宋体" w:cs="Times New Roman"/>
                <w:spacing w:val="6"/>
                <w:sz w:val="20"/>
                <w:szCs w:val="20"/>
                <w:highlight w:val="none"/>
              </w:rPr>
              <w:t>料机</w:t>
            </w:r>
          </w:p>
        </w:tc>
        <w:tc>
          <w:tcPr>
            <w:tcW w:w="1311" w:type="dxa"/>
            <w:vAlign w:val="top"/>
          </w:tcPr>
          <w:p>
            <w:pPr>
              <w:spacing w:before="277" w:line="192" w:lineRule="auto"/>
              <w:ind w:left="548" w:leftChars="0"/>
              <w:rPr>
                <w:rFonts w:hint="eastAsia" w:ascii="Times New Roman" w:hAnsi="Times New Roman" w:eastAsia="宋体" w:cs="Times New Roman"/>
                <w:sz w:val="20"/>
                <w:szCs w:val="20"/>
                <w:highlight w:val="none"/>
                <w:lang w:eastAsia="zh-CN"/>
              </w:rPr>
            </w:pPr>
            <w:r>
              <w:rPr>
                <w:rFonts w:hint="default" w:ascii="Times New Roman" w:hAnsi="Times New Roman" w:eastAsia="Times New Roman" w:cs="Times New Roman"/>
                <w:spacing w:val="1"/>
                <w:sz w:val="20"/>
                <w:szCs w:val="20"/>
                <w:highlight w:val="none"/>
              </w:rPr>
              <w:t>75</w:t>
            </w:r>
          </w:p>
        </w:tc>
        <w:tc>
          <w:tcPr>
            <w:tcW w:w="823" w:type="dxa"/>
            <w:vAlign w:val="top"/>
          </w:tcPr>
          <w:p>
            <w:pPr>
              <w:spacing w:before="274" w:line="195" w:lineRule="auto"/>
              <w:ind w:left="377" w:leftChars="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z w:val="20"/>
                <w:szCs w:val="20"/>
                <w:highlight w:val="none"/>
                <w:lang w:val="en-US" w:eastAsia="zh-CN"/>
              </w:rPr>
              <w:t>1</w:t>
            </w:r>
          </w:p>
        </w:tc>
        <w:tc>
          <w:tcPr>
            <w:tcW w:w="1235" w:type="dxa"/>
            <w:vAlign w:val="top"/>
          </w:tcPr>
          <w:p>
            <w:pPr>
              <w:spacing w:before="208" w:line="274" w:lineRule="exact"/>
              <w:ind w:left="222" w:leftChars="0"/>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6"/>
                <w:position w:val="1"/>
                <w:sz w:val="20"/>
                <w:szCs w:val="20"/>
                <w:highlight w:val="none"/>
                <w:lang w:val="en-US" w:eastAsia="zh-CN"/>
              </w:rPr>
              <w:t>8</w:t>
            </w:r>
            <w:r>
              <w:rPr>
                <w:rFonts w:hint="default" w:ascii="Times New Roman" w:hAnsi="Times New Roman" w:eastAsia="Times New Roman" w:cs="Times New Roman"/>
                <w:position w:val="1"/>
                <w:sz w:val="20"/>
                <w:szCs w:val="20"/>
                <w:highlight w:val="none"/>
              </w:rPr>
              <w:t>h</w:t>
            </w:r>
            <w:r>
              <w:rPr>
                <w:rFonts w:hint="default" w:ascii="Times New Roman" w:hAnsi="Times New Roman" w:eastAsia="Times New Roman" w:cs="Times New Roman"/>
                <w:spacing w:val="6"/>
                <w:position w:val="1"/>
                <w:sz w:val="20"/>
                <w:szCs w:val="20"/>
                <w:highlight w:val="none"/>
              </w:rPr>
              <w:t xml:space="preserve"> </w:t>
            </w:r>
            <w:r>
              <w:rPr>
                <w:rFonts w:hint="default" w:ascii="Times New Roman" w:hAnsi="Times New Roman" w:eastAsia="宋体" w:cs="Times New Roman"/>
                <w:spacing w:val="6"/>
                <w:position w:val="1"/>
                <w:sz w:val="20"/>
                <w:szCs w:val="20"/>
                <w:highlight w:val="none"/>
              </w:rPr>
              <w:t>运行</w:t>
            </w:r>
          </w:p>
        </w:tc>
        <w:tc>
          <w:tcPr>
            <w:tcW w:w="5254" w:type="dxa"/>
            <w:vAlign w:val="top"/>
          </w:tcPr>
          <w:p>
            <w:pPr>
              <w:spacing w:before="78" w:line="261" w:lineRule="auto"/>
              <w:ind w:left="1169" w:leftChars="0" w:right="104" w:rightChars="0" w:hanging="1051" w:firstLineChars="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8"/>
                <w:sz w:val="20"/>
                <w:szCs w:val="20"/>
                <w:highlight w:val="none"/>
              </w:rPr>
              <w:t>设</w:t>
            </w:r>
            <w:r>
              <w:rPr>
                <w:rFonts w:hint="default" w:ascii="Times New Roman" w:hAnsi="Times New Roman" w:eastAsia="宋体" w:cs="Times New Roman"/>
                <w:spacing w:val="10"/>
                <w:sz w:val="20"/>
                <w:szCs w:val="20"/>
                <w:highlight w:val="none"/>
              </w:rPr>
              <w:t>备</w:t>
            </w:r>
            <w:r>
              <w:rPr>
                <w:rFonts w:hint="default" w:ascii="Times New Roman" w:hAnsi="Times New Roman" w:eastAsia="宋体" w:cs="Times New Roman"/>
                <w:spacing w:val="9"/>
                <w:sz w:val="20"/>
                <w:szCs w:val="20"/>
                <w:highlight w:val="none"/>
              </w:rPr>
              <w:t>基础加装减震垫，置于封闭车间内，车间采用双层</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8"/>
                <w:sz w:val="20"/>
                <w:szCs w:val="20"/>
                <w:highlight w:val="none"/>
              </w:rPr>
              <w:t>夹芯 (</w:t>
            </w:r>
            <w:r>
              <w:rPr>
                <w:rFonts w:hint="default" w:ascii="Times New Roman" w:hAnsi="Times New Roman" w:eastAsia="Times New Roman" w:cs="Times New Roman"/>
                <w:spacing w:val="8"/>
                <w:sz w:val="20"/>
                <w:szCs w:val="20"/>
                <w:highlight w:val="none"/>
              </w:rPr>
              <w:t>5</w:t>
            </w:r>
            <w:r>
              <w:rPr>
                <w:rFonts w:hint="default" w:ascii="Times New Roman" w:hAnsi="Times New Roman" w:eastAsia="Times New Roman" w:cs="Times New Roman"/>
                <w:sz w:val="20"/>
                <w:szCs w:val="20"/>
                <w:highlight w:val="none"/>
              </w:rPr>
              <w:t>cm</w:t>
            </w:r>
            <w:r>
              <w:rPr>
                <w:rFonts w:hint="default" w:ascii="Times New Roman" w:hAnsi="Times New Roman" w:eastAsia="Times New Roman" w:cs="Times New Roman"/>
                <w:spacing w:val="8"/>
                <w:sz w:val="20"/>
                <w:szCs w:val="20"/>
                <w:highlight w:val="none"/>
              </w:rPr>
              <w:t xml:space="preserve"> </w:t>
            </w:r>
            <w:r>
              <w:rPr>
                <w:rFonts w:hint="default" w:ascii="Times New Roman" w:hAnsi="Times New Roman" w:eastAsia="宋体" w:cs="Times New Roman"/>
                <w:spacing w:val="8"/>
                <w:sz w:val="20"/>
                <w:szCs w:val="20"/>
                <w:highlight w:val="none"/>
              </w:rPr>
              <w:t>厚隔声棉) 彩钢结构</w:t>
            </w:r>
          </w:p>
        </w:tc>
        <w:tc>
          <w:tcPr>
            <w:tcW w:w="1248" w:type="dxa"/>
            <w:vAlign w:val="top"/>
          </w:tcPr>
          <w:p>
            <w:pPr>
              <w:spacing w:before="274" w:line="195" w:lineRule="auto"/>
              <w:ind w:left="530"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25</w:t>
            </w:r>
          </w:p>
        </w:tc>
        <w:tc>
          <w:tcPr>
            <w:tcW w:w="1540" w:type="dxa"/>
            <w:tcBorders>
              <w:right w:val="single" w:color="000000" w:sz="10" w:space="0"/>
            </w:tcBorders>
            <w:vAlign w:val="top"/>
          </w:tcPr>
          <w:p>
            <w:pPr>
              <w:spacing w:before="275" w:line="195" w:lineRule="auto"/>
              <w:ind w:left="598" w:leftChars="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15"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866" w:type="dxa"/>
            <w:vMerge w:val="continue"/>
            <w:tcBorders>
              <w:top w:val="nil"/>
              <w:bottom w:val="nil"/>
            </w:tcBorders>
            <w:vAlign w:val="top"/>
          </w:tcPr>
          <w:p>
            <w:pPr>
              <w:rPr>
                <w:rFonts w:hint="default" w:ascii="Times New Roman" w:hAnsi="Times New Roman" w:cs="Times New Roman"/>
                <w:sz w:val="21"/>
                <w:highlight w:val="none"/>
              </w:rPr>
            </w:pPr>
          </w:p>
        </w:tc>
        <w:tc>
          <w:tcPr>
            <w:tcW w:w="1285" w:type="dxa"/>
            <w:vAlign w:val="top"/>
          </w:tcPr>
          <w:p>
            <w:pPr>
              <w:spacing w:before="239" w:line="228" w:lineRule="auto"/>
              <w:ind w:left="115"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8"/>
                <w:sz w:val="20"/>
                <w:szCs w:val="20"/>
                <w:highlight w:val="none"/>
              </w:rPr>
              <w:t>鄂式破碎机</w:t>
            </w:r>
          </w:p>
        </w:tc>
        <w:tc>
          <w:tcPr>
            <w:tcW w:w="1311" w:type="dxa"/>
            <w:vAlign w:val="top"/>
          </w:tcPr>
          <w:p>
            <w:pPr>
              <w:spacing w:before="276" w:line="195" w:lineRule="auto"/>
              <w:ind w:left="514" w:leftChars="0"/>
              <w:rPr>
                <w:rFonts w:hint="default" w:ascii="Times New Roman" w:hAnsi="Times New Roman" w:eastAsia="Times New Roman" w:cs="Times New Roman"/>
                <w:snapToGrid w:val="0"/>
                <w:color w:val="000000"/>
                <w:kern w:val="0"/>
                <w:sz w:val="20"/>
                <w:szCs w:val="20"/>
                <w:highlight w:val="none"/>
              </w:rPr>
            </w:pPr>
            <w:r>
              <w:rPr>
                <w:rFonts w:hint="default" w:ascii="Times New Roman" w:hAnsi="Times New Roman" w:eastAsia="Times New Roman" w:cs="Times New Roman"/>
                <w:spacing w:val="-3"/>
                <w:sz w:val="20"/>
                <w:szCs w:val="20"/>
                <w:highlight w:val="none"/>
              </w:rPr>
              <w:t>100</w:t>
            </w:r>
          </w:p>
        </w:tc>
        <w:tc>
          <w:tcPr>
            <w:tcW w:w="823" w:type="dxa"/>
            <w:vAlign w:val="top"/>
          </w:tcPr>
          <w:p>
            <w:pPr>
              <w:spacing w:before="276" w:line="195" w:lineRule="auto"/>
              <w:ind w:left="377" w:leftChars="0"/>
              <w:rPr>
                <w:rFonts w:hint="eastAsia" w:ascii="Times New Roman" w:hAnsi="Times New Roman" w:eastAsia="Times New Roman" w:cs="Times New Roman"/>
                <w:snapToGrid w:val="0"/>
                <w:color w:val="000000"/>
                <w:kern w:val="0"/>
                <w:sz w:val="20"/>
                <w:szCs w:val="20"/>
                <w:highlight w:val="none"/>
                <w:lang w:eastAsia="zh-CN"/>
              </w:rPr>
            </w:pPr>
            <w:r>
              <w:rPr>
                <w:rFonts w:hint="default" w:ascii="Times New Roman" w:hAnsi="Times New Roman" w:eastAsia="Times New Roman" w:cs="Times New Roman"/>
                <w:sz w:val="20"/>
                <w:szCs w:val="20"/>
                <w:highlight w:val="none"/>
              </w:rPr>
              <w:t>1</w:t>
            </w:r>
          </w:p>
        </w:tc>
        <w:tc>
          <w:tcPr>
            <w:tcW w:w="1235" w:type="dxa"/>
            <w:vAlign w:val="top"/>
          </w:tcPr>
          <w:p>
            <w:pPr>
              <w:spacing w:before="209" w:line="274" w:lineRule="exact"/>
              <w:ind w:left="222" w:leftChars="0"/>
              <w:rPr>
                <w:rFonts w:hint="default" w:ascii="Times New Roman" w:hAnsi="Times New Roman" w:eastAsia="宋体" w:cs="Times New Roman"/>
                <w:snapToGrid w:val="0"/>
                <w:color w:val="000000"/>
                <w:kern w:val="0"/>
                <w:sz w:val="20"/>
                <w:szCs w:val="20"/>
                <w:highlight w:val="none"/>
              </w:rPr>
            </w:pPr>
            <w:r>
              <w:rPr>
                <w:rFonts w:hint="eastAsia" w:ascii="Times New Roman" w:hAnsi="Times New Roman" w:eastAsia="宋体" w:cs="Times New Roman"/>
                <w:spacing w:val="6"/>
                <w:position w:val="1"/>
                <w:sz w:val="20"/>
                <w:szCs w:val="20"/>
                <w:highlight w:val="none"/>
                <w:lang w:val="en-US" w:eastAsia="zh-CN"/>
              </w:rPr>
              <w:t>8</w:t>
            </w:r>
            <w:r>
              <w:rPr>
                <w:rFonts w:hint="default" w:ascii="Times New Roman" w:hAnsi="Times New Roman" w:eastAsia="Times New Roman" w:cs="Times New Roman"/>
                <w:position w:val="1"/>
                <w:sz w:val="20"/>
                <w:szCs w:val="20"/>
                <w:highlight w:val="none"/>
              </w:rPr>
              <w:t>h</w:t>
            </w:r>
            <w:r>
              <w:rPr>
                <w:rFonts w:hint="default" w:ascii="Times New Roman" w:hAnsi="Times New Roman" w:eastAsia="Times New Roman" w:cs="Times New Roman"/>
                <w:spacing w:val="6"/>
                <w:position w:val="1"/>
                <w:sz w:val="20"/>
                <w:szCs w:val="20"/>
                <w:highlight w:val="none"/>
              </w:rPr>
              <w:t xml:space="preserve"> </w:t>
            </w:r>
            <w:r>
              <w:rPr>
                <w:rFonts w:hint="default" w:ascii="Times New Roman" w:hAnsi="Times New Roman" w:eastAsia="宋体" w:cs="Times New Roman"/>
                <w:spacing w:val="6"/>
                <w:position w:val="1"/>
                <w:sz w:val="20"/>
                <w:szCs w:val="20"/>
                <w:highlight w:val="none"/>
              </w:rPr>
              <w:t>运行</w:t>
            </w:r>
          </w:p>
        </w:tc>
        <w:tc>
          <w:tcPr>
            <w:tcW w:w="5254" w:type="dxa"/>
            <w:vAlign w:val="top"/>
          </w:tcPr>
          <w:p>
            <w:pPr>
              <w:spacing w:before="78" w:line="261" w:lineRule="auto"/>
              <w:ind w:left="1169" w:leftChars="0" w:right="104" w:rightChars="0" w:hanging="1051" w:firstLine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18"/>
                <w:sz w:val="20"/>
                <w:szCs w:val="20"/>
                <w:highlight w:val="none"/>
              </w:rPr>
              <w:t>设</w:t>
            </w:r>
            <w:r>
              <w:rPr>
                <w:rFonts w:hint="default" w:ascii="Times New Roman" w:hAnsi="Times New Roman" w:eastAsia="宋体" w:cs="Times New Roman"/>
                <w:spacing w:val="10"/>
                <w:sz w:val="20"/>
                <w:szCs w:val="20"/>
                <w:highlight w:val="none"/>
              </w:rPr>
              <w:t>备</w:t>
            </w:r>
            <w:r>
              <w:rPr>
                <w:rFonts w:hint="default" w:ascii="Times New Roman" w:hAnsi="Times New Roman" w:eastAsia="宋体" w:cs="Times New Roman"/>
                <w:spacing w:val="9"/>
                <w:sz w:val="20"/>
                <w:szCs w:val="20"/>
                <w:highlight w:val="none"/>
              </w:rPr>
              <w:t>基础加装减震垫，置于封闭车间内，车间采用双层</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8"/>
                <w:sz w:val="20"/>
                <w:szCs w:val="20"/>
                <w:highlight w:val="none"/>
              </w:rPr>
              <w:t>夹芯 (</w:t>
            </w:r>
            <w:r>
              <w:rPr>
                <w:rFonts w:hint="default" w:ascii="Times New Roman" w:hAnsi="Times New Roman" w:eastAsia="Times New Roman" w:cs="Times New Roman"/>
                <w:spacing w:val="8"/>
                <w:sz w:val="20"/>
                <w:szCs w:val="20"/>
                <w:highlight w:val="none"/>
              </w:rPr>
              <w:t>5</w:t>
            </w:r>
            <w:r>
              <w:rPr>
                <w:rFonts w:hint="default" w:ascii="Times New Roman" w:hAnsi="Times New Roman" w:eastAsia="Times New Roman" w:cs="Times New Roman"/>
                <w:sz w:val="20"/>
                <w:szCs w:val="20"/>
                <w:highlight w:val="none"/>
              </w:rPr>
              <w:t>cm</w:t>
            </w:r>
            <w:r>
              <w:rPr>
                <w:rFonts w:hint="default" w:ascii="Times New Roman" w:hAnsi="Times New Roman" w:eastAsia="Times New Roman" w:cs="Times New Roman"/>
                <w:spacing w:val="8"/>
                <w:sz w:val="20"/>
                <w:szCs w:val="20"/>
                <w:highlight w:val="none"/>
              </w:rPr>
              <w:t xml:space="preserve"> </w:t>
            </w:r>
            <w:r>
              <w:rPr>
                <w:rFonts w:hint="default" w:ascii="Times New Roman" w:hAnsi="Times New Roman" w:eastAsia="宋体" w:cs="Times New Roman"/>
                <w:spacing w:val="8"/>
                <w:sz w:val="20"/>
                <w:szCs w:val="20"/>
                <w:highlight w:val="none"/>
              </w:rPr>
              <w:t>厚隔声棉) 彩钢结构</w:t>
            </w:r>
          </w:p>
        </w:tc>
        <w:tc>
          <w:tcPr>
            <w:tcW w:w="1248" w:type="dxa"/>
            <w:vAlign w:val="top"/>
          </w:tcPr>
          <w:p>
            <w:pPr>
              <w:spacing w:before="276" w:line="195" w:lineRule="auto"/>
              <w:ind w:left="530" w:leftChars="0"/>
              <w:rPr>
                <w:rFonts w:hint="default" w:ascii="Times New Roman" w:hAnsi="Times New Roman" w:eastAsia="Times New Roman" w:cs="Times New Roman"/>
                <w:snapToGrid w:val="0"/>
                <w:color w:val="000000"/>
                <w:kern w:val="0"/>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25</w:t>
            </w:r>
          </w:p>
        </w:tc>
        <w:tc>
          <w:tcPr>
            <w:tcW w:w="1540" w:type="dxa"/>
            <w:tcBorders>
              <w:right w:val="single" w:color="000000" w:sz="10" w:space="0"/>
            </w:tcBorders>
            <w:vAlign w:val="top"/>
          </w:tcPr>
          <w:p>
            <w:pPr>
              <w:spacing w:before="276" w:line="195" w:lineRule="auto"/>
              <w:ind w:left="596"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15"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866" w:type="dxa"/>
            <w:vMerge w:val="continue"/>
            <w:tcBorders>
              <w:top w:val="nil"/>
              <w:bottom w:val="nil"/>
            </w:tcBorders>
            <w:vAlign w:val="top"/>
          </w:tcPr>
          <w:p>
            <w:pPr>
              <w:rPr>
                <w:rFonts w:hint="default" w:ascii="Times New Roman" w:hAnsi="Times New Roman" w:cs="Times New Roman"/>
                <w:sz w:val="21"/>
                <w:highlight w:val="none"/>
              </w:rPr>
            </w:pPr>
          </w:p>
        </w:tc>
        <w:tc>
          <w:tcPr>
            <w:tcW w:w="1285" w:type="dxa"/>
            <w:vAlign w:val="top"/>
          </w:tcPr>
          <w:p>
            <w:pPr>
              <w:spacing w:before="238" w:line="228" w:lineRule="auto"/>
              <w:ind w:left="132"/>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磁环轮</w:t>
            </w:r>
          </w:p>
        </w:tc>
        <w:tc>
          <w:tcPr>
            <w:tcW w:w="1311" w:type="dxa"/>
            <w:vAlign w:val="top"/>
          </w:tcPr>
          <w:p>
            <w:pPr>
              <w:spacing w:before="275" w:line="195" w:lineRule="auto"/>
              <w:ind w:left="514"/>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95</w:t>
            </w:r>
          </w:p>
        </w:tc>
        <w:tc>
          <w:tcPr>
            <w:tcW w:w="823" w:type="dxa"/>
            <w:vAlign w:val="top"/>
          </w:tcPr>
          <w:p>
            <w:pPr>
              <w:spacing w:before="275" w:line="195" w:lineRule="auto"/>
              <w:ind w:left="35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235" w:type="dxa"/>
            <w:vAlign w:val="top"/>
          </w:tcPr>
          <w:p>
            <w:pPr>
              <w:spacing w:before="208" w:line="274" w:lineRule="exact"/>
              <w:ind w:left="222"/>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6"/>
                <w:position w:val="1"/>
                <w:sz w:val="20"/>
                <w:szCs w:val="20"/>
                <w:highlight w:val="none"/>
                <w:lang w:val="en-US" w:eastAsia="zh-CN"/>
              </w:rPr>
              <w:t>8</w:t>
            </w:r>
            <w:r>
              <w:rPr>
                <w:rFonts w:hint="default" w:ascii="Times New Roman" w:hAnsi="Times New Roman" w:eastAsia="Times New Roman" w:cs="Times New Roman"/>
                <w:position w:val="1"/>
                <w:sz w:val="20"/>
                <w:szCs w:val="20"/>
                <w:highlight w:val="none"/>
              </w:rPr>
              <w:t>h</w:t>
            </w:r>
            <w:r>
              <w:rPr>
                <w:rFonts w:hint="default" w:ascii="Times New Roman" w:hAnsi="Times New Roman" w:eastAsia="Times New Roman" w:cs="Times New Roman"/>
                <w:spacing w:val="6"/>
                <w:position w:val="1"/>
                <w:sz w:val="20"/>
                <w:szCs w:val="20"/>
                <w:highlight w:val="none"/>
              </w:rPr>
              <w:t xml:space="preserve"> </w:t>
            </w:r>
            <w:r>
              <w:rPr>
                <w:rFonts w:hint="default" w:ascii="Times New Roman" w:hAnsi="Times New Roman" w:eastAsia="宋体" w:cs="Times New Roman"/>
                <w:spacing w:val="6"/>
                <w:position w:val="1"/>
                <w:sz w:val="20"/>
                <w:szCs w:val="20"/>
                <w:highlight w:val="none"/>
              </w:rPr>
              <w:t>运行</w:t>
            </w:r>
          </w:p>
        </w:tc>
        <w:tc>
          <w:tcPr>
            <w:tcW w:w="5254" w:type="dxa"/>
            <w:vAlign w:val="top"/>
          </w:tcPr>
          <w:p>
            <w:pPr>
              <w:spacing w:before="80" w:line="260" w:lineRule="auto"/>
              <w:ind w:left="1169" w:right="104" w:hanging="105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8"/>
                <w:sz w:val="20"/>
                <w:szCs w:val="20"/>
                <w:highlight w:val="none"/>
              </w:rPr>
              <w:t>设</w:t>
            </w:r>
            <w:r>
              <w:rPr>
                <w:rFonts w:hint="default" w:ascii="Times New Roman" w:hAnsi="Times New Roman" w:eastAsia="宋体" w:cs="Times New Roman"/>
                <w:spacing w:val="10"/>
                <w:sz w:val="20"/>
                <w:szCs w:val="20"/>
                <w:highlight w:val="none"/>
              </w:rPr>
              <w:t>备</w:t>
            </w:r>
            <w:r>
              <w:rPr>
                <w:rFonts w:hint="default" w:ascii="Times New Roman" w:hAnsi="Times New Roman" w:eastAsia="宋体" w:cs="Times New Roman"/>
                <w:spacing w:val="9"/>
                <w:sz w:val="20"/>
                <w:szCs w:val="20"/>
                <w:highlight w:val="none"/>
              </w:rPr>
              <w:t>基础加装减震垫，置于封闭车间内，车间采用双层</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8"/>
                <w:sz w:val="20"/>
                <w:szCs w:val="20"/>
                <w:highlight w:val="none"/>
              </w:rPr>
              <w:t>夹芯 (</w:t>
            </w:r>
            <w:r>
              <w:rPr>
                <w:rFonts w:hint="default" w:ascii="Times New Roman" w:hAnsi="Times New Roman" w:eastAsia="Times New Roman" w:cs="Times New Roman"/>
                <w:spacing w:val="8"/>
                <w:sz w:val="20"/>
                <w:szCs w:val="20"/>
                <w:highlight w:val="none"/>
              </w:rPr>
              <w:t>5</w:t>
            </w:r>
            <w:r>
              <w:rPr>
                <w:rFonts w:hint="default" w:ascii="Times New Roman" w:hAnsi="Times New Roman" w:eastAsia="Times New Roman" w:cs="Times New Roman"/>
                <w:sz w:val="20"/>
                <w:szCs w:val="20"/>
                <w:highlight w:val="none"/>
              </w:rPr>
              <w:t>cm</w:t>
            </w:r>
            <w:r>
              <w:rPr>
                <w:rFonts w:hint="default" w:ascii="Times New Roman" w:hAnsi="Times New Roman" w:eastAsia="Times New Roman" w:cs="Times New Roman"/>
                <w:spacing w:val="8"/>
                <w:sz w:val="20"/>
                <w:szCs w:val="20"/>
                <w:highlight w:val="none"/>
              </w:rPr>
              <w:t xml:space="preserve"> </w:t>
            </w:r>
            <w:r>
              <w:rPr>
                <w:rFonts w:hint="default" w:ascii="Times New Roman" w:hAnsi="Times New Roman" w:eastAsia="宋体" w:cs="Times New Roman"/>
                <w:spacing w:val="8"/>
                <w:sz w:val="20"/>
                <w:szCs w:val="20"/>
                <w:highlight w:val="none"/>
              </w:rPr>
              <w:t>厚隔声棉) 彩钢结构</w:t>
            </w:r>
          </w:p>
        </w:tc>
        <w:tc>
          <w:tcPr>
            <w:tcW w:w="1248" w:type="dxa"/>
            <w:vAlign w:val="top"/>
          </w:tcPr>
          <w:p>
            <w:pPr>
              <w:spacing w:before="275" w:line="195" w:lineRule="auto"/>
              <w:ind w:left="53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3"/>
                <w:sz w:val="20"/>
                <w:szCs w:val="20"/>
                <w:highlight w:val="none"/>
                <w:lang w:val="en-US" w:eastAsia="zh-CN"/>
              </w:rPr>
              <w:t>25</w:t>
            </w:r>
          </w:p>
        </w:tc>
        <w:tc>
          <w:tcPr>
            <w:tcW w:w="1540" w:type="dxa"/>
            <w:tcBorders>
              <w:right w:val="single" w:color="000000" w:sz="10" w:space="0"/>
            </w:tcBorders>
            <w:vAlign w:val="top"/>
          </w:tcPr>
          <w:p>
            <w:pPr>
              <w:spacing w:before="275" w:line="195" w:lineRule="auto"/>
              <w:ind w:left="596"/>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15"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866" w:type="dxa"/>
            <w:vMerge w:val="continue"/>
            <w:tcBorders>
              <w:top w:val="nil"/>
              <w:bottom w:val="nil"/>
            </w:tcBorders>
            <w:vAlign w:val="top"/>
          </w:tcPr>
          <w:p>
            <w:pPr>
              <w:rPr>
                <w:rFonts w:hint="default" w:ascii="Times New Roman" w:hAnsi="Times New Roman" w:cs="Times New Roman"/>
                <w:sz w:val="21"/>
                <w:highlight w:val="none"/>
              </w:rPr>
            </w:pPr>
          </w:p>
        </w:tc>
        <w:tc>
          <w:tcPr>
            <w:tcW w:w="1285" w:type="dxa"/>
            <w:vAlign w:val="top"/>
          </w:tcPr>
          <w:p>
            <w:pPr>
              <w:spacing w:before="240" w:line="228" w:lineRule="auto"/>
              <w:ind w:left="32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皮带</w:t>
            </w:r>
            <w:r>
              <w:rPr>
                <w:rFonts w:hint="default" w:ascii="Times New Roman" w:hAnsi="Times New Roman" w:eastAsia="宋体" w:cs="Times New Roman"/>
                <w:spacing w:val="5"/>
                <w:sz w:val="20"/>
                <w:szCs w:val="20"/>
                <w:highlight w:val="none"/>
              </w:rPr>
              <w:t>机</w:t>
            </w:r>
          </w:p>
        </w:tc>
        <w:tc>
          <w:tcPr>
            <w:tcW w:w="1311" w:type="dxa"/>
            <w:vAlign w:val="top"/>
          </w:tcPr>
          <w:p>
            <w:pPr>
              <w:spacing w:before="276" w:line="195" w:lineRule="auto"/>
              <w:ind w:left="54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70</w:t>
            </w:r>
          </w:p>
        </w:tc>
        <w:tc>
          <w:tcPr>
            <w:tcW w:w="823" w:type="dxa"/>
            <w:vAlign w:val="top"/>
          </w:tcPr>
          <w:p>
            <w:pPr>
              <w:spacing w:before="279" w:line="192" w:lineRule="auto"/>
              <w:ind w:left="360"/>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5</w:t>
            </w:r>
          </w:p>
        </w:tc>
        <w:tc>
          <w:tcPr>
            <w:tcW w:w="1235" w:type="dxa"/>
            <w:vAlign w:val="top"/>
          </w:tcPr>
          <w:p>
            <w:pPr>
              <w:spacing w:before="209" w:line="275" w:lineRule="exact"/>
              <w:ind w:left="222"/>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6"/>
                <w:position w:val="1"/>
                <w:sz w:val="20"/>
                <w:szCs w:val="20"/>
                <w:highlight w:val="none"/>
                <w:lang w:val="en-US" w:eastAsia="zh-CN"/>
              </w:rPr>
              <w:t>8</w:t>
            </w:r>
            <w:r>
              <w:rPr>
                <w:rFonts w:hint="default" w:ascii="Times New Roman" w:hAnsi="Times New Roman" w:eastAsia="Times New Roman" w:cs="Times New Roman"/>
                <w:position w:val="1"/>
                <w:sz w:val="20"/>
                <w:szCs w:val="20"/>
                <w:highlight w:val="none"/>
              </w:rPr>
              <w:t>h</w:t>
            </w:r>
            <w:r>
              <w:rPr>
                <w:rFonts w:hint="default" w:ascii="Times New Roman" w:hAnsi="Times New Roman" w:eastAsia="Times New Roman" w:cs="Times New Roman"/>
                <w:spacing w:val="6"/>
                <w:position w:val="1"/>
                <w:sz w:val="20"/>
                <w:szCs w:val="20"/>
                <w:highlight w:val="none"/>
              </w:rPr>
              <w:t xml:space="preserve"> </w:t>
            </w:r>
            <w:r>
              <w:rPr>
                <w:rFonts w:hint="default" w:ascii="Times New Roman" w:hAnsi="Times New Roman" w:eastAsia="宋体" w:cs="Times New Roman"/>
                <w:spacing w:val="6"/>
                <w:position w:val="1"/>
                <w:sz w:val="20"/>
                <w:szCs w:val="20"/>
                <w:highlight w:val="none"/>
              </w:rPr>
              <w:t>运行</w:t>
            </w:r>
          </w:p>
        </w:tc>
        <w:tc>
          <w:tcPr>
            <w:tcW w:w="5254" w:type="dxa"/>
            <w:vAlign w:val="top"/>
          </w:tcPr>
          <w:p>
            <w:pPr>
              <w:spacing w:before="81" w:line="260" w:lineRule="auto"/>
              <w:ind w:left="1169" w:right="104" w:hanging="105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8"/>
                <w:sz w:val="20"/>
                <w:szCs w:val="20"/>
                <w:highlight w:val="none"/>
              </w:rPr>
              <w:t>设</w:t>
            </w:r>
            <w:r>
              <w:rPr>
                <w:rFonts w:hint="default" w:ascii="Times New Roman" w:hAnsi="Times New Roman" w:eastAsia="宋体" w:cs="Times New Roman"/>
                <w:spacing w:val="10"/>
                <w:sz w:val="20"/>
                <w:szCs w:val="20"/>
                <w:highlight w:val="none"/>
              </w:rPr>
              <w:t>备</w:t>
            </w:r>
            <w:r>
              <w:rPr>
                <w:rFonts w:hint="default" w:ascii="Times New Roman" w:hAnsi="Times New Roman" w:eastAsia="宋体" w:cs="Times New Roman"/>
                <w:spacing w:val="9"/>
                <w:sz w:val="20"/>
                <w:szCs w:val="20"/>
                <w:highlight w:val="none"/>
              </w:rPr>
              <w:t>基础加装减震垫，置于封闭车间内，车间采用双层</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8"/>
                <w:sz w:val="20"/>
                <w:szCs w:val="20"/>
                <w:highlight w:val="none"/>
              </w:rPr>
              <w:t>夹芯 (</w:t>
            </w:r>
            <w:r>
              <w:rPr>
                <w:rFonts w:hint="default" w:ascii="Times New Roman" w:hAnsi="Times New Roman" w:eastAsia="Times New Roman" w:cs="Times New Roman"/>
                <w:spacing w:val="8"/>
                <w:sz w:val="20"/>
                <w:szCs w:val="20"/>
                <w:highlight w:val="none"/>
              </w:rPr>
              <w:t>5</w:t>
            </w:r>
            <w:r>
              <w:rPr>
                <w:rFonts w:hint="default" w:ascii="Times New Roman" w:hAnsi="Times New Roman" w:eastAsia="Times New Roman" w:cs="Times New Roman"/>
                <w:sz w:val="20"/>
                <w:szCs w:val="20"/>
                <w:highlight w:val="none"/>
              </w:rPr>
              <w:t>cm</w:t>
            </w:r>
            <w:r>
              <w:rPr>
                <w:rFonts w:hint="default" w:ascii="Times New Roman" w:hAnsi="Times New Roman" w:eastAsia="Times New Roman" w:cs="Times New Roman"/>
                <w:spacing w:val="8"/>
                <w:sz w:val="20"/>
                <w:szCs w:val="20"/>
                <w:highlight w:val="none"/>
              </w:rPr>
              <w:t xml:space="preserve"> </w:t>
            </w:r>
            <w:r>
              <w:rPr>
                <w:rFonts w:hint="default" w:ascii="Times New Roman" w:hAnsi="Times New Roman" w:eastAsia="宋体" w:cs="Times New Roman"/>
                <w:spacing w:val="8"/>
                <w:sz w:val="20"/>
                <w:szCs w:val="20"/>
                <w:highlight w:val="none"/>
              </w:rPr>
              <w:t>厚隔声棉) 彩钢结构</w:t>
            </w:r>
          </w:p>
        </w:tc>
        <w:tc>
          <w:tcPr>
            <w:tcW w:w="1248" w:type="dxa"/>
            <w:vAlign w:val="top"/>
          </w:tcPr>
          <w:p>
            <w:pPr>
              <w:spacing w:before="276" w:line="195" w:lineRule="auto"/>
              <w:ind w:left="53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25</w:t>
            </w:r>
          </w:p>
        </w:tc>
        <w:tc>
          <w:tcPr>
            <w:tcW w:w="1540" w:type="dxa"/>
            <w:tcBorders>
              <w:right w:val="single" w:color="000000" w:sz="10" w:space="0"/>
            </w:tcBorders>
            <w:vAlign w:val="top"/>
          </w:tcPr>
          <w:p>
            <w:pPr>
              <w:spacing w:before="276" w:line="195" w:lineRule="auto"/>
              <w:ind w:left="592"/>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6"/>
                <w:sz w:val="20"/>
                <w:szCs w:val="20"/>
                <w:highlight w:val="none"/>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615" w:type="dxa"/>
            <w:vMerge w:val="continue"/>
            <w:tcBorders>
              <w:top w:val="nil"/>
              <w:left w:val="single" w:color="000000" w:sz="10" w:space="0"/>
              <w:bottom w:val="nil"/>
            </w:tcBorders>
            <w:vAlign w:val="top"/>
          </w:tcPr>
          <w:p>
            <w:pPr>
              <w:rPr>
                <w:rFonts w:hint="default" w:ascii="Times New Roman" w:hAnsi="Times New Roman" w:cs="Times New Roman"/>
                <w:sz w:val="21"/>
                <w:highlight w:val="none"/>
              </w:rPr>
            </w:pPr>
          </w:p>
        </w:tc>
        <w:tc>
          <w:tcPr>
            <w:tcW w:w="866" w:type="dxa"/>
            <w:vMerge w:val="continue"/>
            <w:tcBorders>
              <w:top w:val="nil"/>
              <w:bottom w:val="nil"/>
            </w:tcBorders>
            <w:vAlign w:val="top"/>
          </w:tcPr>
          <w:p>
            <w:pPr>
              <w:rPr>
                <w:rFonts w:hint="default" w:ascii="Times New Roman" w:hAnsi="Times New Roman" w:cs="Times New Roman"/>
                <w:sz w:val="21"/>
                <w:highlight w:val="none"/>
              </w:rPr>
            </w:pPr>
          </w:p>
        </w:tc>
        <w:tc>
          <w:tcPr>
            <w:tcW w:w="1285" w:type="dxa"/>
            <w:vAlign w:val="top"/>
          </w:tcPr>
          <w:p>
            <w:pPr>
              <w:spacing w:before="240" w:line="228" w:lineRule="auto"/>
              <w:ind w:left="430" w:leftChars="0"/>
              <w:rPr>
                <w:rFonts w:hint="default" w:ascii="Times New Roman" w:hAnsi="Times New Roman" w:eastAsia="宋体" w:cs="Times New Roman"/>
                <w:snapToGrid w:val="0"/>
                <w:color w:val="000000"/>
                <w:kern w:val="0"/>
                <w:sz w:val="20"/>
                <w:szCs w:val="20"/>
                <w:highlight w:val="none"/>
              </w:rPr>
            </w:pPr>
            <w:r>
              <w:rPr>
                <w:rFonts w:hint="default" w:ascii="Times New Roman" w:hAnsi="Times New Roman" w:eastAsia="宋体" w:cs="Times New Roman"/>
                <w:spacing w:val="4"/>
                <w:sz w:val="20"/>
                <w:szCs w:val="20"/>
                <w:highlight w:val="none"/>
              </w:rPr>
              <w:t>风机</w:t>
            </w:r>
          </w:p>
        </w:tc>
        <w:tc>
          <w:tcPr>
            <w:tcW w:w="1311" w:type="dxa"/>
            <w:vAlign w:val="top"/>
          </w:tcPr>
          <w:p>
            <w:pPr>
              <w:spacing w:before="276" w:line="195" w:lineRule="auto"/>
              <w:ind w:left="553" w:leftChars="0"/>
              <w:rPr>
                <w:rFonts w:hint="default" w:ascii="Times New Roman" w:hAnsi="Times New Roman" w:eastAsia="Times New Roman" w:cs="Times New Roman"/>
                <w:snapToGrid w:val="0"/>
                <w:color w:val="000000"/>
                <w:kern w:val="0"/>
                <w:sz w:val="20"/>
                <w:szCs w:val="20"/>
                <w:highlight w:val="none"/>
              </w:rPr>
            </w:pPr>
            <w:r>
              <w:rPr>
                <w:rFonts w:hint="eastAsia" w:ascii="Times New Roman" w:hAnsi="Times New Roman" w:eastAsia="宋体" w:cs="Times New Roman"/>
                <w:spacing w:val="-2"/>
                <w:sz w:val="20"/>
                <w:szCs w:val="20"/>
                <w:highlight w:val="none"/>
                <w:lang w:val="en-US" w:eastAsia="zh-CN"/>
              </w:rPr>
              <w:t>9</w:t>
            </w:r>
            <w:r>
              <w:rPr>
                <w:rFonts w:hint="default" w:ascii="Times New Roman" w:hAnsi="Times New Roman" w:eastAsia="Times New Roman" w:cs="Times New Roman"/>
                <w:spacing w:val="-1"/>
                <w:sz w:val="20"/>
                <w:szCs w:val="20"/>
                <w:highlight w:val="none"/>
              </w:rPr>
              <w:t>5</w:t>
            </w:r>
          </w:p>
        </w:tc>
        <w:tc>
          <w:tcPr>
            <w:tcW w:w="823" w:type="dxa"/>
            <w:vAlign w:val="top"/>
          </w:tcPr>
          <w:p>
            <w:pPr>
              <w:spacing w:before="277" w:line="195" w:lineRule="auto"/>
              <w:ind w:left="377" w:leftChars="0"/>
              <w:rPr>
                <w:rFonts w:hint="eastAsia" w:ascii="Times New Roman" w:hAnsi="Times New Roman" w:eastAsia="Times New Roman" w:cs="Times New Roman"/>
                <w:snapToGrid w:val="0"/>
                <w:color w:val="000000"/>
                <w:kern w:val="0"/>
                <w:sz w:val="20"/>
                <w:szCs w:val="20"/>
                <w:highlight w:val="none"/>
                <w:lang w:val="en-US" w:eastAsia="zh-CN"/>
              </w:rPr>
            </w:pPr>
            <w:r>
              <w:rPr>
                <w:rFonts w:hint="default" w:ascii="Times New Roman" w:hAnsi="Times New Roman" w:eastAsia="Times New Roman" w:cs="Times New Roman"/>
                <w:sz w:val="20"/>
                <w:szCs w:val="20"/>
                <w:highlight w:val="none"/>
              </w:rPr>
              <w:t>1</w:t>
            </w:r>
          </w:p>
        </w:tc>
        <w:tc>
          <w:tcPr>
            <w:tcW w:w="1235" w:type="dxa"/>
            <w:vAlign w:val="top"/>
          </w:tcPr>
          <w:p>
            <w:pPr>
              <w:spacing w:before="210" w:line="274" w:lineRule="exact"/>
              <w:ind w:left="222" w:leftChars="0"/>
              <w:rPr>
                <w:rFonts w:hint="default" w:ascii="Times New Roman" w:hAnsi="Times New Roman" w:eastAsia="宋体" w:cs="Times New Roman"/>
                <w:snapToGrid w:val="0"/>
                <w:color w:val="000000"/>
                <w:kern w:val="0"/>
                <w:sz w:val="20"/>
                <w:szCs w:val="20"/>
                <w:highlight w:val="none"/>
              </w:rPr>
            </w:pPr>
            <w:r>
              <w:rPr>
                <w:rFonts w:hint="eastAsia" w:ascii="Times New Roman" w:hAnsi="Times New Roman" w:eastAsia="宋体" w:cs="Times New Roman"/>
                <w:spacing w:val="6"/>
                <w:position w:val="1"/>
                <w:sz w:val="20"/>
                <w:szCs w:val="20"/>
                <w:highlight w:val="none"/>
                <w:lang w:val="en-US" w:eastAsia="zh-CN"/>
              </w:rPr>
              <w:t>8</w:t>
            </w:r>
            <w:r>
              <w:rPr>
                <w:rFonts w:hint="default" w:ascii="Times New Roman" w:hAnsi="Times New Roman" w:eastAsia="Times New Roman" w:cs="Times New Roman"/>
                <w:position w:val="1"/>
                <w:sz w:val="20"/>
                <w:szCs w:val="20"/>
                <w:highlight w:val="none"/>
              </w:rPr>
              <w:t>h</w:t>
            </w:r>
            <w:r>
              <w:rPr>
                <w:rFonts w:hint="default" w:ascii="Times New Roman" w:hAnsi="Times New Roman" w:eastAsia="Times New Roman" w:cs="Times New Roman"/>
                <w:spacing w:val="6"/>
                <w:position w:val="1"/>
                <w:sz w:val="20"/>
                <w:szCs w:val="20"/>
                <w:highlight w:val="none"/>
              </w:rPr>
              <w:t xml:space="preserve"> </w:t>
            </w:r>
            <w:r>
              <w:rPr>
                <w:rFonts w:hint="default" w:ascii="Times New Roman" w:hAnsi="Times New Roman" w:eastAsia="宋体" w:cs="Times New Roman"/>
                <w:spacing w:val="6"/>
                <w:position w:val="1"/>
                <w:sz w:val="20"/>
                <w:szCs w:val="20"/>
                <w:highlight w:val="none"/>
              </w:rPr>
              <w:t>运行</w:t>
            </w:r>
          </w:p>
        </w:tc>
        <w:tc>
          <w:tcPr>
            <w:tcW w:w="5254" w:type="dxa"/>
            <w:vAlign w:val="center"/>
          </w:tcPr>
          <w:p>
            <w:pPr>
              <w:spacing w:before="80" w:line="260" w:lineRule="auto"/>
              <w:ind w:left="1389" w:leftChars="0" w:right="104" w:rightChars="0" w:hanging="1274" w:firstLineChars="0"/>
              <w:jc w:val="center"/>
              <w:rPr>
                <w:rFonts w:hint="default" w:ascii="Times New Roman" w:hAnsi="Times New Roman" w:eastAsia="宋体" w:cs="Times New Roman"/>
                <w:snapToGrid w:val="0"/>
                <w:color w:val="000000"/>
                <w:kern w:val="0"/>
                <w:sz w:val="20"/>
                <w:szCs w:val="20"/>
                <w:highlight w:val="none"/>
              </w:rPr>
            </w:pPr>
            <w:r>
              <w:rPr>
                <w:rFonts w:hint="eastAsia" w:ascii="Times New Roman" w:hAnsi="Times New Roman" w:eastAsia="宋体" w:cs="Times New Roman"/>
                <w:spacing w:val="9"/>
                <w:sz w:val="20"/>
                <w:szCs w:val="20"/>
                <w:highlight w:val="none"/>
                <w:lang w:val="en-US" w:eastAsia="zh-CN"/>
              </w:rPr>
              <w:t>减振基础</w:t>
            </w:r>
          </w:p>
        </w:tc>
        <w:tc>
          <w:tcPr>
            <w:tcW w:w="1248" w:type="dxa"/>
            <w:vAlign w:val="top"/>
          </w:tcPr>
          <w:p>
            <w:pPr>
              <w:spacing w:before="277" w:line="195" w:lineRule="auto"/>
              <w:ind w:left="530"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20</w:t>
            </w:r>
          </w:p>
        </w:tc>
        <w:tc>
          <w:tcPr>
            <w:tcW w:w="1540" w:type="dxa"/>
            <w:tcBorders>
              <w:right w:val="single" w:color="000000" w:sz="10" w:space="0"/>
            </w:tcBorders>
            <w:vAlign w:val="top"/>
          </w:tcPr>
          <w:p>
            <w:pPr>
              <w:spacing w:before="277" w:line="195" w:lineRule="auto"/>
              <w:ind w:left="597" w:leftChars="0"/>
              <w:rPr>
                <w:rFonts w:hint="default" w:ascii="Times New Roman" w:hAnsi="Times New Roman" w:eastAsia="宋体" w:cs="Times New Roman"/>
                <w:snapToGrid w:val="0"/>
                <w:color w:val="000000"/>
                <w:kern w:val="0"/>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615" w:type="dxa"/>
            <w:vMerge w:val="continue"/>
            <w:tcBorders>
              <w:top w:val="nil"/>
              <w:left w:val="single" w:color="000000" w:sz="10" w:space="0"/>
            </w:tcBorders>
            <w:vAlign w:val="top"/>
          </w:tcPr>
          <w:p>
            <w:pPr>
              <w:rPr>
                <w:rFonts w:hint="default" w:ascii="Times New Roman" w:hAnsi="Times New Roman" w:cs="Times New Roman"/>
                <w:sz w:val="21"/>
                <w:highlight w:val="none"/>
              </w:rPr>
            </w:pPr>
          </w:p>
        </w:tc>
        <w:tc>
          <w:tcPr>
            <w:tcW w:w="866" w:type="dxa"/>
            <w:vMerge w:val="continue"/>
            <w:tcBorders>
              <w:top w:val="nil"/>
            </w:tcBorders>
            <w:vAlign w:val="top"/>
          </w:tcPr>
          <w:p>
            <w:pPr>
              <w:rPr>
                <w:rFonts w:hint="default" w:ascii="Times New Roman" w:hAnsi="Times New Roman" w:cs="Times New Roman"/>
                <w:sz w:val="21"/>
                <w:highlight w:val="none"/>
              </w:rPr>
            </w:pPr>
          </w:p>
        </w:tc>
        <w:tc>
          <w:tcPr>
            <w:tcW w:w="1285" w:type="dxa"/>
            <w:vAlign w:val="top"/>
          </w:tcPr>
          <w:p>
            <w:pPr>
              <w:spacing w:before="240" w:line="228" w:lineRule="auto"/>
              <w:ind w:left="430"/>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4"/>
                <w:sz w:val="20"/>
                <w:szCs w:val="20"/>
                <w:highlight w:val="none"/>
                <w:lang w:val="en-US" w:eastAsia="zh-CN"/>
              </w:rPr>
              <w:t>空压机</w:t>
            </w:r>
          </w:p>
        </w:tc>
        <w:tc>
          <w:tcPr>
            <w:tcW w:w="1311" w:type="dxa"/>
            <w:vAlign w:val="top"/>
          </w:tcPr>
          <w:p>
            <w:pPr>
              <w:spacing w:before="276" w:line="195" w:lineRule="auto"/>
              <w:ind w:left="553"/>
              <w:rPr>
                <w:rFonts w:hint="default" w:ascii="Times New Roman" w:hAnsi="Times New Roman" w:eastAsia="Times New Roman" w:cs="Times New Roman"/>
                <w:sz w:val="20"/>
                <w:szCs w:val="20"/>
                <w:highlight w:val="none"/>
                <w:lang w:val="en-US"/>
              </w:rPr>
            </w:pPr>
            <w:r>
              <w:rPr>
                <w:rFonts w:hint="eastAsia" w:ascii="Times New Roman" w:hAnsi="Times New Roman" w:eastAsia="宋体" w:cs="Times New Roman"/>
                <w:spacing w:val="-2"/>
                <w:sz w:val="20"/>
                <w:szCs w:val="20"/>
                <w:highlight w:val="none"/>
                <w:lang w:val="en-US" w:eastAsia="zh-CN"/>
              </w:rPr>
              <w:t>100</w:t>
            </w:r>
          </w:p>
        </w:tc>
        <w:tc>
          <w:tcPr>
            <w:tcW w:w="823" w:type="dxa"/>
            <w:vAlign w:val="top"/>
          </w:tcPr>
          <w:p>
            <w:pPr>
              <w:spacing w:before="277" w:line="195" w:lineRule="auto"/>
              <w:ind w:left="3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235" w:type="dxa"/>
            <w:vAlign w:val="top"/>
          </w:tcPr>
          <w:p>
            <w:pPr>
              <w:spacing w:before="210" w:line="274" w:lineRule="exact"/>
              <w:ind w:left="222"/>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6"/>
                <w:position w:val="1"/>
                <w:sz w:val="20"/>
                <w:szCs w:val="20"/>
                <w:highlight w:val="none"/>
                <w:lang w:val="en-US" w:eastAsia="zh-CN"/>
              </w:rPr>
              <w:t>8</w:t>
            </w:r>
            <w:r>
              <w:rPr>
                <w:rFonts w:hint="default" w:ascii="Times New Roman" w:hAnsi="Times New Roman" w:eastAsia="Times New Roman" w:cs="Times New Roman"/>
                <w:position w:val="1"/>
                <w:sz w:val="20"/>
                <w:szCs w:val="20"/>
                <w:highlight w:val="none"/>
              </w:rPr>
              <w:t>h</w:t>
            </w:r>
            <w:r>
              <w:rPr>
                <w:rFonts w:hint="default" w:ascii="Times New Roman" w:hAnsi="Times New Roman" w:eastAsia="Times New Roman" w:cs="Times New Roman"/>
                <w:spacing w:val="6"/>
                <w:position w:val="1"/>
                <w:sz w:val="20"/>
                <w:szCs w:val="20"/>
                <w:highlight w:val="none"/>
              </w:rPr>
              <w:t xml:space="preserve"> </w:t>
            </w:r>
            <w:r>
              <w:rPr>
                <w:rFonts w:hint="default" w:ascii="Times New Roman" w:hAnsi="Times New Roman" w:eastAsia="宋体" w:cs="Times New Roman"/>
                <w:spacing w:val="6"/>
                <w:position w:val="1"/>
                <w:sz w:val="20"/>
                <w:szCs w:val="20"/>
                <w:highlight w:val="none"/>
              </w:rPr>
              <w:t>运行</w:t>
            </w:r>
          </w:p>
        </w:tc>
        <w:tc>
          <w:tcPr>
            <w:tcW w:w="5254" w:type="dxa"/>
            <w:vAlign w:val="center"/>
          </w:tcPr>
          <w:p>
            <w:pPr>
              <w:spacing w:before="80" w:line="260" w:lineRule="auto"/>
              <w:ind w:left="1389" w:right="104" w:hanging="1274"/>
              <w:jc w:val="center"/>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9"/>
                <w:sz w:val="20"/>
                <w:szCs w:val="20"/>
                <w:highlight w:val="none"/>
                <w:lang w:val="en-US" w:eastAsia="zh-CN"/>
              </w:rPr>
              <w:t>减振基础</w:t>
            </w:r>
          </w:p>
        </w:tc>
        <w:tc>
          <w:tcPr>
            <w:tcW w:w="1248" w:type="dxa"/>
            <w:vAlign w:val="top"/>
          </w:tcPr>
          <w:p>
            <w:pPr>
              <w:spacing w:before="277" w:line="195" w:lineRule="auto"/>
              <w:ind w:left="53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20</w:t>
            </w:r>
          </w:p>
        </w:tc>
        <w:tc>
          <w:tcPr>
            <w:tcW w:w="1540" w:type="dxa"/>
            <w:tcBorders>
              <w:right w:val="single" w:color="000000" w:sz="10" w:space="0"/>
            </w:tcBorders>
            <w:vAlign w:val="top"/>
          </w:tcPr>
          <w:p>
            <w:pPr>
              <w:spacing w:before="277" w:line="195" w:lineRule="auto"/>
              <w:ind w:left="597"/>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80</w:t>
            </w:r>
          </w:p>
        </w:tc>
      </w:tr>
    </w:tbl>
    <w:p>
      <w:pPr>
        <w:spacing w:line="14" w:lineRule="auto"/>
        <w:rPr>
          <w:rFonts w:hint="default" w:ascii="Times New Roman" w:hAnsi="Times New Roman" w:cs="Times New Roman"/>
          <w:sz w:val="2"/>
          <w:highlight w:val="none"/>
        </w:rPr>
      </w:pPr>
      <w:r>
        <w:rPr>
          <w:rFonts w:hint="default" w:ascii="Times New Roman" w:hAnsi="Times New Roman" w:eastAsia="Arial" w:cs="Times New Roman"/>
          <w:sz w:val="2"/>
          <w:szCs w:val="2"/>
          <w:highlight w:val="none"/>
        </w:rPr>
        <w:br w:type="column"/>
      </w:r>
    </w:p>
    <w:p>
      <w:pPr>
        <w:spacing w:line="470" w:lineRule="auto"/>
        <w:rPr>
          <w:rFonts w:hint="default" w:ascii="Times New Roman" w:hAnsi="Times New Roman" w:cs="Times New Roman"/>
          <w:sz w:val="21"/>
          <w:highlight w:val="none"/>
        </w:rPr>
      </w:pPr>
    </w:p>
    <w:p>
      <w:pPr>
        <w:spacing w:before="75" w:line="193" w:lineRule="auto"/>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14:textOutline w14:w="4358" w14:cap="sq" w14:cmpd="sng">
            <w14:solidFill>
              <w14:srgbClr w14:val="000000"/>
            </w14:solidFill>
            <w14:prstDash w14:val="solid"/>
            <w14:bevel/>
          </w14:textOutline>
        </w:rPr>
        <w:t>项目</w:t>
      </w:r>
      <w:r>
        <w:rPr>
          <w:rFonts w:hint="eastAsia" w:ascii="Times New Roman" w:hAnsi="Times New Roman" w:eastAsia="宋体" w:cs="Times New Roman"/>
          <w:spacing w:val="10"/>
          <w:sz w:val="23"/>
          <w:szCs w:val="23"/>
          <w:highlight w:val="none"/>
          <w:lang w:val="en-US" w:eastAsia="zh-CN"/>
          <w14:textOutline w14:w="4358" w14:cap="sq" w14:cmpd="sng">
            <w14:solidFill>
              <w14:srgbClr w14:val="000000"/>
            </w14:solidFill>
            <w14:prstDash w14:val="solid"/>
            <w14:bevel/>
          </w14:textOutline>
        </w:rPr>
        <w:t>新增</w:t>
      </w:r>
      <w:r>
        <w:rPr>
          <w:rFonts w:hint="default" w:ascii="Times New Roman" w:hAnsi="Times New Roman" w:eastAsia="宋体" w:cs="Times New Roman"/>
          <w:spacing w:val="10"/>
          <w:sz w:val="23"/>
          <w:szCs w:val="23"/>
          <w:highlight w:val="none"/>
          <w14:textOutline w14:w="4358" w14:cap="sq" w14:cmpd="sng">
            <w14:solidFill>
              <w14:srgbClr w14:val="000000"/>
            </w14:solidFill>
            <w14:prstDash w14:val="solid"/>
            <w14:bevel/>
          </w14:textOutline>
        </w:rPr>
        <w:t>主要噪声源及治理措施一览</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p>
    <w:p>
      <w:pPr>
        <w:pStyle w:val="10"/>
        <w:rPr>
          <w:rFonts w:hint="default"/>
          <w:highlight w:val="none"/>
        </w:rPr>
        <w:sectPr>
          <w:type w:val="continuous"/>
          <w:pgSz w:w="16839" w:h="11906"/>
          <w:pgMar w:top="1200" w:right="1317" w:bottom="1339" w:left="1317" w:header="882" w:footer="1027" w:gutter="0"/>
          <w:pgBorders>
            <w:top w:val="none" w:sz="0" w:space="0"/>
            <w:left w:val="none" w:sz="0" w:space="0"/>
            <w:bottom w:val="none" w:sz="0" w:space="0"/>
            <w:right w:val="none" w:sz="0" w:space="0"/>
          </w:pgBorders>
          <w:pgNumType w:fmt="decimal"/>
          <w:cols w:equalWidth="0" w:num="2">
            <w:col w:w="6185" w:space="100"/>
            <w:col w:w="7919"/>
          </w:cols>
        </w:sectPr>
      </w:pPr>
    </w:p>
    <w:p>
      <w:pPr>
        <w:pStyle w:val="3"/>
        <w:keepNext/>
        <w:keepLines/>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460" w:lineRule="exact"/>
        <w:textAlignment w:val="auto"/>
        <w:outlineLvl w:val="3"/>
        <w:rPr>
          <w:rFonts w:hint="default" w:ascii="Times New Roman" w:hAnsi="Times New Roman" w:cs="Times New Roman"/>
          <w:b w:val="0"/>
          <w:bCs/>
          <w:sz w:val="23"/>
          <w:szCs w:val="23"/>
          <w:highlight w:val="none"/>
          <w:lang w:val="en-US" w:eastAsia="zh-CN"/>
        </w:rPr>
      </w:pPr>
      <w:r>
        <w:rPr>
          <w:rFonts w:hint="default" w:ascii="Times New Roman" w:hAnsi="Times New Roman" w:cs="Times New Roman"/>
          <w:b w:val="0"/>
          <w:bCs/>
          <w:sz w:val="23"/>
          <w:szCs w:val="23"/>
          <w:highlight w:val="none"/>
          <w:lang w:val="en-US" w:eastAsia="zh-CN"/>
        </w:rPr>
        <w:pict>
          <v:rect id="_x0000_s1125" o:spid="_x0000_s1125" o:spt="1" style="position:absolute;left:0pt;margin-left:72pt;margin-top:60.75pt;height:0.75pt;width:697.95pt;mso-position-horizontal-relative:page;mso-position-vertical-relative:page;z-index:251694080;mso-width-relative:page;mso-height-relative:page;" fillcolor="#000000" filled="t" stroked="f" coordsize="21600,21600" o:allowincell="f">
            <v:path/>
            <v:fill on="t" focussize="0,0"/>
            <v:stroke on="f"/>
            <v:imagedata o:title=""/>
            <o:lock v:ext="edit"/>
          </v:rect>
        </w:pict>
      </w:r>
      <w:r>
        <w:rPr>
          <w:rFonts w:hint="default" w:ascii="Times New Roman" w:hAnsi="Times New Roman" w:cs="Times New Roman"/>
          <w:b w:val="0"/>
          <w:bCs/>
          <w:sz w:val="23"/>
          <w:szCs w:val="23"/>
          <w:highlight w:val="none"/>
          <w:lang w:val="en-US" w:eastAsia="zh-CN"/>
        </w:rPr>
        <w:pict>
          <v:shape id="_x0000_s1127" o:spid="_x0000_s1127" style="position:absolute;left:0pt;margin-left:90.15pt;margin-top:59.05pt;height:0.75pt;width:413.85pt;mso-position-horizontal-relative:page;mso-position-vertical-relative:page;z-index:251695104;mso-width-relative:page;mso-height-relative:page;" fillcolor="#000000" filled="t" stroked="f" coordsize="8277,15" o:allowincell="f" path="m0,0l8276,0,8276,14,0,14,0,0xe">
            <v:path/>
            <v:fill on="t" focussize="0,0"/>
            <v:stroke on="f"/>
            <v:imagedata o:title=""/>
            <o:lock v:ext="edit"/>
          </v:shape>
        </w:pict>
      </w:r>
      <w:r>
        <w:rPr>
          <w:rFonts w:hint="default" w:ascii="Times New Roman" w:hAnsi="Times New Roman" w:cs="Times New Roman"/>
          <w:b w:val="0"/>
          <w:bCs/>
          <w:sz w:val="23"/>
          <w:szCs w:val="23"/>
          <w:highlight w:val="none"/>
          <w:lang w:val="en-US" w:eastAsia="zh-CN"/>
        </w:rPr>
        <w:t>3.</w:t>
      </w:r>
      <w:r>
        <w:rPr>
          <w:rFonts w:hint="eastAsia" w:ascii="Times New Roman" w:hAnsi="Times New Roman" w:cs="Times New Roman"/>
          <w:b w:val="0"/>
          <w:bCs/>
          <w:sz w:val="23"/>
          <w:szCs w:val="23"/>
          <w:highlight w:val="none"/>
          <w:lang w:val="en-US" w:eastAsia="zh-CN"/>
        </w:rPr>
        <w:t>3</w:t>
      </w:r>
      <w:r>
        <w:rPr>
          <w:rFonts w:hint="default" w:ascii="Times New Roman" w:hAnsi="Times New Roman" w:cs="Times New Roman"/>
          <w:b w:val="0"/>
          <w:bCs/>
          <w:sz w:val="23"/>
          <w:szCs w:val="23"/>
          <w:highlight w:val="none"/>
          <w:lang w:val="en-US" w:eastAsia="zh-CN"/>
        </w:rPr>
        <w:t>.</w:t>
      </w:r>
      <w:r>
        <w:rPr>
          <w:rFonts w:hint="eastAsia" w:ascii="Times New Roman" w:hAnsi="Times New Roman" w:cs="Times New Roman"/>
          <w:b w:val="0"/>
          <w:bCs/>
          <w:sz w:val="23"/>
          <w:szCs w:val="23"/>
          <w:highlight w:val="none"/>
          <w:lang w:val="en-US" w:eastAsia="zh-CN"/>
        </w:rPr>
        <w:t>2.</w:t>
      </w:r>
      <w:r>
        <w:rPr>
          <w:rFonts w:hint="default" w:ascii="Times New Roman" w:hAnsi="Times New Roman" w:cs="Times New Roman"/>
          <w:b w:val="0"/>
          <w:bCs/>
          <w:sz w:val="23"/>
          <w:szCs w:val="23"/>
          <w:highlight w:val="none"/>
          <w:lang w:val="en-US" w:eastAsia="zh-CN"/>
        </w:rPr>
        <w:t>4 固废</w:t>
      </w:r>
    </w:p>
    <w:p>
      <w:pPr>
        <w:spacing w:before="74" w:line="402" w:lineRule="auto"/>
        <w:ind w:left="132" w:right="158"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5"/>
          <w:sz w:val="23"/>
          <w:szCs w:val="23"/>
          <w:highlight w:val="none"/>
        </w:rPr>
        <w:t>本</w:t>
      </w:r>
      <w:r>
        <w:rPr>
          <w:rFonts w:hint="default" w:ascii="Times New Roman" w:hAnsi="Times New Roman" w:eastAsia="宋体" w:cs="Times New Roman"/>
          <w:spacing w:val="12"/>
          <w:sz w:val="23"/>
          <w:szCs w:val="23"/>
          <w:highlight w:val="none"/>
        </w:rPr>
        <w:t>项目产生的一般固体废物主要包括</w:t>
      </w:r>
      <w:r>
        <w:rPr>
          <w:rFonts w:hint="eastAsia" w:ascii="Times New Roman" w:hAnsi="Times New Roman" w:eastAsia="宋体" w:cs="Times New Roman"/>
          <w:spacing w:val="12"/>
          <w:sz w:val="23"/>
          <w:szCs w:val="23"/>
          <w:highlight w:val="none"/>
          <w:lang w:val="en-US" w:eastAsia="zh-CN"/>
        </w:rPr>
        <w:t>尾矿砂、泥饼、砂石料</w:t>
      </w:r>
      <w:r>
        <w:rPr>
          <w:rFonts w:hint="default" w:ascii="Times New Roman" w:hAnsi="Times New Roman" w:eastAsia="宋体" w:cs="Times New Roman"/>
          <w:spacing w:val="12"/>
          <w:sz w:val="23"/>
          <w:szCs w:val="23"/>
          <w:highlight w:val="none"/>
        </w:rPr>
        <w:t>、除尘器收集的除尘灰</w:t>
      </w:r>
      <w:r>
        <w:rPr>
          <w:rFonts w:hint="eastAsia" w:ascii="Times New Roman" w:hAnsi="Times New Roman" w:eastAsia="宋体" w:cs="Times New Roman"/>
          <w:spacing w:val="12"/>
          <w:sz w:val="23"/>
          <w:szCs w:val="23"/>
          <w:highlight w:val="none"/>
          <w:lang w:eastAsia="zh-CN"/>
        </w:rPr>
        <w:t>、</w:t>
      </w:r>
      <w:r>
        <w:rPr>
          <w:rFonts w:hint="eastAsia" w:ascii="Times New Roman" w:hAnsi="Times New Roman" w:eastAsia="宋体" w:cs="Times New Roman"/>
          <w:spacing w:val="12"/>
          <w:sz w:val="23"/>
          <w:szCs w:val="23"/>
          <w:highlight w:val="none"/>
          <w:lang w:val="en-US" w:eastAsia="zh-CN"/>
        </w:rPr>
        <w:t>废钢球</w:t>
      </w:r>
      <w:r>
        <w:rPr>
          <w:rFonts w:hint="default" w:ascii="Times New Roman" w:hAnsi="Times New Roman" w:eastAsia="宋体" w:cs="Times New Roman"/>
          <w:spacing w:val="9"/>
          <w:sz w:val="23"/>
          <w:szCs w:val="23"/>
          <w:highlight w:val="none"/>
        </w:rPr>
        <w:t>；危险废物主要为生产设备使用过程产生的废矿物油。</w:t>
      </w:r>
    </w:p>
    <w:p>
      <w:pPr>
        <w:spacing w:line="228" w:lineRule="auto"/>
        <w:ind w:left="622"/>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19"/>
          <w:sz w:val="23"/>
          <w:szCs w:val="23"/>
          <w:highlight w:val="none"/>
          <w:lang w:eastAsia="zh-CN"/>
        </w:rPr>
        <w:t>（</w:t>
      </w:r>
      <w:r>
        <w:rPr>
          <w:rFonts w:hint="eastAsia" w:ascii="Times New Roman" w:hAnsi="Times New Roman" w:eastAsia="宋体" w:cs="Times New Roman"/>
          <w:spacing w:val="19"/>
          <w:sz w:val="23"/>
          <w:szCs w:val="23"/>
          <w:highlight w:val="none"/>
          <w:lang w:val="en-US" w:eastAsia="zh-CN"/>
        </w:rPr>
        <w:t>1</w:t>
      </w:r>
      <w:r>
        <w:rPr>
          <w:rFonts w:hint="eastAsia" w:ascii="Times New Roman" w:hAnsi="Times New Roman" w:eastAsia="宋体" w:cs="Times New Roman"/>
          <w:spacing w:val="19"/>
          <w:sz w:val="23"/>
          <w:szCs w:val="23"/>
          <w:highlight w:val="none"/>
          <w:lang w:eastAsia="zh-CN"/>
        </w:rPr>
        <w:t>）</w:t>
      </w:r>
      <w:r>
        <w:rPr>
          <w:rFonts w:hint="default" w:ascii="Times New Roman" w:hAnsi="Times New Roman" w:eastAsia="宋体" w:cs="Times New Roman"/>
          <w:spacing w:val="17"/>
          <w:sz w:val="23"/>
          <w:szCs w:val="23"/>
          <w:highlight w:val="none"/>
        </w:rPr>
        <w:t>一般固体废弃物</w:t>
      </w:r>
    </w:p>
    <w:p>
      <w:pPr>
        <w:spacing w:before="74" w:line="402" w:lineRule="auto"/>
        <w:ind w:left="132" w:right="158" w:firstLine="480"/>
        <w:rPr>
          <w:rFonts w:hint="default" w:ascii="Times New Roman" w:hAnsi="Times New Roman" w:eastAsia="宋体" w:cs="Times New Roman"/>
          <w:spacing w:val="12"/>
          <w:sz w:val="23"/>
          <w:szCs w:val="23"/>
          <w:highlight w:val="none"/>
        </w:rPr>
      </w:pPr>
      <w:r>
        <w:rPr>
          <w:rFonts w:hint="default" w:ascii="Times New Roman" w:hAnsi="Times New Roman" w:eastAsia="宋体" w:cs="Times New Roman"/>
          <w:spacing w:val="12"/>
          <w:sz w:val="23"/>
          <w:szCs w:val="23"/>
          <w:highlight w:val="none"/>
        </w:rPr>
        <w:t>①尾矿砂是在磁选过程中排出的尾矿浆经沉淀后的排出物，本报告类比</w:t>
      </w:r>
      <w:r>
        <w:rPr>
          <w:rFonts w:hint="eastAsia" w:ascii="Times New Roman" w:hAnsi="Times New Roman" w:eastAsia="宋体" w:cs="Times New Roman"/>
          <w:spacing w:val="12"/>
          <w:sz w:val="23"/>
          <w:szCs w:val="23"/>
          <w:highlight w:val="none"/>
        </w:rPr>
        <w:t>迁西复兴</w:t>
      </w:r>
      <w:r>
        <w:rPr>
          <w:rFonts w:hint="default" w:ascii="Times New Roman" w:hAnsi="Times New Roman" w:eastAsia="宋体" w:cs="Times New Roman"/>
          <w:spacing w:val="12"/>
          <w:sz w:val="23"/>
          <w:szCs w:val="23"/>
          <w:highlight w:val="none"/>
        </w:rPr>
        <w:t>铁矿尾矿砂腐蚀性与浸出毒性鉴别结果，对尾矿砂的腐蚀性、浸出毒性及鉴别结果进行评价。本项目原料使用的矿山与</w:t>
      </w:r>
      <w:r>
        <w:rPr>
          <w:rFonts w:hint="eastAsia" w:ascii="Times New Roman" w:hAnsi="Times New Roman" w:eastAsia="宋体" w:cs="Times New Roman"/>
          <w:spacing w:val="12"/>
          <w:sz w:val="23"/>
          <w:szCs w:val="23"/>
          <w:highlight w:val="none"/>
        </w:rPr>
        <w:t>其</w:t>
      </w:r>
      <w:r>
        <w:rPr>
          <w:rFonts w:hint="default" w:ascii="Times New Roman" w:hAnsi="Times New Roman" w:eastAsia="宋体" w:cs="Times New Roman"/>
          <w:spacing w:val="12"/>
          <w:sz w:val="23"/>
          <w:szCs w:val="23"/>
          <w:highlight w:val="none"/>
        </w:rPr>
        <w:t>矿床成因条件相同，同处迁西群—三屯营组—卷天麻岩，矿石性质相似，本项目选场采用铁选工艺与其相同，因此本项目尾矿砂与</w:t>
      </w:r>
      <w:r>
        <w:rPr>
          <w:rFonts w:hint="eastAsia" w:ascii="Times New Roman" w:hAnsi="Times New Roman" w:eastAsia="宋体" w:cs="Times New Roman"/>
          <w:spacing w:val="12"/>
          <w:sz w:val="23"/>
          <w:szCs w:val="23"/>
          <w:highlight w:val="none"/>
        </w:rPr>
        <w:t>迁西复兴铁矿</w:t>
      </w:r>
      <w:r>
        <w:rPr>
          <w:rFonts w:hint="default" w:ascii="Times New Roman" w:hAnsi="Times New Roman" w:eastAsia="宋体" w:cs="Times New Roman"/>
          <w:spacing w:val="12"/>
          <w:sz w:val="23"/>
          <w:szCs w:val="23"/>
          <w:highlight w:val="none"/>
        </w:rPr>
        <w:t>尾矿砂具有可比性，见3.</w:t>
      </w:r>
      <w:r>
        <w:rPr>
          <w:rFonts w:hint="eastAsia" w:ascii="Times New Roman" w:hAnsi="Times New Roman" w:eastAsia="宋体" w:cs="Times New Roman"/>
          <w:spacing w:val="12"/>
          <w:sz w:val="23"/>
          <w:szCs w:val="23"/>
          <w:highlight w:val="none"/>
          <w:lang w:val="en-US" w:eastAsia="zh-CN"/>
        </w:rPr>
        <w:t>3</w:t>
      </w:r>
      <w:r>
        <w:rPr>
          <w:rFonts w:hint="default" w:ascii="Times New Roman" w:hAnsi="Times New Roman" w:eastAsia="宋体" w:cs="Times New Roman"/>
          <w:spacing w:val="12"/>
          <w:sz w:val="23"/>
          <w:szCs w:val="23"/>
          <w:highlight w:val="none"/>
        </w:rPr>
        <w:t>-</w:t>
      </w:r>
      <w:r>
        <w:rPr>
          <w:rFonts w:hint="eastAsia" w:ascii="Times New Roman" w:hAnsi="Times New Roman" w:eastAsia="宋体" w:cs="Times New Roman"/>
          <w:spacing w:val="12"/>
          <w:sz w:val="23"/>
          <w:szCs w:val="23"/>
          <w:highlight w:val="none"/>
          <w:lang w:val="en-US" w:eastAsia="zh-CN"/>
        </w:rPr>
        <w:t>8</w:t>
      </w:r>
      <w:r>
        <w:rPr>
          <w:rFonts w:hint="default" w:ascii="Times New Roman" w:hAnsi="Times New Roman" w:eastAsia="宋体" w:cs="Times New Roman"/>
          <w:spacing w:val="12"/>
          <w:sz w:val="23"/>
          <w:szCs w:val="23"/>
          <w:highlight w:val="none"/>
        </w:rPr>
        <w:t>。</w:t>
      </w:r>
    </w:p>
    <w:p>
      <w:pPr>
        <w:spacing w:before="188" w:line="320" w:lineRule="exact"/>
        <w:ind w:left="1296"/>
        <w:rPr>
          <w:rFonts w:hint="default" w:ascii="Times New Roman" w:hAnsi="Times New Roman" w:eastAsia="Times New Roman" w:cs="Times New Roman"/>
          <w:sz w:val="23"/>
          <w:szCs w:val="23"/>
          <w:highlight w:val="none"/>
        </w:rPr>
      </w:pPr>
      <w:r>
        <w:rPr>
          <w:rFonts w:hint="default" w:ascii="Times New Roman" w:hAnsi="Times New Roman" w:eastAsia="宋体" w:cs="Times New Roman"/>
          <w:spacing w:val="5"/>
          <w:position w:val="3"/>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5"/>
          <w:position w:val="3"/>
          <w:sz w:val="23"/>
          <w:szCs w:val="23"/>
          <w:highlight w:val="none"/>
        </w:rPr>
        <w:t xml:space="preserve"> </w:t>
      </w:r>
      <w:r>
        <w:rPr>
          <w:rFonts w:hint="default" w:ascii="Times New Roman" w:hAnsi="Times New Roman" w:eastAsia="Times New Roman" w:cs="Times New Roman"/>
          <w:b/>
          <w:bCs/>
          <w:spacing w:val="5"/>
          <w:position w:val="3"/>
          <w:sz w:val="23"/>
          <w:szCs w:val="23"/>
          <w:highlight w:val="none"/>
        </w:rPr>
        <w:t>3.</w:t>
      </w:r>
      <w:r>
        <w:rPr>
          <w:rFonts w:hint="eastAsia" w:ascii="Times New Roman" w:hAnsi="Times New Roman" w:eastAsia="宋体" w:cs="Times New Roman"/>
          <w:b/>
          <w:bCs/>
          <w:spacing w:val="5"/>
          <w:position w:val="3"/>
          <w:sz w:val="23"/>
          <w:szCs w:val="23"/>
          <w:highlight w:val="none"/>
          <w:lang w:val="en-US" w:eastAsia="zh-CN"/>
        </w:rPr>
        <w:t>3</w:t>
      </w:r>
      <w:r>
        <w:rPr>
          <w:rFonts w:hint="default" w:ascii="Times New Roman" w:hAnsi="Times New Roman" w:eastAsia="Times New Roman" w:cs="Times New Roman"/>
          <w:b/>
          <w:bCs/>
          <w:spacing w:val="5"/>
          <w:position w:val="3"/>
          <w:sz w:val="23"/>
          <w:szCs w:val="23"/>
          <w:highlight w:val="none"/>
        </w:rPr>
        <w:t>-</w:t>
      </w:r>
      <w:r>
        <w:rPr>
          <w:rFonts w:hint="eastAsia" w:ascii="Times New Roman" w:hAnsi="Times New Roman" w:eastAsia="宋体" w:cs="Times New Roman"/>
          <w:b/>
          <w:bCs/>
          <w:spacing w:val="5"/>
          <w:position w:val="3"/>
          <w:sz w:val="23"/>
          <w:szCs w:val="23"/>
          <w:highlight w:val="none"/>
          <w:lang w:val="en-US" w:eastAsia="zh-CN"/>
        </w:rPr>
        <w:t>8</w:t>
      </w:r>
      <w:r>
        <w:rPr>
          <w:rFonts w:hint="default" w:ascii="Times New Roman" w:hAnsi="Times New Roman" w:eastAsia="Times New Roman" w:cs="Times New Roman"/>
          <w:spacing w:val="5"/>
          <w:position w:val="3"/>
          <w:sz w:val="23"/>
          <w:szCs w:val="23"/>
          <w:highlight w:val="none"/>
        </w:rPr>
        <w:t xml:space="preserve">        </w:t>
      </w:r>
      <w:r>
        <w:rPr>
          <w:rFonts w:hint="default" w:ascii="Times New Roman" w:hAnsi="Times New Roman" w:eastAsia="宋体" w:cs="Times New Roman"/>
          <w:spacing w:val="5"/>
          <w:position w:val="3"/>
          <w:sz w:val="23"/>
          <w:szCs w:val="23"/>
          <w:highlight w:val="none"/>
          <w14:textOutline w14:w="4358" w14:cap="sq" w14:cmpd="sng">
            <w14:solidFill>
              <w14:srgbClr w14:val="000000"/>
            </w14:solidFill>
            <w14:prstDash w14:val="solid"/>
            <w14:bevel/>
          </w14:textOutline>
        </w:rPr>
        <w:t>尾矿砂浸出毒性鉴别结果表</w:t>
      </w:r>
      <w:r>
        <w:rPr>
          <w:rFonts w:hint="default" w:ascii="Times New Roman" w:hAnsi="Times New Roman" w:eastAsia="宋体" w:cs="Times New Roman"/>
          <w:spacing w:val="5"/>
          <w:position w:val="3"/>
          <w:sz w:val="23"/>
          <w:szCs w:val="23"/>
          <w:highlight w:val="none"/>
        </w:rPr>
        <w:t xml:space="preserve">    </w:t>
      </w:r>
      <w:r>
        <w:rPr>
          <w:rFonts w:hint="default" w:ascii="Times New Roman" w:hAnsi="Times New Roman" w:eastAsia="宋体" w:cs="Times New Roman"/>
          <w:spacing w:val="5"/>
          <w:position w:val="3"/>
          <w:sz w:val="23"/>
          <w:szCs w:val="23"/>
          <w:highlight w:val="none"/>
          <w14:textOutline w14:w="4358" w14:cap="sq" w14:cmpd="sng">
            <w14:solidFill>
              <w14:srgbClr w14:val="000000"/>
            </w14:solidFill>
            <w14:prstDash w14:val="solid"/>
            <w14:bevel/>
          </w14:textOutline>
        </w:rPr>
        <w:t>单位：</w:t>
      </w:r>
      <w:r>
        <w:rPr>
          <w:rFonts w:hint="default" w:ascii="Times New Roman" w:hAnsi="Times New Roman" w:eastAsia="Times New Roman" w:cs="Times New Roman"/>
          <w:b/>
          <w:bCs/>
          <w:position w:val="3"/>
          <w:sz w:val="23"/>
          <w:szCs w:val="23"/>
          <w:highlight w:val="none"/>
        </w:rPr>
        <w:t>mg</w:t>
      </w:r>
      <w:r>
        <w:rPr>
          <w:rFonts w:hint="default" w:ascii="Times New Roman" w:hAnsi="Times New Roman" w:eastAsia="Times New Roman" w:cs="Times New Roman"/>
          <w:b/>
          <w:bCs/>
          <w:spacing w:val="1"/>
          <w:position w:val="3"/>
          <w:sz w:val="23"/>
          <w:szCs w:val="23"/>
          <w:highlight w:val="none"/>
        </w:rPr>
        <w:t>/</w:t>
      </w:r>
      <w:r>
        <w:rPr>
          <w:rFonts w:hint="default" w:ascii="Times New Roman" w:hAnsi="Times New Roman" w:eastAsia="Times New Roman" w:cs="Times New Roman"/>
          <w:b/>
          <w:bCs/>
          <w:position w:val="3"/>
          <w:sz w:val="23"/>
          <w:szCs w:val="23"/>
          <w:highlight w:val="none"/>
        </w:rPr>
        <w:t>L</w:t>
      </w:r>
    </w:p>
    <w:p>
      <w:pPr>
        <w:spacing w:line="26" w:lineRule="exact"/>
        <w:rPr>
          <w:rFonts w:hint="default" w:ascii="Times New Roman" w:hAnsi="Times New Roman" w:cs="Times New Roman"/>
          <w:highlight w:val="none"/>
        </w:rPr>
      </w:pPr>
    </w:p>
    <w:tbl>
      <w:tblPr>
        <w:tblStyle w:val="15"/>
        <w:tblW w:w="852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4"/>
        <w:gridCol w:w="1216"/>
        <w:gridCol w:w="1186"/>
        <w:gridCol w:w="1736"/>
        <w:gridCol w:w="989"/>
        <w:gridCol w:w="1636"/>
        <w:gridCol w:w="98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序号</w:t>
            </w:r>
          </w:p>
        </w:tc>
        <w:tc>
          <w:tcPr>
            <w:tcW w:w="1216"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项目</w:t>
            </w:r>
          </w:p>
        </w:tc>
        <w:tc>
          <w:tcPr>
            <w:tcW w:w="1186"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浸出毒性试验分析结果含量（</w:t>
            </w:r>
            <w:r>
              <w:rPr>
                <w:rFonts w:eastAsia="Times New Roman"/>
                <w:kern w:val="2"/>
                <w:sz w:val="21"/>
                <w:szCs w:val="21"/>
                <w:highlight w:val="none"/>
              </w:rPr>
              <w:t>mg/L</w:t>
            </w:r>
            <w:r>
              <w:rPr>
                <w:kern w:val="2"/>
                <w:sz w:val="21"/>
                <w:szCs w:val="21"/>
                <w:highlight w:val="none"/>
              </w:rPr>
              <w:t>）</w:t>
            </w:r>
          </w:p>
        </w:tc>
        <w:tc>
          <w:tcPr>
            <w:tcW w:w="2725" w:type="dxa"/>
            <w:gridSpan w:val="2"/>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浸出液标准</w:t>
            </w:r>
          </w:p>
        </w:tc>
        <w:tc>
          <w:tcPr>
            <w:tcW w:w="2625" w:type="dxa"/>
            <w:gridSpan w:val="2"/>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水质标准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216"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186"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736"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 xml:space="preserve">GB5085.3-2007 </w:t>
            </w:r>
            <w:r>
              <w:rPr>
                <w:kern w:val="2"/>
                <w:sz w:val="21"/>
                <w:szCs w:val="21"/>
                <w:highlight w:val="none"/>
              </w:rPr>
              <w:t>浸出液最高允许浓度标准</w:t>
            </w:r>
          </w:p>
        </w:tc>
        <w:tc>
          <w:tcPr>
            <w:tcW w:w="989"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符合性</w:t>
            </w:r>
          </w:p>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分析</w:t>
            </w:r>
          </w:p>
        </w:tc>
        <w:tc>
          <w:tcPr>
            <w:tcW w:w="1636"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《污水综合排放标准》</w:t>
            </w:r>
            <w:r>
              <w:rPr>
                <w:rFonts w:hint="eastAsia"/>
                <w:kern w:val="2"/>
                <w:sz w:val="21"/>
                <w:szCs w:val="21"/>
                <w:highlight w:val="none"/>
              </w:rPr>
              <w:t>（</w:t>
            </w:r>
            <w:r>
              <w:rPr>
                <w:kern w:val="2"/>
                <w:sz w:val="21"/>
                <w:szCs w:val="21"/>
                <w:highlight w:val="none"/>
              </w:rPr>
              <w:t>GB8978－1996</w:t>
            </w:r>
            <w:r>
              <w:rPr>
                <w:rFonts w:hint="eastAsia"/>
                <w:kern w:val="2"/>
                <w:sz w:val="21"/>
                <w:szCs w:val="21"/>
                <w:highlight w:val="none"/>
              </w:rPr>
              <w:t>）</w:t>
            </w:r>
            <w:r>
              <w:rPr>
                <w:kern w:val="2"/>
                <w:sz w:val="21"/>
                <w:szCs w:val="21"/>
                <w:highlight w:val="none"/>
              </w:rPr>
              <w:t>一级</w:t>
            </w:r>
            <w:r>
              <w:rPr>
                <w:rFonts w:hint="eastAsia"/>
                <w:sz w:val="21"/>
                <w:szCs w:val="21"/>
                <w:highlight w:val="none"/>
              </w:rPr>
              <w:t>标准</w:t>
            </w:r>
          </w:p>
        </w:tc>
        <w:tc>
          <w:tcPr>
            <w:tcW w:w="989" w:type="dxa"/>
            <w:tcBorders>
              <w:tl2br w:val="nil"/>
              <w:tr2bl w:val="nil"/>
            </w:tcBorders>
            <w:vAlign w:val="center"/>
          </w:tcPr>
          <w:p>
            <w:pPr>
              <w:autoSpaceDE w:val="0"/>
              <w:autoSpaceDN w:val="0"/>
              <w:adjustRightInd w:val="0"/>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分析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铜</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0.0026</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restart"/>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符合</w:t>
            </w: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2</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锌</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0.001</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≤2.0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3</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hint="eastAsia"/>
                <w:kern w:val="2"/>
                <w:sz w:val="21"/>
                <w:szCs w:val="21"/>
                <w:highlight w:val="none"/>
              </w:rPr>
              <w:t>镉</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0.00006</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≤0.1</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4</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铅</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0.0002</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总铬</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6</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六价铬</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7</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烷基汞</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未检出</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不得检出</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8</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汞</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0.0001</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0.1</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9</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铍</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0.00003</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0.02</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钡</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0.42</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c>
          <w:tcPr>
            <w:tcW w:w="989" w:type="dxa"/>
            <w:tcBorders>
              <w:tl2br w:val="nil"/>
              <w:tr2bl w:val="nil"/>
            </w:tcBorders>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11</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镍</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0.0007</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12</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总银</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0.0020</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13</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砷</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0.0012</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14</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硒</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0.0003</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≤0.1</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15</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无机氟化物</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0.20</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100</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≤10</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16</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氰化物</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w:t>
            </w:r>
            <w:r>
              <w:rPr>
                <w:rFonts w:eastAsia="Times New Roman"/>
                <w:kern w:val="2"/>
                <w:sz w:val="21"/>
                <w:szCs w:val="21"/>
                <w:highlight w:val="none"/>
              </w:rPr>
              <w:t>0.005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≤0.5</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74"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17</w:t>
            </w:r>
          </w:p>
        </w:tc>
        <w:tc>
          <w:tcPr>
            <w:tcW w:w="121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pH</w:t>
            </w:r>
          </w:p>
        </w:tc>
        <w:tc>
          <w:tcPr>
            <w:tcW w:w="118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8.5</w:t>
            </w:r>
          </w:p>
        </w:tc>
        <w:tc>
          <w:tcPr>
            <w:tcW w:w="17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≤2</w:t>
            </w:r>
            <w:r>
              <w:rPr>
                <w:kern w:val="2"/>
                <w:sz w:val="21"/>
                <w:szCs w:val="21"/>
                <w:highlight w:val="none"/>
              </w:rPr>
              <w:t>；</w:t>
            </w:r>
            <w:r>
              <w:rPr>
                <w:rFonts w:eastAsia="Times New Roman"/>
                <w:kern w:val="2"/>
                <w:sz w:val="21"/>
                <w:szCs w:val="21"/>
                <w:highlight w:val="none"/>
              </w:rPr>
              <w:t>≥12.5</w:t>
            </w:r>
          </w:p>
        </w:tc>
        <w:tc>
          <w:tcPr>
            <w:tcW w:w="989" w:type="dxa"/>
            <w:vMerge w:val="continue"/>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p>
        </w:tc>
        <w:tc>
          <w:tcPr>
            <w:tcW w:w="1636"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rFonts w:eastAsia="Times New Roman"/>
                <w:kern w:val="2"/>
                <w:sz w:val="21"/>
                <w:szCs w:val="21"/>
                <w:highlight w:val="none"/>
              </w:rPr>
              <w:t>6-9</w:t>
            </w:r>
          </w:p>
        </w:tc>
        <w:tc>
          <w:tcPr>
            <w:tcW w:w="989" w:type="dxa"/>
            <w:tcBorders>
              <w:tl2br w:val="nil"/>
              <w:tr2bl w:val="nil"/>
            </w:tcBorders>
            <w:vAlign w:val="center"/>
          </w:tcPr>
          <w:p>
            <w:pPr>
              <w:spacing w:line="240" w:lineRule="auto"/>
              <w:ind w:firstLine="0" w:firstLineChars="0"/>
              <w:jc w:val="center"/>
              <w:textAlignment w:val="auto"/>
              <w:rPr>
                <w:rFonts w:eastAsia="Times New Roman"/>
                <w:kern w:val="2"/>
                <w:sz w:val="21"/>
                <w:szCs w:val="21"/>
                <w:highlight w:val="none"/>
              </w:rPr>
            </w:pPr>
            <w:r>
              <w:rPr>
                <w:kern w:val="2"/>
                <w:sz w:val="21"/>
                <w:szCs w:val="21"/>
                <w:highlight w:val="none"/>
              </w:rPr>
              <w:t>达标</w:t>
            </w:r>
          </w:p>
        </w:tc>
      </w:tr>
    </w:tbl>
    <w:p>
      <w:pPr>
        <w:keepNext w:val="0"/>
        <w:keepLines w:val="0"/>
        <w:pageBreakBefore w:val="0"/>
        <w:widowControl/>
        <w:kinsoku w:val="0"/>
        <w:wordWrap/>
        <w:overflowPunct/>
        <w:topLinePunct w:val="0"/>
        <w:autoSpaceDE w:val="0"/>
        <w:autoSpaceDN w:val="0"/>
        <w:bidi w:val="0"/>
        <w:adjustRightInd w:val="0"/>
        <w:snapToGrid w:val="0"/>
        <w:spacing w:line="460" w:lineRule="exact"/>
        <w:ind w:left="130" w:right="116" w:firstLine="508"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根据</w:t>
      </w:r>
      <w:r>
        <w:rPr>
          <w:rFonts w:hint="default" w:ascii="Times New Roman" w:hAnsi="Times New Roman" w:eastAsia="宋体" w:cs="Times New Roman"/>
          <w:spacing w:val="11"/>
          <w:sz w:val="23"/>
          <w:szCs w:val="23"/>
          <w:highlight w:val="none"/>
        </w:rPr>
        <w:t>表</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spacing w:val="6"/>
          <w:sz w:val="23"/>
          <w:szCs w:val="23"/>
          <w:highlight w:val="none"/>
        </w:rPr>
        <w:t>3.</w:t>
      </w:r>
      <w:r>
        <w:rPr>
          <w:rFonts w:hint="eastAsia" w:ascii="Times New Roman" w:hAnsi="Times New Roman" w:eastAsia="宋体" w:cs="Times New Roman"/>
          <w:spacing w:val="6"/>
          <w:sz w:val="23"/>
          <w:szCs w:val="23"/>
          <w:highlight w:val="none"/>
          <w:lang w:val="en-US" w:eastAsia="zh-CN"/>
        </w:rPr>
        <w:t>3</w:t>
      </w:r>
      <w:r>
        <w:rPr>
          <w:rFonts w:hint="default" w:ascii="Times New Roman" w:hAnsi="Times New Roman" w:eastAsia="Times New Roman" w:cs="Times New Roman"/>
          <w:spacing w:val="6"/>
          <w:sz w:val="23"/>
          <w:szCs w:val="23"/>
          <w:highlight w:val="none"/>
        </w:rPr>
        <w:t>-</w:t>
      </w:r>
      <w:r>
        <w:rPr>
          <w:rFonts w:hint="eastAsia" w:ascii="Times New Roman" w:hAnsi="Times New Roman" w:eastAsia="宋体" w:cs="Times New Roman"/>
          <w:spacing w:val="6"/>
          <w:sz w:val="23"/>
          <w:szCs w:val="23"/>
          <w:highlight w:val="none"/>
          <w:lang w:val="en-US" w:eastAsia="zh-CN"/>
        </w:rPr>
        <w:t>8</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浸出毒性鉴别结果表明：尾矿砂浸出液中总汞、总镉、总砷、</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7"/>
          <w:sz w:val="23"/>
          <w:szCs w:val="23"/>
          <w:highlight w:val="none"/>
        </w:rPr>
        <w:t>六</w:t>
      </w:r>
      <w:r>
        <w:rPr>
          <w:rFonts w:hint="default" w:ascii="Times New Roman" w:hAnsi="Times New Roman" w:eastAsia="宋体" w:cs="Times New Roman"/>
          <w:spacing w:val="13"/>
          <w:sz w:val="23"/>
          <w:szCs w:val="23"/>
          <w:highlight w:val="none"/>
        </w:rPr>
        <w:t>价铬、总铜、总锌、总镍、总铅、总铬、总铍、总钡、总银、总硒的浓度均</w:t>
      </w:r>
      <w:r>
        <w:rPr>
          <w:rFonts w:hint="default" w:ascii="Times New Roman" w:hAnsi="Times New Roman" w:eastAsia="宋体" w:cs="Times New Roman"/>
          <w:spacing w:val="10"/>
          <w:sz w:val="23"/>
          <w:szCs w:val="23"/>
          <w:highlight w:val="none"/>
        </w:rPr>
        <w:t>低于《</w:t>
      </w:r>
      <w:r>
        <w:rPr>
          <w:rFonts w:hint="default" w:ascii="Times New Roman" w:hAnsi="Times New Roman" w:eastAsia="宋体" w:cs="Times New Roman"/>
          <w:spacing w:val="7"/>
          <w:sz w:val="23"/>
          <w:szCs w:val="23"/>
          <w:highlight w:val="none"/>
        </w:rPr>
        <w:t>危</w:t>
      </w:r>
      <w:r>
        <w:rPr>
          <w:rFonts w:hint="default" w:ascii="Times New Roman" w:hAnsi="Times New Roman" w:eastAsia="宋体" w:cs="Times New Roman"/>
          <w:spacing w:val="5"/>
          <w:sz w:val="23"/>
          <w:szCs w:val="23"/>
          <w:highlight w:val="none"/>
        </w:rPr>
        <w:t>险废物鉴别标准浸出毒性鉴别》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5"/>
          <w:sz w:val="23"/>
          <w:szCs w:val="23"/>
          <w:highlight w:val="none"/>
        </w:rPr>
        <w:t>5085.3-2007</w:t>
      </w:r>
      <w:r>
        <w:rPr>
          <w:rFonts w:hint="default" w:ascii="Times New Roman" w:hAnsi="Times New Roman" w:eastAsia="宋体" w:cs="Times New Roman"/>
          <w:spacing w:val="5"/>
          <w:sz w:val="23"/>
          <w:szCs w:val="23"/>
          <w:highlight w:val="none"/>
        </w:rPr>
        <w:t>) 中规定的浸出液体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最</w:t>
      </w:r>
      <w:r>
        <w:rPr>
          <w:rFonts w:hint="default" w:ascii="Times New Roman" w:hAnsi="Times New Roman" w:eastAsia="宋体" w:cs="Times New Roman"/>
          <w:spacing w:val="11"/>
          <w:sz w:val="23"/>
          <w:szCs w:val="23"/>
          <w:highlight w:val="none"/>
        </w:rPr>
        <w:t>高</w:t>
      </w:r>
      <w:r>
        <w:rPr>
          <w:rFonts w:hint="default" w:ascii="Times New Roman" w:hAnsi="Times New Roman" w:eastAsia="宋体" w:cs="Times New Roman"/>
          <w:spacing w:val="9"/>
          <w:sz w:val="23"/>
          <w:szCs w:val="23"/>
          <w:highlight w:val="none"/>
        </w:rPr>
        <w:t>允许浓度，因此本项目尾矿砂不属于具有浸出毒性的危险废物。</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42" w:right="118" w:firstLine="588"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32"/>
          <w:sz w:val="23"/>
          <w:szCs w:val="23"/>
          <w:highlight w:val="none"/>
        </w:rPr>
        <w:t>尾</w:t>
      </w:r>
      <w:r>
        <w:rPr>
          <w:rFonts w:hint="default" w:ascii="Times New Roman" w:hAnsi="Times New Roman" w:eastAsia="宋体" w:cs="Times New Roman"/>
          <w:spacing w:val="29"/>
          <w:sz w:val="23"/>
          <w:szCs w:val="23"/>
          <w:highlight w:val="none"/>
        </w:rPr>
        <w:t>矿砂浸出液中任何一种污染物浓度均未超过《污水综合排放标准》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8"/>
          <w:sz w:val="23"/>
          <w:szCs w:val="23"/>
          <w:highlight w:val="none"/>
        </w:rPr>
        <w:t>8978-</w:t>
      </w:r>
      <w:r>
        <w:rPr>
          <w:rFonts w:hint="default" w:ascii="Times New Roman" w:hAnsi="Times New Roman" w:eastAsia="Times New Roman" w:cs="Times New Roman"/>
          <w:spacing w:val="4"/>
          <w:sz w:val="23"/>
          <w:szCs w:val="23"/>
          <w:highlight w:val="none"/>
        </w:rPr>
        <w:t xml:space="preserve"> 1996</w:t>
      </w:r>
      <w:r>
        <w:rPr>
          <w:rFonts w:hint="default" w:ascii="Times New Roman" w:hAnsi="Times New Roman" w:eastAsia="宋体" w:cs="Times New Roman"/>
          <w:spacing w:val="4"/>
          <w:sz w:val="23"/>
          <w:szCs w:val="23"/>
          <w:highlight w:val="none"/>
        </w:rPr>
        <w:t xml:space="preserve">) 最高允许排放浓度，且 </w:t>
      </w:r>
      <w:r>
        <w:rPr>
          <w:rFonts w:hint="default" w:ascii="Times New Roman" w:hAnsi="Times New Roman" w:eastAsia="Times New Roman" w:cs="Times New Roman"/>
          <w:sz w:val="23"/>
          <w:szCs w:val="23"/>
          <w:highlight w:val="none"/>
        </w:rPr>
        <w:t>pH</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 xml:space="preserve">值在 </w:t>
      </w:r>
      <w:r>
        <w:rPr>
          <w:rFonts w:hint="default" w:ascii="Times New Roman" w:hAnsi="Times New Roman" w:eastAsia="Times New Roman" w:cs="Times New Roman"/>
          <w:spacing w:val="4"/>
          <w:sz w:val="23"/>
          <w:szCs w:val="23"/>
          <w:highlight w:val="none"/>
        </w:rPr>
        <w:t xml:space="preserve">6-9 </w:t>
      </w:r>
      <w:r>
        <w:rPr>
          <w:rFonts w:hint="default" w:ascii="Times New Roman" w:hAnsi="Times New Roman" w:eastAsia="宋体" w:cs="Times New Roman"/>
          <w:spacing w:val="4"/>
          <w:sz w:val="23"/>
          <w:szCs w:val="23"/>
          <w:highlight w:val="none"/>
        </w:rPr>
        <w:t>之间，为第 Ⅰ类一般工业固体废物</w:t>
      </w:r>
      <w:r>
        <w:rPr>
          <w:rFonts w:hint="default" w:ascii="Times New Roman" w:hAnsi="Times New Roman" w:eastAsia="宋体" w:cs="Times New Roman"/>
          <w:spacing w:val="3"/>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30" w:right="116" w:firstLine="480" w:firstLineChars="200"/>
        <w:jc w:val="both"/>
        <w:textAlignment w:val="baseline"/>
        <w:rPr>
          <w:rFonts w:hint="default" w:ascii="Times New Roman" w:hAnsi="Times New Roman" w:eastAsia="宋体" w:cs="Times New Roman"/>
          <w:spacing w:val="5"/>
          <w:sz w:val="23"/>
          <w:szCs w:val="23"/>
          <w:highlight w:val="none"/>
        </w:rPr>
      </w:pPr>
      <w:r>
        <w:rPr>
          <w:rFonts w:hint="eastAsia" w:ascii="Times New Roman" w:hAnsi="Times New Roman" w:eastAsia="宋体" w:cs="Times New Roman"/>
          <w:spacing w:val="5"/>
          <w:sz w:val="23"/>
          <w:szCs w:val="23"/>
          <w:highlight w:val="none"/>
          <w:lang w:val="en-US" w:eastAsia="zh-CN"/>
        </w:rPr>
        <w:t>尾矿砂</w:t>
      </w:r>
      <w:r>
        <w:rPr>
          <w:rFonts w:hint="eastAsia" w:ascii="Times New Roman" w:hAnsi="Times New Roman" w:eastAsia="宋体" w:cs="Times New Roman"/>
          <w:spacing w:val="4"/>
          <w:sz w:val="23"/>
          <w:szCs w:val="23"/>
          <w:highlight w:val="none"/>
          <w:lang w:val="en-US" w:eastAsia="zh-CN"/>
        </w:rPr>
        <w:t>300000t/a、</w:t>
      </w:r>
      <w:r>
        <w:rPr>
          <w:rFonts w:hint="eastAsia" w:ascii="Times New Roman" w:hAnsi="Times New Roman" w:eastAsia="宋体" w:cs="Times New Roman"/>
          <w:spacing w:val="5"/>
          <w:sz w:val="23"/>
          <w:szCs w:val="23"/>
          <w:highlight w:val="none"/>
          <w:lang w:val="en-US" w:eastAsia="zh-CN"/>
        </w:rPr>
        <w:t>压</w:t>
      </w:r>
      <w:r>
        <w:rPr>
          <w:rFonts w:hint="eastAsia" w:ascii="Times New Roman" w:hAnsi="Times New Roman" w:eastAsia="宋体" w:cs="Times New Roman"/>
          <w:spacing w:val="4"/>
          <w:sz w:val="23"/>
          <w:szCs w:val="23"/>
          <w:highlight w:val="none"/>
          <w:lang w:val="en-US" w:eastAsia="zh-CN"/>
        </w:rPr>
        <w:t>滤泥饼50085.191t/a均暂存于压滤车间内，日产日销，作为建</w:t>
      </w:r>
      <w:r>
        <w:rPr>
          <w:rFonts w:hint="eastAsia" w:ascii="Times New Roman" w:hAnsi="Times New Roman" w:eastAsia="宋体" w:cs="Times New Roman"/>
          <w:spacing w:val="5"/>
          <w:sz w:val="23"/>
          <w:szCs w:val="23"/>
          <w:highlight w:val="none"/>
          <w:lang w:val="en-US" w:eastAsia="zh-CN"/>
        </w:rPr>
        <w:t>筑材料外售</w:t>
      </w:r>
      <w:r>
        <w:rPr>
          <w:rFonts w:hint="default" w:ascii="Times New Roman" w:hAnsi="Times New Roman" w:eastAsia="宋体" w:cs="Times New Roman"/>
          <w:spacing w:val="5"/>
          <w:sz w:val="23"/>
          <w:szCs w:val="23"/>
          <w:highlight w:val="none"/>
        </w:rPr>
        <w:t>，对环境影响较小。</w:t>
      </w:r>
    </w:p>
    <w:p>
      <w:pPr>
        <w:pStyle w:val="2"/>
        <w:ind w:firstLine="786" w:firstLineChars="300"/>
        <w:rPr>
          <w:rFonts w:hint="default" w:eastAsia="宋体"/>
          <w:highlight w:val="none"/>
          <w:lang w:val="en-US" w:eastAsia="zh-CN"/>
        </w:rPr>
      </w:pPr>
      <w:r>
        <w:rPr>
          <w:rFonts w:hint="default" w:ascii="Times New Roman" w:hAnsi="Times New Roman" w:eastAsia="宋体" w:cs="Times New Roman"/>
          <w:spacing w:val="16"/>
          <w:sz w:val="23"/>
          <w:szCs w:val="23"/>
          <w:highlight w:val="none"/>
        </w:rPr>
        <w:t>②</w:t>
      </w:r>
      <w:r>
        <w:rPr>
          <w:rFonts w:hint="eastAsia" w:ascii="Times New Roman" w:hAnsi="Times New Roman" w:eastAsia="宋体" w:cs="Times New Roman"/>
          <w:spacing w:val="16"/>
          <w:sz w:val="23"/>
          <w:szCs w:val="23"/>
          <w:highlight w:val="none"/>
          <w:lang w:val="en-US" w:eastAsia="zh-CN"/>
        </w:rPr>
        <w:t>砂石料350000t/a</w:t>
      </w:r>
      <w:r>
        <w:rPr>
          <w:rFonts w:hint="eastAsia" w:ascii="Times New Roman" w:hAnsi="Times New Roman" w:eastAsia="宋体" w:cs="Times New Roman"/>
          <w:spacing w:val="4"/>
          <w:sz w:val="23"/>
          <w:szCs w:val="23"/>
          <w:highlight w:val="none"/>
          <w:lang w:val="en-US" w:eastAsia="zh-CN"/>
        </w:rPr>
        <w:t>作为</w:t>
      </w:r>
      <w:r>
        <w:rPr>
          <w:rFonts w:hint="eastAsia" w:ascii="Times New Roman" w:hAnsi="Times New Roman" w:eastAsia="宋体" w:cs="Times New Roman"/>
          <w:spacing w:val="5"/>
          <w:sz w:val="23"/>
          <w:szCs w:val="23"/>
          <w:highlight w:val="none"/>
          <w:lang w:val="en-US" w:eastAsia="zh-CN"/>
        </w:rPr>
        <w:t>建筑材料外售。</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42" w:right="118" w:firstLine="576" w:firstLineChars="200"/>
        <w:jc w:val="both"/>
        <w:textAlignment w:val="baseline"/>
        <w:rPr>
          <w:rFonts w:hint="default" w:ascii="Times New Roman" w:hAnsi="Times New Roman" w:eastAsia="宋体" w:cs="Times New Roman"/>
          <w:spacing w:val="29"/>
          <w:sz w:val="23"/>
          <w:szCs w:val="23"/>
          <w:highlight w:val="none"/>
        </w:rPr>
      </w:pPr>
      <w:r>
        <w:rPr>
          <w:rFonts w:hint="default" w:ascii="Times New Roman" w:hAnsi="Times New Roman" w:eastAsia="宋体" w:cs="Times New Roman"/>
          <w:spacing w:val="29"/>
          <w:sz w:val="23"/>
          <w:szCs w:val="23"/>
          <w:highlight w:val="none"/>
        </w:rPr>
        <w:t>③</w:t>
      </w:r>
      <w:r>
        <w:rPr>
          <w:rFonts w:hint="default" w:ascii="Times New Roman" w:hAnsi="Times New Roman" w:eastAsia="宋体" w:cs="Times New Roman"/>
          <w:spacing w:val="16"/>
          <w:sz w:val="23"/>
          <w:szCs w:val="23"/>
          <w:highlight w:val="none"/>
        </w:rPr>
        <w:t>布</w:t>
      </w:r>
      <w:r>
        <w:rPr>
          <w:rFonts w:hint="default" w:ascii="Times New Roman" w:hAnsi="Times New Roman" w:eastAsia="宋体" w:cs="Times New Roman"/>
          <w:spacing w:val="11"/>
          <w:sz w:val="23"/>
          <w:szCs w:val="23"/>
          <w:highlight w:val="none"/>
        </w:rPr>
        <w:t>袋</w:t>
      </w:r>
      <w:r>
        <w:rPr>
          <w:rFonts w:hint="default" w:ascii="Times New Roman" w:hAnsi="Times New Roman" w:eastAsia="宋体" w:cs="Times New Roman"/>
          <w:spacing w:val="8"/>
          <w:sz w:val="23"/>
          <w:szCs w:val="23"/>
          <w:highlight w:val="none"/>
        </w:rPr>
        <w:t>除尘器收集的除尘灰产生量为</w:t>
      </w:r>
      <w:r>
        <w:rPr>
          <w:rFonts w:hint="eastAsia" w:ascii="Times New Roman" w:hAnsi="Times New Roman" w:eastAsia="宋体" w:cs="Times New Roman"/>
          <w:spacing w:val="8"/>
          <w:sz w:val="23"/>
          <w:szCs w:val="23"/>
          <w:highlight w:val="none"/>
          <w:lang w:val="en-US" w:eastAsia="zh-CN"/>
        </w:rPr>
        <w:t>370</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w:t>
      </w:r>
      <w:r>
        <w:rPr>
          <w:rFonts w:hint="eastAsia" w:ascii="Times New Roman" w:hAnsi="Times New Roman" w:eastAsia="宋体" w:cs="Times New Roman"/>
          <w:spacing w:val="8"/>
          <w:sz w:val="23"/>
          <w:szCs w:val="23"/>
          <w:highlight w:val="none"/>
          <w:lang w:val="en-US" w:eastAsia="zh-CN"/>
        </w:rPr>
        <w:t>灰仓底部设水箱，卸灰至水</w:t>
      </w:r>
      <w:r>
        <w:rPr>
          <w:rFonts w:hint="eastAsia" w:ascii="Times New Roman" w:hAnsi="Times New Roman" w:eastAsia="宋体" w:cs="Times New Roman"/>
          <w:spacing w:val="29"/>
          <w:sz w:val="23"/>
          <w:szCs w:val="23"/>
          <w:highlight w:val="none"/>
          <w:lang w:val="en-US" w:eastAsia="zh-CN"/>
        </w:rPr>
        <w:t>箱内，由渣浆泵打入球磨机回用于生产</w:t>
      </w:r>
      <w:r>
        <w:rPr>
          <w:rFonts w:hint="default" w:ascii="Times New Roman" w:hAnsi="Times New Roman" w:eastAsia="宋体" w:cs="Times New Roman"/>
          <w:spacing w:val="29"/>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42" w:right="118" w:firstLine="504" w:firstLineChars="200"/>
        <w:jc w:val="both"/>
        <w:textAlignment w:val="baseline"/>
        <w:rPr>
          <w:rFonts w:hint="default" w:ascii="Times New Roman" w:hAnsi="Times New Roman" w:eastAsia="宋体" w:cs="Times New Roman"/>
          <w:spacing w:val="29"/>
          <w:sz w:val="23"/>
          <w:szCs w:val="23"/>
          <w:highlight w:val="none"/>
        </w:rPr>
      </w:pPr>
      <w:r>
        <w:rPr>
          <w:rFonts w:hint="eastAsia" w:ascii="Times New Roman" w:hAnsi="Times New Roman" w:eastAsia="宋体" w:cs="Times New Roman"/>
          <w:spacing w:val="11"/>
          <w:sz w:val="23"/>
          <w:szCs w:val="23"/>
          <w:highlight w:val="none"/>
        </w:rPr>
        <w:t>④</w:t>
      </w:r>
      <w:r>
        <w:rPr>
          <w:rFonts w:hint="eastAsia" w:ascii="Times New Roman" w:hAnsi="Times New Roman" w:eastAsia="宋体" w:cs="Times New Roman"/>
          <w:spacing w:val="29"/>
          <w:sz w:val="23"/>
          <w:szCs w:val="23"/>
          <w:highlight w:val="none"/>
          <w:lang w:val="en-US" w:eastAsia="zh-CN"/>
        </w:rPr>
        <w:t>废钢球产生量10.5t/a，外售废品回收单位</w:t>
      </w:r>
      <w:r>
        <w:rPr>
          <w:rFonts w:hint="default" w:ascii="Times New Roman" w:hAnsi="Times New Roman" w:eastAsia="宋体" w:cs="Times New Roman"/>
          <w:spacing w:val="29"/>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42" w:right="118" w:firstLine="576" w:firstLineChars="200"/>
        <w:jc w:val="both"/>
        <w:textAlignment w:val="baseline"/>
        <w:rPr>
          <w:rFonts w:hint="default" w:ascii="Times New Roman" w:hAnsi="Times New Roman" w:eastAsia="宋体" w:cs="Times New Roman"/>
          <w:spacing w:val="29"/>
          <w:sz w:val="23"/>
          <w:szCs w:val="23"/>
          <w:highlight w:val="none"/>
        </w:rPr>
      </w:pPr>
      <w:r>
        <w:rPr>
          <w:rFonts w:hint="eastAsia" w:ascii="Times New Roman" w:hAnsi="Times New Roman" w:eastAsia="宋体" w:cs="Times New Roman"/>
          <w:spacing w:val="29"/>
          <w:sz w:val="23"/>
          <w:szCs w:val="23"/>
          <w:highlight w:val="none"/>
          <w:lang w:eastAsia="zh-CN"/>
        </w:rPr>
        <w:t>（</w:t>
      </w:r>
      <w:r>
        <w:rPr>
          <w:rFonts w:hint="eastAsia" w:ascii="Times New Roman" w:hAnsi="Times New Roman" w:eastAsia="宋体" w:cs="Times New Roman"/>
          <w:spacing w:val="29"/>
          <w:sz w:val="23"/>
          <w:szCs w:val="23"/>
          <w:highlight w:val="none"/>
          <w:lang w:val="en-US" w:eastAsia="zh-CN"/>
        </w:rPr>
        <w:t>2</w:t>
      </w:r>
      <w:r>
        <w:rPr>
          <w:rFonts w:hint="eastAsia" w:ascii="Times New Roman" w:hAnsi="Times New Roman" w:eastAsia="宋体" w:cs="Times New Roman"/>
          <w:spacing w:val="29"/>
          <w:sz w:val="23"/>
          <w:szCs w:val="23"/>
          <w:highlight w:val="none"/>
          <w:lang w:eastAsia="zh-CN"/>
        </w:rPr>
        <w:t>）</w:t>
      </w:r>
      <w:r>
        <w:rPr>
          <w:rFonts w:hint="default" w:ascii="Times New Roman" w:hAnsi="Times New Roman" w:eastAsia="宋体" w:cs="Times New Roman"/>
          <w:spacing w:val="29"/>
          <w:sz w:val="23"/>
          <w:szCs w:val="23"/>
          <w:highlight w:val="none"/>
        </w:rPr>
        <w:t>危险废物</w:t>
      </w:r>
    </w:p>
    <w:p>
      <w:pPr>
        <w:spacing w:before="215" w:line="400" w:lineRule="auto"/>
        <w:ind w:left="20" w:right="35" w:firstLine="477"/>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4"/>
          <w:sz w:val="23"/>
          <w:szCs w:val="23"/>
          <w:highlight w:val="none"/>
        </w:rPr>
        <w:t xml:space="preserve"> </w:t>
      </w:r>
      <w:r>
        <w:rPr>
          <w:rFonts w:hint="default" w:ascii="Times New Roman" w:hAnsi="Times New Roman" w:eastAsia="宋体" w:cs="Times New Roman"/>
          <w:spacing w:val="14"/>
          <w:sz w:val="23"/>
          <w:szCs w:val="23"/>
          <w:highlight w:val="none"/>
        </w:rPr>
        <w:t>、本项目在设备使用过程中会产生废矿物油、废油桶，危险废物编号</w:t>
      </w:r>
      <w:r>
        <w:rPr>
          <w:rFonts w:hint="default" w:ascii="Times New Roman" w:hAnsi="Times New Roman" w:eastAsia="宋体" w:cs="Times New Roman"/>
          <w:spacing w:val="8"/>
          <w:sz w:val="23"/>
          <w:szCs w:val="23"/>
          <w:highlight w:val="none"/>
        </w:rPr>
        <w:t>为</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z w:val="23"/>
          <w:szCs w:val="23"/>
          <w:highlight w:val="none"/>
        </w:rPr>
        <w:t>HW</w:t>
      </w:r>
      <w:r>
        <w:rPr>
          <w:rFonts w:hint="default" w:ascii="Times New Roman" w:hAnsi="Times New Roman" w:eastAsia="Times New Roman" w:cs="Times New Roman"/>
          <w:spacing w:val="6"/>
          <w:sz w:val="23"/>
          <w:szCs w:val="23"/>
          <w:highlight w:val="none"/>
        </w:rPr>
        <w:t>0</w:t>
      </w:r>
      <w:r>
        <w:rPr>
          <w:rFonts w:hint="default" w:ascii="Times New Roman" w:hAnsi="Times New Roman" w:eastAsia="Times New Roman" w:cs="Times New Roman"/>
          <w:spacing w:val="3"/>
          <w:sz w:val="23"/>
          <w:szCs w:val="23"/>
          <w:highlight w:val="none"/>
        </w:rPr>
        <w:t>8</w:t>
      </w:r>
      <w:r>
        <w:rPr>
          <w:rFonts w:hint="default" w:ascii="Times New Roman" w:hAnsi="Times New Roman" w:eastAsia="宋体" w:cs="Times New Roman"/>
          <w:spacing w:val="3"/>
          <w:sz w:val="23"/>
          <w:szCs w:val="23"/>
          <w:highlight w:val="none"/>
        </w:rPr>
        <w:t xml:space="preserve">，产生量分别为 </w:t>
      </w:r>
      <w:r>
        <w:rPr>
          <w:rFonts w:hint="default" w:ascii="Times New Roman" w:hAnsi="Times New Roman" w:eastAsia="Times New Roman" w:cs="Times New Roman"/>
          <w:spacing w:val="3"/>
          <w:sz w:val="23"/>
          <w:szCs w:val="23"/>
          <w:highlight w:val="none"/>
        </w:rPr>
        <w:t>0.2</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w:t>
      </w:r>
      <w:r>
        <w:rPr>
          <w:rFonts w:hint="default" w:ascii="Times New Roman" w:hAnsi="Times New Roman" w:eastAsia="Times New Roman" w:cs="Times New Roman"/>
          <w:spacing w:val="3"/>
          <w:sz w:val="23"/>
          <w:szCs w:val="23"/>
          <w:highlight w:val="none"/>
        </w:rPr>
        <w:t xml:space="preserve">1~2 </w:t>
      </w:r>
      <w:r>
        <w:rPr>
          <w:rFonts w:hint="default" w:ascii="Times New Roman" w:hAnsi="Times New Roman" w:eastAsia="宋体" w:cs="Times New Roman"/>
          <w:spacing w:val="3"/>
          <w:sz w:val="23"/>
          <w:szCs w:val="23"/>
          <w:highlight w:val="none"/>
        </w:rPr>
        <w:t>个；使用</w:t>
      </w:r>
      <w:r>
        <w:rPr>
          <w:rFonts w:hint="eastAsia" w:ascii="Times New Roman" w:hAnsi="Times New Roman" w:eastAsia="宋体" w:cs="Times New Roman"/>
          <w:spacing w:val="3"/>
          <w:sz w:val="23"/>
          <w:szCs w:val="23"/>
          <w:highlight w:val="none"/>
          <w:lang w:val="en-US" w:eastAsia="zh-CN"/>
        </w:rPr>
        <w:t>矿物油</w:t>
      </w:r>
      <w:r>
        <w:rPr>
          <w:rFonts w:hint="default" w:ascii="Times New Roman" w:hAnsi="Times New Roman" w:eastAsia="宋体" w:cs="Times New Roman"/>
          <w:spacing w:val="3"/>
          <w:sz w:val="23"/>
          <w:szCs w:val="23"/>
          <w:highlight w:val="none"/>
        </w:rPr>
        <w:t>的各生产设备设置接油盘对</w:t>
      </w:r>
      <w:r>
        <w:rPr>
          <w:rFonts w:hint="eastAsia" w:ascii="Times New Roman" w:hAnsi="Times New Roman" w:eastAsia="宋体" w:cs="Times New Roman"/>
          <w:spacing w:val="3"/>
          <w:sz w:val="23"/>
          <w:szCs w:val="23"/>
          <w:highlight w:val="none"/>
          <w:lang w:val="en-US" w:eastAsia="zh-CN"/>
        </w:rPr>
        <w:t>防止费油落地</w:t>
      </w:r>
      <w:r>
        <w:rPr>
          <w:rFonts w:hint="default" w:ascii="Times New Roman" w:hAnsi="Times New Roman" w:eastAsia="宋体" w:cs="Times New Roman"/>
          <w:spacing w:val="13"/>
          <w:sz w:val="23"/>
          <w:szCs w:val="23"/>
          <w:highlight w:val="none"/>
        </w:rPr>
        <w:t>，</w:t>
      </w:r>
      <w:r>
        <w:rPr>
          <w:rFonts w:hint="eastAsia" w:ascii="Times New Roman" w:hAnsi="Times New Roman" w:eastAsia="宋体" w:cs="Times New Roman"/>
          <w:spacing w:val="13"/>
          <w:sz w:val="23"/>
          <w:szCs w:val="23"/>
          <w:highlight w:val="none"/>
          <w:lang w:val="en-US" w:eastAsia="zh-CN"/>
        </w:rPr>
        <w:t>废矿物油集中于</w:t>
      </w:r>
      <w:r>
        <w:rPr>
          <w:rFonts w:hint="default" w:ascii="Times New Roman" w:hAnsi="Times New Roman" w:eastAsia="宋体" w:cs="Times New Roman"/>
          <w:spacing w:val="13"/>
          <w:sz w:val="23"/>
          <w:szCs w:val="23"/>
          <w:highlight w:val="none"/>
        </w:rPr>
        <w:t>耐腐蚀的容器，暂存在危废储存间内，定期运往</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有危</w:t>
      </w:r>
      <w:r>
        <w:rPr>
          <w:rFonts w:hint="default" w:ascii="Times New Roman" w:hAnsi="Times New Roman" w:eastAsia="宋体" w:cs="Times New Roman"/>
          <w:spacing w:val="10"/>
          <w:sz w:val="23"/>
          <w:szCs w:val="23"/>
          <w:highlight w:val="none"/>
        </w:rPr>
        <w:t>废</w:t>
      </w:r>
      <w:r>
        <w:rPr>
          <w:rFonts w:hint="default" w:ascii="Times New Roman" w:hAnsi="Times New Roman" w:eastAsia="宋体" w:cs="Times New Roman"/>
          <w:spacing w:val="9"/>
          <w:sz w:val="23"/>
          <w:szCs w:val="23"/>
          <w:highlight w:val="none"/>
        </w:rPr>
        <w:t>处理资质的单位进行处理、废油桶于危废间暂存后由厂家回收再利用。</w:t>
      </w:r>
    </w:p>
    <w:p>
      <w:pPr>
        <w:spacing w:before="8"/>
        <w:ind w:left="500"/>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B</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7"/>
          <w:sz w:val="23"/>
          <w:szCs w:val="23"/>
          <w:highlight w:val="none"/>
        </w:rPr>
        <w:t>、</w:t>
      </w:r>
      <w:r>
        <w:rPr>
          <w:rFonts w:hint="default" w:ascii="Times New Roman" w:hAnsi="Times New Roman" w:eastAsia="宋体" w:cs="Times New Roman"/>
          <w:spacing w:val="4"/>
          <w:sz w:val="23"/>
          <w:szCs w:val="23"/>
          <w:highlight w:val="none"/>
        </w:rPr>
        <w:t>危废间建设及管理要求</w:t>
      </w:r>
    </w:p>
    <w:p>
      <w:pPr>
        <w:spacing w:before="164" w:line="411" w:lineRule="auto"/>
        <w:ind w:left="28" w:right="37" w:firstLine="478"/>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8"/>
          <w:sz w:val="23"/>
          <w:szCs w:val="23"/>
          <w:highlight w:val="none"/>
          <w:lang w:val="en-US" w:eastAsia="zh-CN"/>
        </w:rPr>
        <w:t>厂区</w:t>
      </w:r>
      <w:r>
        <w:rPr>
          <w:rFonts w:hint="default" w:ascii="Times New Roman" w:hAnsi="Times New Roman" w:eastAsia="宋体" w:cs="Times New Roman"/>
          <w:spacing w:val="5"/>
          <w:sz w:val="23"/>
          <w:szCs w:val="23"/>
          <w:highlight w:val="none"/>
        </w:rPr>
        <w:t xml:space="preserve"> </w:t>
      </w:r>
      <w:r>
        <w:rPr>
          <w:rFonts w:hint="default" w:ascii="Times New Roman" w:hAnsi="Times New Roman" w:eastAsia="Times New Roman" w:cs="Times New Roman"/>
          <w:spacing w:val="5"/>
          <w:sz w:val="23"/>
          <w:szCs w:val="23"/>
          <w:highlight w:val="none"/>
        </w:rPr>
        <w:t>1#</w:t>
      </w:r>
      <w:r>
        <w:rPr>
          <w:rFonts w:hint="eastAsia" w:ascii="Times New Roman" w:hAnsi="Times New Roman" w:eastAsia="宋体" w:cs="Times New Roman"/>
          <w:spacing w:val="5"/>
          <w:sz w:val="23"/>
          <w:szCs w:val="23"/>
          <w:highlight w:val="none"/>
          <w:lang w:val="en-US" w:eastAsia="zh-CN"/>
        </w:rPr>
        <w:t>生产</w:t>
      </w:r>
      <w:r>
        <w:rPr>
          <w:rFonts w:hint="default" w:ascii="Times New Roman" w:hAnsi="Times New Roman" w:eastAsia="宋体" w:cs="Times New Roman"/>
          <w:spacing w:val="5"/>
          <w:sz w:val="23"/>
          <w:szCs w:val="23"/>
          <w:highlight w:val="none"/>
        </w:rPr>
        <w:t>车间内西北侧建</w:t>
      </w:r>
      <w:r>
        <w:rPr>
          <w:rFonts w:hint="eastAsia" w:ascii="Times New Roman" w:hAnsi="Times New Roman" w:eastAsia="宋体" w:cs="Times New Roman"/>
          <w:spacing w:val="5"/>
          <w:sz w:val="23"/>
          <w:szCs w:val="23"/>
          <w:highlight w:val="none"/>
          <w:lang w:val="en-US" w:eastAsia="zh-CN"/>
        </w:rPr>
        <w:t>有12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position w:val="8"/>
          <w:sz w:val="15"/>
          <w:szCs w:val="15"/>
          <w:highlight w:val="none"/>
        </w:rPr>
        <w:t xml:space="preserve">2 </w:t>
      </w:r>
      <w:r>
        <w:rPr>
          <w:rFonts w:hint="default" w:ascii="Times New Roman" w:hAnsi="Times New Roman" w:eastAsia="宋体" w:cs="Times New Roman"/>
          <w:spacing w:val="5"/>
          <w:sz w:val="23"/>
          <w:szCs w:val="23"/>
          <w:highlight w:val="none"/>
        </w:rPr>
        <w:t xml:space="preserve">危废间 </w:t>
      </w:r>
      <w:r>
        <w:rPr>
          <w:rFonts w:hint="default" w:ascii="Times New Roman" w:hAnsi="Times New Roman" w:eastAsia="Times New Roman" w:cs="Times New Roman"/>
          <w:spacing w:val="5"/>
          <w:sz w:val="23"/>
          <w:szCs w:val="23"/>
          <w:highlight w:val="none"/>
        </w:rPr>
        <w:t xml:space="preserve">1 </w:t>
      </w:r>
      <w:r>
        <w:rPr>
          <w:rFonts w:hint="default" w:ascii="Times New Roman" w:hAnsi="Times New Roman" w:eastAsia="宋体" w:cs="Times New Roman"/>
          <w:spacing w:val="5"/>
          <w:sz w:val="23"/>
          <w:szCs w:val="23"/>
          <w:highlight w:val="none"/>
        </w:rPr>
        <w:t>座，危险废物在危废间暂存</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期间严格按照《危险废物贮存污染控制标准》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7"/>
          <w:sz w:val="23"/>
          <w:szCs w:val="23"/>
          <w:highlight w:val="none"/>
        </w:rPr>
        <w:t>18597-20</w:t>
      </w:r>
      <w:r>
        <w:rPr>
          <w:rFonts w:hint="eastAsia" w:ascii="Times New Roman" w:hAnsi="Times New Roman" w:eastAsia="宋体" w:cs="Times New Roman"/>
          <w:spacing w:val="7"/>
          <w:sz w:val="23"/>
          <w:szCs w:val="23"/>
          <w:highlight w:val="none"/>
          <w:lang w:val="en-US" w:eastAsia="zh-CN"/>
        </w:rPr>
        <w:t>23</w:t>
      </w:r>
      <w:r>
        <w:rPr>
          <w:rFonts w:hint="default" w:ascii="Times New Roman" w:hAnsi="Times New Roman" w:eastAsia="宋体" w:cs="Times New Roman"/>
          <w:spacing w:val="7"/>
          <w:sz w:val="23"/>
          <w:szCs w:val="23"/>
          <w:highlight w:val="none"/>
        </w:rPr>
        <w:t xml:space="preserve">) </w:t>
      </w:r>
      <w:r>
        <w:rPr>
          <w:rFonts w:hint="default" w:ascii="Times New Roman" w:hAnsi="Times New Roman" w:eastAsia="宋体" w:cs="Times New Roman"/>
          <w:spacing w:val="1"/>
          <w:sz w:val="23"/>
          <w:szCs w:val="23"/>
          <w:highlight w:val="none"/>
        </w:rPr>
        <w:t>相</w:t>
      </w:r>
      <w:r>
        <w:rPr>
          <w:rFonts w:hint="default" w:ascii="Times New Roman" w:hAnsi="Times New Roman" w:eastAsia="宋体" w:cs="Times New Roman"/>
          <w:spacing w:val="5"/>
          <w:sz w:val="23"/>
          <w:szCs w:val="23"/>
          <w:highlight w:val="none"/>
        </w:rPr>
        <w:t>关</w:t>
      </w:r>
      <w:r>
        <w:rPr>
          <w:rFonts w:hint="default" w:ascii="Times New Roman" w:hAnsi="Times New Roman" w:eastAsia="宋体" w:cs="Times New Roman"/>
          <w:spacing w:val="4"/>
          <w:sz w:val="23"/>
          <w:szCs w:val="23"/>
          <w:highlight w:val="none"/>
        </w:rPr>
        <w:t>要求：</w:t>
      </w:r>
    </w:p>
    <w:p>
      <w:pPr>
        <w:spacing w:line="396" w:lineRule="auto"/>
        <w:ind w:left="26" w:right="32"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①</w:t>
      </w:r>
      <w:r>
        <w:rPr>
          <w:rFonts w:hint="default" w:ascii="Times New Roman" w:hAnsi="Times New Roman" w:eastAsia="宋体" w:cs="Times New Roman"/>
          <w:spacing w:val="12"/>
          <w:sz w:val="23"/>
          <w:szCs w:val="23"/>
          <w:highlight w:val="none"/>
        </w:rPr>
        <w:t>有</w:t>
      </w:r>
      <w:r>
        <w:rPr>
          <w:rFonts w:hint="default" w:ascii="Times New Roman" w:hAnsi="Times New Roman" w:eastAsia="宋体" w:cs="Times New Roman"/>
          <w:spacing w:val="7"/>
          <w:sz w:val="23"/>
          <w:szCs w:val="23"/>
          <w:highlight w:val="none"/>
        </w:rPr>
        <w:t xml:space="preserve">堵截泄漏的裙脚，地面及裙角均采取抗渗水泥防渗，裙角高度 </w:t>
      </w:r>
      <w:r>
        <w:rPr>
          <w:rFonts w:hint="default" w:ascii="Times New Roman" w:hAnsi="Times New Roman" w:eastAsia="Times New Roman" w:cs="Times New Roman"/>
          <w:spacing w:val="7"/>
          <w:sz w:val="23"/>
          <w:szCs w:val="23"/>
          <w:highlight w:val="none"/>
        </w:rPr>
        <w:t>1.5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厚度 </w:t>
      </w:r>
      <w:r>
        <w:rPr>
          <w:rFonts w:hint="default" w:ascii="Times New Roman" w:hAnsi="Times New Roman" w:eastAsia="Times New Roman" w:cs="Times New Roman"/>
          <w:spacing w:val="2"/>
          <w:sz w:val="23"/>
          <w:szCs w:val="23"/>
          <w:highlight w:val="none"/>
        </w:rPr>
        <w:t>20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 xml:space="preserve">，渗透系数小于 </w:t>
      </w:r>
      <w:r>
        <w:rPr>
          <w:rFonts w:hint="default" w:ascii="Times New Roman" w:hAnsi="Times New Roman" w:eastAsia="Times New Roman" w:cs="Times New Roman"/>
          <w:spacing w:val="2"/>
          <w:sz w:val="23"/>
          <w:szCs w:val="23"/>
          <w:highlight w:val="none"/>
        </w:rPr>
        <w:t>1×10</w:t>
      </w:r>
      <w:r>
        <w:rPr>
          <w:rFonts w:hint="default" w:ascii="Times New Roman" w:hAnsi="Times New Roman" w:eastAsia="Times New Roman" w:cs="Times New Roman"/>
          <w:spacing w:val="2"/>
          <w:position w:val="7"/>
          <w:sz w:val="15"/>
          <w:szCs w:val="15"/>
          <w:highlight w:val="none"/>
        </w:rPr>
        <w:t>- 10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s</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w:t>
      </w:r>
      <w:r>
        <w:rPr>
          <w:rFonts w:hint="default" w:ascii="Times New Roman" w:hAnsi="Times New Roman" w:eastAsia="宋体" w:cs="Times New Roman"/>
          <w:spacing w:val="1"/>
          <w:sz w:val="23"/>
          <w:szCs w:val="23"/>
          <w:highlight w:val="none"/>
        </w:rPr>
        <w:t xml:space="preserve">地面 </w:t>
      </w:r>
      <w:r>
        <w:rPr>
          <w:rFonts w:hint="default" w:ascii="Times New Roman" w:hAnsi="Times New Roman" w:eastAsia="Times New Roman" w:cs="Times New Roman"/>
          <w:spacing w:val="1"/>
          <w:sz w:val="23"/>
          <w:szCs w:val="23"/>
          <w:highlight w:val="none"/>
        </w:rPr>
        <w:t>10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防渗水泥浇筑，上铺一层环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氧</w:t>
      </w:r>
      <w:r>
        <w:rPr>
          <w:rFonts w:hint="default" w:ascii="Times New Roman" w:hAnsi="Times New Roman" w:eastAsia="宋体" w:cs="Times New Roman"/>
          <w:spacing w:val="7"/>
          <w:sz w:val="23"/>
          <w:szCs w:val="23"/>
          <w:highlight w:val="none"/>
        </w:rPr>
        <w:t xml:space="preserve">树脂防渗膜，渗透系数小于 </w:t>
      </w:r>
      <w:r>
        <w:rPr>
          <w:rFonts w:hint="default" w:ascii="Times New Roman" w:hAnsi="Times New Roman" w:eastAsia="Times New Roman" w:cs="Times New Roman"/>
          <w:spacing w:val="7"/>
          <w:sz w:val="23"/>
          <w:szCs w:val="23"/>
          <w:highlight w:val="none"/>
        </w:rPr>
        <w:t>1×10</w:t>
      </w:r>
      <w:r>
        <w:rPr>
          <w:rFonts w:hint="default" w:ascii="Times New Roman" w:hAnsi="Times New Roman" w:eastAsia="Times New Roman" w:cs="Times New Roman"/>
          <w:spacing w:val="7"/>
          <w:position w:val="8"/>
          <w:sz w:val="15"/>
          <w:szCs w:val="15"/>
          <w:highlight w:val="none"/>
        </w:rPr>
        <w:t>- 10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s</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。危废间设有隔离设施、报警装置和</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防</w:t>
      </w:r>
      <w:r>
        <w:rPr>
          <w:rFonts w:hint="default" w:ascii="Times New Roman" w:hAnsi="Times New Roman" w:eastAsia="宋体" w:cs="Times New Roman"/>
          <w:spacing w:val="8"/>
          <w:sz w:val="23"/>
          <w:szCs w:val="23"/>
          <w:highlight w:val="none"/>
        </w:rPr>
        <w:t>风、防晒、防雨等安全设施。</w:t>
      </w:r>
    </w:p>
    <w:p>
      <w:pPr>
        <w:spacing w:before="25" w:line="402" w:lineRule="auto"/>
        <w:ind w:left="25" w:right="42"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4"/>
          <w:sz w:val="23"/>
          <w:szCs w:val="23"/>
          <w:highlight w:val="none"/>
        </w:rPr>
        <w:t>②</w:t>
      </w:r>
      <w:r>
        <w:rPr>
          <w:rFonts w:hint="default" w:ascii="Times New Roman" w:hAnsi="Times New Roman" w:eastAsia="宋体" w:cs="Times New Roman"/>
          <w:spacing w:val="13"/>
          <w:sz w:val="23"/>
          <w:szCs w:val="23"/>
          <w:highlight w:val="none"/>
        </w:rPr>
        <w:t>有泄漏液体收集装置、气体导出口及气体净化装置；设施内有安全照明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装置和观察窗口；并设置环保专用标志</w:t>
      </w:r>
      <w:r>
        <w:rPr>
          <w:rFonts w:hint="default" w:ascii="Times New Roman" w:hAnsi="Times New Roman" w:eastAsia="宋体" w:cs="Times New Roman"/>
          <w:spacing w:val="7"/>
          <w:sz w:val="23"/>
          <w:szCs w:val="23"/>
          <w:highlight w:val="none"/>
        </w:rPr>
        <w:t>。</w:t>
      </w:r>
    </w:p>
    <w:p>
      <w:pPr>
        <w:spacing w:before="1" w:line="401" w:lineRule="auto"/>
        <w:ind w:left="25" w:right="42"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4"/>
          <w:sz w:val="23"/>
          <w:szCs w:val="23"/>
          <w:highlight w:val="none"/>
        </w:rPr>
        <w:t>③</w:t>
      </w:r>
      <w:r>
        <w:rPr>
          <w:rFonts w:hint="default" w:ascii="Times New Roman" w:hAnsi="Times New Roman" w:eastAsia="宋体" w:cs="Times New Roman"/>
          <w:spacing w:val="13"/>
          <w:sz w:val="23"/>
          <w:szCs w:val="23"/>
          <w:highlight w:val="none"/>
        </w:rPr>
        <w:t>做好危险废物情况记录，记录上注明危险废物的名称、来源、数量、特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性</w:t>
      </w:r>
      <w:r>
        <w:rPr>
          <w:rFonts w:hint="default" w:ascii="Times New Roman" w:hAnsi="Times New Roman" w:eastAsia="宋体" w:cs="Times New Roman"/>
          <w:spacing w:val="13"/>
          <w:sz w:val="23"/>
          <w:szCs w:val="23"/>
          <w:highlight w:val="none"/>
        </w:rPr>
        <w:t>、</w:t>
      </w:r>
      <w:r>
        <w:rPr>
          <w:rFonts w:hint="default" w:ascii="Times New Roman" w:hAnsi="Times New Roman" w:eastAsia="宋体" w:cs="Times New Roman"/>
          <w:spacing w:val="9"/>
          <w:sz w:val="23"/>
          <w:szCs w:val="23"/>
          <w:highlight w:val="none"/>
        </w:rPr>
        <w:t>包装容器的类别、入库日期、存放位置、出库日期、接收单位名称等。</w:t>
      </w:r>
    </w:p>
    <w:p>
      <w:pPr>
        <w:spacing w:before="2" w:line="400" w:lineRule="auto"/>
        <w:ind w:left="25" w:right="42" w:firstLine="478"/>
        <w:rPr>
          <w:rFonts w:hint="default" w:ascii="Times New Roman" w:hAnsi="Times New Roman" w:eastAsia="宋体" w:cs="Times New Roman"/>
          <w:spacing w:val="6"/>
          <w:sz w:val="23"/>
          <w:szCs w:val="23"/>
          <w:highlight w:val="none"/>
        </w:rPr>
      </w:pPr>
      <w:r>
        <w:rPr>
          <w:rFonts w:hint="default" w:ascii="Times New Roman" w:hAnsi="Times New Roman" w:eastAsia="宋体" w:cs="Times New Roman"/>
          <w:spacing w:val="24"/>
          <w:sz w:val="23"/>
          <w:szCs w:val="23"/>
          <w:highlight w:val="none"/>
        </w:rPr>
        <w:t>④</w:t>
      </w:r>
      <w:r>
        <w:rPr>
          <w:rFonts w:hint="default" w:ascii="Times New Roman" w:hAnsi="Times New Roman" w:eastAsia="宋体" w:cs="Times New Roman"/>
          <w:spacing w:val="13"/>
          <w:sz w:val="23"/>
          <w:szCs w:val="23"/>
          <w:highlight w:val="none"/>
        </w:rPr>
        <w:t>定期对所贮存的危险废物包装容器及贮存设施进行检查，发现漏损及时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清理更</w:t>
      </w:r>
      <w:r>
        <w:rPr>
          <w:rFonts w:hint="eastAsia" w:ascii="Times New Roman" w:hAnsi="Times New Roman" w:eastAsia="宋体" w:cs="Times New Roman"/>
          <w:spacing w:val="6"/>
          <w:sz w:val="23"/>
          <w:szCs w:val="23"/>
          <w:highlight w:val="none"/>
          <w:lang w:val="en-US" w:eastAsia="zh-CN"/>
        </w:rPr>
        <w:t>换</w:t>
      </w:r>
      <w:r>
        <w:rPr>
          <w:rFonts w:hint="default" w:ascii="Times New Roman" w:hAnsi="Times New Roman" w:eastAsia="宋体" w:cs="Times New Roman"/>
          <w:spacing w:val="6"/>
          <w:sz w:val="23"/>
          <w:szCs w:val="23"/>
          <w:highlight w:val="none"/>
        </w:rPr>
        <w:t>。</w:t>
      </w:r>
    </w:p>
    <w:p>
      <w:pPr>
        <w:tabs>
          <w:tab w:val="left" w:pos="519"/>
        </w:tabs>
        <w:bidi w:val="0"/>
        <w:jc w:val="left"/>
        <w:rPr>
          <w:rFonts w:hint="default" w:ascii="Times New Roman" w:hAnsi="Times New Roman" w:cs="Times New Roman"/>
          <w:b w:val="0"/>
          <w:bCs/>
          <w:sz w:val="23"/>
          <w:szCs w:val="23"/>
          <w:highlight w:val="none"/>
          <w:lang w:val="en-US" w:eastAsia="zh-CN"/>
        </w:rPr>
      </w:pPr>
      <w:r>
        <w:rPr>
          <w:rFonts w:hint="default" w:ascii="Times New Roman" w:hAnsi="Times New Roman" w:cs="Times New Roman"/>
          <w:highlight w:val="none"/>
        </w:rPr>
        <w:pict>
          <v:shape id="_x0000_s1130" o:spid="_x0000_s1130" style="position:absolute;left:0pt;margin-left:90.15pt;margin-top:59.05pt;height:0.75pt;width:413.85pt;mso-position-horizontal-relative:page;mso-position-vertical-relative:page;z-index:251696128;mso-width-relative:page;mso-height-relative:page;" fillcolor="#000000" filled="t" stroked="f" coordsize="8277,15" o:allowincell="f" path="m0,0l8276,0,8276,14,0,14,0,0xe">
            <v:path/>
            <v:fill on="t" focussize="0,0"/>
            <v:stroke on="f"/>
            <v:imagedata o:title=""/>
            <o:lock v:ext="edit"/>
          </v:shape>
        </w:pict>
      </w:r>
      <w:r>
        <w:rPr>
          <w:rFonts w:hint="default" w:ascii="Times New Roman" w:hAnsi="Times New Roman" w:cs="Times New Roman"/>
          <w:highlight w:val="none"/>
        </w:rPr>
        <w:pict>
          <v:shape id="_x0000_s1131" o:spid="_x0000_s1131" style="position:absolute;left:0pt;margin-left:90.15pt;margin-top:776.35pt;height:0.75pt;width:413.85pt;mso-position-horizontal-relative:page;mso-position-vertical-relative:page;z-index:251697152;mso-width-relative:page;mso-height-relative:page;" fillcolor="#FFFFFF" filled="t" stroked="f" coordsize="8277,15" o:allowincell="f" path="m0,0l8276,0,8276,14,0,14,0,0xe">
            <v:path/>
            <v:fill on="t" color2="#FFFFFF" focussize="0,0"/>
            <v:stroke on="f"/>
            <v:imagedata o:title=""/>
            <o:lock v:ext="edit" aspectratio="f"/>
          </v:shape>
        </w:pict>
      </w:r>
      <w:r>
        <w:rPr>
          <w:rFonts w:hint="default" w:ascii="Times New Roman" w:hAnsi="Times New Roman" w:cs="Times New Roman"/>
          <w:b w:val="0"/>
          <w:bCs/>
          <w:sz w:val="23"/>
          <w:szCs w:val="23"/>
          <w:highlight w:val="none"/>
          <w:lang w:val="en-US" w:eastAsia="zh-CN"/>
        </w:rPr>
        <w:t>3.</w:t>
      </w:r>
      <w:r>
        <w:rPr>
          <w:rFonts w:hint="eastAsia" w:ascii="Times New Roman" w:hAnsi="Times New Roman" w:cs="Times New Roman"/>
          <w:b w:val="0"/>
          <w:bCs/>
          <w:sz w:val="23"/>
          <w:szCs w:val="23"/>
          <w:highlight w:val="none"/>
          <w:lang w:val="en-US" w:eastAsia="zh-CN"/>
        </w:rPr>
        <w:t>3</w:t>
      </w:r>
      <w:r>
        <w:rPr>
          <w:rFonts w:hint="default" w:ascii="Times New Roman" w:hAnsi="Times New Roman" w:cs="Times New Roman"/>
          <w:b w:val="0"/>
          <w:bCs/>
          <w:sz w:val="23"/>
          <w:szCs w:val="23"/>
          <w:highlight w:val="none"/>
          <w:lang w:val="en-US" w:eastAsia="zh-CN"/>
        </w:rPr>
        <w:t>.</w:t>
      </w:r>
      <w:r>
        <w:rPr>
          <w:rFonts w:hint="eastAsia" w:ascii="Times New Roman" w:hAnsi="Times New Roman" w:cs="Times New Roman"/>
          <w:b w:val="0"/>
          <w:bCs/>
          <w:sz w:val="23"/>
          <w:szCs w:val="23"/>
          <w:highlight w:val="none"/>
          <w:lang w:val="en-US" w:eastAsia="zh-CN"/>
        </w:rPr>
        <w:t>2.</w:t>
      </w:r>
      <w:r>
        <w:rPr>
          <w:rFonts w:hint="default" w:ascii="Times New Roman" w:hAnsi="Times New Roman" w:cs="Times New Roman"/>
          <w:b w:val="0"/>
          <w:bCs/>
          <w:sz w:val="23"/>
          <w:szCs w:val="23"/>
          <w:highlight w:val="none"/>
          <w:lang w:val="en-US" w:eastAsia="zh-CN"/>
        </w:rPr>
        <w:t>5  物料运输对周边环境的影响</w:t>
      </w:r>
    </w:p>
    <w:p>
      <w:pPr>
        <w:keepNext w:val="0"/>
        <w:keepLines w:val="0"/>
        <w:pageBreakBefore w:val="0"/>
        <w:widowControl/>
        <w:kinsoku w:val="0"/>
        <w:wordWrap/>
        <w:overflowPunct/>
        <w:topLinePunct w:val="0"/>
        <w:autoSpaceDE w:val="0"/>
        <w:autoSpaceDN w:val="0"/>
        <w:bidi w:val="0"/>
        <w:adjustRightInd w:val="0"/>
        <w:snapToGrid w:val="0"/>
        <w:spacing w:before="75" w:line="460" w:lineRule="exact"/>
        <w:ind w:left="30" w:right="79" w:firstLine="520"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5"/>
          <w:sz w:val="23"/>
          <w:szCs w:val="23"/>
          <w:highlight w:val="none"/>
        </w:rPr>
        <w:t>本</w:t>
      </w:r>
      <w:r>
        <w:rPr>
          <w:rFonts w:hint="default" w:ascii="Times New Roman" w:hAnsi="Times New Roman" w:eastAsia="宋体" w:cs="Times New Roman"/>
          <w:spacing w:val="12"/>
          <w:sz w:val="23"/>
          <w:szCs w:val="23"/>
          <w:highlight w:val="none"/>
        </w:rPr>
        <w:t>项目矿石、铁精粉、尾矿砂等运输过程中会对道路两侧的大气、</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声</w:t>
      </w:r>
      <w:r>
        <w:rPr>
          <w:rFonts w:hint="default" w:ascii="Times New Roman" w:hAnsi="Times New Roman" w:eastAsia="宋体" w:cs="Times New Roman"/>
          <w:spacing w:val="9"/>
          <w:sz w:val="23"/>
          <w:szCs w:val="23"/>
          <w:highlight w:val="none"/>
        </w:rPr>
        <w:t>环境造成一定影响。主要为物料扬尘以及车辆噪声对周围环境的影响。</w:t>
      </w:r>
    </w:p>
    <w:p>
      <w:pPr>
        <w:keepNext w:val="0"/>
        <w:keepLines w:val="0"/>
        <w:pageBreakBefore w:val="0"/>
        <w:widowControl/>
        <w:kinsoku w:val="0"/>
        <w:wordWrap/>
        <w:overflowPunct/>
        <w:topLinePunct w:val="0"/>
        <w:autoSpaceDE w:val="0"/>
        <w:autoSpaceDN w:val="0"/>
        <w:bidi w:val="0"/>
        <w:adjustRightInd w:val="0"/>
        <w:snapToGrid w:val="0"/>
        <w:spacing w:before="75" w:line="460" w:lineRule="exact"/>
        <w:ind w:left="30" w:right="79" w:firstLine="496" w:firstLineChars="200"/>
        <w:jc w:val="both"/>
        <w:textAlignment w:val="baseline"/>
        <w:rPr>
          <w:rFonts w:hint="default" w:ascii="Times New Roman" w:hAnsi="Times New Roman" w:eastAsia="宋体" w:cs="Times New Roman"/>
          <w:spacing w:val="9"/>
          <w:sz w:val="23"/>
          <w:szCs w:val="23"/>
          <w:highlight w:val="none"/>
        </w:rPr>
      </w:pPr>
      <w:r>
        <w:rPr>
          <w:rFonts w:hint="eastAsia" w:ascii="Times New Roman" w:hAnsi="Times New Roman" w:eastAsia="宋体" w:cs="Times New Roman"/>
          <w:spacing w:val="9"/>
          <w:sz w:val="23"/>
          <w:szCs w:val="23"/>
          <w:highlight w:val="none"/>
          <w:lang w:eastAsia="zh-CN"/>
        </w:rPr>
        <w:t>（</w:t>
      </w:r>
      <w:r>
        <w:rPr>
          <w:rFonts w:hint="eastAsia" w:ascii="Times New Roman" w:hAnsi="Times New Roman" w:eastAsia="宋体" w:cs="Times New Roman"/>
          <w:spacing w:val="9"/>
          <w:sz w:val="23"/>
          <w:szCs w:val="23"/>
          <w:highlight w:val="none"/>
          <w:lang w:val="en-US" w:eastAsia="zh-CN"/>
        </w:rPr>
        <w:t>1</w:t>
      </w:r>
      <w:r>
        <w:rPr>
          <w:rFonts w:hint="eastAsia" w:ascii="Times New Roman" w:hAnsi="Times New Roman" w:eastAsia="宋体" w:cs="Times New Roman"/>
          <w:spacing w:val="9"/>
          <w:sz w:val="23"/>
          <w:szCs w:val="23"/>
          <w:highlight w:val="none"/>
          <w:lang w:eastAsia="zh-CN"/>
        </w:rPr>
        <w:t>）</w:t>
      </w:r>
      <w:r>
        <w:rPr>
          <w:rFonts w:hint="default" w:ascii="Times New Roman" w:hAnsi="Times New Roman" w:eastAsia="宋体" w:cs="Times New Roman"/>
          <w:spacing w:val="9"/>
          <w:sz w:val="23"/>
          <w:szCs w:val="23"/>
          <w:highlight w:val="none"/>
        </w:rPr>
        <w:t>声环境影响分析及措施</w:t>
      </w:r>
    </w:p>
    <w:p>
      <w:pPr>
        <w:keepNext w:val="0"/>
        <w:keepLines w:val="0"/>
        <w:pageBreakBefore w:val="0"/>
        <w:widowControl/>
        <w:kinsoku w:val="0"/>
        <w:wordWrap/>
        <w:overflowPunct/>
        <w:topLinePunct w:val="0"/>
        <w:autoSpaceDE w:val="0"/>
        <w:autoSpaceDN w:val="0"/>
        <w:bidi w:val="0"/>
        <w:adjustRightInd w:val="0"/>
        <w:snapToGrid w:val="0"/>
        <w:spacing w:before="74" w:line="460" w:lineRule="exact"/>
        <w:ind w:left="25" w:right="40" w:firstLine="476"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 xml:space="preserve">矿区至选矿厂道路、项目厂区内运输通路、成品库运输至 </w:t>
      </w:r>
      <w:r>
        <w:rPr>
          <w:rFonts w:hint="default" w:ascii="Times New Roman" w:hAnsi="Times New Roman" w:eastAsia="Times New Roman" w:cs="Times New Roman"/>
          <w:spacing w:val="4"/>
          <w:sz w:val="23"/>
          <w:szCs w:val="23"/>
          <w:highlight w:val="none"/>
        </w:rPr>
        <w:t xml:space="preserve">112 </w:t>
      </w:r>
      <w:r>
        <w:rPr>
          <w:rFonts w:hint="default" w:ascii="Times New Roman" w:hAnsi="Times New Roman" w:eastAsia="宋体" w:cs="Times New Roman"/>
          <w:spacing w:val="4"/>
          <w:sz w:val="23"/>
          <w:szCs w:val="23"/>
          <w:highlight w:val="none"/>
        </w:rPr>
        <w:t>国道的厂区</w:t>
      </w:r>
      <w:r>
        <w:rPr>
          <w:rFonts w:hint="default" w:ascii="Times New Roman" w:hAnsi="Times New Roman" w:eastAsia="宋体" w:cs="Times New Roman"/>
          <w:spacing w:val="1"/>
          <w:sz w:val="23"/>
          <w:szCs w:val="23"/>
          <w:highlight w:val="none"/>
        </w:rPr>
        <w:t>外</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4"/>
          <w:sz w:val="23"/>
          <w:szCs w:val="23"/>
          <w:highlight w:val="none"/>
        </w:rPr>
        <w:t>运</w:t>
      </w:r>
      <w:r>
        <w:rPr>
          <w:rFonts w:hint="default" w:ascii="Times New Roman" w:hAnsi="Times New Roman" w:eastAsia="宋体" w:cs="Times New Roman"/>
          <w:spacing w:val="22"/>
          <w:sz w:val="23"/>
          <w:szCs w:val="23"/>
          <w:highlight w:val="none"/>
        </w:rPr>
        <w:t>输</w:t>
      </w:r>
      <w:r>
        <w:rPr>
          <w:rFonts w:hint="default" w:ascii="Times New Roman" w:hAnsi="Times New Roman" w:eastAsia="宋体" w:cs="Times New Roman"/>
          <w:spacing w:val="12"/>
          <w:sz w:val="23"/>
          <w:szCs w:val="23"/>
          <w:highlight w:val="none"/>
        </w:rPr>
        <w:t xml:space="preserve">道路均要求采用水泥混凝土硬化，路面宽度 </w:t>
      </w:r>
      <w:r>
        <w:rPr>
          <w:rFonts w:hint="default" w:ascii="Times New Roman" w:hAnsi="Times New Roman" w:eastAsia="Times New Roman" w:cs="Times New Roman"/>
          <w:spacing w:val="12"/>
          <w:sz w:val="23"/>
          <w:szCs w:val="23"/>
          <w:highlight w:val="none"/>
        </w:rPr>
        <w:t>6</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2"/>
          <w:sz w:val="23"/>
          <w:szCs w:val="23"/>
          <w:highlight w:val="none"/>
        </w:rPr>
        <w:t xml:space="preserve"> </w:t>
      </w:r>
      <w:r>
        <w:rPr>
          <w:rFonts w:hint="default" w:ascii="Times New Roman" w:hAnsi="Times New Roman" w:eastAsia="宋体" w:cs="Times New Roman"/>
          <w:spacing w:val="12"/>
          <w:sz w:val="23"/>
          <w:szCs w:val="23"/>
          <w:highlight w:val="none"/>
        </w:rPr>
        <w:t>、水泥混凝土厚度不低于</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4"/>
          <w:sz w:val="23"/>
          <w:szCs w:val="23"/>
          <w:highlight w:val="none"/>
        </w:rPr>
        <w:t>0.3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3"/>
          <w:sz w:val="23"/>
          <w:szCs w:val="23"/>
          <w:highlight w:val="none"/>
        </w:rPr>
        <w:t xml:space="preserve"> </w:t>
      </w:r>
      <w:r>
        <w:rPr>
          <w:rFonts w:hint="default" w:ascii="Times New Roman" w:hAnsi="Times New Roman" w:eastAsia="宋体" w:cs="Times New Roman"/>
          <w:spacing w:val="7"/>
          <w:sz w:val="23"/>
          <w:szCs w:val="23"/>
          <w:highlight w:val="none"/>
        </w:rPr>
        <w:t xml:space="preserve">，路基宽度 </w:t>
      </w:r>
      <w:r>
        <w:rPr>
          <w:rFonts w:hint="default" w:ascii="Times New Roman" w:hAnsi="Times New Roman" w:eastAsia="Times New Roman" w:cs="Times New Roman"/>
          <w:spacing w:val="7"/>
          <w:sz w:val="23"/>
          <w:szCs w:val="23"/>
          <w:highlight w:val="none"/>
        </w:rPr>
        <w:t>6.5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，道路两侧参照三级公路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绿化标准进行绿化</w:t>
      </w:r>
      <w:r>
        <w:rPr>
          <w:rFonts w:hint="default" w:ascii="Times New Roman" w:hAnsi="Times New Roman" w:eastAsia="宋体" w:cs="Times New Roman"/>
          <w:spacing w:val="7"/>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1" w:line="460" w:lineRule="exact"/>
        <w:ind w:left="25" w:right="40" w:firstLine="556"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4"/>
          <w:sz w:val="23"/>
          <w:szCs w:val="23"/>
          <w:highlight w:val="none"/>
        </w:rPr>
        <w:t>本</w:t>
      </w:r>
      <w:r>
        <w:rPr>
          <w:rFonts w:hint="default" w:ascii="Times New Roman" w:hAnsi="Times New Roman" w:eastAsia="宋体" w:cs="Times New Roman"/>
          <w:spacing w:val="13"/>
          <w:sz w:val="23"/>
          <w:szCs w:val="23"/>
          <w:highlight w:val="none"/>
        </w:rPr>
        <w:t>项目运输路线两侧较近的敏感点为皮各庄村，</w:t>
      </w:r>
      <w:r>
        <w:rPr>
          <w:rFonts w:hint="eastAsia" w:ascii="Times New Roman" w:hAnsi="Times New Roman" w:eastAsia="宋体" w:cs="Times New Roman"/>
          <w:spacing w:val="13"/>
          <w:sz w:val="23"/>
          <w:szCs w:val="23"/>
          <w:highlight w:val="none"/>
          <w:lang w:val="en-US" w:eastAsia="zh-CN"/>
        </w:rPr>
        <w:t>运输车辆不得超载，采取减速慢行的措施控制噪声</w:t>
      </w:r>
      <w:r>
        <w:rPr>
          <w:rFonts w:hint="default" w:ascii="Times New Roman" w:hAnsi="Times New Roman" w:eastAsia="宋体" w:cs="Times New Roman"/>
          <w:spacing w:val="13"/>
          <w:sz w:val="23"/>
          <w:szCs w:val="23"/>
          <w:highlight w:val="none"/>
        </w:rPr>
        <w:t>，并在采取上述措施情况下加强</w:t>
      </w:r>
      <w:r>
        <w:rPr>
          <w:rFonts w:hint="eastAsia" w:ascii="Times New Roman" w:hAnsi="Times New Roman" w:eastAsia="宋体" w:cs="Times New Roman"/>
          <w:spacing w:val="13"/>
          <w:sz w:val="23"/>
          <w:szCs w:val="23"/>
          <w:highlight w:val="none"/>
          <w:lang w:val="en-US" w:eastAsia="zh-CN"/>
        </w:rPr>
        <w:t>道路</w:t>
      </w:r>
      <w:r>
        <w:rPr>
          <w:rFonts w:hint="default" w:ascii="Times New Roman" w:hAnsi="Times New Roman" w:eastAsia="宋体" w:cs="Times New Roman"/>
          <w:spacing w:val="13"/>
          <w:sz w:val="23"/>
          <w:szCs w:val="23"/>
          <w:highlight w:val="none"/>
        </w:rPr>
        <w:t>管理，</w:t>
      </w:r>
      <w:r>
        <w:rPr>
          <w:rFonts w:hint="eastAsia" w:ascii="Times New Roman" w:hAnsi="Times New Roman" w:eastAsia="宋体" w:cs="Times New Roman"/>
          <w:spacing w:val="13"/>
          <w:sz w:val="23"/>
          <w:szCs w:val="23"/>
          <w:highlight w:val="none"/>
          <w:lang w:val="en-US" w:eastAsia="zh-CN"/>
        </w:rPr>
        <w:t>保证运输道路平整，夜间</w:t>
      </w:r>
      <w:r>
        <w:rPr>
          <w:rFonts w:hint="default" w:ascii="Times New Roman" w:hAnsi="Times New Roman" w:eastAsia="宋体" w:cs="Times New Roman"/>
          <w:spacing w:val="8"/>
          <w:sz w:val="23"/>
          <w:szCs w:val="23"/>
          <w:highlight w:val="none"/>
        </w:rPr>
        <w:t>禁止鸣笛。</w:t>
      </w:r>
    </w:p>
    <w:p>
      <w:pPr>
        <w:keepNext w:val="0"/>
        <w:keepLines w:val="0"/>
        <w:pageBreakBefore w:val="0"/>
        <w:widowControl/>
        <w:kinsoku w:val="0"/>
        <w:wordWrap/>
        <w:overflowPunct/>
        <w:topLinePunct w:val="0"/>
        <w:autoSpaceDE w:val="0"/>
        <w:autoSpaceDN w:val="0"/>
        <w:bidi w:val="0"/>
        <w:adjustRightInd w:val="0"/>
        <w:snapToGrid w:val="0"/>
        <w:spacing w:before="75" w:line="460" w:lineRule="exact"/>
        <w:ind w:left="30" w:right="79" w:firstLine="496" w:firstLineChars="200"/>
        <w:jc w:val="both"/>
        <w:textAlignment w:val="baseline"/>
        <w:rPr>
          <w:rFonts w:hint="default" w:ascii="Times New Roman" w:hAnsi="Times New Roman" w:eastAsia="宋体" w:cs="Times New Roman"/>
          <w:spacing w:val="9"/>
          <w:sz w:val="23"/>
          <w:szCs w:val="23"/>
          <w:highlight w:val="none"/>
        </w:rPr>
      </w:pPr>
      <w:r>
        <w:rPr>
          <w:rFonts w:hint="eastAsia" w:ascii="Times New Roman" w:hAnsi="Times New Roman" w:eastAsia="宋体" w:cs="Times New Roman"/>
          <w:spacing w:val="9"/>
          <w:sz w:val="23"/>
          <w:szCs w:val="23"/>
          <w:highlight w:val="none"/>
          <w:lang w:eastAsia="zh-CN"/>
        </w:rPr>
        <w:t>（</w:t>
      </w:r>
      <w:r>
        <w:rPr>
          <w:rFonts w:hint="eastAsia" w:ascii="Times New Roman" w:hAnsi="Times New Roman" w:eastAsia="宋体" w:cs="Times New Roman"/>
          <w:spacing w:val="9"/>
          <w:sz w:val="23"/>
          <w:szCs w:val="23"/>
          <w:highlight w:val="none"/>
          <w:lang w:val="en-US" w:eastAsia="zh-CN"/>
        </w:rPr>
        <w:t>2</w:t>
      </w:r>
      <w:r>
        <w:rPr>
          <w:rFonts w:hint="eastAsia" w:ascii="Times New Roman" w:hAnsi="Times New Roman" w:eastAsia="宋体" w:cs="Times New Roman"/>
          <w:spacing w:val="9"/>
          <w:sz w:val="23"/>
          <w:szCs w:val="23"/>
          <w:highlight w:val="none"/>
          <w:lang w:eastAsia="zh-CN"/>
        </w:rPr>
        <w:t>）</w:t>
      </w:r>
      <w:r>
        <w:rPr>
          <w:rFonts w:hint="default" w:ascii="Times New Roman" w:hAnsi="Times New Roman" w:eastAsia="宋体" w:cs="Times New Roman"/>
          <w:spacing w:val="9"/>
          <w:sz w:val="23"/>
          <w:szCs w:val="23"/>
          <w:highlight w:val="none"/>
        </w:rPr>
        <w:t>大气环境影响分析及措施</w:t>
      </w:r>
    </w:p>
    <w:p>
      <w:pPr>
        <w:keepNext w:val="0"/>
        <w:keepLines w:val="0"/>
        <w:pageBreakBefore w:val="0"/>
        <w:widowControl/>
        <w:kinsoku w:val="0"/>
        <w:wordWrap/>
        <w:overflowPunct/>
        <w:topLinePunct w:val="0"/>
        <w:autoSpaceDE w:val="0"/>
        <w:autoSpaceDN w:val="0"/>
        <w:bidi w:val="0"/>
        <w:adjustRightInd w:val="0"/>
        <w:snapToGrid w:val="0"/>
        <w:spacing w:before="75" w:line="460" w:lineRule="exact"/>
        <w:ind w:left="28" w:right="23" w:firstLine="436"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6"/>
          <w:sz w:val="23"/>
          <w:szCs w:val="23"/>
          <w:highlight w:val="none"/>
        </w:rPr>
        <w:t>1</w:t>
      </w:r>
      <w:r>
        <w:rPr>
          <w:rFonts w:hint="default" w:ascii="Times New Roman" w:hAnsi="Times New Roman" w:eastAsia="宋体" w:cs="Times New Roman"/>
          <w:spacing w:val="-6"/>
          <w:sz w:val="23"/>
          <w:szCs w:val="23"/>
          <w:highlight w:val="none"/>
        </w:rPr>
        <w:t>、</w:t>
      </w:r>
      <w:r>
        <w:rPr>
          <w:rFonts w:hint="eastAsia" w:ascii="Times New Roman" w:hAnsi="Times New Roman" w:eastAsia="宋体" w:cs="Times New Roman"/>
          <w:spacing w:val="-6"/>
          <w:sz w:val="23"/>
          <w:szCs w:val="23"/>
          <w:highlight w:val="none"/>
          <w:lang w:val="en-US" w:eastAsia="zh-CN"/>
        </w:rPr>
        <w:t>厂区</w:t>
      </w:r>
      <w:r>
        <w:rPr>
          <w:rFonts w:hint="default" w:ascii="Times New Roman" w:hAnsi="Times New Roman" w:eastAsia="宋体" w:cs="Times New Roman"/>
          <w:spacing w:val="-3"/>
          <w:sz w:val="23"/>
          <w:szCs w:val="23"/>
          <w:highlight w:val="none"/>
        </w:rPr>
        <w:t>配备一台清扫车和一台洒水车，生产期间，道路路面不间断清</w:t>
      </w:r>
      <w:r>
        <w:rPr>
          <w:rFonts w:hint="default" w:ascii="Times New Roman" w:hAnsi="Times New Roman" w:eastAsia="宋体" w:cs="Times New Roman"/>
          <w:spacing w:val="-10"/>
          <w:sz w:val="23"/>
          <w:szCs w:val="23"/>
          <w:highlight w:val="none"/>
        </w:rPr>
        <w:t>扫保洁、洒</w:t>
      </w:r>
      <w:r>
        <w:rPr>
          <w:rFonts w:hint="default" w:ascii="Times New Roman" w:hAnsi="Times New Roman" w:eastAsia="宋体" w:cs="Times New Roman"/>
          <w:spacing w:val="-6"/>
          <w:sz w:val="23"/>
          <w:szCs w:val="23"/>
          <w:highlight w:val="none"/>
        </w:rPr>
        <w:t>水</w:t>
      </w:r>
      <w:r>
        <w:rPr>
          <w:rFonts w:hint="default" w:ascii="Times New Roman" w:hAnsi="Times New Roman" w:eastAsia="宋体" w:cs="Times New Roman"/>
          <w:spacing w:val="-5"/>
          <w:sz w:val="23"/>
          <w:szCs w:val="23"/>
          <w:highlight w:val="none"/>
        </w:rPr>
        <w:t>抑尘，保持路面整洁、湿润不起尘，有效防止运输环节扬尘污染。</w:t>
      </w:r>
    </w:p>
    <w:p>
      <w:pPr>
        <w:keepNext w:val="0"/>
        <w:keepLines w:val="0"/>
        <w:pageBreakBefore w:val="0"/>
        <w:widowControl/>
        <w:kinsoku w:val="0"/>
        <w:wordWrap/>
        <w:overflowPunct/>
        <w:topLinePunct w:val="0"/>
        <w:autoSpaceDE w:val="0"/>
        <w:autoSpaceDN w:val="0"/>
        <w:bidi w:val="0"/>
        <w:adjustRightInd w:val="0"/>
        <w:snapToGrid w:val="0"/>
        <w:spacing w:before="2" w:line="460" w:lineRule="exact"/>
        <w:ind w:left="28" w:right="23" w:firstLine="444"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4"/>
          <w:sz w:val="23"/>
          <w:szCs w:val="23"/>
          <w:highlight w:val="none"/>
        </w:rPr>
        <w:t>2</w:t>
      </w:r>
      <w:r>
        <w:rPr>
          <w:rFonts w:hint="default" w:ascii="Times New Roman" w:hAnsi="Times New Roman" w:eastAsia="宋体" w:cs="Times New Roman"/>
          <w:spacing w:val="-4"/>
          <w:sz w:val="23"/>
          <w:szCs w:val="23"/>
          <w:highlight w:val="none"/>
        </w:rPr>
        <w:t>、运输原料或成品的车辆</w:t>
      </w:r>
      <w:r>
        <w:rPr>
          <w:rFonts w:hint="default" w:ascii="Times New Roman" w:hAnsi="Times New Roman" w:eastAsia="宋体" w:cs="Times New Roman"/>
          <w:spacing w:val="-3"/>
          <w:sz w:val="23"/>
          <w:szCs w:val="23"/>
          <w:highlight w:val="none"/>
        </w:rPr>
        <w:t>要</w:t>
      </w:r>
      <w:r>
        <w:rPr>
          <w:rFonts w:hint="default" w:ascii="Times New Roman" w:hAnsi="Times New Roman" w:eastAsia="宋体" w:cs="Times New Roman"/>
          <w:spacing w:val="-2"/>
          <w:sz w:val="23"/>
          <w:szCs w:val="23"/>
          <w:highlight w:val="none"/>
        </w:rPr>
        <w:t>求全部采用苫布覆盖，未苫盖或苫盖不全不允许出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厂</w:t>
      </w:r>
      <w:r>
        <w:rPr>
          <w:rFonts w:hint="default" w:ascii="Times New Roman" w:hAnsi="Times New Roman" w:eastAsia="宋体" w:cs="Times New Roman"/>
          <w:spacing w:val="-1"/>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20" w:firstLineChars="200"/>
        <w:jc w:val="both"/>
        <w:textAlignment w:val="baseline"/>
        <w:outlineLvl w:val="0"/>
        <w:rPr>
          <w:rFonts w:hint="default" w:ascii="Times New Roman" w:hAnsi="Times New Roman" w:eastAsia="宋体" w:cs="Times New Roman"/>
          <w:sz w:val="23"/>
          <w:szCs w:val="23"/>
          <w:highlight w:val="none"/>
        </w:rPr>
      </w:pPr>
      <w:bookmarkStart w:id="199" w:name="_Toc3501"/>
      <w:bookmarkStart w:id="200" w:name="_Toc16529"/>
      <w:bookmarkStart w:id="201" w:name="_Toc14319"/>
      <w:r>
        <w:rPr>
          <w:rFonts w:hint="default" w:ascii="Times New Roman" w:hAnsi="Times New Roman" w:eastAsia="Times New Roman" w:cs="Times New Roman"/>
          <w:spacing w:val="-10"/>
          <w:sz w:val="23"/>
          <w:szCs w:val="23"/>
          <w:highlight w:val="none"/>
        </w:rPr>
        <w:t>3</w:t>
      </w:r>
      <w:r>
        <w:rPr>
          <w:rFonts w:hint="default" w:ascii="Times New Roman" w:hAnsi="Times New Roman" w:eastAsia="宋体" w:cs="Times New Roman"/>
          <w:spacing w:val="-10"/>
          <w:sz w:val="23"/>
          <w:szCs w:val="23"/>
          <w:highlight w:val="none"/>
        </w:rPr>
        <w:t>、厂</w:t>
      </w:r>
      <w:r>
        <w:rPr>
          <w:rFonts w:hint="default" w:ascii="Times New Roman" w:hAnsi="Times New Roman" w:eastAsia="宋体" w:cs="Times New Roman"/>
          <w:spacing w:val="-5"/>
          <w:sz w:val="23"/>
          <w:szCs w:val="23"/>
          <w:highlight w:val="none"/>
        </w:rPr>
        <w:t>区内并设置红外控制全自动洗车系统，减少车身粉尘携带量。</w:t>
      </w:r>
      <w:bookmarkEnd w:id="199"/>
      <w:bookmarkEnd w:id="200"/>
      <w:bookmarkEnd w:id="201"/>
    </w:p>
    <w:p>
      <w:pPr>
        <w:keepNext w:val="0"/>
        <w:keepLines w:val="0"/>
        <w:pageBreakBefore w:val="0"/>
        <w:widowControl/>
        <w:kinsoku w:val="0"/>
        <w:wordWrap/>
        <w:overflowPunct/>
        <w:topLinePunct w:val="0"/>
        <w:autoSpaceDE w:val="0"/>
        <w:autoSpaceDN w:val="0"/>
        <w:bidi w:val="0"/>
        <w:adjustRightInd w:val="0"/>
        <w:snapToGrid w:val="0"/>
        <w:spacing w:before="202" w:line="460" w:lineRule="exact"/>
        <w:ind w:left="26" w:right="23" w:firstLine="424"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采</w:t>
      </w:r>
      <w:r>
        <w:rPr>
          <w:rFonts w:hint="default" w:ascii="Times New Roman" w:hAnsi="Times New Roman" w:eastAsia="宋体" w:cs="Times New Roman"/>
          <w:spacing w:val="-6"/>
          <w:sz w:val="23"/>
          <w:szCs w:val="23"/>
          <w:highlight w:val="none"/>
        </w:rPr>
        <w:t>取以上措施后，物料运输对周围环境影响不大。且经对皮各庄相关住户进行公</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众</w:t>
      </w:r>
      <w:r>
        <w:rPr>
          <w:rFonts w:hint="default" w:ascii="Times New Roman" w:hAnsi="Times New Roman" w:eastAsia="宋体" w:cs="Times New Roman"/>
          <w:spacing w:val="-5"/>
          <w:sz w:val="23"/>
          <w:szCs w:val="23"/>
          <w:highlight w:val="none"/>
        </w:rPr>
        <w:t>参与调查，均同意该项目建设。</w:t>
      </w:r>
    </w:p>
    <w:p>
      <w:pPr>
        <w:spacing w:before="105" w:line="221" w:lineRule="auto"/>
        <w:ind w:left="20"/>
        <w:outlineLvl w:val="1"/>
        <w:rPr>
          <w:rFonts w:hint="default" w:ascii="Times New Roman" w:hAnsi="Times New Roman" w:eastAsia="宋体" w:cs="Times New Roman"/>
          <w:sz w:val="28"/>
          <w:szCs w:val="28"/>
          <w:highlight w:val="none"/>
        </w:rPr>
      </w:pPr>
      <w:bookmarkStart w:id="202" w:name="_Toc1769"/>
      <w:bookmarkStart w:id="203" w:name="_Toc17963"/>
      <w:bookmarkStart w:id="204" w:name="_Toc31423"/>
      <w:r>
        <w:rPr>
          <w:rFonts w:hint="default" w:ascii="Times New Roman" w:hAnsi="Times New Roman" w:eastAsia="Times New Roman" w:cs="Times New Roman"/>
          <w:b/>
          <w:bCs/>
          <w:spacing w:val="-1"/>
          <w:sz w:val="28"/>
          <w:szCs w:val="28"/>
          <w:highlight w:val="none"/>
        </w:rPr>
        <w:t>3.</w:t>
      </w:r>
      <w:r>
        <w:rPr>
          <w:rFonts w:hint="eastAsia" w:ascii="Times New Roman" w:hAnsi="Times New Roman" w:eastAsia="宋体" w:cs="Times New Roman"/>
          <w:b/>
          <w:bCs/>
          <w:sz w:val="28"/>
          <w:szCs w:val="28"/>
          <w:highlight w:val="none"/>
          <w:lang w:val="en-US" w:eastAsia="zh-CN"/>
        </w:rPr>
        <w:t>4</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清洁生产</w:t>
      </w:r>
      <w:bookmarkEnd w:id="202"/>
      <w:bookmarkEnd w:id="203"/>
      <w:bookmarkEnd w:id="204"/>
    </w:p>
    <w:p>
      <w:pPr>
        <w:keepNext w:val="0"/>
        <w:keepLines w:val="0"/>
        <w:pageBreakBefore w:val="0"/>
        <w:widowControl/>
        <w:kinsoku w:val="0"/>
        <w:wordWrap/>
        <w:overflowPunct/>
        <w:topLinePunct w:val="0"/>
        <w:autoSpaceDE w:val="0"/>
        <w:autoSpaceDN w:val="0"/>
        <w:bidi w:val="0"/>
        <w:adjustRightInd w:val="0"/>
        <w:snapToGrid w:val="0"/>
        <w:spacing w:line="460" w:lineRule="exact"/>
        <w:ind w:left="25" w:right="40" w:firstLine="560"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5"/>
          <w:sz w:val="23"/>
          <w:szCs w:val="23"/>
          <w:highlight w:val="none"/>
        </w:rPr>
        <w:t>清</w:t>
      </w:r>
      <w:r>
        <w:rPr>
          <w:rFonts w:hint="default" w:ascii="Times New Roman" w:hAnsi="Times New Roman" w:eastAsia="宋体" w:cs="Times New Roman"/>
          <w:spacing w:val="13"/>
          <w:sz w:val="23"/>
          <w:szCs w:val="23"/>
          <w:highlight w:val="none"/>
        </w:rPr>
        <w:t>洁生产通常是指产品在生产过程和预期消费中，既合理利用自然资源，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9"/>
          <w:sz w:val="23"/>
          <w:szCs w:val="23"/>
          <w:highlight w:val="none"/>
        </w:rPr>
        <w:t>把</w:t>
      </w:r>
      <w:r>
        <w:rPr>
          <w:rFonts w:hint="default" w:ascii="Times New Roman" w:hAnsi="Times New Roman" w:eastAsia="宋体" w:cs="Times New Roman"/>
          <w:spacing w:val="13"/>
          <w:sz w:val="23"/>
          <w:szCs w:val="23"/>
          <w:highlight w:val="none"/>
        </w:rPr>
        <w:t>对人类和环境的危害降至最小，又能充分满足人类需要，使社会经济效益最</w:t>
      </w:r>
      <w:r>
        <w:rPr>
          <w:rFonts w:hint="default" w:ascii="Times New Roman" w:hAnsi="Times New Roman" w:eastAsia="宋体" w:cs="Times New Roman"/>
          <w:spacing w:val="15"/>
          <w:sz w:val="23"/>
          <w:szCs w:val="23"/>
          <w:highlight w:val="none"/>
        </w:rPr>
        <w:t>大</w:t>
      </w:r>
      <w:r>
        <w:rPr>
          <w:rFonts w:hint="default" w:ascii="Times New Roman" w:hAnsi="Times New Roman" w:eastAsia="宋体" w:cs="Times New Roman"/>
          <w:spacing w:val="8"/>
          <w:sz w:val="23"/>
          <w:szCs w:val="23"/>
          <w:highlight w:val="none"/>
        </w:rPr>
        <w:t>化的一种生产模式。其内涵为：</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26" w:right="94" w:firstLine="492" w:firstLineChars="200"/>
        <w:jc w:val="both"/>
        <w:textAlignment w:val="baseline"/>
        <w:rPr>
          <w:rFonts w:hint="default" w:ascii="Times New Roman" w:hAnsi="Times New Roman" w:eastAsia="宋体" w:cs="Times New Roman"/>
          <w:spacing w:val="6"/>
          <w:sz w:val="23"/>
          <w:szCs w:val="23"/>
          <w:highlight w:val="none"/>
        </w:rPr>
      </w:pPr>
      <w:r>
        <w:rPr>
          <w:rFonts w:hint="eastAsia" w:ascii="Times New Roman" w:hAnsi="Times New Roman" w:eastAsia="宋体" w:cs="Times New Roman"/>
          <w:spacing w:val="8"/>
          <w:sz w:val="23"/>
          <w:szCs w:val="23"/>
          <w:highlight w:val="none"/>
          <w:lang w:eastAsia="zh-CN"/>
        </w:rPr>
        <w:t>（</w:t>
      </w:r>
      <w:r>
        <w:rPr>
          <w:rFonts w:hint="eastAsia" w:ascii="Times New Roman" w:hAnsi="Times New Roman" w:eastAsia="宋体" w:cs="Times New Roman"/>
          <w:spacing w:val="8"/>
          <w:sz w:val="23"/>
          <w:szCs w:val="23"/>
          <w:highlight w:val="none"/>
          <w:lang w:val="en-US" w:eastAsia="zh-CN"/>
        </w:rPr>
        <w:t>1</w:t>
      </w:r>
      <w:r>
        <w:rPr>
          <w:rFonts w:hint="eastAsia" w:ascii="Times New Roman" w:hAnsi="Times New Roman" w:eastAsia="宋体" w:cs="Times New Roman"/>
          <w:spacing w:val="8"/>
          <w:sz w:val="23"/>
          <w:szCs w:val="23"/>
          <w:highlight w:val="none"/>
          <w:lang w:eastAsia="zh-CN"/>
        </w:rPr>
        <w:t>）</w:t>
      </w:r>
      <w:r>
        <w:rPr>
          <w:rFonts w:hint="default" w:ascii="Times New Roman" w:hAnsi="Times New Roman" w:eastAsia="宋体" w:cs="Times New Roman"/>
          <w:spacing w:val="8"/>
          <w:sz w:val="23"/>
          <w:szCs w:val="23"/>
          <w:highlight w:val="none"/>
        </w:rPr>
        <w:t>自然资源和能源利用的合理化：突出的反映在节约能源，节约原材料</w:t>
      </w:r>
      <w:r>
        <w:rPr>
          <w:rFonts w:hint="default" w:ascii="Times New Roman" w:hAnsi="Times New Roman" w:eastAsia="宋体" w:cs="Times New Roman"/>
          <w:spacing w:val="5"/>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利用无毒无害原材料，循环利用物料等</w:t>
      </w:r>
      <w:r>
        <w:rPr>
          <w:rFonts w:hint="default" w:ascii="Times New Roman" w:hAnsi="Times New Roman" w:eastAsia="宋体" w:cs="Times New Roman"/>
          <w:spacing w:val="6"/>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right="116" w:firstLine="548" w:firstLineChars="200"/>
        <w:jc w:val="both"/>
        <w:textAlignment w:val="baseline"/>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22"/>
          <w:sz w:val="23"/>
          <w:szCs w:val="23"/>
          <w:highlight w:val="none"/>
          <w:lang w:eastAsia="zh-CN"/>
        </w:rPr>
        <w:t>（</w:t>
      </w:r>
      <w:r>
        <w:rPr>
          <w:rFonts w:hint="eastAsia" w:ascii="Times New Roman" w:hAnsi="Times New Roman" w:eastAsia="宋体" w:cs="Times New Roman"/>
          <w:spacing w:val="22"/>
          <w:sz w:val="23"/>
          <w:szCs w:val="23"/>
          <w:highlight w:val="none"/>
          <w:lang w:val="en-US" w:eastAsia="zh-CN"/>
        </w:rPr>
        <w:t>2</w:t>
      </w:r>
      <w:r>
        <w:rPr>
          <w:rFonts w:hint="eastAsia" w:ascii="Times New Roman" w:hAnsi="Times New Roman" w:eastAsia="宋体" w:cs="Times New Roman"/>
          <w:spacing w:val="22"/>
          <w:sz w:val="23"/>
          <w:szCs w:val="23"/>
          <w:highlight w:val="none"/>
          <w:lang w:eastAsia="zh-CN"/>
        </w:rPr>
        <w:t>）</w:t>
      </w:r>
      <w:r>
        <w:rPr>
          <w:rFonts w:hint="default" w:ascii="Times New Roman" w:hAnsi="Times New Roman" w:eastAsia="宋体" w:cs="Times New Roman"/>
          <w:spacing w:val="11"/>
          <w:sz w:val="23"/>
          <w:szCs w:val="23"/>
          <w:highlight w:val="none"/>
        </w:rPr>
        <w:t>经济效益最大化：反应在不断提高生产效率，降低生产成本，增加产品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和</w:t>
      </w:r>
      <w:r>
        <w:rPr>
          <w:rFonts w:hint="default" w:ascii="Times New Roman" w:hAnsi="Times New Roman" w:eastAsia="宋体" w:cs="Times New Roman"/>
          <w:spacing w:val="13"/>
          <w:sz w:val="23"/>
          <w:szCs w:val="23"/>
          <w:highlight w:val="none"/>
        </w:rPr>
        <w:t>服务的附加值。要实现经济效益最大化，必须采用高效生产技术和工艺，提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高</w:t>
      </w:r>
      <w:r>
        <w:rPr>
          <w:rFonts w:hint="default" w:ascii="Times New Roman" w:hAnsi="Times New Roman" w:eastAsia="宋体" w:cs="Times New Roman"/>
          <w:spacing w:val="11"/>
          <w:sz w:val="23"/>
          <w:szCs w:val="23"/>
          <w:highlight w:val="none"/>
        </w:rPr>
        <w:t>产</w:t>
      </w:r>
      <w:r>
        <w:rPr>
          <w:rFonts w:hint="default" w:ascii="Times New Roman" w:hAnsi="Times New Roman" w:eastAsia="宋体" w:cs="Times New Roman"/>
          <w:spacing w:val="8"/>
          <w:sz w:val="23"/>
          <w:szCs w:val="23"/>
          <w:highlight w:val="none"/>
        </w:rPr>
        <w:t>品质量，降低物耗和能源消耗；</w:t>
      </w:r>
    </w:p>
    <w:p>
      <w:pPr>
        <w:keepNext w:val="0"/>
        <w:keepLines w:val="0"/>
        <w:pageBreakBefore w:val="0"/>
        <w:widowControl/>
        <w:kinsoku w:val="0"/>
        <w:wordWrap/>
        <w:overflowPunct/>
        <w:topLinePunct w:val="0"/>
        <w:autoSpaceDE w:val="0"/>
        <w:autoSpaceDN w:val="0"/>
        <w:bidi w:val="0"/>
        <w:adjustRightInd w:val="0"/>
        <w:snapToGrid w:val="0"/>
        <w:spacing w:line="460" w:lineRule="exact"/>
        <w:ind w:right="118" w:firstLine="548" w:firstLineChars="200"/>
        <w:jc w:val="both"/>
        <w:textAlignment w:val="baseline"/>
        <w:rPr>
          <w:rFonts w:hint="default" w:ascii="Times New Roman" w:hAnsi="Times New Roman" w:eastAsia="宋体" w:cs="Times New Roman"/>
          <w:spacing w:val="7"/>
          <w:sz w:val="23"/>
          <w:szCs w:val="23"/>
          <w:highlight w:val="none"/>
        </w:rPr>
      </w:pPr>
      <w:r>
        <w:rPr>
          <w:rFonts w:hint="eastAsia" w:ascii="Times New Roman" w:hAnsi="Times New Roman" w:eastAsia="宋体" w:cs="Times New Roman"/>
          <w:spacing w:val="22"/>
          <w:sz w:val="23"/>
          <w:szCs w:val="23"/>
          <w:highlight w:val="none"/>
          <w:lang w:eastAsia="zh-CN"/>
        </w:rPr>
        <w:t>（</w:t>
      </w:r>
      <w:r>
        <w:rPr>
          <w:rFonts w:hint="eastAsia" w:ascii="Times New Roman" w:hAnsi="Times New Roman" w:eastAsia="宋体" w:cs="Times New Roman"/>
          <w:spacing w:val="22"/>
          <w:sz w:val="23"/>
          <w:szCs w:val="23"/>
          <w:highlight w:val="none"/>
          <w:lang w:val="en-US" w:eastAsia="zh-CN"/>
        </w:rPr>
        <w:t>3</w:t>
      </w:r>
      <w:r>
        <w:rPr>
          <w:rFonts w:hint="eastAsia" w:ascii="Times New Roman" w:hAnsi="Times New Roman" w:eastAsia="宋体" w:cs="Times New Roman"/>
          <w:spacing w:val="22"/>
          <w:sz w:val="23"/>
          <w:szCs w:val="23"/>
          <w:highlight w:val="none"/>
          <w:lang w:eastAsia="zh-CN"/>
        </w:rPr>
        <w:t>）</w:t>
      </w:r>
      <w:r>
        <w:rPr>
          <w:rFonts w:hint="default" w:ascii="Times New Roman" w:hAnsi="Times New Roman" w:eastAsia="宋体" w:cs="Times New Roman"/>
          <w:spacing w:val="11"/>
          <w:sz w:val="23"/>
          <w:szCs w:val="23"/>
          <w:highlight w:val="none"/>
        </w:rPr>
        <w:t>对人类和环境危害最小化：即把生产活动对环境负面影响降低到最小。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为</w:t>
      </w:r>
      <w:r>
        <w:rPr>
          <w:rFonts w:hint="default" w:ascii="Times New Roman" w:hAnsi="Times New Roman" w:eastAsia="宋体" w:cs="Times New Roman"/>
          <w:spacing w:val="13"/>
          <w:sz w:val="23"/>
          <w:szCs w:val="23"/>
          <w:highlight w:val="none"/>
        </w:rPr>
        <w:t>此，企业生产应减小有毒有害物料的使用、采用少废无废生产技术和工艺、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使</w:t>
      </w:r>
      <w:r>
        <w:rPr>
          <w:rFonts w:hint="default" w:ascii="Times New Roman" w:hAnsi="Times New Roman" w:eastAsia="宋体" w:cs="Times New Roman"/>
          <w:spacing w:val="17"/>
          <w:sz w:val="23"/>
          <w:szCs w:val="23"/>
          <w:highlight w:val="none"/>
        </w:rPr>
        <w:t>用</w:t>
      </w:r>
      <w:r>
        <w:rPr>
          <w:rFonts w:hint="default" w:ascii="Times New Roman" w:hAnsi="Times New Roman" w:eastAsia="宋体" w:cs="Times New Roman"/>
          <w:spacing w:val="9"/>
          <w:sz w:val="23"/>
          <w:szCs w:val="23"/>
          <w:highlight w:val="none"/>
        </w:rPr>
        <w:t>可回收物料、合理利用产品功能、延长产品寿命， 以实现经济效益和环境</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效</w:t>
      </w:r>
      <w:r>
        <w:rPr>
          <w:rFonts w:hint="default" w:ascii="Times New Roman" w:hAnsi="Times New Roman" w:eastAsia="宋体" w:cs="Times New Roman"/>
          <w:spacing w:val="7"/>
          <w:sz w:val="23"/>
          <w:szCs w:val="23"/>
          <w:highlight w:val="none"/>
        </w:rPr>
        <w:t>益的和谐统一。</w:t>
      </w:r>
    </w:p>
    <w:p>
      <w:pPr>
        <w:spacing w:before="150" w:line="228" w:lineRule="auto"/>
        <w:ind w:left="125"/>
        <w:outlineLvl w:val="2"/>
        <w:rPr>
          <w:rFonts w:hint="default" w:ascii="Times New Roman" w:hAnsi="Times New Roman" w:eastAsia="宋体" w:cs="Times New Roman"/>
          <w:sz w:val="23"/>
          <w:szCs w:val="23"/>
          <w:highlight w:val="none"/>
        </w:rPr>
      </w:pPr>
      <w:bookmarkStart w:id="205" w:name="_Toc1346"/>
      <w:bookmarkStart w:id="206" w:name="_Toc1941"/>
      <w:bookmarkStart w:id="207" w:name="_Toc29967"/>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4</w:t>
      </w:r>
      <w:r>
        <w:rPr>
          <w:rFonts w:hint="default" w:ascii="Times New Roman" w:hAnsi="Times New Roman" w:eastAsia="Times New Roman" w:cs="Times New Roman"/>
          <w:b/>
          <w:bCs/>
          <w:spacing w:val="7"/>
          <w:sz w:val="23"/>
          <w:szCs w:val="23"/>
          <w:highlight w:val="none"/>
        </w:rPr>
        <w:t>.1</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清洁生产水平控制</w:t>
      </w:r>
      <w:bookmarkEnd w:id="205"/>
      <w:bookmarkEnd w:id="206"/>
      <w:bookmarkEnd w:id="207"/>
    </w:p>
    <w:p>
      <w:pPr>
        <w:spacing w:line="262" w:lineRule="auto"/>
        <w:rPr>
          <w:rFonts w:hint="default" w:ascii="Times New Roman" w:hAnsi="Times New Roman" w:cs="Times New Roman"/>
          <w:sz w:val="21"/>
          <w:highlight w:val="none"/>
        </w:rPr>
      </w:pPr>
    </w:p>
    <w:p>
      <w:pPr>
        <w:spacing w:before="75" w:line="410" w:lineRule="auto"/>
        <w:ind w:left="130" w:right="113"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根据《</w:t>
      </w:r>
      <w:r>
        <w:rPr>
          <w:rFonts w:hint="default" w:ascii="Times New Roman" w:hAnsi="Times New Roman" w:eastAsia="宋体" w:cs="Times New Roman"/>
          <w:spacing w:val="3"/>
          <w:sz w:val="23"/>
          <w:szCs w:val="23"/>
          <w:highlight w:val="none"/>
        </w:rPr>
        <w:t>清洁生产标准铁矿采选行业》  (</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3"/>
          <w:sz w:val="23"/>
          <w:szCs w:val="23"/>
          <w:highlight w:val="none"/>
        </w:rPr>
        <w:t>294-2006</w:t>
      </w:r>
      <w:r>
        <w:rPr>
          <w:rFonts w:hint="default" w:ascii="Times New Roman" w:hAnsi="Times New Roman" w:eastAsia="宋体" w:cs="Times New Roman"/>
          <w:spacing w:val="3"/>
          <w:sz w:val="23"/>
          <w:szCs w:val="23"/>
          <w:highlight w:val="none"/>
        </w:rPr>
        <w:t>) ，按照清洁生产的一</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4"/>
          <w:sz w:val="23"/>
          <w:szCs w:val="23"/>
          <w:highlight w:val="none"/>
        </w:rPr>
        <w:t>般</w:t>
      </w:r>
      <w:r>
        <w:rPr>
          <w:rFonts w:hint="default" w:ascii="Times New Roman" w:hAnsi="Times New Roman" w:eastAsia="宋体" w:cs="Times New Roman"/>
          <w:spacing w:val="13"/>
          <w:sz w:val="23"/>
          <w:szCs w:val="23"/>
          <w:highlight w:val="none"/>
        </w:rPr>
        <w:t>要求，同时考虑到铁矿采选行业的特点，从装备要求、资源能源利用指标、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 xml:space="preserve">污染物产量指标、废物回收利用指标和环境管理要求 </w:t>
      </w:r>
      <w:r>
        <w:rPr>
          <w:rFonts w:hint="default" w:ascii="Times New Roman" w:hAnsi="Times New Roman" w:eastAsia="Times New Roman" w:cs="Times New Roman"/>
          <w:spacing w:val="11"/>
          <w:sz w:val="23"/>
          <w:szCs w:val="23"/>
          <w:highlight w:val="none"/>
        </w:rPr>
        <w:t xml:space="preserve">5 </w:t>
      </w:r>
      <w:r>
        <w:rPr>
          <w:rFonts w:hint="default" w:ascii="Times New Roman" w:hAnsi="Times New Roman" w:eastAsia="宋体" w:cs="Times New Roman"/>
          <w:spacing w:val="11"/>
          <w:sz w:val="23"/>
          <w:szCs w:val="23"/>
          <w:highlight w:val="none"/>
        </w:rPr>
        <w:t>个指标分析论证项目</w:t>
      </w:r>
      <w:r>
        <w:rPr>
          <w:rFonts w:hint="default" w:ascii="Times New Roman" w:hAnsi="Times New Roman" w:eastAsia="宋体" w:cs="Times New Roman"/>
          <w:spacing w:val="6"/>
          <w:sz w:val="23"/>
          <w:szCs w:val="23"/>
          <w:highlight w:val="none"/>
        </w:rPr>
        <w:t>清</w:t>
      </w:r>
      <w:r>
        <w:rPr>
          <w:rFonts w:hint="default" w:ascii="Times New Roman" w:hAnsi="Times New Roman" w:eastAsia="宋体" w:cs="Times New Roman"/>
          <w:spacing w:val="7"/>
          <w:sz w:val="23"/>
          <w:szCs w:val="23"/>
          <w:highlight w:val="none"/>
        </w:rPr>
        <w:t>洁生产水平</w:t>
      </w:r>
      <w:r>
        <w:rPr>
          <w:rFonts w:hint="default" w:ascii="Times New Roman" w:hAnsi="Times New Roman" w:eastAsia="宋体" w:cs="Times New Roman"/>
          <w:spacing w:val="6"/>
          <w:sz w:val="23"/>
          <w:szCs w:val="23"/>
          <w:highlight w:val="none"/>
        </w:rPr>
        <w:t>。</w:t>
      </w:r>
    </w:p>
    <w:p>
      <w:pPr>
        <w:tabs>
          <w:tab w:val="left" w:pos="426"/>
        </w:tabs>
        <w:bidi w:val="0"/>
        <w:jc w:val="left"/>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shape id="_x0000_s1132" o:spid="_x0000_s1132" style="position:absolute;left:0pt;margin-left:90.15pt;margin-top:59.05pt;height:0.75pt;width:413.85pt;mso-position-horizontal-relative:page;mso-position-vertical-relative:page;z-index:251698176;mso-width-relative:page;mso-height-relative:page;" fillcolor="#000000" filled="t" stroked="f" coordsize="8277,15" o:allowincell="f" path="m0,0l8276,0,8276,14,0,14,0,0xe">
            <v:path/>
            <v:fill on="t" focussize="0,0"/>
            <v:stroke on="f"/>
            <v:imagedata o:title=""/>
            <o:lock v:ext="edit"/>
          </v:shape>
        </w:pict>
      </w:r>
      <w:bookmarkStart w:id="208" w:name="_Toc7998"/>
      <w:bookmarkStart w:id="209" w:name="_Toc24737"/>
      <w:bookmarkStart w:id="210" w:name="_Toc10257"/>
      <w:r>
        <w:rPr>
          <w:rFonts w:hint="default" w:ascii="Times New Roman" w:hAnsi="Times New Roman" w:eastAsia="Times New Roman" w:cs="Times New Roman"/>
          <w:b/>
          <w:bCs/>
          <w:spacing w:val="16"/>
          <w:sz w:val="23"/>
          <w:szCs w:val="23"/>
          <w:highlight w:val="none"/>
        </w:rPr>
        <w:t>3</w:t>
      </w:r>
      <w:r>
        <w:rPr>
          <w:rFonts w:hint="default" w:ascii="Times New Roman" w:hAnsi="Times New Roman" w:eastAsia="Times New Roman" w:cs="Times New Roman"/>
          <w:b/>
          <w:bCs/>
          <w:spacing w:val="8"/>
          <w:sz w:val="23"/>
          <w:szCs w:val="23"/>
          <w:highlight w:val="none"/>
        </w:rPr>
        <w:t>.</w:t>
      </w:r>
      <w:r>
        <w:rPr>
          <w:rFonts w:hint="eastAsia" w:ascii="Times New Roman" w:hAnsi="Times New Roman" w:eastAsia="宋体" w:cs="Times New Roman"/>
          <w:b/>
          <w:bCs/>
          <w:spacing w:val="8"/>
          <w:sz w:val="23"/>
          <w:szCs w:val="23"/>
          <w:highlight w:val="none"/>
          <w:lang w:val="en-US" w:eastAsia="zh-CN"/>
        </w:rPr>
        <w:t>4</w:t>
      </w:r>
      <w:r>
        <w:rPr>
          <w:rFonts w:hint="default" w:ascii="Times New Roman" w:hAnsi="Times New Roman" w:eastAsia="Times New Roman" w:cs="Times New Roman"/>
          <w:b/>
          <w:bCs/>
          <w:spacing w:val="8"/>
          <w:sz w:val="23"/>
          <w:szCs w:val="23"/>
          <w:highlight w:val="none"/>
        </w:rPr>
        <w:t>.2</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与行业清洁生产标准对比分析</w:t>
      </w:r>
      <w:bookmarkEnd w:id="208"/>
      <w:bookmarkEnd w:id="209"/>
      <w:bookmarkEnd w:id="210"/>
    </w:p>
    <w:p>
      <w:pPr>
        <w:spacing w:line="263" w:lineRule="auto"/>
        <w:rPr>
          <w:rFonts w:hint="default" w:ascii="Times New Roman" w:hAnsi="Times New Roman" w:cs="Times New Roman"/>
          <w:sz w:val="21"/>
          <w:highlight w:val="none"/>
        </w:rPr>
      </w:pPr>
    </w:p>
    <w:p>
      <w:pPr>
        <w:spacing w:before="75" w:line="408" w:lineRule="auto"/>
        <w:ind w:left="135" w:right="118" w:firstLine="47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本</w:t>
      </w:r>
      <w:r>
        <w:rPr>
          <w:rFonts w:hint="default" w:ascii="Times New Roman" w:hAnsi="Times New Roman" w:eastAsia="宋体" w:cs="Times New Roman"/>
          <w:spacing w:val="3"/>
          <w:sz w:val="23"/>
          <w:szCs w:val="23"/>
          <w:highlight w:val="none"/>
        </w:rPr>
        <w:t>项目与《清洁生产标准铁矿采选业》  (</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3"/>
          <w:sz w:val="23"/>
          <w:szCs w:val="23"/>
          <w:highlight w:val="none"/>
        </w:rPr>
        <w:t>294-2006</w:t>
      </w:r>
      <w:r>
        <w:rPr>
          <w:rFonts w:hint="default" w:ascii="Times New Roman" w:hAnsi="Times New Roman" w:eastAsia="宋体" w:cs="Times New Roman"/>
          <w:spacing w:val="3"/>
          <w:sz w:val="23"/>
          <w:szCs w:val="23"/>
          <w:highlight w:val="none"/>
        </w:rPr>
        <w:t>) 进行对比分析，结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 xml:space="preserve">果见表 </w:t>
      </w:r>
      <w:r>
        <w:rPr>
          <w:rFonts w:hint="default" w:ascii="Times New Roman" w:hAnsi="Times New Roman" w:eastAsia="Times New Roman" w:cs="Times New Roman"/>
          <w:spacing w:val="-7"/>
          <w:sz w:val="23"/>
          <w:szCs w:val="23"/>
          <w:highlight w:val="none"/>
        </w:rPr>
        <w:t>3.</w:t>
      </w:r>
      <w:r>
        <w:rPr>
          <w:rFonts w:hint="eastAsia" w:ascii="Times New Roman" w:hAnsi="Times New Roman" w:eastAsia="宋体" w:cs="Times New Roman"/>
          <w:spacing w:val="-7"/>
          <w:sz w:val="23"/>
          <w:szCs w:val="23"/>
          <w:highlight w:val="none"/>
          <w:lang w:val="en-US" w:eastAsia="zh-CN"/>
        </w:rPr>
        <w:t>4</w:t>
      </w:r>
      <w:r>
        <w:rPr>
          <w:rFonts w:hint="default" w:ascii="Times New Roman" w:hAnsi="Times New Roman" w:eastAsia="Times New Roman" w:cs="Times New Roman"/>
          <w:spacing w:val="-7"/>
          <w:sz w:val="23"/>
          <w:szCs w:val="23"/>
          <w:highlight w:val="none"/>
        </w:rPr>
        <w:t>- 1</w:t>
      </w:r>
      <w:r>
        <w:rPr>
          <w:rFonts w:hint="default" w:ascii="Times New Roman" w:hAnsi="Times New Roman" w:eastAsia="宋体" w:cs="Times New Roman"/>
          <w:spacing w:val="-7"/>
          <w:sz w:val="23"/>
          <w:szCs w:val="23"/>
          <w:highlight w:val="none"/>
        </w:rPr>
        <w:t>。</w:t>
      </w:r>
    </w:p>
    <w:p>
      <w:pPr>
        <w:spacing w:before="20" w:line="228" w:lineRule="auto"/>
        <w:ind w:left="194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8"/>
          <w:sz w:val="23"/>
          <w:szCs w:val="23"/>
          <w:highlight w:val="none"/>
        </w:rPr>
        <w:t>3.</w:t>
      </w:r>
      <w:r>
        <w:rPr>
          <w:rFonts w:hint="eastAsia" w:ascii="Times New Roman" w:hAnsi="Times New Roman" w:eastAsia="宋体" w:cs="Times New Roman"/>
          <w:b/>
          <w:bCs/>
          <w:spacing w:val="8"/>
          <w:sz w:val="23"/>
          <w:szCs w:val="23"/>
          <w:highlight w:val="none"/>
          <w:lang w:val="en-US" w:eastAsia="zh-CN"/>
        </w:rPr>
        <w:t>4</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4"/>
          <w:sz w:val="23"/>
          <w:szCs w:val="23"/>
          <w:highlight w:val="none"/>
        </w:rPr>
        <w:t>1</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项目清洁生产水平指标对比情况</w:t>
      </w:r>
    </w:p>
    <w:p>
      <w:pPr>
        <w:spacing w:line="20" w:lineRule="exact"/>
        <w:rPr>
          <w:rFonts w:hint="default" w:ascii="Times New Roman" w:hAnsi="Times New Roman" w:cs="Times New Roman"/>
          <w:highlight w:val="none"/>
        </w:rPr>
      </w:pPr>
    </w:p>
    <w:tbl>
      <w:tblPr>
        <w:tblStyle w:val="19"/>
        <w:tblW w:w="849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3"/>
        <w:gridCol w:w="1841"/>
        <w:gridCol w:w="1905"/>
        <w:gridCol w:w="1546"/>
        <w:gridCol w:w="1401"/>
        <w:gridCol w:w="2"/>
        <w:gridCol w:w="4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53" w:type="dxa"/>
            <w:vMerge w:val="restart"/>
            <w:tcBorders>
              <w:left w:val="single" w:color="000000" w:sz="10" w:space="0"/>
              <w:bottom w:val="nil"/>
            </w:tcBorders>
            <w:vAlign w:val="top"/>
          </w:tcPr>
          <w:p>
            <w:pPr>
              <w:spacing w:before="242" w:line="307" w:lineRule="auto"/>
              <w:ind w:left="355" w:right="153" w:hanging="21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清洁生产指</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7"/>
                <w:sz w:val="20"/>
                <w:szCs w:val="20"/>
                <w:highlight w:val="none"/>
              </w:rPr>
              <w:t>标</w:t>
            </w:r>
            <w:r>
              <w:rPr>
                <w:rFonts w:hint="default" w:ascii="Times New Roman" w:hAnsi="Times New Roman" w:eastAsia="宋体" w:cs="Times New Roman"/>
                <w:spacing w:val="6"/>
                <w:sz w:val="20"/>
                <w:szCs w:val="20"/>
                <w:highlight w:val="none"/>
              </w:rPr>
              <w:t>等级</w:t>
            </w:r>
          </w:p>
        </w:tc>
        <w:tc>
          <w:tcPr>
            <w:tcW w:w="1841" w:type="dxa"/>
            <w:vMerge w:val="restart"/>
            <w:tcBorders>
              <w:bottom w:val="nil"/>
            </w:tcBorders>
            <w:vAlign w:val="top"/>
          </w:tcPr>
          <w:p>
            <w:pPr>
              <w:spacing w:line="334" w:lineRule="auto"/>
              <w:rPr>
                <w:rFonts w:hint="default" w:ascii="Times New Roman" w:hAnsi="Times New Roman" w:cs="Times New Roman"/>
                <w:sz w:val="21"/>
                <w:highlight w:val="none"/>
              </w:rPr>
            </w:pPr>
          </w:p>
          <w:p>
            <w:pPr>
              <w:spacing w:before="65" w:line="343" w:lineRule="exact"/>
              <w:ind w:left="71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position w:val="2"/>
                <w:sz w:val="20"/>
                <w:szCs w:val="20"/>
                <w:highlight w:val="none"/>
              </w:rPr>
              <w:t>一级</w:t>
            </w:r>
          </w:p>
        </w:tc>
        <w:tc>
          <w:tcPr>
            <w:tcW w:w="1905" w:type="dxa"/>
            <w:vMerge w:val="restart"/>
            <w:tcBorders>
              <w:bottom w:val="nil"/>
            </w:tcBorders>
            <w:vAlign w:val="top"/>
          </w:tcPr>
          <w:p>
            <w:pPr>
              <w:spacing w:line="333" w:lineRule="auto"/>
              <w:rPr>
                <w:rFonts w:hint="default" w:ascii="Times New Roman" w:hAnsi="Times New Roman" w:cs="Times New Roman"/>
                <w:sz w:val="21"/>
                <w:highlight w:val="none"/>
              </w:rPr>
            </w:pPr>
          </w:p>
          <w:p>
            <w:pPr>
              <w:spacing w:before="65" w:line="231" w:lineRule="auto"/>
              <w:ind w:left="7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二级</w:t>
            </w:r>
          </w:p>
        </w:tc>
        <w:tc>
          <w:tcPr>
            <w:tcW w:w="1546" w:type="dxa"/>
            <w:vMerge w:val="restart"/>
            <w:tcBorders>
              <w:bottom w:val="nil"/>
            </w:tcBorders>
            <w:vAlign w:val="top"/>
          </w:tcPr>
          <w:p>
            <w:pPr>
              <w:spacing w:line="333" w:lineRule="auto"/>
              <w:rPr>
                <w:rFonts w:hint="default" w:ascii="Times New Roman" w:hAnsi="Times New Roman" w:cs="Times New Roman"/>
                <w:sz w:val="21"/>
                <w:highlight w:val="none"/>
              </w:rPr>
            </w:pPr>
          </w:p>
          <w:p>
            <w:pPr>
              <w:spacing w:before="65" w:line="231" w:lineRule="auto"/>
              <w:ind w:left="5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三</w:t>
            </w:r>
            <w:r>
              <w:rPr>
                <w:rFonts w:hint="default" w:ascii="Times New Roman" w:hAnsi="Times New Roman" w:eastAsia="宋体" w:cs="Times New Roman"/>
                <w:spacing w:val="4"/>
                <w:sz w:val="20"/>
                <w:szCs w:val="20"/>
                <w:highlight w:val="none"/>
              </w:rPr>
              <w:t>级</w:t>
            </w:r>
          </w:p>
        </w:tc>
        <w:tc>
          <w:tcPr>
            <w:tcW w:w="1847" w:type="dxa"/>
            <w:gridSpan w:val="3"/>
            <w:tcBorders>
              <w:right w:val="single" w:color="000000" w:sz="10" w:space="0"/>
            </w:tcBorders>
            <w:vAlign w:val="top"/>
          </w:tcPr>
          <w:p>
            <w:pPr>
              <w:spacing w:before="80" w:line="228" w:lineRule="auto"/>
              <w:ind w:left="7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1353" w:type="dxa"/>
            <w:vMerge w:val="continue"/>
            <w:tcBorders>
              <w:top w:val="nil"/>
              <w:left w:val="single" w:color="000000" w:sz="10" w:space="0"/>
            </w:tcBorders>
            <w:vAlign w:val="top"/>
          </w:tcPr>
          <w:p>
            <w:pPr>
              <w:rPr>
                <w:rFonts w:hint="default" w:ascii="Times New Roman" w:hAnsi="Times New Roman" w:cs="Times New Roman"/>
                <w:sz w:val="21"/>
                <w:highlight w:val="none"/>
              </w:rPr>
            </w:pPr>
          </w:p>
        </w:tc>
        <w:tc>
          <w:tcPr>
            <w:tcW w:w="1841" w:type="dxa"/>
            <w:vMerge w:val="continue"/>
            <w:tcBorders>
              <w:top w:val="nil"/>
            </w:tcBorders>
            <w:vAlign w:val="top"/>
          </w:tcPr>
          <w:p>
            <w:pPr>
              <w:rPr>
                <w:rFonts w:hint="default" w:ascii="Times New Roman" w:hAnsi="Times New Roman" w:cs="Times New Roman"/>
                <w:sz w:val="21"/>
                <w:highlight w:val="none"/>
              </w:rPr>
            </w:pPr>
          </w:p>
        </w:tc>
        <w:tc>
          <w:tcPr>
            <w:tcW w:w="1905" w:type="dxa"/>
            <w:vMerge w:val="continue"/>
            <w:tcBorders>
              <w:top w:val="nil"/>
            </w:tcBorders>
            <w:vAlign w:val="top"/>
          </w:tcPr>
          <w:p>
            <w:pPr>
              <w:rPr>
                <w:rFonts w:hint="default" w:ascii="Times New Roman" w:hAnsi="Times New Roman" w:cs="Times New Roman"/>
                <w:sz w:val="21"/>
                <w:highlight w:val="none"/>
              </w:rPr>
            </w:pPr>
          </w:p>
        </w:tc>
        <w:tc>
          <w:tcPr>
            <w:tcW w:w="1546" w:type="dxa"/>
            <w:vMerge w:val="continue"/>
            <w:tcBorders>
              <w:top w:val="nil"/>
            </w:tcBorders>
            <w:vAlign w:val="top"/>
          </w:tcPr>
          <w:p>
            <w:pPr>
              <w:rPr>
                <w:rFonts w:hint="default" w:ascii="Times New Roman" w:hAnsi="Times New Roman" w:cs="Times New Roman"/>
                <w:sz w:val="21"/>
                <w:highlight w:val="none"/>
              </w:rPr>
            </w:pPr>
          </w:p>
        </w:tc>
        <w:tc>
          <w:tcPr>
            <w:tcW w:w="1403" w:type="dxa"/>
            <w:gridSpan w:val="2"/>
            <w:vAlign w:val="top"/>
          </w:tcPr>
          <w:p>
            <w:pPr>
              <w:spacing w:before="215" w:line="229" w:lineRule="auto"/>
              <w:ind w:left="50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指</w:t>
            </w:r>
            <w:r>
              <w:rPr>
                <w:rFonts w:hint="default" w:ascii="Times New Roman" w:hAnsi="Times New Roman" w:eastAsia="宋体" w:cs="Times New Roman"/>
                <w:spacing w:val="3"/>
                <w:sz w:val="20"/>
                <w:szCs w:val="20"/>
                <w:highlight w:val="none"/>
              </w:rPr>
              <w:t>标</w:t>
            </w:r>
          </w:p>
        </w:tc>
        <w:tc>
          <w:tcPr>
            <w:tcW w:w="444" w:type="dxa"/>
            <w:tcBorders>
              <w:right w:val="single" w:color="000000" w:sz="10" w:space="0"/>
            </w:tcBorders>
            <w:textDirection w:val="tbRlV"/>
            <w:vAlign w:val="top"/>
          </w:tcPr>
          <w:p>
            <w:pPr>
              <w:spacing w:before="92" w:line="214" w:lineRule="auto"/>
              <w:ind w:left="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 xml:space="preserve">级 </w:t>
            </w:r>
            <w:r>
              <w:rPr>
                <w:rFonts w:hint="default" w:ascii="Times New Roman" w:hAnsi="Times New Roman" w:eastAsia="宋体" w:cs="Times New Roman"/>
                <w:spacing w:val="8"/>
                <w:sz w:val="20"/>
                <w:szCs w:val="20"/>
                <w:highlight w:val="none"/>
              </w:rPr>
              <w:t>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492" w:type="dxa"/>
            <w:gridSpan w:val="7"/>
            <w:tcBorders>
              <w:left w:val="single" w:color="000000" w:sz="10" w:space="0"/>
              <w:right w:val="single" w:color="000000" w:sz="10" w:space="0"/>
            </w:tcBorders>
            <w:vAlign w:val="top"/>
          </w:tcPr>
          <w:p>
            <w:pPr>
              <w:spacing w:before="56" w:line="241" w:lineRule="auto"/>
              <w:ind w:left="346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一、工艺装备要</w:t>
            </w:r>
            <w:r>
              <w:rPr>
                <w:rFonts w:hint="default" w:ascii="Times New Roman" w:hAnsi="Times New Roman" w:eastAsia="宋体" w:cs="Times New Roman"/>
                <w:spacing w:val="-4"/>
                <w:sz w:val="20"/>
                <w:szCs w:val="20"/>
                <w:highlight w:val="none"/>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3" w:hRule="atLeast"/>
        </w:trPr>
        <w:tc>
          <w:tcPr>
            <w:tcW w:w="1353" w:type="dxa"/>
            <w:tcBorders>
              <w:left w:val="single" w:color="000000" w:sz="10" w:space="0"/>
            </w:tcBorders>
            <w:vAlign w:val="top"/>
          </w:tcPr>
          <w:p>
            <w:pPr>
              <w:spacing w:line="265" w:lineRule="auto"/>
              <w:rPr>
                <w:rFonts w:hint="default" w:ascii="Times New Roman" w:hAnsi="Times New Roman" w:cs="Times New Roman"/>
                <w:sz w:val="21"/>
                <w:highlight w:val="none"/>
              </w:rPr>
            </w:pPr>
          </w:p>
          <w:p>
            <w:pPr>
              <w:spacing w:line="266" w:lineRule="auto"/>
              <w:rPr>
                <w:rFonts w:hint="default" w:ascii="Times New Roman" w:hAnsi="Times New Roman" w:cs="Times New Roman"/>
                <w:sz w:val="21"/>
                <w:highlight w:val="none"/>
              </w:rPr>
            </w:pPr>
          </w:p>
          <w:p>
            <w:pPr>
              <w:spacing w:line="266" w:lineRule="auto"/>
              <w:rPr>
                <w:rFonts w:hint="default" w:ascii="Times New Roman" w:hAnsi="Times New Roman" w:cs="Times New Roman"/>
                <w:sz w:val="21"/>
                <w:highlight w:val="none"/>
              </w:rPr>
            </w:pPr>
          </w:p>
          <w:p>
            <w:pPr>
              <w:spacing w:before="65" w:line="228" w:lineRule="auto"/>
              <w:ind w:left="24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破</w:t>
            </w:r>
            <w:r>
              <w:rPr>
                <w:rFonts w:hint="default" w:ascii="Times New Roman" w:hAnsi="Times New Roman" w:eastAsia="宋体" w:cs="Times New Roman"/>
                <w:spacing w:val="7"/>
                <w:sz w:val="20"/>
                <w:szCs w:val="20"/>
                <w:highlight w:val="none"/>
              </w:rPr>
              <w:t>碎筛分</w:t>
            </w:r>
          </w:p>
        </w:tc>
        <w:tc>
          <w:tcPr>
            <w:tcW w:w="1841" w:type="dxa"/>
            <w:vAlign w:val="top"/>
          </w:tcPr>
          <w:p>
            <w:pPr>
              <w:spacing w:before="230" w:line="228" w:lineRule="auto"/>
              <w:ind w:lef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采</w:t>
            </w:r>
            <w:r>
              <w:rPr>
                <w:rFonts w:hint="default" w:ascii="Times New Roman" w:hAnsi="Times New Roman" w:eastAsia="宋体" w:cs="Times New Roman"/>
                <w:spacing w:val="-4"/>
                <w:sz w:val="20"/>
                <w:szCs w:val="20"/>
                <w:highlight w:val="none"/>
              </w:rPr>
              <w:t>用国际先进的处</w:t>
            </w:r>
          </w:p>
          <w:p>
            <w:pPr>
              <w:spacing w:before="72" w:line="229" w:lineRule="auto"/>
              <w:ind w:left="14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理</w:t>
            </w:r>
            <w:r>
              <w:rPr>
                <w:rFonts w:hint="default" w:ascii="Times New Roman" w:hAnsi="Times New Roman" w:eastAsia="宋体" w:cs="Times New Roman"/>
                <w:spacing w:val="-6"/>
                <w:sz w:val="20"/>
                <w:szCs w:val="20"/>
                <w:highlight w:val="none"/>
              </w:rPr>
              <w:t>量</w:t>
            </w:r>
            <w:r>
              <w:rPr>
                <w:rFonts w:hint="default" w:ascii="Times New Roman" w:hAnsi="Times New Roman" w:eastAsia="宋体" w:cs="Times New Roman"/>
                <w:spacing w:val="-4"/>
                <w:sz w:val="20"/>
                <w:szCs w:val="20"/>
                <w:highlight w:val="none"/>
              </w:rPr>
              <w:t>大、高效超细</w:t>
            </w:r>
          </w:p>
          <w:p>
            <w:pPr>
              <w:spacing w:before="68" w:line="228" w:lineRule="auto"/>
              <w:ind w:left="23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破</w:t>
            </w:r>
            <w:r>
              <w:rPr>
                <w:rFonts w:hint="default" w:ascii="Times New Roman" w:hAnsi="Times New Roman" w:eastAsia="宋体" w:cs="Times New Roman"/>
                <w:spacing w:val="-4"/>
                <w:sz w:val="20"/>
                <w:szCs w:val="20"/>
                <w:highlight w:val="none"/>
              </w:rPr>
              <w:t>碎机等破碎设</w:t>
            </w:r>
          </w:p>
          <w:p>
            <w:pPr>
              <w:spacing w:before="72" w:line="230" w:lineRule="auto"/>
              <w:ind w:left="14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备</w:t>
            </w:r>
            <w:r>
              <w:rPr>
                <w:rFonts w:hint="default" w:ascii="Times New Roman" w:hAnsi="Times New Roman" w:eastAsia="宋体" w:cs="Times New Roman"/>
                <w:spacing w:val="-6"/>
                <w:sz w:val="20"/>
                <w:szCs w:val="20"/>
                <w:highlight w:val="none"/>
              </w:rPr>
              <w:t>，</w:t>
            </w:r>
            <w:r>
              <w:rPr>
                <w:rFonts w:hint="default" w:ascii="Times New Roman" w:hAnsi="Times New Roman" w:eastAsia="宋体" w:cs="Times New Roman"/>
                <w:spacing w:val="-4"/>
                <w:sz w:val="20"/>
                <w:szCs w:val="20"/>
                <w:highlight w:val="none"/>
              </w:rPr>
              <w:t>配有除尘净化</w:t>
            </w:r>
          </w:p>
          <w:p>
            <w:pPr>
              <w:spacing w:before="67" w:line="230" w:lineRule="auto"/>
              <w:ind w:left="73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设</w:t>
            </w:r>
            <w:r>
              <w:rPr>
                <w:rFonts w:hint="default" w:ascii="Times New Roman" w:hAnsi="Times New Roman" w:eastAsia="宋体" w:cs="Times New Roman"/>
                <w:spacing w:val="-1"/>
                <w:sz w:val="20"/>
                <w:szCs w:val="20"/>
                <w:highlight w:val="none"/>
              </w:rPr>
              <w:t>施</w:t>
            </w:r>
          </w:p>
        </w:tc>
        <w:tc>
          <w:tcPr>
            <w:tcW w:w="1905" w:type="dxa"/>
            <w:vAlign w:val="top"/>
          </w:tcPr>
          <w:p>
            <w:pPr>
              <w:spacing w:before="230" w:line="228" w:lineRule="auto"/>
              <w:ind w:left="18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采</w:t>
            </w:r>
            <w:r>
              <w:rPr>
                <w:rFonts w:hint="default" w:ascii="Times New Roman" w:hAnsi="Times New Roman" w:eastAsia="宋体" w:cs="Times New Roman"/>
                <w:spacing w:val="-4"/>
                <w:sz w:val="20"/>
                <w:szCs w:val="20"/>
                <w:highlight w:val="none"/>
              </w:rPr>
              <w:t>用国内先进的处</w:t>
            </w:r>
          </w:p>
          <w:p>
            <w:pPr>
              <w:spacing w:before="72" w:line="229" w:lineRule="auto"/>
              <w:ind w:left="11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4"/>
                <w:sz w:val="20"/>
                <w:szCs w:val="20"/>
                <w:highlight w:val="none"/>
              </w:rPr>
              <w:t>理</w:t>
            </w:r>
            <w:r>
              <w:rPr>
                <w:rFonts w:hint="default" w:ascii="Times New Roman" w:hAnsi="Times New Roman" w:eastAsia="宋体" w:cs="Times New Roman"/>
                <w:spacing w:val="-10"/>
                <w:sz w:val="20"/>
                <w:szCs w:val="20"/>
                <w:highlight w:val="none"/>
              </w:rPr>
              <w:t>量较大，效率较高</w:t>
            </w:r>
          </w:p>
          <w:p>
            <w:pPr>
              <w:spacing w:before="68" w:line="228" w:lineRule="auto"/>
              <w:ind w:left="19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的</w:t>
            </w:r>
            <w:r>
              <w:rPr>
                <w:rFonts w:hint="default" w:ascii="Times New Roman" w:hAnsi="Times New Roman" w:eastAsia="宋体" w:cs="Times New Roman"/>
                <w:spacing w:val="-6"/>
                <w:sz w:val="20"/>
                <w:szCs w:val="20"/>
                <w:highlight w:val="none"/>
              </w:rPr>
              <w:t>超细破碎机等破</w:t>
            </w:r>
          </w:p>
          <w:p>
            <w:pPr>
              <w:spacing w:before="72" w:line="228" w:lineRule="auto"/>
              <w:ind w:left="10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3"/>
                <w:sz w:val="20"/>
                <w:szCs w:val="20"/>
                <w:highlight w:val="none"/>
              </w:rPr>
              <w:t>碎</w:t>
            </w:r>
            <w:r>
              <w:rPr>
                <w:rFonts w:hint="default" w:ascii="Times New Roman" w:hAnsi="Times New Roman" w:eastAsia="宋体" w:cs="Times New Roman"/>
                <w:spacing w:val="-10"/>
                <w:sz w:val="20"/>
                <w:szCs w:val="20"/>
                <w:highlight w:val="none"/>
              </w:rPr>
              <w:t>设备，配有除尘净</w:t>
            </w:r>
          </w:p>
          <w:p>
            <w:pPr>
              <w:spacing w:before="69" w:line="230" w:lineRule="auto"/>
              <w:ind w:left="66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化设施</w:t>
            </w:r>
          </w:p>
        </w:tc>
        <w:tc>
          <w:tcPr>
            <w:tcW w:w="1546" w:type="dxa"/>
            <w:vAlign w:val="top"/>
          </w:tcPr>
          <w:p>
            <w:pPr>
              <w:spacing w:before="70" w:line="294" w:lineRule="auto"/>
              <w:ind w:left="115" w:right="71" w:firstLine="74"/>
              <w:jc w:val="right"/>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采用国内</w:t>
            </w:r>
            <w:r>
              <w:rPr>
                <w:rFonts w:hint="default" w:ascii="Times New Roman" w:hAnsi="Times New Roman" w:eastAsia="宋体" w:cs="Times New Roman"/>
                <w:spacing w:val="-1"/>
                <w:sz w:val="20"/>
                <w:szCs w:val="20"/>
                <w:highlight w:val="none"/>
              </w:rPr>
              <w:t>先进</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0"/>
                <w:sz w:val="20"/>
                <w:szCs w:val="20"/>
                <w:highlight w:val="none"/>
              </w:rPr>
              <w:t>的</w:t>
            </w:r>
            <w:r>
              <w:rPr>
                <w:rFonts w:hint="default" w:ascii="Times New Roman" w:hAnsi="Times New Roman" w:eastAsia="宋体" w:cs="Times New Roman"/>
                <w:spacing w:val="-6"/>
                <w:sz w:val="20"/>
                <w:szCs w:val="20"/>
                <w:highlight w:val="none"/>
              </w:rPr>
              <w:t>旋回、鄂式、</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1"/>
                <w:sz w:val="20"/>
                <w:szCs w:val="20"/>
                <w:highlight w:val="none"/>
              </w:rPr>
              <w:t>圆锥锤式破</w:t>
            </w:r>
            <w:r>
              <w:rPr>
                <w:rFonts w:hint="default" w:ascii="Times New Roman" w:hAnsi="Times New Roman" w:eastAsia="宋体" w:cs="Times New Roman"/>
                <w:spacing w:val="9"/>
                <w:sz w:val="20"/>
                <w:szCs w:val="20"/>
                <w:highlight w:val="none"/>
              </w:rPr>
              <w:t>碎</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0"/>
                <w:sz w:val="20"/>
                <w:szCs w:val="20"/>
                <w:highlight w:val="none"/>
              </w:rPr>
              <w:t>机</w:t>
            </w:r>
            <w:r>
              <w:rPr>
                <w:rFonts w:hint="default" w:ascii="Times New Roman" w:hAnsi="Times New Roman" w:eastAsia="宋体" w:cs="Times New Roman"/>
                <w:spacing w:val="-6"/>
                <w:sz w:val="20"/>
                <w:szCs w:val="20"/>
                <w:highlight w:val="none"/>
              </w:rPr>
              <w:t>等破碎设备，</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
                <w:sz w:val="20"/>
                <w:szCs w:val="20"/>
                <w:highlight w:val="none"/>
              </w:rPr>
              <w:t>配有</w:t>
            </w:r>
            <w:r>
              <w:rPr>
                <w:rFonts w:hint="default" w:ascii="Times New Roman" w:hAnsi="Times New Roman" w:eastAsia="宋体" w:cs="Times New Roman"/>
                <w:spacing w:val="-1"/>
                <w:sz w:val="20"/>
                <w:szCs w:val="20"/>
                <w:highlight w:val="none"/>
              </w:rPr>
              <w:t>除尘净化</w:t>
            </w:r>
          </w:p>
          <w:p>
            <w:pPr>
              <w:spacing w:line="229" w:lineRule="auto"/>
              <w:ind w:left="58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设</w:t>
            </w:r>
            <w:r>
              <w:rPr>
                <w:rFonts w:hint="default" w:ascii="Times New Roman" w:hAnsi="Times New Roman" w:eastAsia="宋体" w:cs="Times New Roman"/>
                <w:spacing w:val="-1"/>
                <w:sz w:val="20"/>
                <w:szCs w:val="20"/>
                <w:highlight w:val="none"/>
              </w:rPr>
              <w:t>施</w:t>
            </w:r>
          </w:p>
        </w:tc>
        <w:tc>
          <w:tcPr>
            <w:tcW w:w="1403" w:type="dxa"/>
            <w:gridSpan w:val="2"/>
            <w:vAlign w:val="top"/>
          </w:tcPr>
          <w:p>
            <w:pPr>
              <w:spacing w:line="324" w:lineRule="auto"/>
              <w:rPr>
                <w:rFonts w:hint="default" w:ascii="Times New Roman" w:hAnsi="Times New Roman" w:cs="Times New Roman"/>
                <w:sz w:val="21"/>
                <w:highlight w:val="none"/>
              </w:rPr>
            </w:pPr>
          </w:p>
          <w:p>
            <w:pPr>
              <w:spacing w:before="65" w:line="228" w:lineRule="auto"/>
              <w:ind w:left="13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采用国内先进</w:t>
            </w:r>
          </w:p>
          <w:p>
            <w:pPr>
              <w:spacing w:before="70" w:line="228" w:lineRule="auto"/>
              <w:ind w:left="15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的破碎设备，</w:t>
            </w:r>
          </w:p>
          <w:p>
            <w:pPr>
              <w:spacing w:before="71" w:line="306" w:lineRule="auto"/>
              <w:ind w:left="526" w:right="92" w:hanging="39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配有除尘净化</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
                <w:sz w:val="20"/>
                <w:szCs w:val="20"/>
                <w:highlight w:val="none"/>
              </w:rPr>
              <w:t>设</w:t>
            </w:r>
            <w:r>
              <w:rPr>
                <w:rFonts w:hint="default" w:ascii="Times New Roman" w:hAnsi="Times New Roman" w:eastAsia="宋体" w:cs="Times New Roman"/>
                <w:spacing w:val="-1"/>
                <w:sz w:val="20"/>
                <w:szCs w:val="20"/>
                <w:highlight w:val="none"/>
              </w:rPr>
              <w:t>施</w:t>
            </w:r>
          </w:p>
        </w:tc>
        <w:tc>
          <w:tcPr>
            <w:tcW w:w="444" w:type="dxa"/>
            <w:tcBorders>
              <w:right w:val="single" w:color="000000" w:sz="10" w:space="0"/>
            </w:tcBorders>
            <w:textDirection w:val="tbRlV"/>
            <w:vAlign w:val="top"/>
          </w:tcPr>
          <w:p>
            <w:pPr>
              <w:spacing w:before="92" w:line="215" w:lineRule="auto"/>
              <w:ind w:left="74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二</w:t>
            </w:r>
            <w:r>
              <w:rPr>
                <w:rFonts w:hint="default" w:ascii="Times New Roman" w:hAnsi="Times New Roman" w:eastAsia="宋体" w:cs="Times New Roman"/>
                <w:spacing w:val="-3"/>
                <w:sz w:val="20"/>
                <w:szCs w:val="20"/>
                <w:highlight w:val="none"/>
              </w:rPr>
              <w:t xml:space="preserve"> 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5" w:hRule="atLeast"/>
        </w:trPr>
        <w:tc>
          <w:tcPr>
            <w:tcW w:w="1353" w:type="dxa"/>
            <w:tcBorders>
              <w:left w:val="single" w:color="000000" w:sz="10" w:space="0"/>
            </w:tcBorders>
            <w:vAlign w:val="top"/>
          </w:tcPr>
          <w:p>
            <w:pPr>
              <w:spacing w:line="313" w:lineRule="auto"/>
              <w:rPr>
                <w:rFonts w:hint="default" w:ascii="Times New Roman" w:hAnsi="Times New Roman" w:cs="Times New Roman"/>
                <w:sz w:val="21"/>
                <w:highlight w:val="none"/>
              </w:rPr>
            </w:pPr>
          </w:p>
          <w:p>
            <w:pPr>
              <w:spacing w:line="313" w:lineRule="auto"/>
              <w:rPr>
                <w:rFonts w:hint="default" w:ascii="Times New Roman" w:hAnsi="Times New Roman" w:cs="Times New Roman"/>
                <w:sz w:val="21"/>
                <w:highlight w:val="none"/>
              </w:rPr>
            </w:pPr>
          </w:p>
          <w:p>
            <w:pPr>
              <w:spacing w:before="65" w:line="228" w:lineRule="auto"/>
              <w:ind w:left="46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磨</w:t>
            </w:r>
            <w:r>
              <w:rPr>
                <w:rFonts w:hint="default" w:ascii="Times New Roman" w:hAnsi="Times New Roman" w:eastAsia="宋体" w:cs="Times New Roman"/>
                <w:spacing w:val="3"/>
                <w:sz w:val="20"/>
                <w:szCs w:val="20"/>
                <w:highlight w:val="none"/>
              </w:rPr>
              <w:t>矿</w:t>
            </w:r>
          </w:p>
        </w:tc>
        <w:tc>
          <w:tcPr>
            <w:tcW w:w="1841" w:type="dxa"/>
            <w:vAlign w:val="top"/>
          </w:tcPr>
          <w:p>
            <w:pPr>
              <w:spacing w:before="56" w:line="294" w:lineRule="auto"/>
              <w:ind w:left="143" w:right="13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采用国际先进的处</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5"/>
                <w:sz w:val="20"/>
                <w:szCs w:val="20"/>
                <w:highlight w:val="none"/>
              </w:rPr>
              <w:t>理量大、能耗低、</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5"/>
                <w:sz w:val="20"/>
                <w:szCs w:val="20"/>
                <w:highlight w:val="none"/>
              </w:rPr>
              <w:t>效率高的筒式磨矿</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5"/>
                <w:sz w:val="20"/>
                <w:szCs w:val="20"/>
                <w:highlight w:val="none"/>
              </w:rPr>
              <w:t>机、高压辊磨机等</w:t>
            </w:r>
          </w:p>
          <w:p>
            <w:pPr>
              <w:spacing w:line="228" w:lineRule="auto"/>
              <w:ind w:left="53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磨</w:t>
            </w:r>
            <w:r>
              <w:rPr>
                <w:rFonts w:hint="default" w:ascii="Times New Roman" w:hAnsi="Times New Roman" w:eastAsia="宋体" w:cs="Times New Roman"/>
                <w:spacing w:val="-3"/>
                <w:sz w:val="20"/>
                <w:szCs w:val="20"/>
                <w:highlight w:val="none"/>
              </w:rPr>
              <w:t>矿设备</w:t>
            </w:r>
          </w:p>
        </w:tc>
        <w:tc>
          <w:tcPr>
            <w:tcW w:w="1905" w:type="dxa"/>
            <w:vAlign w:val="top"/>
          </w:tcPr>
          <w:p>
            <w:pPr>
              <w:spacing w:before="58" w:line="228" w:lineRule="auto"/>
              <w:ind w:left="18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采</w:t>
            </w:r>
            <w:r>
              <w:rPr>
                <w:rFonts w:hint="default" w:ascii="Times New Roman" w:hAnsi="Times New Roman" w:eastAsia="宋体" w:cs="Times New Roman"/>
                <w:spacing w:val="-4"/>
                <w:sz w:val="20"/>
                <w:szCs w:val="20"/>
                <w:highlight w:val="none"/>
              </w:rPr>
              <w:t>用国内先进的处</w:t>
            </w:r>
          </w:p>
          <w:p>
            <w:pPr>
              <w:spacing w:before="70" w:line="229" w:lineRule="auto"/>
              <w:ind w:left="18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理</w:t>
            </w:r>
            <w:r>
              <w:rPr>
                <w:rFonts w:hint="default" w:ascii="Times New Roman" w:hAnsi="Times New Roman" w:eastAsia="宋体" w:cs="Times New Roman"/>
                <w:spacing w:val="-6"/>
                <w:sz w:val="20"/>
                <w:szCs w:val="20"/>
                <w:highlight w:val="none"/>
              </w:rPr>
              <w:t>量</w:t>
            </w:r>
            <w:r>
              <w:rPr>
                <w:rFonts w:hint="default" w:ascii="Times New Roman" w:hAnsi="Times New Roman" w:eastAsia="宋体" w:cs="Times New Roman"/>
                <w:spacing w:val="-4"/>
                <w:sz w:val="20"/>
                <w:szCs w:val="20"/>
                <w:highlight w:val="none"/>
              </w:rPr>
              <w:t>较大、能耗较</w:t>
            </w:r>
          </w:p>
          <w:p>
            <w:pPr>
              <w:spacing w:before="70" w:line="227" w:lineRule="auto"/>
              <w:ind w:left="10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3"/>
                <w:sz w:val="20"/>
                <w:szCs w:val="20"/>
                <w:highlight w:val="none"/>
              </w:rPr>
              <w:t>低</w:t>
            </w:r>
            <w:r>
              <w:rPr>
                <w:rFonts w:hint="default" w:ascii="Times New Roman" w:hAnsi="Times New Roman" w:eastAsia="宋体" w:cs="Times New Roman"/>
                <w:spacing w:val="-10"/>
                <w:sz w:val="20"/>
                <w:szCs w:val="20"/>
                <w:highlight w:val="none"/>
              </w:rPr>
              <w:t>、效率较高的筒式</w:t>
            </w:r>
          </w:p>
          <w:p>
            <w:pPr>
              <w:spacing w:before="70" w:line="228" w:lineRule="auto"/>
              <w:ind w:left="11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7"/>
                <w:sz w:val="20"/>
                <w:szCs w:val="20"/>
                <w:highlight w:val="none"/>
              </w:rPr>
              <w:t>磨</w:t>
            </w:r>
            <w:r>
              <w:rPr>
                <w:rFonts w:hint="default" w:ascii="Times New Roman" w:hAnsi="Times New Roman" w:eastAsia="宋体" w:cs="Times New Roman"/>
                <w:spacing w:val="-10"/>
                <w:sz w:val="20"/>
                <w:szCs w:val="20"/>
                <w:highlight w:val="none"/>
              </w:rPr>
              <w:t>矿机、高压辊磨机</w:t>
            </w:r>
          </w:p>
          <w:p>
            <w:pPr>
              <w:spacing w:before="73" w:line="228" w:lineRule="auto"/>
              <w:ind w:left="4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等</w:t>
            </w:r>
            <w:r>
              <w:rPr>
                <w:rFonts w:hint="default" w:ascii="Times New Roman" w:hAnsi="Times New Roman" w:eastAsia="宋体" w:cs="Times New Roman"/>
                <w:spacing w:val="-4"/>
                <w:sz w:val="20"/>
                <w:szCs w:val="20"/>
                <w:highlight w:val="none"/>
              </w:rPr>
              <w:t>磨矿设备</w:t>
            </w:r>
          </w:p>
        </w:tc>
        <w:tc>
          <w:tcPr>
            <w:tcW w:w="1546" w:type="dxa"/>
            <w:vAlign w:val="top"/>
          </w:tcPr>
          <w:p>
            <w:pPr>
              <w:spacing w:before="59" w:line="293" w:lineRule="auto"/>
              <w:ind w:left="114" w:right="71" w:firstLine="75"/>
              <w:jc w:val="right"/>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采用国内</w:t>
            </w:r>
            <w:r>
              <w:rPr>
                <w:rFonts w:hint="default" w:ascii="Times New Roman" w:hAnsi="Times New Roman" w:eastAsia="宋体" w:cs="Times New Roman"/>
                <w:spacing w:val="-1"/>
                <w:sz w:val="20"/>
                <w:szCs w:val="20"/>
                <w:highlight w:val="none"/>
              </w:rPr>
              <w:t>较先</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进</w:t>
            </w:r>
            <w:r>
              <w:rPr>
                <w:rFonts w:hint="default" w:ascii="Times New Roman" w:hAnsi="Times New Roman" w:eastAsia="宋体" w:cs="Times New Roman"/>
                <w:spacing w:val="-6"/>
                <w:sz w:val="20"/>
                <w:szCs w:val="20"/>
                <w:highlight w:val="none"/>
              </w:rPr>
              <w:t>的筒式磨矿、</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
                <w:sz w:val="20"/>
                <w:szCs w:val="20"/>
                <w:highlight w:val="none"/>
              </w:rPr>
              <w:t>干式自磨</w:t>
            </w:r>
            <w:r>
              <w:rPr>
                <w:rFonts w:hint="default" w:ascii="Times New Roman" w:hAnsi="Times New Roman" w:eastAsia="宋体" w:cs="Times New Roman"/>
                <w:spacing w:val="-1"/>
                <w:sz w:val="20"/>
                <w:szCs w:val="20"/>
                <w:highlight w:val="none"/>
              </w:rPr>
              <w:t>、棒</w:t>
            </w:r>
          </w:p>
          <w:p>
            <w:pPr>
              <w:spacing w:line="262" w:lineRule="auto"/>
              <w:ind w:left="589" w:right="86" w:hanging="47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磨</w:t>
            </w:r>
            <w:r>
              <w:rPr>
                <w:rFonts w:hint="default" w:ascii="Times New Roman" w:hAnsi="Times New Roman" w:eastAsia="宋体" w:cs="Times New Roman"/>
                <w:spacing w:val="-9"/>
                <w:sz w:val="20"/>
                <w:szCs w:val="20"/>
                <w:highlight w:val="none"/>
              </w:rPr>
              <w:t>、球磨等磨矿</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
                <w:sz w:val="20"/>
                <w:szCs w:val="20"/>
                <w:highlight w:val="none"/>
              </w:rPr>
              <w:t>设</w:t>
            </w:r>
            <w:r>
              <w:rPr>
                <w:rFonts w:hint="default" w:ascii="Times New Roman" w:hAnsi="Times New Roman" w:eastAsia="宋体" w:cs="Times New Roman"/>
                <w:spacing w:val="-1"/>
                <w:sz w:val="20"/>
                <w:szCs w:val="20"/>
                <w:highlight w:val="none"/>
              </w:rPr>
              <w:t>备</w:t>
            </w:r>
          </w:p>
        </w:tc>
        <w:tc>
          <w:tcPr>
            <w:tcW w:w="1403" w:type="dxa"/>
            <w:gridSpan w:val="2"/>
            <w:vAlign w:val="top"/>
          </w:tcPr>
          <w:p>
            <w:pPr>
              <w:spacing w:line="468" w:lineRule="auto"/>
              <w:rPr>
                <w:rFonts w:hint="default" w:ascii="Times New Roman" w:hAnsi="Times New Roman" w:cs="Times New Roman"/>
                <w:sz w:val="21"/>
                <w:highlight w:val="none"/>
              </w:rPr>
            </w:pPr>
          </w:p>
          <w:p>
            <w:pPr>
              <w:spacing w:before="65" w:line="305" w:lineRule="auto"/>
              <w:ind w:left="246" w:right="92" w:hanging="11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采</w:t>
            </w:r>
            <w:r>
              <w:rPr>
                <w:rFonts w:hint="default" w:ascii="Times New Roman" w:hAnsi="Times New Roman" w:eastAsia="宋体" w:cs="Times New Roman"/>
                <w:spacing w:val="-5"/>
                <w:sz w:val="20"/>
                <w:szCs w:val="20"/>
                <w:highlight w:val="none"/>
              </w:rPr>
              <w:t>用</w:t>
            </w:r>
            <w:r>
              <w:rPr>
                <w:rFonts w:hint="default" w:ascii="Times New Roman" w:hAnsi="Times New Roman" w:eastAsia="宋体" w:cs="Times New Roman"/>
                <w:spacing w:val="-4"/>
                <w:sz w:val="20"/>
                <w:szCs w:val="20"/>
                <w:highlight w:val="none"/>
              </w:rPr>
              <w:t>国内先进</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0"/>
                <w:sz w:val="20"/>
                <w:szCs w:val="20"/>
                <w:highlight w:val="none"/>
              </w:rPr>
              <w:t>的</w:t>
            </w:r>
            <w:r>
              <w:rPr>
                <w:rFonts w:hint="default" w:ascii="Times New Roman" w:hAnsi="Times New Roman" w:eastAsia="宋体" w:cs="Times New Roman"/>
                <w:spacing w:val="-6"/>
                <w:sz w:val="20"/>
                <w:szCs w:val="20"/>
                <w:highlight w:val="none"/>
              </w:rPr>
              <w:t>磨矿设备</w:t>
            </w:r>
          </w:p>
        </w:tc>
        <w:tc>
          <w:tcPr>
            <w:tcW w:w="444" w:type="dxa"/>
            <w:tcBorders>
              <w:right w:val="single" w:color="000000" w:sz="10" w:space="0"/>
            </w:tcBorders>
            <w:textDirection w:val="tbRlV"/>
            <w:vAlign w:val="top"/>
          </w:tcPr>
          <w:p>
            <w:pPr>
              <w:spacing w:before="92" w:line="215" w:lineRule="auto"/>
              <w:ind w:left="5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二</w:t>
            </w:r>
            <w:r>
              <w:rPr>
                <w:rFonts w:hint="default" w:ascii="Times New Roman" w:hAnsi="Times New Roman" w:eastAsia="宋体" w:cs="Times New Roman"/>
                <w:spacing w:val="-4"/>
                <w:sz w:val="20"/>
                <w:szCs w:val="20"/>
                <w:highlight w:val="none"/>
              </w:rPr>
              <w:t xml:space="preserve"> 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9" w:hRule="atLeast"/>
        </w:trPr>
        <w:tc>
          <w:tcPr>
            <w:tcW w:w="1353" w:type="dxa"/>
            <w:tcBorders>
              <w:left w:val="single" w:color="000000" w:sz="10" w:space="0"/>
            </w:tcBorders>
            <w:vAlign w:val="top"/>
          </w:tcPr>
          <w:p>
            <w:pPr>
              <w:spacing w:line="297" w:lineRule="auto"/>
              <w:rPr>
                <w:rFonts w:hint="default" w:ascii="Times New Roman" w:hAnsi="Times New Roman" w:cs="Times New Roman"/>
                <w:sz w:val="21"/>
                <w:highlight w:val="none"/>
              </w:rPr>
            </w:pPr>
          </w:p>
          <w:p>
            <w:pPr>
              <w:spacing w:line="298" w:lineRule="auto"/>
              <w:rPr>
                <w:rFonts w:hint="default" w:ascii="Times New Roman" w:hAnsi="Times New Roman" w:cs="Times New Roman"/>
                <w:sz w:val="21"/>
                <w:highlight w:val="none"/>
              </w:rPr>
            </w:pPr>
          </w:p>
          <w:p>
            <w:pPr>
              <w:spacing w:before="65" w:line="229" w:lineRule="auto"/>
              <w:ind w:left="46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分</w:t>
            </w:r>
            <w:r>
              <w:rPr>
                <w:rFonts w:hint="default" w:ascii="Times New Roman" w:hAnsi="Times New Roman" w:eastAsia="宋体" w:cs="Times New Roman"/>
                <w:spacing w:val="3"/>
                <w:sz w:val="20"/>
                <w:szCs w:val="20"/>
                <w:highlight w:val="none"/>
              </w:rPr>
              <w:t>级</w:t>
            </w:r>
          </w:p>
        </w:tc>
        <w:tc>
          <w:tcPr>
            <w:tcW w:w="1841" w:type="dxa"/>
            <w:vAlign w:val="top"/>
          </w:tcPr>
          <w:p>
            <w:pPr>
              <w:spacing w:before="186" w:line="228" w:lineRule="auto"/>
              <w:ind w:lef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采</w:t>
            </w:r>
            <w:r>
              <w:rPr>
                <w:rFonts w:hint="default" w:ascii="Times New Roman" w:hAnsi="Times New Roman" w:eastAsia="宋体" w:cs="Times New Roman"/>
                <w:spacing w:val="-4"/>
                <w:sz w:val="20"/>
                <w:szCs w:val="20"/>
                <w:highlight w:val="none"/>
              </w:rPr>
              <w:t>用国际先进的分</w:t>
            </w:r>
          </w:p>
          <w:p>
            <w:pPr>
              <w:spacing w:before="70" w:line="228" w:lineRule="auto"/>
              <w:ind w:left="14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级效率高的高频</w:t>
            </w:r>
            <w:r>
              <w:rPr>
                <w:rFonts w:hint="default" w:ascii="Times New Roman" w:hAnsi="Times New Roman" w:eastAsia="宋体" w:cs="Times New Roman"/>
                <w:spacing w:val="-4"/>
                <w:sz w:val="20"/>
                <w:szCs w:val="20"/>
                <w:highlight w:val="none"/>
              </w:rPr>
              <w:t>振</w:t>
            </w:r>
          </w:p>
          <w:p>
            <w:pPr>
              <w:spacing w:before="71" w:line="228" w:lineRule="auto"/>
              <w:ind w:left="14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动</w:t>
            </w:r>
            <w:r>
              <w:rPr>
                <w:rFonts w:hint="default" w:ascii="Times New Roman" w:hAnsi="Times New Roman" w:eastAsia="宋体" w:cs="Times New Roman"/>
                <w:spacing w:val="-5"/>
                <w:sz w:val="20"/>
                <w:szCs w:val="20"/>
                <w:highlight w:val="none"/>
              </w:rPr>
              <w:t>细</w:t>
            </w:r>
            <w:r>
              <w:rPr>
                <w:rFonts w:hint="default" w:ascii="Times New Roman" w:hAnsi="Times New Roman" w:eastAsia="宋体" w:cs="Times New Roman"/>
                <w:spacing w:val="-4"/>
                <w:sz w:val="20"/>
                <w:szCs w:val="20"/>
                <w:highlight w:val="none"/>
              </w:rPr>
              <w:t>筛分级机等分</w:t>
            </w:r>
          </w:p>
          <w:p>
            <w:pPr>
              <w:spacing w:before="69" w:line="230" w:lineRule="auto"/>
              <w:ind w:left="63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级</w:t>
            </w:r>
            <w:r>
              <w:rPr>
                <w:rFonts w:hint="default" w:ascii="Times New Roman" w:hAnsi="Times New Roman" w:eastAsia="宋体" w:cs="Times New Roman"/>
                <w:spacing w:val="-3"/>
                <w:sz w:val="20"/>
                <w:szCs w:val="20"/>
                <w:highlight w:val="none"/>
              </w:rPr>
              <w:t>设</w:t>
            </w:r>
            <w:r>
              <w:rPr>
                <w:rFonts w:hint="default" w:ascii="Times New Roman" w:hAnsi="Times New Roman" w:eastAsia="宋体" w:cs="Times New Roman"/>
                <w:spacing w:val="-2"/>
                <w:sz w:val="20"/>
                <w:szCs w:val="20"/>
                <w:highlight w:val="none"/>
              </w:rPr>
              <w:t>备</w:t>
            </w:r>
          </w:p>
        </w:tc>
        <w:tc>
          <w:tcPr>
            <w:tcW w:w="1905" w:type="dxa"/>
            <w:vAlign w:val="top"/>
          </w:tcPr>
          <w:p>
            <w:pPr>
              <w:spacing w:before="186" w:line="228" w:lineRule="auto"/>
              <w:ind w:left="18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采</w:t>
            </w:r>
            <w:r>
              <w:rPr>
                <w:rFonts w:hint="default" w:ascii="Times New Roman" w:hAnsi="Times New Roman" w:eastAsia="宋体" w:cs="Times New Roman"/>
                <w:spacing w:val="-4"/>
                <w:sz w:val="20"/>
                <w:szCs w:val="20"/>
                <w:highlight w:val="none"/>
              </w:rPr>
              <w:t>用国内先进的分</w:t>
            </w:r>
          </w:p>
          <w:p>
            <w:pPr>
              <w:spacing w:before="70" w:line="228" w:lineRule="auto"/>
              <w:ind w:left="18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级效率较高的电</w:t>
            </w:r>
            <w:r>
              <w:rPr>
                <w:rFonts w:hint="default" w:ascii="Times New Roman" w:hAnsi="Times New Roman" w:eastAsia="宋体" w:cs="Times New Roman"/>
                <w:spacing w:val="-4"/>
                <w:sz w:val="20"/>
                <w:szCs w:val="20"/>
                <w:highlight w:val="none"/>
              </w:rPr>
              <w:t>磁</w:t>
            </w:r>
          </w:p>
          <w:p>
            <w:pPr>
              <w:spacing w:before="72" w:line="228" w:lineRule="auto"/>
              <w:ind w:left="10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3"/>
                <w:sz w:val="20"/>
                <w:szCs w:val="20"/>
                <w:highlight w:val="none"/>
              </w:rPr>
              <w:t>振</w:t>
            </w:r>
            <w:r>
              <w:rPr>
                <w:rFonts w:hint="default" w:ascii="Times New Roman" w:hAnsi="Times New Roman" w:eastAsia="宋体" w:cs="Times New Roman"/>
                <w:spacing w:val="-10"/>
                <w:sz w:val="20"/>
                <w:szCs w:val="20"/>
                <w:highlight w:val="none"/>
              </w:rPr>
              <w:t>动筛、高频细筛等</w:t>
            </w:r>
          </w:p>
          <w:p>
            <w:pPr>
              <w:spacing w:before="69" w:line="229" w:lineRule="auto"/>
              <w:ind w:left="57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分</w:t>
            </w:r>
            <w:r>
              <w:rPr>
                <w:rFonts w:hint="default" w:ascii="Times New Roman" w:hAnsi="Times New Roman" w:eastAsia="宋体" w:cs="Times New Roman"/>
                <w:spacing w:val="-3"/>
                <w:sz w:val="20"/>
                <w:szCs w:val="20"/>
                <w:highlight w:val="none"/>
              </w:rPr>
              <w:t>级设备</w:t>
            </w:r>
          </w:p>
        </w:tc>
        <w:tc>
          <w:tcPr>
            <w:tcW w:w="1546" w:type="dxa"/>
            <w:vAlign w:val="top"/>
          </w:tcPr>
          <w:p>
            <w:pPr>
              <w:spacing w:before="187" w:line="293" w:lineRule="auto"/>
              <w:ind w:left="114" w:right="71" w:firstLine="7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采用国内</w:t>
            </w:r>
            <w:r>
              <w:rPr>
                <w:rFonts w:hint="default" w:ascii="Times New Roman" w:hAnsi="Times New Roman" w:eastAsia="宋体" w:cs="Times New Roman"/>
                <w:spacing w:val="-1"/>
                <w:sz w:val="20"/>
                <w:szCs w:val="20"/>
                <w:highlight w:val="none"/>
              </w:rPr>
              <w:t>较先</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进</w:t>
            </w:r>
            <w:r>
              <w:rPr>
                <w:rFonts w:hint="default" w:ascii="Times New Roman" w:hAnsi="Times New Roman" w:eastAsia="宋体" w:cs="Times New Roman"/>
                <w:spacing w:val="-6"/>
                <w:sz w:val="20"/>
                <w:szCs w:val="20"/>
                <w:highlight w:val="none"/>
              </w:rPr>
              <w:t>的旋流分级、</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2"/>
                <w:sz w:val="20"/>
                <w:szCs w:val="20"/>
                <w:highlight w:val="none"/>
              </w:rPr>
              <w:t>振</w:t>
            </w:r>
            <w:r>
              <w:rPr>
                <w:rFonts w:hint="default" w:ascii="Times New Roman" w:hAnsi="Times New Roman" w:eastAsia="宋体" w:cs="Times New Roman"/>
                <w:spacing w:val="-8"/>
                <w:sz w:val="20"/>
                <w:szCs w:val="20"/>
                <w:highlight w:val="none"/>
              </w:rPr>
              <w:t>动筛、高频细</w:t>
            </w:r>
          </w:p>
          <w:p>
            <w:pPr>
              <w:spacing w:line="228" w:lineRule="auto"/>
              <w:ind w:left="19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筛等分</w:t>
            </w:r>
            <w:r>
              <w:rPr>
                <w:rFonts w:hint="default" w:ascii="Times New Roman" w:hAnsi="Times New Roman" w:eastAsia="宋体" w:cs="Times New Roman"/>
                <w:spacing w:val="-1"/>
                <w:sz w:val="20"/>
                <w:szCs w:val="20"/>
                <w:highlight w:val="none"/>
              </w:rPr>
              <w:t>级设备</w:t>
            </w:r>
          </w:p>
        </w:tc>
        <w:tc>
          <w:tcPr>
            <w:tcW w:w="1401" w:type="dxa"/>
            <w:vAlign w:val="top"/>
          </w:tcPr>
          <w:p>
            <w:pPr>
              <w:spacing w:line="277" w:lineRule="auto"/>
              <w:rPr>
                <w:rFonts w:hint="default" w:ascii="Times New Roman" w:hAnsi="Times New Roman" w:cs="Times New Roman"/>
                <w:sz w:val="21"/>
                <w:highlight w:val="none"/>
              </w:rPr>
            </w:pPr>
          </w:p>
          <w:p>
            <w:pPr>
              <w:spacing w:before="65" w:line="228" w:lineRule="auto"/>
              <w:ind w:left="13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采用国内先进</w:t>
            </w:r>
          </w:p>
          <w:p>
            <w:pPr>
              <w:spacing w:before="72" w:line="228" w:lineRule="auto"/>
              <w:ind w:left="15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的分级效率较</w:t>
            </w:r>
          </w:p>
          <w:p>
            <w:pPr>
              <w:spacing w:before="69" w:line="228" w:lineRule="auto"/>
              <w:ind w:left="23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高的高频筛</w:t>
            </w:r>
          </w:p>
        </w:tc>
        <w:tc>
          <w:tcPr>
            <w:tcW w:w="446" w:type="dxa"/>
            <w:gridSpan w:val="2"/>
            <w:tcBorders>
              <w:right w:val="single" w:color="000000" w:sz="10" w:space="0"/>
            </w:tcBorders>
            <w:textDirection w:val="tbRlV"/>
            <w:vAlign w:val="top"/>
          </w:tcPr>
          <w:p>
            <w:pPr>
              <w:spacing w:before="92" w:line="215" w:lineRule="auto"/>
              <w:ind w:left="54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二</w:t>
            </w:r>
            <w:r>
              <w:rPr>
                <w:rFonts w:hint="default" w:ascii="Times New Roman" w:hAnsi="Times New Roman" w:eastAsia="宋体" w:cs="Times New Roman"/>
                <w:spacing w:val="-3"/>
                <w:sz w:val="20"/>
                <w:szCs w:val="20"/>
                <w:highlight w:val="none"/>
              </w:rPr>
              <w:t xml:space="preserve"> 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6" w:hRule="atLeast"/>
        </w:trPr>
        <w:tc>
          <w:tcPr>
            <w:tcW w:w="1353" w:type="dxa"/>
            <w:tcBorders>
              <w:left w:val="single" w:color="000000" w:sz="10" w:space="0"/>
            </w:tcBorders>
            <w:vAlign w:val="top"/>
          </w:tcPr>
          <w:p>
            <w:pPr>
              <w:spacing w:line="278" w:lineRule="auto"/>
              <w:rPr>
                <w:rFonts w:hint="default" w:ascii="Times New Roman" w:hAnsi="Times New Roman" w:cs="Times New Roman"/>
                <w:sz w:val="21"/>
                <w:highlight w:val="none"/>
              </w:rPr>
            </w:pPr>
          </w:p>
          <w:p>
            <w:pPr>
              <w:spacing w:line="278" w:lineRule="auto"/>
              <w:rPr>
                <w:rFonts w:hint="default" w:ascii="Times New Roman" w:hAnsi="Times New Roman" w:cs="Times New Roman"/>
                <w:sz w:val="21"/>
                <w:highlight w:val="none"/>
              </w:rPr>
            </w:pPr>
          </w:p>
          <w:p>
            <w:pPr>
              <w:spacing w:line="278" w:lineRule="auto"/>
              <w:rPr>
                <w:rFonts w:hint="default" w:ascii="Times New Roman" w:hAnsi="Times New Roman" w:cs="Times New Roman"/>
                <w:sz w:val="21"/>
                <w:highlight w:val="none"/>
              </w:rPr>
            </w:pPr>
          </w:p>
          <w:p>
            <w:pPr>
              <w:spacing w:line="278" w:lineRule="auto"/>
              <w:rPr>
                <w:rFonts w:hint="default" w:ascii="Times New Roman" w:hAnsi="Times New Roman" w:cs="Times New Roman"/>
                <w:sz w:val="21"/>
                <w:highlight w:val="none"/>
              </w:rPr>
            </w:pPr>
          </w:p>
          <w:p>
            <w:pPr>
              <w:spacing w:before="65" w:line="229" w:lineRule="auto"/>
              <w:ind w:left="4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选别</w:t>
            </w:r>
          </w:p>
        </w:tc>
        <w:tc>
          <w:tcPr>
            <w:tcW w:w="1841" w:type="dxa"/>
            <w:vAlign w:val="top"/>
          </w:tcPr>
          <w:p>
            <w:pPr>
              <w:spacing w:before="70" w:line="228" w:lineRule="auto"/>
              <w:ind w:lef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采</w:t>
            </w:r>
            <w:r>
              <w:rPr>
                <w:rFonts w:hint="default" w:ascii="Times New Roman" w:hAnsi="Times New Roman" w:eastAsia="宋体" w:cs="Times New Roman"/>
                <w:spacing w:val="-4"/>
                <w:sz w:val="20"/>
                <w:szCs w:val="20"/>
                <w:highlight w:val="none"/>
              </w:rPr>
              <w:t>用国际先进的回</w:t>
            </w:r>
          </w:p>
          <w:p>
            <w:pPr>
              <w:spacing w:before="70" w:line="228" w:lineRule="auto"/>
              <w:ind w:left="15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收</w:t>
            </w:r>
            <w:r>
              <w:rPr>
                <w:rFonts w:hint="default" w:ascii="Times New Roman" w:hAnsi="Times New Roman" w:eastAsia="宋体" w:cs="Times New Roman"/>
                <w:spacing w:val="-5"/>
                <w:sz w:val="20"/>
                <w:szCs w:val="20"/>
                <w:highlight w:val="none"/>
              </w:rPr>
              <w:t>率高、自动化程</w:t>
            </w:r>
          </w:p>
          <w:p>
            <w:pPr>
              <w:spacing w:before="72" w:line="228" w:lineRule="auto"/>
              <w:ind w:lef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度</w:t>
            </w:r>
            <w:r>
              <w:rPr>
                <w:rFonts w:hint="default" w:ascii="Times New Roman" w:hAnsi="Times New Roman" w:eastAsia="宋体" w:cs="Times New Roman"/>
                <w:spacing w:val="-4"/>
                <w:sz w:val="20"/>
                <w:szCs w:val="20"/>
                <w:highlight w:val="none"/>
              </w:rPr>
              <w:t>高的大粒度中高</w:t>
            </w:r>
          </w:p>
          <w:p>
            <w:pPr>
              <w:spacing w:before="69" w:line="228" w:lineRule="auto"/>
              <w:ind w:lef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场</w:t>
            </w:r>
            <w:r>
              <w:rPr>
                <w:rFonts w:hint="default" w:ascii="Times New Roman" w:hAnsi="Times New Roman" w:eastAsia="宋体" w:cs="Times New Roman"/>
                <w:spacing w:val="-4"/>
                <w:sz w:val="20"/>
                <w:szCs w:val="20"/>
                <w:highlight w:val="none"/>
              </w:rPr>
              <w:t>强磁选机和跳汰</w:t>
            </w:r>
          </w:p>
          <w:p>
            <w:pPr>
              <w:spacing w:before="72" w:line="228" w:lineRule="auto"/>
              <w:ind w:lef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机</w:t>
            </w:r>
            <w:r>
              <w:rPr>
                <w:rFonts w:hint="default" w:ascii="Times New Roman" w:hAnsi="Times New Roman" w:eastAsia="宋体" w:cs="Times New Roman"/>
                <w:spacing w:val="-4"/>
                <w:sz w:val="20"/>
                <w:szCs w:val="20"/>
                <w:highlight w:val="none"/>
              </w:rPr>
              <w:t>、立环脉动高梯</w:t>
            </w:r>
          </w:p>
          <w:p>
            <w:pPr>
              <w:spacing w:before="69" w:line="228" w:lineRule="auto"/>
              <w:ind w:lef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度</w:t>
            </w:r>
            <w:r>
              <w:rPr>
                <w:rFonts w:hint="default" w:ascii="Times New Roman" w:hAnsi="Times New Roman" w:eastAsia="宋体" w:cs="Times New Roman"/>
                <w:spacing w:val="-4"/>
                <w:sz w:val="20"/>
                <w:szCs w:val="20"/>
                <w:highlight w:val="none"/>
              </w:rPr>
              <w:t>强磁选机、冲气</w:t>
            </w:r>
          </w:p>
          <w:p>
            <w:pPr>
              <w:spacing w:before="72" w:line="228" w:lineRule="auto"/>
              <w:ind w:lef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机</w:t>
            </w:r>
            <w:r>
              <w:rPr>
                <w:rFonts w:hint="default" w:ascii="Times New Roman" w:hAnsi="Times New Roman" w:eastAsia="宋体" w:cs="Times New Roman"/>
                <w:spacing w:val="-4"/>
                <w:sz w:val="20"/>
                <w:szCs w:val="20"/>
                <w:highlight w:val="none"/>
              </w:rPr>
              <w:t>械搅拌式浮选机</w:t>
            </w:r>
          </w:p>
          <w:p>
            <w:pPr>
              <w:spacing w:before="70" w:line="228" w:lineRule="auto"/>
              <w:ind w:left="43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等</w:t>
            </w:r>
            <w:r>
              <w:rPr>
                <w:rFonts w:hint="default" w:ascii="Times New Roman" w:hAnsi="Times New Roman" w:eastAsia="宋体" w:cs="Times New Roman"/>
                <w:spacing w:val="-4"/>
                <w:sz w:val="20"/>
                <w:szCs w:val="20"/>
                <w:highlight w:val="none"/>
              </w:rPr>
              <w:t>选别设备</w:t>
            </w:r>
          </w:p>
        </w:tc>
        <w:tc>
          <w:tcPr>
            <w:tcW w:w="1905" w:type="dxa"/>
            <w:vAlign w:val="top"/>
          </w:tcPr>
          <w:p>
            <w:pPr>
              <w:spacing w:before="70" w:line="228" w:lineRule="auto"/>
              <w:ind w:left="16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采用国</w:t>
            </w:r>
            <w:r>
              <w:rPr>
                <w:rFonts w:hint="default" w:ascii="Times New Roman" w:hAnsi="Times New Roman" w:eastAsia="宋体" w:cs="Times New Roman"/>
                <w:spacing w:val="-1"/>
                <w:sz w:val="20"/>
                <w:szCs w:val="20"/>
                <w:highlight w:val="none"/>
              </w:rPr>
              <w:t>内先进的回</w:t>
            </w:r>
          </w:p>
          <w:p>
            <w:pPr>
              <w:spacing w:before="70" w:line="228" w:lineRule="auto"/>
              <w:ind w:left="11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3"/>
                <w:sz w:val="20"/>
                <w:szCs w:val="20"/>
                <w:highlight w:val="none"/>
              </w:rPr>
              <w:t>收</w:t>
            </w:r>
            <w:r>
              <w:rPr>
                <w:rFonts w:hint="default" w:ascii="Times New Roman" w:hAnsi="Times New Roman" w:eastAsia="宋体" w:cs="Times New Roman"/>
                <w:spacing w:val="-12"/>
                <w:sz w:val="20"/>
                <w:szCs w:val="20"/>
                <w:highlight w:val="none"/>
              </w:rPr>
              <w:t>率较高、自动化程</w:t>
            </w:r>
          </w:p>
          <w:p>
            <w:pPr>
              <w:spacing w:before="72" w:line="228" w:lineRule="auto"/>
              <w:ind w:left="16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度较高</w:t>
            </w:r>
            <w:r>
              <w:rPr>
                <w:rFonts w:hint="default" w:ascii="Times New Roman" w:hAnsi="Times New Roman" w:eastAsia="宋体" w:cs="Times New Roman"/>
                <w:spacing w:val="-1"/>
                <w:sz w:val="20"/>
                <w:szCs w:val="20"/>
                <w:highlight w:val="none"/>
              </w:rPr>
              <w:t>的大粒度中</w:t>
            </w:r>
          </w:p>
          <w:p>
            <w:pPr>
              <w:spacing w:before="69" w:line="228" w:lineRule="auto"/>
              <w:ind w:left="17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高</w:t>
            </w:r>
            <w:r>
              <w:rPr>
                <w:rFonts w:hint="default" w:ascii="Times New Roman" w:hAnsi="Times New Roman" w:eastAsia="宋体" w:cs="Times New Roman"/>
                <w:spacing w:val="-2"/>
                <w:sz w:val="20"/>
                <w:szCs w:val="20"/>
                <w:highlight w:val="none"/>
              </w:rPr>
              <w:t>场强磁选机和跳</w:t>
            </w:r>
          </w:p>
          <w:p>
            <w:pPr>
              <w:spacing w:before="72" w:line="228" w:lineRule="auto"/>
              <w:ind w:left="11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3"/>
                <w:sz w:val="20"/>
                <w:szCs w:val="20"/>
                <w:highlight w:val="none"/>
              </w:rPr>
              <w:t>汰</w:t>
            </w:r>
            <w:r>
              <w:rPr>
                <w:rFonts w:hint="default" w:ascii="Times New Roman" w:hAnsi="Times New Roman" w:eastAsia="宋体" w:cs="Times New Roman"/>
                <w:spacing w:val="-11"/>
                <w:sz w:val="20"/>
                <w:szCs w:val="20"/>
                <w:highlight w:val="none"/>
              </w:rPr>
              <w:t>机、立环脉动高梯</w:t>
            </w:r>
          </w:p>
          <w:p>
            <w:pPr>
              <w:spacing w:before="69" w:line="228" w:lineRule="auto"/>
              <w:ind w:left="10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度</w:t>
            </w:r>
            <w:r>
              <w:rPr>
                <w:rFonts w:hint="default" w:ascii="Times New Roman" w:hAnsi="Times New Roman" w:eastAsia="宋体" w:cs="Times New Roman"/>
                <w:spacing w:val="-11"/>
                <w:sz w:val="20"/>
                <w:szCs w:val="20"/>
                <w:highlight w:val="none"/>
              </w:rPr>
              <w:t>强磁选机、冲气机</w:t>
            </w:r>
          </w:p>
          <w:p>
            <w:pPr>
              <w:spacing w:before="72" w:line="228" w:lineRule="auto"/>
              <w:ind w:left="16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械搅拌</w:t>
            </w:r>
            <w:r>
              <w:rPr>
                <w:rFonts w:hint="default" w:ascii="Times New Roman" w:hAnsi="Times New Roman" w:eastAsia="宋体" w:cs="Times New Roman"/>
                <w:spacing w:val="-1"/>
                <w:sz w:val="20"/>
                <w:szCs w:val="20"/>
                <w:highlight w:val="none"/>
              </w:rPr>
              <w:t>式浮选机等</w:t>
            </w:r>
          </w:p>
          <w:p>
            <w:pPr>
              <w:spacing w:before="70" w:line="229" w:lineRule="auto"/>
              <w:ind w:left="56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rPr>
              <w:t>选别设</w:t>
            </w:r>
            <w:r>
              <w:rPr>
                <w:rFonts w:hint="default" w:ascii="Times New Roman" w:hAnsi="Times New Roman" w:eastAsia="宋体" w:cs="Times New Roman"/>
                <w:sz w:val="20"/>
                <w:szCs w:val="20"/>
                <w:highlight w:val="none"/>
              </w:rPr>
              <w:t>备</w:t>
            </w:r>
          </w:p>
        </w:tc>
        <w:tc>
          <w:tcPr>
            <w:tcW w:w="1546" w:type="dxa"/>
            <w:vAlign w:val="top"/>
          </w:tcPr>
          <w:p>
            <w:pPr>
              <w:spacing w:before="228" w:line="228" w:lineRule="auto"/>
              <w:ind w:left="18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采</w:t>
            </w:r>
            <w:r>
              <w:rPr>
                <w:rFonts w:hint="default" w:ascii="Times New Roman" w:hAnsi="Times New Roman" w:eastAsia="宋体" w:cs="Times New Roman"/>
                <w:spacing w:val="-1"/>
                <w:sz w:val="20"/>
                <w:szCs w:val="20"/>
                <w:highlight w:val="none"/>
              </w:rPr>
              <w:t>用国内较先</w:t>
            </w:r>
          </w:p>
          <w:p>
            <w:pPr>
              <w:spacing w:before="73" w:line="293" w:lineRule="auto"/>
              <w:ind w:left="115" w:right="71" w:firstLine="7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进的回</w:t>
            </w:r>
            <w:r>
              <w:rPr>
                <w:rFonts w:hint="default" w:ascii="Times New Roman" w:hAnsi="Times New Roman" w:eastAsia="宋体" w:cs="Times New Roman"/>
                <w:spacing w:val="-1"/>
                <w:sz w:val="20"/>
                <w:szCs w:val="20"/>
                <w:highlight w:val="none"/>
              </w:rPr>
              <w:t>收率较</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4"/>
                <w:sz w:val="20"/>
                <w:szCs w:val="20"/>
                <w:highlight w:val="none"/>
              </w:rPr>
              <w:t>高</w:t>
            </w:r>
            <w:r>
              <w:rPr>
                <w:rFonts w:hint="default" w:ascii="Times New Roman" w:hAnsi="Times New Roman" w:eastAsia="宋体" w:cs="Times New Roman"/>
                <w:spacing w:val="-8"/>
                <w:sz w:val="20"/>
                <w:szCs w:val="20"/>
                <w:highlight w:val="none"/>
              </w:rPr>
              <w:t>的立环式、平</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0"/>
                <w:sz w:val="20"/>
                <w:szCs w:val="20"/>
                <w:highlight w:val="none"/>
              </w:rPr>
              <w:t>环</w:t>
            </w:r>
            <w:r>
              <w:rPr>
                <w:rFonts w:hint="default" w:ascii="Times New Roman" w:hAnsi="Times New Roman" w:eastAsia="宋体" w:cs="Times New Roman"/>
                <w:spacing w:val="-6"/>
                <w:sz w:val="20"/>
                <w:szCs w:val="20"/>
                <w:highlight w:val="none"/>
              </w:rPr>
              <w:t>式强磁选机、</w:t>
            </w:r>
          </w:p>
          <w:p>
            <w:pPr>
              <w:spacing w:before="1" w:line="293" w:lineRule="auto"/>
              <w:ind w:left="115" w:right="89" w:firstLine="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机械搅拌</w:t>
            </w:r>
            <w:r>
              <w:rPr>
                <w:rFonts w:hint="default" w:ascii="Times New Roman" w:hAnsi="Times New Roman" w:eastAsia="宋体" w:cs="Times New Roman"/>
                <w:spacing w:val="-1"/>
                <w:sz w:val="20"/>
                <w:szCs w:val="20"/>
                <w:highlight w:val="none"/>
              </w:rPr>
              <w:t>式浮</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0"/>
                <w:sz w:val="20"/>
                <w:szCs w:val="20"/>
                <w:highlight w:val="none"/>
              </w:rPr>
              <w:t>选</w:t>
            </w:r>
            <w:r>
              <w:rPr>
                <w:rFonts w:hint="default" w:ascii="Times New Roman" w:hAnsi="Times New Roman" w:eastAsia="宋体" w:cs="Times New Roman"/>
                <w:spacing w:val="-9"/>
                <w:sz w:val="20"/>
                <w:szCs w:val="20"/>
                <w:highlight w:val="none"/>
              </w:rPr>
              <w:t>机、棒型浮选</w:t>
            </w:r>
          </w:p>
          <w:p>
            <w:pPr>
              <w:spacing w:line="227" w:lineRule="auto"/>
              <w:ind w:left="18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机</w:t>
            </w:r>
            <w:r>
              <w:rPr>
                <w:rFonts w:hint="default" w:ascii="Times New Roman" w:hAnsi="Times New Roman" w:eastAsia="宋体" w:cs="Times New Roman"/>
                <w:spacing w:val="-1"/>
                <w:sz w:val="20"/>
                <w:szCs w:val="20"/>
                <w:highlight w:val="none"/>
              </w:rPr>
              <w:t>等选别设备</w:t>
            </w:r>
          </w:p>
        </w:tc>
        <w:tc>
          <w:tcPr>
            <w:tcW w:w="1401" w:type="dxa"/>
            <w:vAlign w:val="top"/>
          </w:tcPr>
          <w:p>
            <w:pPr>
              <w:spacing w:line="317" w:lineRule="auto"/>
              <w:rPr>
                <w:rFonts w:hint="default" w:ascii="Times New Roman" w:hAnsi="Times New Roman" w:cs="Times New Roman"/>
                <w:sz w:val="21"/>
                <w:highlight w:val="none"/>
              </w:rPr>
            </w:pPr>
          </w:p>
          <w:p>
            <w:pPr>
              <w:spacing w:line="317" w:lineRule="auto"/>
              <w:rPr>
                <w:rFonts w:hint="default" w:ascii="Times New Roman" w:hAnsi="Times New Roman" w:cs="Times New Roman"/>
                <w:sz w:val="21"/>
                <w:highlight w:val="none"/>
              </w:rPr>
            </w:pPr>
          </w:p>
          <w:p>
            <w:pPr>
              <w:spacing w:line="317" w:lineRule="auto"/>
              <w:rPr>
                <w:rFonts w:hint="default" w:ascii="Times New Roman" w:hAnsi="Times New Roman" w:cs="Times New Roman"/>
                <w:sz w:val="21"/>
                <w:highlight w:val="none"/>
              </w:rPr>
            </w:pPr>
          </w:p>
          <w:p>
            <w:pPr>
              <w:spacing w:before="65" w:line="307" w:lineRule="auto"/>
              <w:ind w:left="300" w:right="162" w:hanging="10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采</w:t>
            </w:r>
            <w:r>
              <w:rPr>
                <w:rFonts w:hint="default" w:ascii="Times New Roman" w:hAnsi="Times New Roman" w:eastAsia="宋体" w:cs="Times New Roman"/>
                <w:spacing w:val="8"/>
                <w:sz w:val="20"/>
                <w:szCs w:val="20"/>
                <w:highlight w:val="none"/>
              </w:rPr>
              <w:t>用国内高</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8"/>
                <w:sz w:val="20"/>
                <w:szCs w:val="20"/>
                <w:highlight w:val="none"/>
              </w:rPr>
              <w:t>效</w:t>
            </w:r>
            <w:r>
              <w:rPr>
                <w:rFonts w:hint="default" w:ascii="Times New Roman" w:hAnsi="Times New Roman" w:eastAsia="宋体" w:cs="Times New Roman"/>
                <w:spacing w:val="6"/>
                <w:sz w:val="20"/>
                <w:szCs w:val="20"/>
                <w:highlight w:val="none"/>
              </w:rPr>
              <w:t>磁选机</w:t>
            </w:r>
          </w:p>
        </w:tc>
        <w:tc>
          <w:tcPr>
            <w:tcW w:w="446" w:type="dxa"/>
            <w:gridSpan w:val="2"/>
            <w:tcBorders>
              <w:right w:val="single" w:color="000000" w:sz="10" w:space="0"/>
            </w:tcBorders>
            <w:textDirection w:val="tbRlV"/>
            <w:vAlign w:val="top"/>
          </w:tcPr>
          <w:p>
            <w:pPr>
              <w:spacing w:before="92" w:line="215" w:lineRule="auto"/>
              <w:ind w:left="106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二</w:t>
            </w:r>
            <w:r>
              <w:rPr>
                <w:rFonts w:hint="default" w:ascii="Times New Roman" w:hAnsi="Times New Roman" w:eastAsia="宋体" w:cs="Times New Roman"/>
                <w:spacing w:val="-3"/>
                <w:sz w:val="20"/>
                <w:szCs w:val="20"/>
                <w:highlight w:val="none"/>
              </w:rPr>
              <w:t xml:space="preserve"> 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8" w:hRule="atLeast"/>
        </w:trPr>
        <w:tc>
          <w:tcPr>
            <w:tcW w:w="1353" w:type="dxa"/>
            <w:tcBorders>
              <w:left w:val="single" w:color="000000" w:sz="10" w:space="0"/>
            </w:tcBorders>
            <w:vAlign w:val="top"/>
          </w:tcPr>
          <w:p>
            <w:pPr>
              <w:spacing w:line="274" w:lineRule="auto"/>
              <w:rPr>
                <w:rFonts w:hint="default" w:ascii="Times New Roman" w:hAnsi="Times New Roman" w:cs="Times New Roman"/>
                <w:sz w:val="21"/>
                <w:highlight w:val="none"/>
              </w:rPr>
            </w:pPr>
          </w:p>
          <w:p>
            <w:pPr>
              <w:spacing w:line="275" w:lineRule="auto"/>
              <w:rPr>
                <w:rFonts w:hint="default" w:ascii="Times New Roman" w:hAnsi="Times New Roman" w:cs="Times New Roman"/>
                <w:sz w:val="21"/>
                <w:highlight w:val="none"/>
              </w:rPr>
            </w:pPr>
          </w:p>
          <w:p>
            <w:pPr>
              <w:spacing w:line="275" w:lineRule="auto"/>
              <w:rPr>
                <w:rFonts w:hint="default" w:ascii="Times New Roman" w:hAnsi="Times New Roman" w:cs="Times New Roman"/>
                <w:sz w:val="21"/>
                <w:highlight w:val="none"/>
              </w:rPr>
            </w:pPr>
          </w:p>
          <w:p>
            <w:pPr>
              <w:spacing w:line="275" w:lineRule="auto"/>
              <w:rPr>
                <w:rFonts w:hint="default" w:ascii="Times New Roman" w:hAnsi="Times New Roman" w:cs="Times New Roman"/>
                <w:sz w:val="21"/>
                <w:highlight w:val="none"/>
              </w:rPr>
            </w:pPr>
          </w:p>
          <w:p>
            <w:pPr>
              <w:spacing w:before="65" w:line="228" w:lineRule="auto"/>
              <w:ind w:left="2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脱水过滤</w:t>
            </w:r>
          </w:p>
        </w:tc>
        <w:tc>
          <w:tcPr>
            <w:tcW w:w="1841" w:type="dxa"/>
            <w:vAlign w:val="top"/>
          </w:tcPr>
          <w:p>
            <w:pPr>
              <w:spacing w:line="469" w:lineRule="auto"/>
              <w:rPr>
                <w:rFonts w:hint="default" w:ascii="Times New Roman" w:hAnsi="Times New Roman" w:cs="Times New Roman"/>
                <w:sz w:val="21"/>
                <w:highlight w:val="none"/>
              </w:rPr>
            </w:pPr>
          </w:p>
          <w:p>
            <w:pPr>
              <w:spacing w:before="65" w:line="298" w:lineRule="auto"/>
              <w:ind w:left="126" w:right="12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采用国际先进</w:t>
            </w:r>
            <w:r>
              <w:rPr>
                <w:rFonts w:hint="default" w:ascii="Times New Roman" w:hAnsi="Times New Roman" w:eastAsia="宋体" w:cs="Times New Roman"/>
                <w:spacing w:val="-1"/>
                <w:sz w:val="20"/>
                <w:szCs w:val="20"/>
                <w:highlight w:val="none"/>
              </w:rPr>
              <w:t>的效</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
                <w:sz w:val="20"/>
                <w:szCs w:val="20"/>
                <w:highlight w:val="none"/>
              </w:rPr>
              <w:t>率高、自动化</w:t>
            </w:r>
            <w:r>
              <w:rPr>
                <w:rFonts w:hint="default" w:ascii="Times New Roman" w:hAnsi="Times New Roman" w:eastAsia="宋体" w:cs="Times New Roman"/>
                <w:spacing w:val="-1"/>
                <w:sz w:val="20"/>
                <w:szCs w:val="20"/>
                <w:highlight w:val="none"/>
              </w:rPr>
              <w:t>程度</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
                <w:sz w:val="20"/>
                <w:szCs w:val="20"/>
                <w:highlight w:val="none"/>
              </w:rPr>
              <w:t>高的高效浓缩</w:t>
            </w:r>
            <w:r>
              <w:rPr>
                <w:rFonts w:hint="default" w:ascii="Times New Roman" w:hAnsi="Times New Roman" w:eastAsia="宋体" w:cs="Times New Roman"/>
                <w:spacing w:val="-1"/>
                <w:sz w:val="20"/>
                <w:szCs w:val="20"/>
                <w:highlight w:val="none"/>
              </w:rPr>
              <w:t>机和</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
                <w:sz w:val="20"/>
                <w:szCs w:val="20"/>
                <w:highlight w:val="none"/>
              </w:rPr>
              <w:t>大型高效盘式</w:t>
            </w:r>
            <w:r>
              <w:rPr>
                <w:rFonts w:hint="default" w:ascii="Times New Roman" w:hAnsi="Times New Roman" w:eastAsia="宋体" w:cs="Times New Roman"/>
                <w:spacing w:val="-1"/>
                <w:sz w:val="20"/>
                <w:szCs w:val="20"/>
                <w:highlight w:val="none"/>
              </w:rPr>
              <w:t>过滤</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
                <w:sz w:val="20"/>
                <w:szCs w:val="20"/>
                <w:highlight w:val="none"/>
              </w:rPr>
              <w:t>机等脱水过滤</w:t>
            </w:r>
            <w:r>
              <w:rPr>
                <w:rFonts w:hint="default" w:ascii="Times New Roman" w:hAnsi="Times New Roman" w:eastAsia="宋体" w:cs="Times New Roman"/>
                <w:spacing w:val="-1"/>
                <w:sz w:val="20"/>
                <w:szCs w:val="20"/>
                <w:highlight w:val="none"/>
              </w:rPr>
              <w:t>设备</w:t>
            </w:r>
          </w:p>
        </w:tc>
        <w:tc>
          <w:tcPr>
            <w:tcW w:w="1905" w:type="dxa"/>
            <w:vAlign w:val="top"/>
          </w:tcPr>
          <w:p>
            <w:pPr>
              <w:spacing w:line="307" w:lineRule="auto"/>
              <w:rPr>
                <w:rFonts w:hint="default" w:ascii="Times New Roman" w:hAnsi="Times New Roman" w:cs="Times New Roman"/>
                <w:sz w:val="21"/>
                <w:highlight w:val="none"/>
              </w:rPr>
            </w:pPr>
          </w:p>
          <w:p>
            <w:pPr>
              <w:spacing w:before="65" w:line="228" w:lineRule="auto"/>
              <w:ind w:left="16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采用国</w:t>
            </w:r>
            <w:r>
              <w:rPr>
                <w:rFonts w:hint="default" w:ascii="Times New Roman" w:hAnsi="Times New Roman" w:eastAsia="宋体" w:cs="Times New Roman"/>
                <w:spacing w:val="-1"/>
                <w:sz w:val="20"/>
                <w:szCs w:val="20"/>
                <w:highlight w:val="none"/>
              </w:rPr>
              <w:t>内先进的脱</w:t>
            </w:r>
          </w:p>
          <w:p>
            <w:pPr>
              <w:spacing w:before="72" w:line="228" w:lineRule="auto"/>
              <w:ind w:left="11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水过滤效率较高、</w:t>
            </w:r>
            <w:r>
              <w:rPr>
                <w:rFonts w:hint="default" w:ascii="Times New Roman" w:hAnsi="Times New Roman" w:eastAsia="宋体" w:cs="Times New Roman"/>
                <w:spacing w:val="-7"/>
                <w:sz w:val="20"/>
                <w:szCs w:val="20"/>
                <w:highlight w:val="none"/>
              </w:rPr>
              <w:t>自</w:t>
            </w:r>
          </w:p>
          <w:p>
            <w:pPr>
              <w:spacing w:before="69" w:line="228" w:lineRule="auto"/>
              <w:ind w:left="1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动化程度较</w:t>
            </w:r>
            <w:r>
              <w:rPr>
                <w:rFonts w:hint="default" w:ascii="Times New Roman" w:hAnsi="Times New Roman" w:eastAsia="宋体" w:cs="Times New Roman"/>
                <w:spacing w:val="-1"/>
                <w:sz w:val="20"/>
                <w:szCs w:val="20"/>
                <w:highlight w:val="none"/>
              </w:rPr>
              <w:t>高的高</w:t>
            </w:r>
          </w:p>
          <w:p>
            <w:pPr>
              <w:spacing w:before="71" w:line="228" w:lineRule="auto"/>
              <w:ind w:left="17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效</w:t>
            </w:r>
            <w:r>
              <w:rPr>
                <w:rFonts w:hint="default" w:ascii="Times New Roman" w:hAnsi="Times New Roman" w:eastAsia="宋体" w:cs="Times New Roman"/>
                <w:spacing w:val="-2"/>
                <w:sz w:val="20"/>
                <w:szCs w:val="20"/>
                <w:highlight w:val="none"/>
              </w:rPr>
              <w:t>浓缩机和大型高</w:t>
            </w:r>
          </w:p>
          <w:p>
            <w:pPr>
              <w:spacing w:before="70" w:line="228" w:lineRule="auto"/>
              <w:ind w:left="17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效</w:t>
            </w:r>
            <w:r>
              <w:rPr>
                <w:rFonts w:hint="default" w:ascii="Times New Roman" w:hAnsi="Times New Roman" w:eastAsia="宋体" w:cs="Times New Roman"/>
                <w:spacing w:val="-2"/>
                <w:sz w:val="20"/>
                <w:szCs w:val="20"/>
                <w:highlight w:val="none"/>
              </w:rPr>
              <w:t>盘式压滤机等脱</w:t>
            </w:r>
          </w:p>
          <w:p>
            <w:pPr>
              <w:spacing w:before="73" w:line="228" w:lineRule="auto"/>
              <w:ind w:left="4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水过滤设</w:t>
            </w:r>
            <w:r>
              <w:rPr>
                <w:rFonts w:hint="default" w:ascii="Times New Roman" w:hAnsi="Times New Roman" w:eastAsia="宋体" w:cs="Times New Roman"/>
                <w:spacing w:val="-1"/>
                <w:sz w:val="20"/>
                <w:szCs w:val="20"/>
                <w:highlight w:val="none"/>
              </w:rPr>
              <w:t>备</w:t>
            </w:r>
          </w:p>
        </w:tc>
        <w:tc>
          <w:tcPr>
            <w:tcW w:w="1546" w:type="dxa"/>
            <w:vAlign w:val="top"/>
          </w:tcPr>
          <w:p>
            <w:pPr>
              <w:spacing w:line="307" w:lineRule="auto"/>
              <w:rPr>
                <w:rFonts w:hint="default" w:ascii="Times New Roman" w:hAnsi="Times New Roman" w:cs="Times New Roman"/>
                <w:sz w:val="21"/>
                <w:highlight w:val="none"/>
              </w:rPr>
            </w:pPr>
          </w:p>
          <w:p>
            <w:pPr>
              <w:spacing w:before="65" w:line="228" w:lineRule="auto"/>
              <w:ind w:left="18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采</w:t>
            </w:r>
            <w:r>
              <w:rPr>
                <w:rFonts w:hint="default" w:ascii="Times New Roman" w:hAnsi="Times New Roman" w:eastAsia="宋体" w:cs="Times New Roman"/>
                <w:spacing w:val="-1"/>
                <w:sz w:val="20"/>
                <w:szCs w:val="20"/>
                <w:highlight w:val="none"/>
              </w:rPr>
              <w:t>用国内较先</w:t>
            </w:r>
          </w:p>
          <w:p>
            <w:pPr>
              <w:spacing w:before="72" w:line="228" w:lineRule="auto"/>
              <w:ind w:left="18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rPr>
              <w:t>进的脱水过滤</w:t>
            </w:r>
          </w:p>
          <w:p>
            <w:pPr>
              <w:spacing w:before="69" w:line="228" w:lineRule="auto"/>
              <w:ind w:left="19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效</w:t>
            </w:r>
            <w:r>
              <w:rPr>
                <w:rFonts w:hint="default" w:ascii="Times New Roman" w:hAnsi="Times New Roman" w:eastAsia="宋体" w:cs="Times New Roman"/>
                <w:spacing w:val="-2"/>
                <w:sz w:val="20"/>
                <w:szCs w:val="20"/>
                <w:highlight w:val="none"/>
              </w:rPr>
              <w:t>率较高的浓</w:t>
            </w:r>
          </w:p>
          <w:p>
            <w:pPr>
              <w:spacing w:before="71" w:line="228" w:lineRule="auto"/>
              <w:ind w:left="19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缩机</w:t>
            </w:r>
            <w:r>
              <w:rPr>
                <w:rFonts w:hint="default" w:ascii="Times New Roman" w:hAnsi="Times New Roman" w:eastAsia="宋体" w:cs="Times New Roman"/>
                <w:spacing w:val="-1"/>
                <w:sz w:val="20"/>
                <w:szCs w:val="20"/>
                <w:highlight w:val="none"/>
              </w:rPr>
              <w:t>和筒式压</w:t>
            </w:r>
          </w:p>
          <w:p>
            <w:pPr>
              <w:spacing w:before="70" w:line="228" w:lineRule="auto"/>
              <w:ind w:left="19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滤机等</w:t>
            </w:r>
            <w:r>
              <w:rPr>
                <w:rFonts w:hint="default" w:ascii="Times New Roman" w:hAnsi="Times New Roman" w:eastAsia="宋体" w:cs="Times New Roman"/>
                <w:spacing w:val="-1"/>
                <w:sz w:val="20"/>
                <w:szCs w:val="20"/>
                <w:highlight w:val="none"/>
              </w:rPr>
              <w:t>脱水过</w:t>
            </w:r>
          </w:p>
          <w:p>
            <w:pPr>
              <w:spacing w:before="72" w:line="230" w:lineRule="auto"/>
              <w:ind w:left="48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滤设</w:t>
            </w:r>
            <w:r>
              <w:rPr>
                <w:rFonts w:hint="default" w:ascii="Times New Roman" w:hAnsi="Times New Roman" w:eastAsia="宋体" w:cs="Times New Roman"/>
                <w:spacing w:val="-1"/>
                <w:sz w:val="20"/>
                <w:szCs w:val="20"/>
                <w:highlight w:val="none"/>
              </w:rPr>
              <w:t>备</w:t>
            </w:r>
          </w:p>
        </w:tc>
        <w:tc>
          <w:tcPr>
            <w:tcW w:w="1401" w:type="dxa"/>
            <w:vAlign w:val="top"/>
          </w:tcPr>
          <w:p>
            <w:pPr>
              <w:spacing w:before="57" w:line="228" w:lineRule="auto"/>
              <w:ind w:left="12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采</w:t>
            </w:r>
            <w:r>
              <w:rPr>
                <w:rFonts w:hint="default" w:ascii="Times New Roman" w:hAnsi="Times New Roman" w:eastAsia="宋体" w:cs="Times New Roman"/>
                <w:spacing w:val="-1"/>
                <w:sz w:val="20"/>
                <w:szCs w:val="20"/>
                <w:highlight w:val="none"/>
              </w:rPr>
              <w:t>用国内先进</w:t>
            </w:r>
          </w:p>
          <w:p>
            <w:pPr>
              <w:spacing w:before="70" w:line="228" w:lineRule="auto"/>
              <w:ind w:left="13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的</w:t>
            </w:r>
            <w:r>
              <w:rPr>
                <w:rFonts w:hint="default" w:ascii="Times New Roman" w:hAnsi="Times New Roman" w:eastAsia="宋体" w:cs="Times New Roman"/>
                <w:spacing w:val="-4"/>
                <w:sz w:val="20"/>
                <w:szCs w:val="20"/>
                <w:highlight w:val="none"/>
              </w:rPr>
              <w:t>脱水过滤效</w:t>
            </w:r>
          </w:p>
          <w:p>
            <w:pPr>
              <w:spacing w:before="72" w:line="228" w:lineRule="auto"/>
              <w:ind w:left="12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率较高</w:t>
            </w:r>
            <w:r>
              <w:rPr>
                <w:rFonts w:hint="default" w:ascii="Times New Roman" w:hAnsi="Times New Roman" w:eastAsia="宋体" w:cs="Times New Roman"/>
                <w:spacing w:val="-1"/>
                <w:sz w:val="20"/>
                <w:szCs w:val="20"/>
                <w:highlight w:val="none"/>
              </w:rPr>
              <w:t>、自动</w:t>
            </w:r>
          </w:p>
          <w:p>
            <w:pPr>
              <w:spacing w:before="69" w:line="228" w:lineRule="auto"/>
              <w:ind w:left="12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化程度</w:t>
            </w:r>
            <w:r>
              <w:rPr>
                <w:rFonts w:hint="default" w:ascii="Times New Roman" w:hAnsi="Times New Roman" w:eastAsia="宋体" w:cs="Times New Roman"/>
                <w:spacing w:val="-1"/>
                <w:sz w:val="20"/>
                <w:szCs w:val="20"/>
                <w:highlight w:val="none"/>
              </w:rPr>
              <w:t>较高的</w:t>
            </w:r>
          </w:p>
          <w:p>
            <w:pPr>
              <w:spacing w:before="71" w:line="228" w:lineRule="auto"/>
              <w:ind w:left="1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高</w:t>
            </w:r>
            <w:r>
              <w:rPr>
                <w:rFonts w:hint="default" w:ascii="Times New Roman" w:hAnsi="Times New Roman" w:eastAsia="宋体" w:cs="Times New Roman"/>
                <w:spacing w:val="-2"/>
                <w:sz w:val="20"/>
                <w:szCs w:val="20"/>
                <w:highlight w:val="none"/>
              </w:rPr>
              <w:t>效浓缩机和</w:t>
            </w:r>
          </w:p>
          <w:p>
            <w:pPr>
              <w:spacing w:before="69" w:line="228" w:lineRule="auto"/>
              <w:ind w:left="12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大型高效</w:t>
            </w:r>
            <w:r>
              <w:rPr>
                <w:rFonts w:hint="default" w:ascii="Times New Roman" w:hAnsi="Times New Roman" w:eastAsia="宋体" w:cs="Times New Roman"/>
                <w:spacing w:val="-1"/>
                <w:sz w:val="20"/>
                <w:szCs w:val="20"/>
                <w:highlight w:val="none"/>
              </w:rPr>
              <w:t>盘式</w:t>
            </w:r>
          </w:p>
          <w:p>
            <w:pPr>
              <w:spacing w:before="73" w:line="228" w:lineRule="auto"/>
              <w:ind w:left="12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压滤机</w:t>
            </w:r>
            <w:r>
              <w:rPr>
                <w:rFonts w:hint="default" w:ascii="Times New Roman" w:hAnsi="Times New Roman" w:eastAsia="宋体" w:cs="Times New Roman"/>
                <w:spacing w:val="-1"/>
                <w:sz w:val="20"/>
                <w:szCs w:val="20"/>
                <w:highlight w:val="none"/>
              </w:rPr>
              <w:t>等脱水</w:t>
            </w:r>
          </w:p>
          <w:p>
            <w:pPr>
              <w:spacing w:before="70" w:line="230" w:lineRule="auto"/>
              <w:ind w:left="3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过</w:t>
            </w:r>
            <w:r>
              <w:rPr>
                <w:rFonts w:hint="default" w:ascii="Times New Roman" w:hAnsi="Times New Roman" w:eastAsia="宋体" w:cs="Times New Roman"/>
                <w:spacing w:val="-1"/>
                <w:sz w:val="20"/>
                <w:szCs w:val="20"/>
                <w:highlight w:val="none"/>
              </w:rPr>
              <w:t>滤设备</w:t>
            </w:r>
          </w:p>
        </w:tc>
        <w:tc>
          <w:tcPr>
            <w:tcW w:w="446" w:type="dxa"/>
            <w:gridSpan w:val="2"/>
            <w:tcBorders>
              <w:right w:val="single" w:color="000000" w:sz="10" w:space="0"/>
            </w:tcBorders>
            <w:textDirection w:val="tbRlV"/>
            <w:vAlign w:val="top"/>
          </w:tcPr>
          <w:p>
            <w:pPr>
              <w:spacing w:before="92" w:line="215" w:lineRule="auto"/>
              <w:ind w:left="104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二</w:t>
            </w:r>
            <w:r>
              <w:rPr>
                <w:rFonts w:hint="default" w:ascii="Times New Roman" w:hAnsi="Times New Roman" w:eastAsia="宋体" w:cs="Times New Roman"/>
                <w:spacing w:val="-3"/>
                <w:sz w:val="20"/>
                <w:szCs w:val="20"/>
                <w:highlight w:val="none"/>
              </w:rPr>
              <w:t xml:space="preserve"> 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492" w:type="dxa"/>
            <w:gridSpan w:val="7"/>
            <w:tcBorders>
              <w:left w:val="single" w:color="000000" w:sz="10" w:space="0"/>
              <w:right w:val="single" w:color="000000" w:sz="10" w:space="0"/>
            </w:tcBorders>
            <w:vAlign w:val="top"/>
          </w:tcPr>
          <w:p>
            <w:pPr>
              <w:spacing w:before="57" w:line="241" w:lineRule="auto"/>
              <w:ind w:left="327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二、资源能源利用指标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353" w:type="dxa"/>
            <w:tcBorders>
              <w:left w:val="single" w:color="000000" w:sz="10" w:space="0"/>
            </w:tcBorders>
            <w:vAlign w:val="top"/>
          </w:tcPr>
          <w:p>
            <w:pPr>
              <w:spacing w:before="59" w:line="228" w:lineRule="auto"/>
              <w:ind w:left="14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金属回收</w:t>
            </w:r>
            <w:r>
              <w:rPr>
                <w:rFonts w:hint="default" w:ascii="Times New Roman" w:hAnsi="Times New Roman" w:eastAsia="宋体" w:cs="Times New Roman"/>
                <w:spacing w:val="7"/>
                <w:sz w:val="20"/>
                <w:szCs w:val="20"/>
                <w:highlight w:val="none"/>
              </w:rPr>
              <w:t>率</w:t>
            </w:r>
          </w:p>
          <w:p>
            <w:pPr>
              <w:spacing w:before="38" w:line="274" w:lineRule="exact"/>
              <w:ind w:left="38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4"/>
                <w:position w:val="1"/>
                <w:sz w:val="20"/>
                <w:szCs w:val="20"/>
                <w:highlight w:val="none"/>
              </w:rPr>
              <w:t>(</w:t>
            </w:r>
            <w:r>
              <w:rPr>
                <w:rFonts w:hint="default" w:ascii="Times New Roman" w:hAnsi="Times New Roman" w:eastAsia="Times New Roman" w:cs="Times New Roman"/>
                <w:spacing w:val="33"/>
                <w:position w:val="1"/>
                <w:sz w:val="20"/>
                <w:szCs w:val="20"/>
                <w:highlight w:val="none"/>
              </w:rPr>
              <w:t>%</w:t>
            </w:r>
            <w:r>
              <w:rPr>
                <w:rFonts w:hint="default" w:ascii="Times New Roman" w:hAnsi="Times New Roman" w:eastAsia="宋体" w:cs="Times New Roman"/>
                <w:spacing w:val="33"/>
                <w:position w:val="1"/>
                <w:sz w:val="20"/>
                <w:szCs w:val="20"/>
                <w:highlight w:val="none"/>
              </w:rPr>
              <w:t>)</w:t>
            </w:r>
          </w:p>
        </w:tc>
        <w:tc>
          <w:tcPr>
            <w:tcW w:w="1841" w:type="dxa"/>
            <w:vAlign w:val="top"/>
          </w:tcPr>
          <w:p>
            <w:pPr>
              <w:spacing w:before="186" w:line="274" w:lineRule="exact"/>
              <w:ind w:left="75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90</w:t>
            </w:r>
          </w:p>
        </w:tc>
        <w:tc>
          <w:tcPr>
            <w:tcW w:w="1905" w:type="dxa"/>
            <w:vAlign w:val="top"/>
          </w:tcPr>
          <w:p>
            <w:pPr>
              <w:spacing w:before="186" w:line="274" w:lineRule="exact"/>
              <w:ind w:left="7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0"/>
                <w:position w:val="2"/>
                <w:sz w:val="20"/>
                <w:szCs w:val="20"/>
                <w:highlight w:val="none"/>
              </w:rPr>
              <w:t>≥</w:t>
            </w:r>
            <w:r>
              <w:rPr>
                <w:rFonts w:hint="default" w:ascii="Times New Roman" w:hAnsi="Times New Roman" w:eastAsia="Times New Roman" w:cs="Times New Roman"/>
                <w:spacing w:val="-9"/>
                <w:position w:val="2"/>
                <w:sz w:val="20"/>
                <w:szCs w:val="20"/>
                <w:highlight w:val="none"/>
              </w:rPr>
              <w:t xml:space="preserve"> 80</w:t>
            </w:r>
          </w:p>
        </w:tc>
        <w:tc>
          <w:tcPr>
            <w:tcW w:w="1546" w:type="dxa"/>
            <w:vAlign w:val="top"/>
          </w:tcPr>
          <w:p>
            <w:pPr>
              <w:spacing w:before="186" w:line="274" w:lineRule="exact"/>
              <w:ind w:left="61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70</w:t>
            </w:r>
          </w:p>
        </w:tc>
        <w:tc>
          <w:tcPr>
            <w:tcW w:w="1401" w:type="dxa"/>
            <w:vAlign w:val="top"/>
          </w:tcPr>
          <w:p>
            <w:pPr>
              <w:spacing w:before="186" w:line="274" w:lineRule="exact"/>
              <w:ind w:left="122" w:firstLine="416" w:firstLineChars="200"/>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4"/>
                <w:position w:val="1"/>
                <w:sz w:val="20"/>
                <w:szCs w:val="20"/>
                <w:highlight w:val="none"/>
                <w:lang w:val="en-US" w:eastAsia="zh-CN"/>
              </w:rPr>
              <w:t>87</w:t>
            </w:r>
            <w:r>
              <w:rPr>
                <w:rFonts w:hint="default" w:ascii="Times New Roman" w:hAnsi="Times New Roman" w:eastAsia="Times New Roman" w:cs="Times New Roman"/>
                <w:spacing w:val="4"/>
                <w:position w:val="1"/>
                <w:sz w:val="20"/>
                <w:szCs w:val="20"/>
                <w:highlight w:val="none"/>
              </w:rPr>
              <w:t xml:space="preserve">%  </w:t>
            </w:r>
          </w:p>
        </w:tc>
        <w:tc>
          <w:tcPr>
            <w:tcW w:w="446" w:type="dxa"/>
            <w:gridSpan w:val="2"/>
            <w:tcBorders>
              <w:right w:val="single" w:color="000000" w:sz="10" w:space="0"/>
            </w:tcBorders>
            <w:vAlign w:val="top"/>
          </w:tcPr>
          <w:p>
            <w:pPr>
              <w:spacing w:before="73" w:line="228" w:lineRule="auto"/>
              <w:ind w:left="123"/>
              <w:rPr>
                <w:rFonts w:hint="default" w:ascii="Times New Roman" w:hAnsi="Times New Roman" w:eastAsia="宋体" w:cs="Times New Roman"/>
                <w:spacing w:val="-2"/>
                <w:sz w:val="20"/>
                <w:szCs w:val="20"/>
                <w:highlight w:val="none"/>
              </w:rPr>
            </w:pPr>
            <w:r>
              <w:rPr>
                <w:rFonts w:hint="eastAsia" w:ascii="Times New Roman" w:hAnsi="Times New Roman" w:eastAsia="宋体" w:cs="Times New Roman"/>
                <w:spacing w:val="-2"/>
                <w:sz w:val="20"/>
                <w:szCs w:val="20"/>
                <w:highlight w:val="none"/>
                <w:lang w:val="en-US" w:eastAsia="zh-CN"/>
              </w:rPr>
              <w:t>二</w:t>
            </w:r>
            <w:r>
              <w:rPr>
                <w:rFonts w:hint="default" w:ascii="Times New Roman" w:hAnsi="Times New Roman" w:eastAsia="宋体" w:cs="Times New Roman"/>
                <w:spacing w:val="-2"/>
                <w:sz w:val="20"/>
                <w:szCs w:val="20"/>
                <w:highlight w:val="none"/>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353" w:type="dxa"/>
            <w:tcBorders>
              <w:left w:val="single" w:color="000000" w:sz="10" w:space="0"/>
            </w:tcBorders>
            <w:vAlign w:val="top"/>
          </w:tcPr>
          <w:p>
            <w:pPr>
              <w:spacing w:before="58" w:line="269" w:lineRule="auto"/>
              <w:ind w:left="179" w:right="198" w:firstLine="30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电</w:t>
            </w:r>
            <w:r>
              <w:rPr>
                <w:rFonts w:hint="default" w:ascii="Times New Roman" w:hAnsi="Times New Roman" w:eastAsia="宋体" w:cs="Times New Roman"/>
                <w:spacing w:val="-7"/>
                <w:sz w:val="20"/>
                <w:szCs w:val="20"/>
                <w:highlight w:val="none"/>
              </w:rPr>
              <w:t>耗</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8"/>
                <w:sz w:val="20"/>
                <w:szCs w:val="20"/>
                <w:highlight w:val="none"/>
              </w:rPr>
              <w:t>(</w:t>
            </w:r>
            <w:r>
              <w:rPr>
                <w:rFonts w:hint="default" w:ascii="Times New Roman" w:hAnsi="Times New Roman" w:eastAsia="Times New Roman" w:cs="Times New Roman"/>
                <w:sz w:val="20"/>
                <w:szCs w:val="20"/>
                <w:highlight w:val="none"/>
              </w:rPr>
              <w:t>kW</w:t>
            </w:r>
            <w:r>
              <w:rPr>
                <w:rFonts w:hint="default" w:ascii="Times New Roman" w:hAnsi="Times New Roman" w:eastAsia="Times New Roman" w:cs="Times New Roman"/>
                <w:spacing w:val="27"/>
                <w:sz w:val="20"/>
                <w:szCs w:val="20"/>
                <w:highlight w:val="none"/>
              </w:rPr>
              <w:t>.</w:t>
            </w:r>
            <w:r>
              <w:rPr>
                <w:rFonts w:hint="default" w:ascii="Times New Roman" w:hAnsi="Times New Roman" w:eastAsia="Times New Roman" w:cs="Times New Roman"/>
                <w:sz w:val="20"/>
                <w:szCs w:val="20"/>
                <w:highlight w:val="none"/>
              </w:rPr>
              <w:t>h</w:t>
            </w:r>
            <w:r>
              <w:rPr>
                <w:rFonts w:hint="default" w:ascii="Times New Roman" w:hAnsi="Times New Roman" w:eastAsia="Times New Roman" w:cs="Times New Roman"/>
                <w:spacing w:val="27"/>
                <w:sz w:val="20"/>
                <w:szCs w:val="20"/>
                <w:highlight w:val="none"/>
              </w:rPr>
              <w:t>/</w:t>
            </w:r>
            <w:r>
              <w:rPr>
                <w:rFonts w:hint="default" w:ascii="Times New Roman" w:hAnsi="Times New Roman" w:eastAsia="Times New Roman" w:cs="Times New Roman"/>
                <w:sz w:val="20"/>
                <w:szCs w:val="20"/>
                <w:highlight w:val="none"/>
              </w:rPr>
              <w:t>t</w:t>
            </w:r>
            <w:r>
              <w:rPr>
                <w:rFonts w:hint="default" w:ascii="Times New Roman" w:hAnsi="Times New Roman" w:eastAsia="宋体" w:cs="Times New Roman"/>
                <w:spacing w:val="27"/>
                <w:sz w:val="20"/>
                <w:szCs w:val="20"/>
                <w:highlight w:val="none"/>
              </w:rPr>
              <w:t>)</w:t>
            </w:r>
          </w:p>
        </w:tc>
        <w:tc>
          <w:tcPr>
            <w:tcW w:w="1841" w:type="dxa"/>
            <w:vAlign w:val="top"/>
          </w:tcPr>
          <w:p>
            <w:pPr>
              <w:spacing w:before="186" w:line="274" w:lineRule="exact"/>
              <w:ind w:left="75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0"/>
                <w:position w:val="2"/>
                <w:sz w:val="20"/>
                <w:szCs w:val="20"/>
                <w:highlight w:val="none"/>
              </w:rPr>
              <w:t>≤</w:t>
            </w:r>
            <w:r>
              <w:rPr>
                <w:rFonts w:hint="default" w:ascii="Times New Roman" w:hAnsi="Times New Roman" w:eastAsia="Times New Roman" w:cs="Times New Roman"/>
                <w:spacing w:val="-9"/>
                <w:position w:val="2"/>
                <w:sz w:val="20"/>
                <w:szCs w:val="20"/>
                <w:highlight w:val="none"/>
              </w:rPr>
              <w:t xml:space="preserve"> 16</w:t>
            </w:r>
          </w:p>
        </w:tc>
        <w:tc>
          <w:tcPr>
            <w:tcW w:w="1905" w:type="dxa"/>
            <w:vAlign w:val="top"/>
          </w:tcPr>
          <w:p>
            <w:pPr>
              <w:spacing w:before="186" w:line="274" w:lineRule="exact"/>
              <w:ind w:left="7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28</w:t>
            </w:r>
          </w:p>
        </w:tc>
        <w:tc>
          <w:tcPr>
            <w:tcW w:w="1546" w:type="dxa"/>
            <w:vAlign w:val="top"/>
          </w:tcPr>
          <w:p>
            <w:pPr>
              <w:spacing w:before="186" w:line="274" w:lineRule="exact"/>
              <w:ind w:left="61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35</w:t>
            </w:r>
          </w:p>
        </w:tc>
        <w:tc>
          <w:tcPr>
            <w:tcW w:w="1401" w:type="dxa"/>
            <w:vAlign w:val="top"/>
          </w:tcPr>
          <w:p>
            <w:pPr>
              <w:spacing w:before="252" w:line="195" w:lineRule="auto"/>
              <w:ind w:left="586"/>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8.2</w:t>
            </w:r>
          </w:p>
        </w:tc>
        <w:tc>
          <w:tcPr>
            <w:tcW w:w="446" w:type="dxa"/>
            <w:gridSpan w:val="2"/>
            <w:tcBorders>
              <w:right w:val="single" w:color="000000" w:sz="10" w:space="0"/>
            </w:tcBorders>
            <w:vAlign w:val="top"/>
          </w:tcPr>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一</w:t>
            </w:r>
          </w:p>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353" w:type="dxa"/>
            <w:tcBorders>
              <w:left w:val="single" w:color="000000" w:sz="10" w:space="0"/>
            </w:tcBorders>
            <w:vAlign w:val="top"/>
          </w:tcPr>
          <w:p>
            <w:pPr>
              <w:spacing w:before="185" w:line="274" w:lineRule="exact"/>
              <w:ind w:left="10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position w:val="1"/>
                <w:sz w:val="20"/>
                <w:szCs w:val="20"/>
                <w:highlight w:val="none"/>
              </w:rPr>
              <w:t>水</w:t>
            </w:r>
            <w:r>
              <w:rPr>
                <w:rFonts w:hint="default" w:ascii="Times New Roman" w:hAnsi="Times New Roman" w:eastAsia="宋体" w:cs="Times New Roman"/>
                <w:spacing w:val="4"/>
                <w:position w:val="1"/>
                <w:sz w:val="20"/>
                <w:szCs w:val="20"/>
                <w:highlight w:val="none"/>
              </w:rPr>
              <w:t>耗 (</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4"/>
                <w:position w:val="7"/>
                <w:sz w:val="13"/>
                <w:szCs w:val="13"/>
                <w:highlight w:val="none"/>
              </w:rPr>
              <w:t>3</w:t>
            </w:r>
            <w:r>
              <w:rPr>
                <w:rFonts w:hint="default" w:ascii="Times New Roman" w:hAnsi="Times New Roman" w:eastAsia="Times New Roman" w:cs="Times New Roman"/>
                <w:spacing w:val="4"/>
                <w:position w:val="1"/>
                <w:sz w:val="20"/>
                <w:szCs w:val="20"/>
                <w:highlight w:val="none"/>
              </w:rPr>
              <w:t>/</w:t>
            </w:r>
            <w:r>
              <w:rPr>
                <w:rFonts w:hint="default" w:ascii="Times New Roman" w:hAnsi="Times New Roman" w:eastAsia="Times New Roman" w:cs="Times New Roman"/>
                <w:position w:val="1"/>
                <w:sz w:val="20"/>
                <w:szCs w:val="20"/>
                <w:highlight w:val="none"/>
              </w:rPr>
              <w:t>t</w:t>
            </w:r>
            <w:r>
              <w:rPr>
                <w:rFonts w:hint="default" w:ascii="Times New Roman" w:hAnsi="Times New Roman" w:eastAsia="宋体" w:cs="Times New Roman"/>
                <w:spacing w:val="4"/>
                <w:position w:val="1"/>
                <w:sz w:val="20"/>
                <w:szCs w:val="20"/>
                <w:highlight w:val="none"/>
              </w:rPr>
              <w:t>)</w:t>
            </w:r>
          </w:p>
        </w:tc>
        <w:tc>
          <w:tcPr>
            <w:tcW w:w="1841" w:type="dxa"/>
            <w:vAlign w:val="top"/>
          </w:tcPr>
          <w:p>
            <w:pPr>
              <w:spacing w:before="185" w:line="274" w:lineRule="exact"/>
              <w:ind w:left="8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2"/>
                <w:sz w:val="20"/>
                <w:szCs w:val="20"/>
                <w:highlight w:val="none"/>
              </w:rPr>
              <w:t>≤</w:t>
            </w:r>
            <w:r>
              <w:rPr>
                <w:rFonts w:hint="default" w:ascii="Times New Roman" w:hAnsi="Times New Roman" w:eastAsia="Times New Roman" w:cs="Times New Roman"/>
                <w:spacing w:val="2"/>
                <w:position w:val="2"/>
                <w:sz w:val="20"/>
                <w:szCs w:val="20"/>
                <w:highlight w:val="none"/>
              </w:rPr>
              <w:t>2</w:t>
            </w:r>
          </w:p>
        </w:tc>
        <w:tc>
          <w:tcPr>
            <w:tcW w:w="1905" w:type="dxa"/>
            <w:vAlign w:val="top"/>
          </w:tcPr>
          <w:p>
            <w:pPr>
              <w:spacing w:before="185" w:line="274" w:lineRule="exact"/>
              <w:ind w:left="84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position w:val="2"/>
                <w:sz w:val="20"/>
                <w:szCs w:val="20"/>
                <w:highlight w:val="none"/>
              </w:rPr>
              <w:t>≤</w:t>
            </w:r>
            <w:r>
              <w:rPr>
                <w:rFonts w:hint="default" w:ascii="Times New Roman" w:hAnsi="Times New Roman" w:eastAsia="Times New Roman" w:cs="Times New Roman"/>
                <w:spacing w:val="3"/>
                <w:position w:val="2"/>
                <w:sz w:val="20"/>
                <w:szCs w:val="20"/>
                <w:highlight w:val="none"/>
              </w:rPr>
              <w:t>7</w:t>
            </w:r>
          </w:p>
        </w:tc>
        <w:tc>
          <w:tcPr>
            <w:tcW w:w="1546" w:type="dxa"/>
            <w:vAlign w:val="top"/>
          </w:tcPr>
          <w:p>
            <w:pPr>
              <w:spacing w:before="185" w:line="274" w:lineRule="exact"/>
              <w:ind w:left="61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0"/>
                <w:position w:val="2"/>
                <w:sz w:val="20"/>
                <w:szCs w:val="20"/>
                <w:highlight w:val="none"/>
              </w:rPr>
              <w:t>≤</w:t>
            </w:r>
            <w:r>
              <w:rPr>
                <w:rFonts w:hint="default" w:ascii="Times New Roman" w:hAnsi="Times New Roman" w:eastAsia="Times New Roman" w:cs="Times New Roman"/>
                <w:spacing w:val="-9"/>
                <w:position w:val="2"/>
                <w:sz w:val="20"/>
                <w:szCs w:val="20"/>
                <w:highlight w:val="none"/>
              </w:rPr>
              <w:t xml:space="preserve"> 10</w:t>
            </w:r>
          </w:p>
        </w:tc>
        <w:tc>
          <w:tcPr>
            <w:tcW w:w="1401" w:type="dxa"/>
            <w:vAlign w:val="top"/>
          </w:tcPr>
          <w:p>
            <w:pPr>
              <w:spacing w:before="252" w:line="195" w:lineRule="auto"/>
              <w:ind w:left="532"/>
              <w:rPr>
                <w:rFonts w:hint="default" w:ascii="Times New Roman" w:hAnsi="Times New Roman" w:eastAsia="宋体" w:cs="Times New Roman"/>
                <w:sz w:val="20"/>
                <w:szCs w:val="20"/>
                <w:highlight w:val="none"/>
                <w:lang w:val="en-US" w:eastAsia="zh-CN"/>
              </w:rPr>
            </w:pPr>
            <w:r>
              <w:rPr>
                <w:rFonts w:hint="default" w:ascii="Times New Roman" w:hAnsi="Times New Roman" w:eastAsia="Times New Roman" w:cs="Times New Roman"/>
                <w:spacing w:val="-8"/>
                <w:sz w:val="20"/>
                <w:szCs w:val="20"/>
                <w:highlight w:val="none"/>
              </w:rPr>
              <w:t xml:space="preserve">0. </w:t>
            </w:r>
            <w:r>
              <w:rPr>
                <w:rFonts w:hint="eastAsia" w:ascii="Times New Roman" w:hAnsi="Times New Roman" w:eastAsia="宋体" w:cs="Times New Roman"/>
                <w:spacing w:val="-8"/>
                <w:sz w:val="20"/>
                <w:szCs w:val="20"/>
                <w:highlight w:val="none"/>
                <w:lang w:val="en-US" w:eastAsia="zh-CN"/>
              </w:rPr>
              <w:t>08</w:t>
            </w:r>
          </w:p>
        </w:tc>
        <w:tc>
          <w:tcPr>
            <w:tcW w:w="446" w:type="dxa"/>
            <w:gridSpan w:val="2"/>
            <w:tcBorders>
              <w:right w:val="single" w:color="000000" w:sz="10" w:space="0"/>
            </w:tcBorders>
            <w:vAlign w:val="top"/>
          </w:tcPr>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一</w:t>
            </w:r>
          </w:p>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492" w:type="dxa"/>
            <w:gridSpan w:val="7"/>
            <w:tcBorders>
              <w:left w:val="single" w:color="000000" w:sz="10" w:space="0"/>
              <w:right w:val="single" w:color="000000" w:sz="10" w:space="0"/>
            </w:tcBorders>
            <w:vAlign w:val="top"/>
          </w:tcPr>
          <w:p>
            <w:pPr>
              <w:spacing w:before="57" w:line="241" w:lineRule="auto"/>
              <w:ind w:left="336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三</w:t>
            </w:r>
            <w:r>
              <w:rPr>
                <w:rFonts w:hint="default" w:ascii="Times New Roman" w:hAnsi="Times New Roman" w:eastAsia="宋体" w:cs="Times New Roman"/>
                <w:spacing w:val="-5"/>
                <w:sz w:val="20"/>
                <w:szCs w:val="20"/>
                <w:highlight w:val="none"/>
              </w:rPr>
              <w:t>、</w:t>
            </w:r>
            <w:r>
              <w:rPr>
                <w:rFonts w:hint="default" w:ascii="Times New Roman" w:hAnsi="Times New Roman" w:eastAsia="宋体" w:cs="Times New Roman"/>
                <w:spacing w:val="-4"/>
                <w:sz w:val="20"/>
                <w:szCs w:val="20"/>
                <w:highlight w:val="none"/>
              </w:rPr>
              <w:t>污染物产生指标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353" w:type="dxa"/>
            <w:tcBorders>
              <w:left w:val="single" w:color="000000" w:sz="10" w:space="0"/>
            </w:tcBorders>
            <w:vAlign w:val="top"/>
          </w:tcPr>
          <w:p>
            <w:pPr>
              <w:spacing w:before="58" w:line="228" w:lineRule="auto"/>
              <w:ind w:left="14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废</w:t>
            </w:r>
            <w:r>
              <w:rPr>
                <w:rFonts w:hint="default" w:ascii="Times New Roman" w:hAnsi="Times New Roman" w:eastAsia="宋体" w:cs="Times New Roman"/>
                <w:spacing w:val="8"/>
                <w:sz w:val="20"/>
                <w:szCs w:val="20"/>
                <w:highlight w:val="none"/>
              </w:rPr>
              <w:t>水产生量</w:t>
            </w:r>
          </w:p>
          <w:p>
            <w:pPr>
              <w:spacing w:before="41" w:line="274" w:lineRule="exact"/>
              <w:ind w:left="29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7"/>
                <w:position w:val="1"/>
                <w:sz w:val="20"/>
                <w:szCs w:val="20"/>
                <w:highlight w:val="none"/>
              </w:rPr>
              <w:t>(</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27"/>
                <w:position w:val="7"/>
                <w:sz w:val="13"/>
                <w:szCs w:val="13"/>
                <w:highlight w:val="none"/>
              </w:rPr>
              <w:t>3</w:t>
            </w:r>
            <w:r>
              <w:rPr>
                <w:rFonts w:hint="default" w:ascii="Times New Roman" w:hAnsi="Times New Roman" w:eastAsia="Times New Roman" w:cs="Times New Roman"/>
                <w:spacing w:val="27"/>
                <w:position w:val="1"/>
                <w:sz w:val="20"/>
                <w:szCs w:val="20"/>
                <w:highlight w:val="none"/>
              </w:rPr>
              <w:t>/</w:t>
            </w:r>
            <w:r>
              <w:rPr>
                <w:rFonts w:hint="default" w:ascii="Times New Roman" w:hAnsi="Times New Roman" w:eastAsia="Times New Roman" w:cs="Times New Roman"/>
                <w:position w:val="1"/>
                <w:sz w:val="20"/>
                <w:szCs w:val="20"/>
                <w:highlight w:val="none"/>
              </w:rPr>
              <w:t>t</w:t>
            </w:r>
            <w:r>
              <w:rPr>
                <w:rFonts w:hint="default" w:ascii="Times New Roman" w:hAnsi="Times New Roman" w:eastAsia="宋体" w:cs="Times New Roman"/>
                <w:spacing w:val="26"/>
                <w:position w:val="1"/>
                <w:sz w:val="20"/>
                <w:szCs w:val="20"/>
                <w:highlight w:val="none"/>
              </w:rPr>
              <w:t>)</w:t>
            </w:r>
          </w:p>
        </w:tc>
        <w:tc>
          <w:tcPr>
            <w:tcW w:w="1841" w:type="dxa"/>
            <w:vAlign w:val="top"/>
          </w:tcPr>
          <w:p>
            <w:pPr>
              <w:spacing w:before="188" w:line="274" w:lineRule="exact"/>
              <w:ind w:left="72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2"/>
                <w:sz w:val="20"/>
                <w:szCs w:val="20"/>
                <w:highlight w:val="none"/>
              </w:rPr>
              <w:t>≤0. 1</w:t>
            </w:r>
          </w:p>
        </w:tc>
        <w:tc>
          <w:tcPr>
            <w:tcW w:w="1905" w:type="dxa"/>
            <w:vAlign w:val="top"/>
          </w:tcPr>
          <w:p>
            <w:pPr>
              <w:spacing w:before="188" w:line="274" w:lineRule="exact"/>
              <w:ind w:left="76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position w:val="2"/>
                <w:sz w:val="20"/>
                <w:szCs w:val="20"/>
                <w:highlight w:val="none"/>
              </w:rPr>
              <w:t>≤0.7</w:t>
            </w:r>
          </w:p>
        </w:tc>
        <w:tc>
          <w:tcPr>
            <w:tcW w:w="1546" w:type="dxa"/>
            <w:vAlign w:val="top"/>
          </w:tcPr>
          <w:p>
            <w:pPr>
              <w:spacing w:before="188" w:line="274" w:lineRule="exact"/>
              <w:ind w:left="59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9"/>
                <w:position w:val="2"/>
                <w:sz w:val="20"/>
                <w:szCs w:val="20"/>
                <w:highlight w:val="none"/>
              </w:rPr>
              <w:t>≤</w:t>
            </w:r>
            <w:r>
              <w:rPr>
                <w:rFonts w:hint="default" w:ascii="Times New Roman" w:hAnsi="Times New Roman" w:eastAsia="Times New Roman" w:cs="Times New Roman"/>
                <w:spacing w:val="-5"/>
                <w:position w:val="2"/>
                <w:sz w:val="20"/>
                <w:szCs w:val="20"/>
                <w:highlight w:val="none"/>
              </w:rPr>
              <w:t xml:space="preserve"> 1.5</w:t>
            </w:r>
          </w:p>
        </w:tc>
        <w:tc>
          <w:tcPr>
            <w:tcW w:w="1401" w:type="dxa"/>
            <w:vAlign w:val="top"/>
          </w:tcPr>
          <w:p>
            <w:pPr>
              <w:spacing w:before="255" w:line="195" w:lineRule="auto"/>
              <w:ind w:left="66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c>
          <w:tcPr>
            <w:tcW w:w="446" w:type="dxa"/>
            <w:gridSpan w:val="2"/>
            <w:tcBorders>
              <w:right w:val="single" w:color="000000" w:sz="10" w:space="0"/>
            </w:tcBorders>
            <w:vAlign w:val="top"/>
          </w:tcPr>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一</w:t>
            </w:r>
          </w:p>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353" w:type="dxa"/>
            <w:tcBorders>
              <w:left w:val="single" w:color="000000" w:sz="10" w:space="0"/>
            </w:tcBorders>
            <w:vAlign w:val="top"/>
          </w:tcPr>
          <w:p>
            <w:pPr>
              <w:spacing w:before="58" w:line="288" w:lineRule="exact"/>
              <w:ind w:left="35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position w:val="5"/>
                <w:sz w:val="20"/>
                <w:szCs w:val="20"/>
                <w:highlight w:val="none"/>
              </w:rPr>
              <w:t>悬浮物</w:t>
            </w:r>
          </w:p>
          <w:p>
            <w:pPr>
              <w:spacing w:line="274" w:lineRule="exact"/>
              <w:ind w:left="30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6"/>
                <w:position w:val="2"/>
                <w:sz w:val="20"/>
                <w:szCs w:val="20"/>
                <w:highlight w:val="none"/>
              </w:rPr>
              <w:t>(</w:t>
            </w:r>
            <w:r>
              <w:rPr>
                <w:rFonts w:hint="default" w:ascii="Times New Roman" w:hAnsi="Times New Roman" w:eastAsia="Times New Roman" w:cs="Times New Roman"/>
                <w:position w:val="2"/>
                <w:sz w:val="20"/>
                <w:szCs w:val="20"/>
                <w:highlight w:val="none"/>
              </w:rPr>
              <w:t>kg</w:t>
            </w:r>
            <w:r>
              <w:rPr>
                <w:rFonts w:hint="default" w:ascii="Times New Roman" w:hAnsi="Times New Roman" w:eastAsia="Times New Roman" w:cs="Times New Roman"/>
                <w:spacing w:val="35"/>
                <w:position w:val="2"/>
                <w:sz w:val="20"/>
                <w:szCs w:val="20"/>
                <w:highlight w:val="none"/>
              </w:rPr>
              <w:t>/</w:t>
            </w:r>
            <w:r>
              <w:rPr>
                <w:rFonts w:hint="default" w:ascii="Times New Roman" w:hAnsi="Times New Roman" w:eastAsia="Times New Roman" w:cs="Times New Roman"/>
                <w:position w:val="2"/>
                <w:sz w:val="20"/>
                <w:szCs w:val="20"/>
                <w:highlight w:val="none"/>
              </w:rPr>
              <w:t>t</w:t>
            </w:r>
            <w:r>
              <w:rPr>
                <w:rFonts w:hint="default" w:ascii="Times New Roman" w:hAnsi="Times New Roman" w:eastAsia="宋体" w:cs="Times New Roman"/>
                <w:spacing w:val="35"/>
                <w:position w:val="2"/>
                <w:sz w:val="20"/>
                <w:szCs w:val="20"/>
                <w:highlight w:val="none"/>
              </w:rPr>
              <w:t>)</w:t>
            </w:r>
          </w:p>
        </w:tc>
        <w:tc>
          <w:tcPr>
            <w:tcW w:w="1841" w:type="dxa"/>
            <w:vAlign w:val="top"/>
          </w:tcPr>
          <w:p>
            <w:pPr>
              <w:spacing w:before="188" w:line="274" w:lineRule="exact"/>
              <w:ind w:left="67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0.01</w:t>
            </w:r>
          </w:p>
        </w:tc>
        <w:tc>
          <w:tcPr>
            <w:tcW w:w="1905" w:type="dxa"/>
            <w:vAlign w:val="top"/>
          </w:tcPr>
          <w:p>
            <w:pPr>
              <w:spacing w:before="188" w:line="274" w:lineRule="exact"/>
              <w:ind w:left="70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0.21</w:t>
            </w:r>
          </w:p>
        </w:tc>
        <w:tc>
          <w:tcPr>
            <w:tcW w:w="1546" w:type="dxa"/>
            <w:vAlign w:val="top"/>
          </w:tcPr>
          <w:p>
            <w:pPr>
              <w:spacing w:before="188" w:line="274" w:lineRule="exact"/>
              <w:ind w:left="53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0.60</w:t>
            </w:r>
          </w:p>
        </w:tc>
        <w:tc>
          <w:tcPr>
            <w:tcW w:w="1401" w:type="dxa"/>
            <w:vAlign w:val="top"/>
          </w:tcPr>
          <w:p>
            <w:pPr>
              <w:spacing w:before="255" w:line="195" w:lineRule="auto"/>
              <w:ind w:left="66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c>
          <w:tcPr>
            <w:tcW w:w="446" w:type="dxa"/>
            <w:gridSpan w:val="2"/>
            <w:tcBorders>
              <w:right w:val="single" w:color="000000" w:sz="10" w:space="0"/>
            </w:tcBorders>
            <w:vAlign w:val="top"/>
          </w:tcPr>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一</w:t>
            </w:r>
          </w:p>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353" w:type="dxa"/>
            <w:tcBorders>
              <w:left w:val="single" w:color="000000" w:sz="10" w:space="0"/>
            </w:tcBorders>
            <w:vAlign w:val="top"/>
          </w:tcPr>
          <w:p>
            <w:pPr>
              <w:spacing w:before="60" w:line="228" w:lineRule="auto"/>
              <w:ind w:left="14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化学需氧</w:t>
            </w:r>
            <w:r>
              <w:rPr>
                <w:rFonts w:hint="default" w:ascii="Times New Roman" w:hAnsi="Times New Roman" w:eastAsia="宋体" w:cs="Times New Roman"/>
                <w:spacing w:val="7"/>
                <w:sz w:val="20"/>
                <w:szCs w:val="20"/>
                <w:highlight w:val="none"/>
              </w:rPr>
              <w:t>量</w:t>
            </w:r>
          </w:p>
          <w:p>
            <w:pPr>
              <w:spacing w:before="39" w:line="274" w:lineRule="exact"/>
              <w:ind w:left="30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6"/>
                <w:position w:val="2"/>
                <w:sz w:val="20"/>
                <w:szCs w:val="20"/>
                <w:highlight w:val="none"/>
              </w:rPr>
              <w:t>(</w:t>
            </w:r>
            <w:r>
              <w:rPr>
                <w:rFonts w:hint="default" w:ascii="Times New Roman" w:hAnsi="Times New Roman" w:eastAsia="Times New Roman" w:cs="Times New Roman"/>
                <w:position w:val="2"/>
                <w:sz w:val="20"/>
                <w:szCs w:val="20"/>
                <w:highlight w:val="none"/>
              </w:rPr>
              <w:t>kg</w:t>
            </w:r>
            <w:r>
              <w:rPr>
                <w:rFonts w:hint="default" w:ascii="Times New Roman" w:hAnsi="Times New Roman" w:eastAsia="Times New Roman" w:cs="Times New Roman"/>
                <w:spacing w:val="35"/>
                <w:position w:val="2"/>
                <w:sz w:val="20"/>
                <w:szCs w:val="20"/>
                <w:highlight w:val="none"/>
              </w:rPr>
              <w:t>/</w:t>
            </w:r>
            <w:r>
              <w:rPr>
                <w:rFonts w:hint="default" w:ascii="Times New Roman" w:hAnsi="Times New Roman" w:eastAsia="Times New Roman" w:cs="Times New Roman"/>
                <w:position w:val="2"/>
                <w:sz w:val="20"/>
                <w:szCs w:val="20"/>
                <w:highlight w:val="none"/>
              </w:rPr>
              <w:t>t</w:t>
            </w:r>
            <w:r>
              <w:rPr>
                <w:rFonts w:hint="default" w:ascii="Times New Roman" w:hAnsi="Times New Roman" w:eastAsia="宋体" w:cs="Times New Roman"/>
                <w:spacing w:val="35"/>
                <w:position w:val="2"/>
                <w:sz w:val="20"/>
                <w:szCs w:val="20"/>
                <w:highlight w:val="none"/>
              </w:rPr>
              <w:t>)</w:t>
            </w:r>
          </w:p>
        </w:tc>
        <w:tc>
          <w:tcPr>
            <w:tcW w:w="1841" w:type="dxa"/>
            <w:vAlign w:val="top"/>
          </w:tcPr>
          <w:p>
            <w:pPr>
              <w:spacing w:before="188" w:line="274" w:lineRule="exact"/>
              <w:ind w:left="67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0.01</w:t>
            </w:r>
          </w:p>
        </w:tc>
        <w:tc>
          <w:tcPr>
            <w:tcW w:w="1905" w:type="dxa"/>
            <w:vAlign w:val="top"/>
          </w:tcPr>
          <w:p>
            <w:pPr>
              <w:spacing w:before="188" w:line="274" w:lineRule="exact"/>
              <w:ind w:left="70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position w:val="2"/>
                <w:sz w:val="20"/>
                <w:szCs w:val="20"/>
                <w:highlight w:val="none"/>
              </w:rPr>
              <w:t>≤</w:t>
            </w:r>
            <w:r>
              <w:rPr>
                <w:rFonts w:hint="default" w:ascii="Times New Roman" w:hAnsi="Times New Roman" w:eastAsia="Times New Roman" w:cs="Times New Roman"/>
                <w:spacing w:val="-5"/>
                <w:position w:val="2"/>
                <w:sz w:val="20"/>
                <w:szCs w:val="20"/>
                <w:highlight w:val="none"/>
              </w:rPr>
              <w:t>0</w:t>
            </w:r>
            <w:r>
              <w:rPr>
                <w:rFonts w:hint="default" w:ascii="Times New Roman" w:hAnsi="Times New Roman" w:eastAsia="Times New Roman" w:cs="Times New Roman"/>
                <w:spacing w:val="-4"/>
                <w:position w:val="2"/>
                <w:sz w:val="20"/>
                <w:szCs w:val="20"/>
                <w:highlight w:val="none"/>
              </w:rPr>
              <w:t>. 11</w:t>
            </w:r>
          </w:p>
        </w:tc>
        <w:tc>
          <w:tcPr>
            <w:tcW w:w="1546" w:type="dxa"/>
            <w:vAlign w:val="top"/>
          </w:tcPr>
          <w:p>
            <w:pPr>
              <w:spacing w:before="188" w:line="274" w:lineRule="exact"/>
              <w:ind w:left="53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0.75</w:t>
            </w:r>
          </w:p>
        </w:tc>
        <w:tc>
          <w:tcPr>
            <w:tcW w:w="1401" w:type="dxa"/>
            <w:vAlign w:val="top"/>
          </w:tcPr>
          <w:p>
            <w:pPr>
              <w:spacing w:before="254" w:line="195" w:lineRule="auto"/>
              <w:ind w:left="66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0</w:t>
            </w:r>
          </w:p>
        </w:tc>
        <w:tc>
          <w:tcPr>
            <w:tcW w:w="446" w:type="dxa"/>
            <w:gridSpan w:val="2"/>
            <w:tcBorders>
              <w:right w:val="single" w:color="000000" w:sz="10" w:space="0"/>
            </w:tcBorders>
            <w:vAlign w:val="top"/>
          </w:tcPr>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一</w:t>
            </w:r>
          </w:p>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8492" w:type="dxa"/>
            <w:gridSpan w:val="7"/>
            <w:tcBorders>
              <w:left w:val="single" w:color="000000" w:sz="10" w:space="0"/>
              <w:right w:val="single" w:color="000000" w:sz="10" w:space="0"/>
            </w:tcBorders>
            <w:vAlign w:val="top"/>
          </w:tcPr>
          <w:p>
            <w:pPr>
              <w:spacing w:before="60" w:line="231" w:lineRule="auto"/>
              <w:ind w:left="329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四</w:t>
            </w:r>
            <w:r>
              <w:rPr>
                <w:rFonts w:hint="default" w:ascii="Times New Roman" w:hAnsi="Times New Roman" w:eastAsia="宋体" w:cs="Times New Roman"/>
                <w:spacing w:val="-7"/>
                <w:sz w:val="20"/>
                <w:szCs w:val="20"/>
                <w:highlight w:val="none"/>
              </w:rPr>
              <w:t>、</w:t>
            </w:r>
            <w:r>
              <w:rPr>
                <w:rFonts w:hint="default" w:ascii="Times New Roman" w:hAnsi="Times New Roman" w:eastAsia="宋体" w:cs="Times New Roman"/>
                <w:spacing w:val="-6"/>
                <w:sz w:val="20"/>
                <w:szCs w:val="20"/>
                <w:highlight w:val="none"/>
              </w:rPr>
              <w:t>废物回收利用指标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353" w:type="dxa"/>
            <w:tcBorders>
              <w:left w:val="single" w:color="000000" w:sz="10" w:space="0"/>
            </w:tcBorders>
            <w:vAlign w:val="top"/>
          </w:tcPr>
          <w:p>
            <w:pPr>
              <w:spacing w:before="58" w:line="269" w:lineRule="auto"/>
              <w:ind w:left="105" w:right="35" w:firstLine="4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工</w:t>
            </w:r>
            <w:r>
              <w:rPr>
                <w:rFonts w:hint="default" w:ascii="Times New Roman" w:hAnsi="Times New Roman" w:eastAsia="宋体" w:cs="Times New Roman"/>
                <w:spacing w:val="7"/>
                <w:sz w:val="20"/>
                <w:szCs w:val="20"/>
                <w:highlight w:val="none"/>
              </w:rPr>
              <w:t>业水重复</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6"/>
                <w:sz w:val="20"/>
                <w:szCs w:val="20"/>
                <w:highlight w:val="none"/>
              </w:rPr>
              <w:t>利</w:t>
            </w:r>
            <w:r>
              <w:rPr>
                <w:rFonts w:hint="default" w:ascii="Times New Roman" w:hAnsi="Times New Roman" w:eastAsia="宋体" w:cs="Times New Roman"/>
                <w:spacing w:val="4"/>
                <w:sz w:val="20"/>
                <w:szCs w:val="20"/>
                <w:highlight w:val="none"/>
              </w:rPr>
              <w:t>用率 (</w:t>
            </w:r>
            <w:r>
              <w:rPr>
                <w:rFonts w:hint="default" w:ascii="Times New Roman" w:hAnsi="Times New Roman" w:eastAsia="Times New Roman" w:cs="Times New Roman"/>
                <w:spacing w:val="4"/>
                <w:sz w:val="20"/>
                <w:szCs w:val="20"/>
                <w:highlight w:val="none"/>
              </w:rPr>
              <w:t>%</w:t>
            </w:r>
            <w:r>
              <w:rPr>
                <w:rFonts w:hint="default" w:ascii="Times New Roman" w:hAnsi="Times New Roman" w:eastAsia="宋体" w:cs="Times New Roman"/>
                <w:spacing w:val="4"/>
                <w:sz w:val="20"/>
                <w:szCs w:val="20"/>
                <w:highlight w:val="none"/>
              </w:rPr>
              <w:t>)</w:t>
            </w:r>
          </w:p>
        </w:tc>
        <w:tc>
          <w:tcPr>
            <w:tcW w:w="1841" w:type="dxa"/>
            <w:vAlign w:val="top"/>
          </w:tcPr>
          <w:p>
            <w:pPr>
              <w:spacing w:before="188" w:line="274" w:lineRule="exact"/>
              <w:ind w:left="75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95</w:t>
            </w:r>
          </w:p>
        </w:tc>
        <w:tc>
          <w:tcPr>
            <w:tcW w:w="1905" w:type="dxa"/>
            <w:vAlign w:val="top"/>
          </w:tcPr>
          <w:p>
            <w:pPr>
              <w:spacing w:before="188" w:line="274" w:lineRule="exact"/>
              <w:ind w:left="7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90</w:t>
            </w:r>
          </w:p>
        </w:tc>
        <w:tc>
          <w:tcPr>
            <w:tcW w:w="1546" w:type="dxa"/>
            <w:vAlign w:val="top"/>
          </w:tcPr>
          <w:p>
            <w:pPr>
              <w:spacing w:before="188" w:line="274" w:lineRule="exact"/>
              <w:ind w:left="61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0"/>
                <w:position w:val="2"/>
                <w:sz w:val="20"/>
                <w:szCs w:val="20"/>
                <w:highlight w:val="none"/>
              </w:rPr>
              <w:t>≥</w:t>
            </w:r>
            <w:r>
              <w:rPr>
                <w:rFonts w:hint="default" w:ascii="Times New Roman" w:hAnsi="Times New Roman" w:eastAsia="Times New Roman" w:cs="Times New Roman"/>
                <w:spacing w:val="-9"/>
                <w:position w:val="2"/>
                <w:sz w:val="20"/>
                <w:szCs w:val="20"/>
                <w:highlight w:val="none"/>
              </w:rPr>
              <w:t xml:space="preserve"> 85</w:t>
            </w:r>
          </w:p>
        </w:tc>
        <w:tc>
          <w:tcPr>
            <w:tcW w:w="1401" w:type="dxa"/>
            <w:vAlign w:val="top"/>
          </w:tcPr>
          <w:p>
            <w:pPr>
              <w:spacing w:before="255" w:line="195" w:lineRule="auto"/>
              <w:ind w:left="52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9</w:t>
            </w:r>
            <w:r>
              <w:rPr>
                <w:rFonts w:hint="eastAsia" w:ascii="Times New Roman" w:hAnsi="Times New Roman" w:eastAsia="宋体" w:cs="Times New Roman"/>
                <w:spacing w:val="4"/>
                <w:sz w:val="20"/>
                <w:szCs w:val="20"/>
                <w:highlight w:val="none"/>
                <w:lang w:val="en-US" w:eastAsia="zh-CN"/>
              </w:rPr>
              <w:t>0</w:t>
            </w:r>
            <w:r>
              <w:rPr>
                <w:rFonts w:hint="default" w:ascii="Times New Roman" w:hAnsi="Times New Roman" w:eastAsia="Times New Roman" w:cs="Times New Roman"/>
                <w:spacing w:val="4"/>
                <w:sz w:val="20"/>
                <w:szCs w:val="20"/>
                <w:highlight w:val="none"/>
              </w:rPr>
              <w:t>.</w:t>
            </w:r>
            <w:r>
              <w:rPr>
                <w:rFonts w:hint="default" w:ascii="Times New Roman" w:hAnsi="Times New Roman" w:eastAsia="Times New Roman" w:cs="Times New Roman"/>
                <w:spacing w:val="3"/>
                <w:sz w:val="20"/>
                <w:szCs w:val="20"/>
                <w:highlight w:val="none"/>
              </w:rPr>
              <w:t>5</w:t>
            </w:r>
          </w:p>
        </w:tc>
        <w:tc>
          <w:tcPr>
            <w:tcW w:w="446" w:type="dxa"/>
            <w:gridSpan w:val="2"/>
            <w:tcBorders>
              <w:right w:val="single" w:color="000000" w:sz="10" w:space="0"/>
            </w:tcBorders>
            <w:textDirection w:val="tbRlV"/>
            <w:vAlign w:val="top"/>
          </w:tcPr>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二 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53" w:type="dxa"/>
            <w:tcBorders>
              <w:left w:val="single" w:color="000000" w:sz="10" w:space="0"/>
            </w:tcBorders>
            <w:vAlign w:val="top"/>
          </w:tcPr>
          <w:p>
            <w:pPr>
              <w:spacing w:before="60" w:line="276" w:lineRule="auto"/>
              <w:ind w:left="163" w:right="153" w:hanging="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尾矿综合利</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6"/>
                <w:sz w:val="20"/>
                <w:szCs w:val="20"/>
                <w:highlight w:val="none"/>
              </w:rPr>
              <w:t>用</w:t>
            </w:r>
            <w:r>
              <w:rPr>
                <w:rFonts w:hint="default" w:ascii="Times New Roman" w:hAnsi="Times New Roman" w:eastAsia="宋体" w:cs="Times New Roman"/>
                <w:spacing w:val="4"/>
                <w:sz w:val="20"/>
                <w:szCs w:val="20"/>
                <w:highlight w:val="none"/>
              </w:rPr>
              <w:t>率 (</w:t>
            </w:r>
            <w:r>
              <w:rPr>
                <w:rFonts w:hint="default" w:ascii="Times New Roman" w:hAnsi="Times New Roman" w:eastAsia="Times New Roman" w:cs="Times New Roman"/>
                <w:spacing w:val="4"/>
                <w:sz w:val="20"/>
                <w:szCs w:val="20"/>
                <w:highlight w:val="none"/>
              </w:rPr>
              <w:t>%</w:t>
            </w:r>
            <w:r>
              <w:rPr>
                <w:rFonts w:hint="default" w:ascii="Times New Roman" w:hAnsi="Times New Roman" w:eastAsia="宋体" w:cs="Times New Roman"/>
                <w:spacing w:val="4"/>
                <w:sz w:val="20"/>
                <w:szCs w:val="20"/>
                <w:highlight w:val="none"/>
              </w:rPr>
              <w:t>)</w:t>
            </w:r>
          </w:p>
        </w:tc>
        <w:tc>
          <w:tcPr>
            <w:tcW w:w="1841" w:type="dxa"/>
            <w:vAlign w:val="top"/>
          </w:tcPr>
          <w:p>
            <w:pPr>
              <w:spacing w:before="188" w:line="274" w:lineRule="exact"/>
              <w:ind w:left="75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w:t>
            </w:r>
            <w:r>
              <w:rPr>
                <w:rFonts w:hint="default" w:ascii="Times New Roman" w:hAnsi="Times New Roman" w:eastAsia="Times New Roman" w:cs="Times New Roman"/>
                <w:spacing w:val="4"/>
                <w:position w:val="2"/>
                <w:sz w:val="20"/>
                <w:szCs w:val="20"/>
                <w:highlight w:val="none"/>
              </w:rPr>
              <w:t>30</w:t>
            </w:r>
          </w:p>
        </w:tc>
        <w:tc>
          <w:tcPr>
            <w:tcW w:w="1905" w:type="dxa"/>
            <w:vAlign w:val="top"/>
          </w:tcPr>
          <w:p>
            <w:pPr>
              <w:spacing w:before="188" w:line="274" w:lineRule="exact"/>
              <w:ind w:left="7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0"/>
                <w:position w:val="2"/>
                <w:sz w:val="20"/>
                <w:szCs w:val="20"/>
                <w:highlight w:val="none"/>
              </w:rPr>
              <w:t>≥</w:t>
            </w:r>
            <w:r>
              <w:rPr>
                <w:rFonts w:hint="default" w:ascii="Times New Roman" w:hAnsi="Times New Roman" w:eastAsia="Times New Roman" w:cs="Times New Roman"/>
                <w:spacing w:val="-9"/>
                <w:position w:val="2"/>
                <w:sz w:val="20"/>
                <w:szCs w:val="20"/>
                <w:highlight w:val="none"/>
              </w:rPr>
              <w:t xml:space="preserve"> 15</w:t>
            </w:r>
          </w:p>
        </w:tc>
        <w:tc>
          <w:tcPr>
            <w:tcW w:w="1546" w:type="dxa"/>
            <w:vAlign w:val="top"/>
          </w:tcPr>
          <w:p>
            <w:pPr>
              <w:spacing w:before="188" w:line="274" w:lineRule="exact"/>
              <w:ind w:left="66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3"/>
                <w:position w:val="2"/>
                <w:sz w:val="20"/>
                <w:szCs w:val="20"/>
                <w:highlight w:val="none"/>
              </w:rPr>
              <w:t>≥</w:t>
            </w:r>
            <w:r>
              <w:rPr>
                <w:rFonts w:hint="default" w:ascii="Times New Roman" w:hAnsi="Times New Roman" w:eastAsia="Times New Roman" w:cs="Times New Roman"/>
                <w:spacing w:val="-11"/>
                <w:position w:val="2"/>
                <w:sz w:val="20"/>
                <w:szCs w:val="20"/>
                <w:highlight w:val="none"/>
              </w:rPr>
              <w:t xml:space="preserve"> 8</w:t>
            </w:r>
          </w:p>
        </w:tc>
        <w:tc>
          <w:tcPr>
            <w:tcW w:w="1401" w:type="dxa"/>
            <w:vAlign w:val="top"/>
          </w:tcPr>
          <w:p>
            <w:pPr>
              <w:spacing w:before="254" w:line="195" w:lineRule="auto"/>
              <w:ind w:left="56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100</w:t>
            </w:r>
          </w:p>
        </w:tc>
        <w:tc>
          <w:tcPr>
            <w:tcW w:w="446" w:type="dxa"/>
            <w:gridSpan w:val="2"/>
            <w:tcBorders>
              <w:right w:val="single" w:color="000000" w:sz="10" w:space="0"/>
            </w:tcBorders>
            <w:vAlign w:val="top"/>
          </w:tcPr>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一</w:t>
            </w:r>
          </w:p>
          <w:p>
            <w:pPr>
              <w:spacing w:before="73" w:line="228" w:lineRule="auto"/>
              <w:ind w:left="123"/>
              <w:rPr>
                <w:rFonts w:hint="default" w:ascii="Times New Roman" w:hAnsi="Times New Roman" w:eastAsia="宋体" w:cs="Times New Roman"/>
                <w:spacing w:val="-2"/>
                <w:sz w:val="20"/>
                <w:szCs w:val="20"/>
                <w:highlight w:val="none"/>
              </w:rPr>
            </w:pPr>
            <w:r>
              <w:rPr>
                <w:rFonts w:hint="default" w:ascii="Times New Roman" w:hAnsi="Times New Roman" w:eastAsia="宋体" w:cs="Times New Roman"/>
                <w:spacing w:val="-2"/>
                <w:sz w:val="20"/>
                <w:szCs w:val="20"/>
                <w:highlight w:val="none"/>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8492" w:type="dxa"/>
            <w:gridSpan w:val="7"/>
            <w:tcBorders>
              <w:left w:val="single" w:color="000000" w:sz="10" w:space="0"/>
              <w:right w:val="single" w:color="000000" w:sz="10" w:space="0"/>
            </w:tcBorders>
            <w:vAlign w:val="top"/>
          </w:tcPr>
          <w:p>
            <w:pPr>
              <w:spacing w:before="55" w:line="239" w:lineRule="auto"/>
              <w:ind w:left="340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五</w:t>
            </w:r>
            <w:r>
              <w:rPr>
                <w:rFonts w:hint="default" w:ascii="Times New Roman" w:hAnsi="Times New Roman" w:eastAsia="宋体" w:cs="Times New Roman"/>
                <w:spacing w:val="8"/>
                <w:sz w:val="20"/>
                <w:szCs w:val="20"/>
                <w:highlight w:val="none"/>
              </w:rPr>
              <w:t>、环境管理要求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492" w:type="dxa"/>
            <w:gridSpan w:val="7"/>
            <w:tcBorders>
              <w:left w:val="single" w:color="000000" w:sz="10" w:space="0"/>
              <w:right w:val="single" w:color="000000" w:sz="10" w:space="0"/>
            </w:tcBorders>
            <w:vAlign w:val="top"/>
          </w:tcPr>
          <w:p>
            <w:pPr>
              <w:spacing w:before="28" w:line="293" w:lineRule="auto"/>
              <w:ind w:left="1932" w:right="94" w:hanging="182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严格按照</w:t>
            </w:r>
            <w:r>
              <w:rPr>
                <w:rFonts w:hint="default" w:ascii="Times New Roman" w:hAnsi="Times New Roman" w:eastAsia="宋体" w:cs="Times New Roman"/>
                <w:spacing w:val="9"/>
                <w:sz w:val="20"/>
                <w:szCs w:val="20"/>
                <w:highlight w:val="none"/>
              </w:rPr>
              <w:t>《</w:t>
            </w:r>
            <w:r>
              <w:rPr>
                <w:rFonts w:hint="default" w:ascii="Times New Roman" w:hAnsi="Times New Roman" w:eastAsia="宋体" w:cs="Times New Roman"/>
                <w:spacing w:val="6"/>
                <w:sz w:val="20"/>
                <w:szCs w:val="20"/>
                <w:highlight w:val="none"/>
              </w:rPr>
              <w:t>清洁生产标准铁矿采选业》 (</w:t>
            </w:r>
            <w:r>
              <w:rPr>
                <w:rFonts w:hint="default" w:ascii="Times New Roman" w:hAnsi="Times New Roman" w:eastAsia="Times New Roman" w:cs="Times New Roman"/>
                <w:sz w:val="20"/>
                <w:szCs w:val="20"/>
                <w:highlight w:val="none"/>
              </w:rPr>
              <w:t>HJ</w:t>
            </w:r>
            <w:r>
              <w:rPr>
                <w:rFonts w:hint="default" w:ascii="Times New Roman" w:hAnsi="Times New Roman" w:eastAsia="Times New Roman" w:cs="Times New Roman"/>
                <w:spacing w:val="6"/>
                <w:sz w:val="20"/>
                <w:szCs w:val="20"/>
                <w:highlight w:val="none"/>
              </w:rPr>
              <w:t>/</w:t>
            </w:r>
            <w:r>
              <w:rPr>
                <w:rFonts w:hint="default" w:ascii="Times New Roman" w:hAnsi="Times New Roman" w:eastAsia="Times New Roman" w:cs="Times New Roman"/>
                <w:sz w:val="20"/>
                <w:szCs w:val="20"/>
                <w:highlight w:val="none"/>
              </w:rPr>
              <w:t>T</w:t>
            </w:r>
            <w:r>
              <w:rPr>
                <w:rFonts w:hint="default" w:ascii="Times New Roman" w:hAnsi="Times New Roman" w:eastAsia="Times New Roman" w:cs="Times New Roman"/>
                <w:spacing w:val="6"/>
                <w:sz w:val="20"/>
                <w:szCs w:val="20"/>
                <w:highlight w:val="none"/>
              </w:rPr>
              <w:t>294-2006</w:t>
            </w:r>
            <w:r>
              <w:rPr>
                <w:rFonts w:hint="default" w:ascii="Times New Roman" w:hAnsi="Times New Roman" w:eastAsia="宋体" w:cs="Times New Roman"/>
                <w:spacing w:val="6"/>
                <w:sz w:val="20"/>
                <w:szCs w:val="20"/>
                <w:highlight w:val="none"/>
              </w:rPr>
              <w:t>) 中的环境管理要求，组织实施清洁</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0"/>
                <w:sz w:val="20"/>
                <w:szCs w:val="20"/>
                <w:highlight w:val="none"/>
              </w:rPr>
              <w:t>生</w:t>
            </w:r>
            <w:r>
              <w:rPr>
                <w:rFonts w:hint="default" w:ascii="Times New Roman" w:hAnsi="Times New Roman" w:eastAsia="宋体" w:cs="Times New Roman"/>
                <w:spacing w:val="9"/>
                <w:sz w:val="20"/>
                <w:szCs w:val="20"/>
                <w:highlight w:val="none"/>
              </w:rPr>
              <w:t>产，确保达到国内铁矿行业清洁生产先进水平。</w:t>
            </w:r>
          </w:p>
        </w:tc>
      </w:tr>
    </w:tbl>
    <w:p>
      <w:pPr>
        <w:keepNext w:val="0"/>
        <w:keepLines w:val="0"/>
        <w:pageBreakBefore w:val="0"/>
        <w:widowControl/>
        <w:kinsoku w:val="0"/>
        <w:wordWrap/>
        <w:overflowPunct/>
        <w:topLinePunct w:val="0"/>
        <w:autoSpaceDE w:val="0"/>
        <w:autoSpaceDN w:val="0"/>
        <w:bidi w:val="0"/>
        <w:adjustRightInd w:val="0"/>
        <w:snapToGrid w:val="0"/>
        <w:spacing w:before="75" w:line="460" w:lineRule="exact"/>
        <w:ind w:left="125"/>
        <w:textAlignment w:val="baseline"/>
        <w:outlineLvl w:val="2"/>
        <w:rPr>
          <w:rFonts w:hint="default" w:ascii="Times New Roman" w:hAnsi="Times New Roman" w:eastAsia="宋体" w:cs="Times New Roman"/>
          <w:sz w:val="23"/>
          <w:szCs w:val="23"/>
          <w:highlight w:val="none"/>
        </w:rPr>
      </w:pPr>
      <w:bookmarkStart w:id="211" w:name="_Toc453"/>
      <w:bookmarkStart w:id="212" w:name="_Toc10909"/>
      <w:bookmarkStart w:id="213" w:name="_Toc22707"/>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4</w:t>
      </w:r>
      <w:r>
        <w:rPr>
          <w:rFonts w:hint="default" w:ascii="Times New Roman" w:hAnsi="Times New Roman" w:eastAsia="Times New Roman" w:cs="Times New Roman"/>
          <w:b/>
          <w:bCs/>
          <w:spacing w:val="7"/>
          <w:sz w:val="23"/>
          <w:szCs w:val="23"/>
          <w:highlight w:val="none"/>
        </w:rPr>
        <w:t>.3</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清洁生产水平分析</w:t>
      </w:r>
      <w:bookmarkEnd w:id="211"/>
      <w:bookmarkEnd w:id="212"/>
      <w:bookmarkEnd w:id="213"/>
    </w:p>
    <w:p>
      <w:pPr>
        <w:keepNext w:val="0"/>
        <w:keepLines w:val="0"/>
        <w:pageBreakBefore w:val="0"/>
        <w:widowControl/>
        <w:kinsoku w:val="0"/>
        <w:wordWrap/>
        <w:overflowPunct/>
        <w:topLinePunct w:val="0"/>
        <w:autoSpaceDE w:val="0"/>
        <w:autoSpaceDN w:val="0"/>
        <w:bidi w:val="0"/>
        <w:adjustRightInd w:val="0"/>
        <w:snapToGrid w:val="0"/>
        <w:spacing w:before="75" w:line="460" w:lineRule="exact"/>
        <w:ind w:left="125" w:right="33" w:firstLine="514"/>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
          <w:sz w:val="23"/>
          <w:szCs w:val="23"/>
          <w:highlight w:val="none"/>
        </w:rPr>
        <w:t>由表</w:t>
      </w:r>
      <w:r>
        <w:rPr>
          <w:rFonts w:hint="default" w:ascii="Times New Roman" w:hAnsi="Times New Roman" w:eastAsia="Times New Roman" w:cs="Times New Roman"/>
          <w:spacing w:val="-1"/>
          <w:sz w:val="23"/>
          <w:szCs w:val="23"/>
          <w:highlight w:val="none"/>
        </w:rPr>
        <w:t>3.</w:t>
      </w:r>
      <w:r>
        <w:rPr>
          <w:rFonts w:hint="eastAsia" w:ascii="Times New Roman" w:hAnsi="Times New Roman" w:eastAsia="宋体" w:cs="Times New Roman"/>
          <w:spacing w:val="-1"/>
          <w:sz w:val="23"/>
          <w:szCs w:val="23"/>
          <w:highlight w:val="none"/>
          <w:lang w:val="en-US" w:eastAsia="zh-CN"/>
        </w:rPr>
        <w:t>4</w:t>
      </w:r>
      <w:r>
        <w:rPr>
          <w:rFonts w:hint="default" w:ascii="Times New Roman" w:hAnsi="Times New Roman" w:eastAsia="Times New Roman" w:cs="Times New Roman"/>
          <w:spacing w:val="-1"/>
          <w:sz w:val="23"/>
          <w:szCs w:val="23"/>
          <w:highlight w:val="none"/>
        </w:rPr>
        <w:t>- 1</w:t>
      </w:r>
      <w:r>
        <w:rPr>
          <w:rFonts w:hint="default" w:ascii="Times New Roman" w:hAnsi="Times New Roman" w:eastAsia="宋体" w:cs="Times New Roman"/>
          <w:spacing w:val="-1"/>
          <w:sz w:val="23"/>
          <w:szCs w:val="23"/>
          <w:highlight w:val="none"/>
        </w:rPr>
        <w:t>可知，项目工</w:t>
      </w:r>
      <w:r>
        <w:rPr>
          <w:rFonts w:hint="default" w:ascii="Times New Roman" w:hAnsi="Times New Roman" w:eastAsia="宋体" w:cs="Times New Roman"/>
          <w:sz w:val="23"/>
          <w:szCs w:val="23"/>
          <w:highlight w:val="none"/>
        </w:rPr>
        <w:t>艺装备已经达到</w:t>
      </w:r>
      <w:r>
        <w:rPr>
          <w:rFonts w:hint="default" w:ascii="Times New Roman" w:hAnsi="Times New Roman" w:eastAsia="Times New Roman" w:cs="Times New Roman"/>
          <w:sz w:val="23"/>
          <w:szCs w:val="23"/>
          <w:highlight w:val="none"/>
        </w:rPr>
        <w:t>HJ/T294-2006</w:t>
      </w:r>
      <w:r>
        <w:rPr>
          <w:rFonts w:hint="default" w:ascii="Times New Roman" w:hAnsi="Times New Roman" w:eastAsia="宋体" w:cs="Times New Roman"/>
          <w:sz w:val="23"/>
          <w:szCs w:val="23"/>
          <w:highlight w:val="none"/>
        </w:rPr>
        <w:t xml:space="preserve">二级水平； </w:t>
      </w:r>
      <w:r>
        <w:rPr>
          <w:rFonts w:hint="default" w:ascii="Times New Roman" w:hAnsi="Times New Roman" w:eastAsia="宋体" w:cs="Times New Roman"/>
          <w:spacing w:val="-1"/>
          <w:sz w:val="23"/>
          <w:szCs w:val="23"/>
          <w:highlight w:val="none"/>
        </w:rPr>
        <w:t>电耗指标及水耗</w:t>
      </w:r>
      <w:r>
        <w:rPr>
          <w:rFonts w:hint="default" w:ascii="Times New Roman" w:hAnsi="Times New Roman" w:eastAsia="宋体" w:cs="Times New Roman"/>
          <w:sz w:val="23"/>
          <w:szCs w:val="23"/>
          <w:highlight w:val="none"/>
        </w:rPr>
        <w:t>指标</w:t>
      </w:r>
      <w:r>
        <w:rPr>
          <w:rFonts w:hint="eastAsia" w:ascii="Times New Roman" w:hAnsi="Times New Roman" w:eastAsia="宋体" w:cs="Times New Roman"/>
          <w:sz w:val="23"/>
          <w:szCs w:val="23"/>
          <w:highlight w:val="none"/>
          <w:lang w:eastAsia="zh-CN"/>
        </w:rPr>
        <w:t>、</w:t>
      </w:r>
      <w:r>
        <w:rPr>
          <w:rFonts w:hint="default" w:ascii="Times New Roman" w:hAnsi="Times New Roman" w:eastAsia="宋体" w:cs="Times New Roman"/>
          <w:sz w:val="23"/>
          <w:szCs w:val="23"/>
          <w:highlight w:val="none"/>
        </w:rPr>
        <w:t>染物产生指标</w:t>
      </w:r>
      <w:r>
        <w:rPr>
          <w:rFonts w:hint="eastAsia" w:ascii="Times New Roman" w:hAnsi="Times New Roman" w:eastAsia="宋体" w:cs="Times New Roman"/>
          <w:sz w:val="23"/>
          <w:szCs w:val="23"/>
          <w:highlight w:val="none"/>
          <w:lang w:eastAsia="zh-CN"/>
        </w:rPr>
        <w:t>、</w:t>
      </w:r>
      <w:r>
        <w:rPr>
          <w:rFonts w:hint="eastAsia" w:ascii="Times New Roman" w:hAnsi="Times New Roman" w:eastAsia="宋体" w:cs="Times New Roman"/>
          <w:sz w:val="23"/>
          <w:szCs w:val="23"/>
          <w:highlight w:val="none"/>
          <w:lang w:val="en-US" w:eastAsia="zh-CN"/>
        </w:rPr>
        <w:t>尾矿综合利用率指标</w:t>
      </w:r>
      <w:r>
        <w:rPr>
          <w:rFonts w:hint="default" w:ascii="Times New Roman" w:hAnsi="Times New Roman" w:eastAsia="宋体" w:cs="Times New Roman"/>
          <w:sz w:val="23"/>
          <w:szCs w:val="23"/>
          <w:highlight w:val="none"/>
        </w:rPr>
        <w:t>达到</w:t>
      </w:r>
      <w:r>
        <w:rPr>
          <w:rFonts w:hint="default" w:ascii="Times New Roman" w:hAnsi="Times New Roman" w:eastAsia="Times New Roman" w:cs="Times New Roman"/>
          <w:sz w:val="23"/>
          <w:szCs w:val="23"/>
          <w:highlight w:val="none"/>
        </w:rPr>
        <w:t xml:space="preserve">HJ/T294-2006 </w:t>
      </w:r>
      <w:r>
        <w:rPr>
          <w:rFonts w:hint="default" w:ascii="Times New Roman" w:hAnsi="Times New Roman" w:eastAsia="宋体" w:cs="Times New Roman"/>
          <w:sz w:val="23"/>
          <w:szCs w:val="23"/>
          <w:highlight w:val="none"/>
        </w:rPr>
        <w:t>一 级水平 ； 金属回收率</w:t>
      </w:r>
      <w:r>
        <w:rPr>
          <w:rFonts w:hint="eastAsia" w:ascii="Times New Roman" w:hAnsi="Times New Roman" w:eastAsia="宋体" w:cs="Times New Roman"/>
          <w:sz w:val="23"/>
          <w:szCs w:val="23"/>
          <w:highlight w:val="none"/>
          <w:lang w:eastAsia="zh-CN"/>
        </w:rPr>
        <w:t>、</w:t>
      </w:r>
      <w:r>
        <w:rPr>
          <w:rFonts w:hint="eastAsia" w:ascii="Times New Roman" w:hAnsi="Times New Roman" w:eastAsia="宋体" w:cs="Times New Roman"/>
          <w:sz w:val="23"/>
          <w:szCs w:val="23"/>
          <w:highlight w:val="none"/>
          <w:lang w:val="en-US" w:eastAsia="zh-CN"/>
        </w:rPr>
        <w:t>工业水重复利用率</w:t>
      </w:r>
      <w:r>
        <w:rPr>
          <w:rFonts w:hint="default" w:ascii="Times New Roman" w:hAnsi="Times New Roman" w:eastAsia="宋体" w:cs="Times New Roman"/>
          <w:sz w:val="23"/>
          <w:szCs w:val="23"/>
          <w:highlight w:val="none"/>
        </w:rPr>
        <w:t xml:space="preserve">指标达到 </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14"/>
          <w:sz w:val="23"/>
          <w:szCs w:val="23"/>
          <w:highlight w:val="none"/>
        </w:rPr>
        <w:t>/</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14"/>
          <w:sz w:val="23"/>
          <w:szCs w:val="23"/>
          <w:highlight w:val="none"/>
        </w:rPr>
        <w:t>2</w:t>
      </w:r>
      <w:r>
        <w:rPr>
          <w:rFonts w:hint="default" w:ascii="Times New Roman" w:hAnsi="Times New Roman" w:eastAsia="Times New Roman" w:cs="Times New Roman"/>
          <w:spacing w:val="11"/>
          <w:sz w:val="23"/>
          <w:szCs w:val="23"/>
          <w:highlight w:val="none"/>
        </w:rPr>
        <w:t>9</w:t>
      </w:r>
      <w:r>
        <w:rPr>
          <w:rFonts w:hint="default" w:ascii="Times New Roman" w:hAnsi="Times New Roman" w:eastAsia="Times New Roman" w:cs="Times New Roman"/>
          <w:spacing w:val="7"/>
          <w:sz w:val="23"/>
          <w:szCs w:val="23"/>
          <w:highlight w:val="none"/>
        </w:rPr>
        <w:t>4-2006</w:t>
      </w:r>
      <w:r>
        <w:rPr>
          <w:rFonts w:hint="eastAsia" w:ascii="Times New Roman" w:hAnsi="Times New Roman" w:eastAsia="宋体" w:cs="Times New Roman"/>
          <w:spacing w:val="7"/>
          <w:sz w:val="23"/>
          <w:szCs w:val="23"/>
          <w:highlight w:val="none"/>
          <w:lang w:val="en-US" w:eastAsia="zh-CN"/>
        </w:rPr>
        <w:t>二</w:t>
      </w:r>
      <w:r>
        <w:rPr>
          <w:rFonts w:hint="default" w:ascii="Times New Roman" w:hAnsi="Times New Roman" w:eastAsia="宋体" w:cs="Times New Roman"/>
          <w:spacing w:val="7"/>
          <w:sz w:val="23"/>
          <w:szCs w:val="23"/>
          <w:highlight w:val="none"/>
        </w:rPr>
        <w:t>级水平；环境管理要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求达二级水平</w:t>
      </w:r>
      <w:r>
        <w:rPr>
          <w:rFonts w:hint="default" w:ascii="Times New Roman" w:hAnsi="Times New Roman" w:eastAsia="宋体" w:cs="Times New Roman"/>
          <w:spacing w:val="7"/>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198" w:line="460" w:lineRule="exact"/>
        <w:ind w:left="125"/>
        <w:textAlignment w:val="baseline"/>
        <w:outlineLvl w:val="2"/>
        <w:rPr>
          <w:rFonts w:hint="default" w:ascii="Times New Roman" w:hAnsi="Times New Roman" w:eastAsia="宋体" w:cs="Times New Roman"/>
          <w:sz w:val="23"/>
          <w:szCs w:val="23"/>
          <w:highlight w:val="none"/>
        </w:rPr>
      </w:pPr>
      <w:bookmarkStart w:id="214" w:name="_Toc21614"/>
      <w:bookmarkStart w:id="215" w:name="_Toc22711"/>
      <w:bookmarkStart w:id="216" w:name="_Toc11906"/>
      <w:r>
        <w:rPr>
          <w:rFonts w:hint="default" w:ascii="Times New Roman" w:hAnsi="Times New Roman" w:eastAsia="Times New Roman" w:cs="Times New Roman"/>
          <w:b/>
          <w:bCs/>
          <w:spacing w:val="14"/>
          <w:sz w:val="23"/>
          <w:szCs w:val="23"/>
          <w:highlight w:val="none"/>
        </w:rPr>
        <w:t>3</w:t>
      </w:r>
      <w:r>
        <w:rPr>
          <w:rFonts w:hint="default" w:ascii="Times New Roman" w:hAnsi="Times New Roman" w:eastAsia="Times New Roman" w:cs="Times New Roman"/>
          <w:b/>
          <w:bCs/>
          <w:spacing w:val="10"/>
          <w:sz w:val="23"/>
          <w:szCs w:val="23"/>
          <w:highlight w:val="none"/>
        </w:rPr>
        <w:t>.</w:t>
      </w:r>
      <w:r>
        <w:rPr>
          <w:rFonts w:hint="eastAsia" w:ascii="Times New Roman" w:hAnsi="Times New Roman" w:eastAsia="宋体" w:cs="Times New Roman"/>
          <w:b/>
          <w:bCs/>
          <w:spacing w:val="7"/>
          <w:sz w:val="23"/>
          <w:szCs w:val="23"/>
          <w:highlight w:val="none"/>
          <w:lang w:val="en-US" w:eastAsia="zh-CN"/>
        </w:rPr>
        <w:t>4</w:t>
      </w:r>
      <w:r>
        <w:rPr>
          <w:rFonts w:hint="default" w:ascii="Times New Roman" w:hAnsi="Times New Roman" w:eastAsia="Times New Roman" w:cs="Times New Roman"/>
          <w:b/>
          <w:bCs/>
          <w:spacing w:val="7"/>
          <w:sz w:val="23"/>
          <w:szCs w:val="23"/>
          <w:highlight w:val="none"/>
        </w:rPr>
        <w:t>.4</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国内同行业类比分析</w:t>
      </w:r>
      <w:bookmarkEnd w:id="214"/>
      <w:bookmarkEnd w:id="215"/>
      <w:bookmarkEnd w:id="216"/>
    </w:p>
    <w:p>
      <w:pPr>
        <w:keepNext w:val="0"/>
        <w:keepLines w:val="0"/>
        <w:pageBreakBefore w:val="0"/>
        <w:widowControl/>
        <w:kinsoku w:val="0"/>
        <w:wordWrap/>
        <w:overflowPunct/>
        <w:topLinePunct w:val="0"/>
        <w:autoSpaceDE w:val="0"/>
        <w:autoSpaceDN w:val="0"/>
        <w:bidi w:val="0"/>
        <w:adjustRightInd w:val="0"/>
        <w:snapToGrid w:val="0"/>
        <w:spacing w:line="460" w:lineRule="exact"/>
        <w:ind w:left="125" w:right="34" w:firstLine="516"/>
        <w:textAlignment w:val="baseline"/>
        <w:rPr>
          <w:rFonts w:hint="default" w:ascii="Times New Roman" w:hAnsi="Times New Roman" w:eastAsia="宋体" w:cs="Times New Roman"/>
          <w:spacing w:val="-1"/>
          <w:sz w:val="23"/>
          <w:szCs w:val="23"/>
          <w:highlight w:val="none"/>
        </w:rPr>
      </w:pPr>
      <w:r>
        <w:rPr>
          <w:rFonts w:hint="default" w:ascii="Times New Roman" w:hAnsi="Times New Roman" w:eastAsia="宋体" w:cs="Times New Roman"/>
          <w:spacing w:val="-1"/>
          <w:sz w:val="23"/>
          <w:szCs w:val="23"/>
          <w:highlight w:val="none"/>
        </w:rPr>
        <w:t>项目所用原料矿物组分简单，项目采用破碎、球磨、磁选工艺，在生产过程中不添加任何药剂，为传统工艺，技术较为成熟；类比同类行业项目</w:t>
      </w:r>
      <w:r>
        <w:rPr>
          <w:rFonts w:hint="eastAsia" w:ascii="Times New Roman" w:hAnsi="Times New Roman" w:eastAsia="宋体" w:cs="Times New Roman"/>
          <w:spacing w:val="-1"/>
          <w:sz w:val="23"/>
          <w:szCs w:val="23"/>
          <w:highlight w:val="none"/>
        </w:rPr>
        <w:t>，本项目基本</w:t>
      </w:r>
      <w:r>
        <w:rPr>
          <w:rFonts w:hint="default" w:ascii="Times New Roman" w:hAnsi="Times New Roman" w:eastAsia="宋体" w:cs="Times New Roman"/>
          <w:spacing w:val="-1"/>
          <w:sz w:val="23"/>
          <w:szCs w:val="23"/>
          <w:highlight w:val="none"/>
        </w:rPr>
        <w:t>达到国内清洁生产先进水平。</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25" w:right="34" w:firstLine="516"/>
        <w:textAlignment w:val="baseline"/>
        <w:rPr>
          <w:rFonts w:hint="default" w:ascii="Times New Roman" w:hAnsi="Times New Roman" w:eastAsia="宋体" w:cs="Times New Roman"/>
          <w:spacing w:val="-1"/>
          <w:sz w:val="23"/>
          <w:szCs w:val="23"/>
          <w:highlight w:val="none"/>
        </w:rPr>
      </w:pPr>
      <w:r>
        <w:rPr>
          <w:rFonts w:hint="eastAsia" w:ascii="Times New Roman" w:hAnsi="Times New Roman" w:eastAsia="宋体" w:cs="Times New Roman"/>
          <w:spacing w:val="-1"/>
          <w:sz w:val="23"/>
          <w:szCs w:val="23"/>
          <w:highlight w:val="none"/>
        </w:rPr>
        <w:t>项目在运行过程中，应不断加强生产技术和设备管理，切实做好环境保护工作，进一步净化环境，控制生产过程中的无组织排放，杜绝“跑、冒、滴、漏”，本次评价提出如下建议：</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25" w:right="34" w:firstLine="516"/>
        <w:textAlignment w:val="baseline"/>
        <w:rPr>
          <w:rFonts w:hint="default" w:ascii="Times New Roman" w:hAnsi="Times New Roman" w:eastAsia="宋体" w:cs="Times New Roman"/>
          <w:spacing w:val="-1"/>
          <w:sz w:val="23"/>
          <w:szCs w:val="23"/>
          <w:highlight w:val="none"/>
        </w:rPr>
      </w:pPr>
      <w:r>
        <w:rPr>
          <w:rFonts w:hint="eastAsia" w:ascii="Times New Roman" w:hAnsi="Times New Roman" w:eastAsia="宋体" w:cs="Times New Roman"/>
          <w:spacing w:val="-1"/>
          <w:sz w:val="23"/>
          <w:szCs w:val="23"/>
          <w:highlight w:val="none"/>
        </w:rPr>
        <w:t>（1）充分利用好各种资源、能源，提高原料、能源利用率，减少废弃物的产生。</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25" w:right="34" w:firstLine="516"/>
        <w:textAlignment w:val="baseline"/>
        <w:rPr>
          <w:rFonts w:hint="default" w:ascii="Times New Roman" w:hAnsi="Times New Roman" w:eastAsia="宋体" w:cs="Times New Roman"/>
          <w:spacing w:val="-1"/>
          <w:sz w:val="23"/>
          <w:szCs w:val="23"/>
          <w:highlight w:val="none"/>
        </w:rPr>
      </w:pPr>
      <w:r>
        <w:rPr>
          <w:rFonts w:hint="eastAsia" w:ascii="Times New Roman" w:hAnsi="Times New Roman" w:eastAsia="宋体" w:cs="Times New Roman"/>
          <w:spacing w:val="-1"/>
          <w:sz w:val="23"/>
          <w:szCs w:val="23"/>
          <w:highlight w:val="none"/>
        </w:rPr>
        <w:t>（2）生产过程严格按工艺要求稳定工艺操作，减少无序排放，避免对大气造成污染。</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25" w:right="34" w:firstLine="516"/>
        <w:textAlignment w:val="baseline"/>
        <w:rPr>
          <w:rFonts w:hint="default" w:ascii="Times New Roman" w:hAnsi="Times New Roman" w:eastAsia="宋体" w:cs="Times New Roman"/>
          <w:spacing w:val="-1"/>
          <w:sz w:val="23"/>
          <w:szCs w:val="23"/>
          <w:highlight w:val="none"/>
        </w:rPr>
      </w:pPr>
      <w:r>
        <w:rPr>
          <w:rFonts w:hint="eastAsia" w:ascii="Times New Roman" w:hAnsi="Times New Roman" w:eastAsia="宋体" w:cs="Times New Roman"/>
          <w:spacing w:val="-1"/>
          <w:sz w:val="23"/>
          <w:szCs w:val="23"/>
          <w:highlight w:val="none"/>
        </w:rPr>
        <w:t>（3）加强各物料机泵的维护保养，定期换机械密封，凡是通过检修、更换设备能够解决污染问题的，要及时停产检修、更换设备，绝不能带“病”作业。</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25" w:right="34" w:firstLine="516"/>
        <w:textAlignment w:val="baseline"/>
        <w:rPr>
          <w:rFonts w:hint="default" w:ascii="Times New Roman" w:hAnsi="Times New Roman" w:eastAsia="宋体" w:cs="Times New Roman"/>
          <w:spacing w:val="-1"/>
          <w:sz w:val="23"/>
          <w:szCs w:val="23"/>
          <w:highlight w:val="none"/>
        </w:rPr>
      </w:pPr>
      <w:r>
        <w:rPr>
          <w:rFonts w:hint="eastAsia" w:ascii="Times New Roman" w:hAnsi="Times New Roman" w:eastAsia="宋体" w:cs="Times New Roman"/>
          <w:spacing w:val="-1"/>
          <w:sz w:val="23"/>
          <w:szCs w:val="23"/>
          <w:highlight w:val="none"/>
        </w:rPr>
        <w:t>（4）必须认真按照生产工艺要求，加强巡检，发现各阀门、流量计、控制仪表、工艺管线等有滴漏现象，应及时处理，杜绝“跑、冒、滴、漏”现象。</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25" w:right="34" w:firstLine="516"/>
        <w:textAlignment w:val="baseline"/>
        <w:rPr>
          <w:rFonts w:hint="default" w:ascii="Times New Roman" w:hAnsi="Times New Roman" w:eastAsia="宋体" w:cs="Times New Roman"/>
          <w:spacing w:val="-1"/>
          <w:sz w:val="23"/>
          <w:szCs w:val="23"/>
          <w:highlight w:val="none"/>
        </w:rPr>
      </w:pPr>
      <w:r>
        <w:rPr>
          <w:rFonts w:hint="eastAsia" w:ascii="Times New Roman" w:hAnsi="Times New Roman" w:eastAsia="宋体" w:cs="Times New Roman"/>
          <w:spacing w:val="-1"/>
          <w:sz w:val="23"/>
          <w:szCs w:val="23"/>
          <w:highlight w:val="none"/>
        </w:rPr>
        <w:t>（5）一旦出现“跑、冒、滴、漏”现象，工作人员应及时采取合理有效的补救措施，杜绝环境污染事故的发生。</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25" w:right="34" w:firstLine="516"/>
        <w:textAlignment w:val="baseline"/>
        <w:rPr>
          <w:rFonts w:hint="eastAsia" w:ascii="Times New Roman" w:hAnsi="Times New Roman" w:eastAsia="宋体" w:cs="Times New Roman"/>
          <w:spacing w:val="-1"/>
          <w:sz w:val="23"/>
          <w:szCs w:val="23"/>
          <w:highlight w:val="none"/>
        </w:rPr>
      </w:pPr>
      <w:r>
        <w:rPr>
          <w:rFonts w:hint="eastAsia" w:ascii="Times New Roman" w:hAnsi="Times New Roman" w:eastAsia="宋体" w:cs="Times New Roman"/>
          <w:spacing w:val="-1"/>
          <w:sz w:val="23"/>
          <w:szCs w:val="23"/>
          <w:highlight w:val="none"/>
        </w:rPr>
        <w:t>（6）生产装备符合相关清洁生产标准中国内清洁生产先进要求，设备运行无故障，设备完好率要保持在98%以上。</w:t>
      </w:r>
    </w:p>
    <w:p>
      <w:pPr>
        <w:spacing w:before="123" w:line="221" w:lineRule="auto"/>
        <w:ind w:left="126"/>
        <w:outlineLvl w:val="1"/>
        <w:rPr>
          <w:rFonts w:hint="default" w:ascii="Times New Roman" w:hAnsi="Times New Roman" w:eastAsia="宋体" w:cs="Times New Roman"/>
          <w:sz w:val="28"/>
          <w:szCs w:val="28"/>
          <w:highlight w:val="none"/>
        </w:rPr>
      </w:pPr>
      <w:bookmarkStart w:id="217" w:name="_Toc10039"/>
      <w:bookmarkStart w:id="218" w:name="_Toc30217"/>
      <w:bookmarkStart w:id="219" w:name="_Toc7484"/>
      <w:r>
        <w:rPr>
          <w:rFonts w:hint="default" w:ascii="Times New Roman" w:hAnsi="Times New Roman" w:eastAsia="Times New Roman" w:cs="Times New Roman"/>
          <w:b/>
          <w:bCs/>
          <w:spacing w:val="-1"/>
          <w:sz w:val="28"/>
          <w:szCs w:val="28"/>
          <w:highlight w:val="none"/>
        </w:rPr>
        <w:t>3.</w:t>
      </w:r>
      <w:r>
        <w:rPr>
          <w:rFonts w:hint="eastAsia" w:ascii="Times New Roman" w:hAnsi="Times New Roman" w:eastAsia="宋体" w:cs="Times New Roman"/>
          <w:b/>
          <w:bCs/>
          <w:sz w:val="28"/>
          <w:szCs w:val="28"/>
          <w:highlight w:val="none"/>
          <w:lang w:val="en-US" w:eastAsia="zh-CN"/>
        </w:rPr>
        <w:t>5</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总量控制</w:t>
      </w:r>
      <w:bookmarkEnd w:id="217"/>
      <w:bookmarkEnd w:id="218"/>
      <w:bookmarkEnd w:id="219"/>
    </w:p>
    <w:p>
      <w:pPr>
        <w:keepNext w:val="0"/>
        <w:keepLines w:val="0"/>
        <w:pageBreakBefore w:val="0"/>
        <w:widowControl/>
        <w:kinsoku w:val="0"/>
        <w:wordWrap/>
        <w:overflowPunct/>
        <w:topLinePunct w:val="0"/>
        <w:autoSpaceDE w:val="0"/>
        <w:autoSpaceDN w:val="0"/>
        <w:bidi w:val="0"/>
        <w:adjustRightInd w:val="0"/>
        <w:snapToGrid w:val="0"/>
        <w:spacing w:before="75" w:line="401" w:lineRule="auto"/>
        <w:ind w:left="132" w:right="118" w:firstLine="480"/>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污</w:t>
      </w:r>
      <w:r>
        <w:rPr>
          <w:rFonts w:hint="default" w:ascii="Times New Roman" w:hAnsi="Times New Roman" w:eastAsia="宋体" w:cs="Times New Roman"/>
          <w:spacing w:val="14"/>
          <w:sz w:val="23"/>
          <w:szCs w:val="23"/>
          <w:highlight w:val="none"/>
        </w:rPr>
        <w:t>染</w:t>
      </w:r>
      <w:r>
        <w:rPr>
          <w:rFonts w:hint="default" w:ascii="Times New Roman" w:hAnsi="Times New Roman" w:eastAsia="宋体" w:cs="Times New Roman"/>
          <w:spacing w:val="9"/>
          <w:sz w:val="23"/>
          <w:szCs w:val="23"/>
          <w:highlight w:val="none"/>
        </w:rPr>
        <w:t>物总量控制是将某一区域作为一个完整体系， 以实现环境质量目标为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目</w:t>
      </w:r>
      <w:r>
        <w:rPr>
          <w:rFonts w:hint="default" w:ascii="Times New Roman" w:hAnsi="Times New Roman" w:eastAsia="宋体" w:cs="Times New Roman"/>
          <w:spacing w:val="13"/>
          <w:sz w:val="23"/>
          <w:szCs w:val="23"/>
          <w:highlight w:val="none"/>
        </w:rPr>
        <w:t>的，确定区域内各类污染物的允许排放量，从而保证实现环境质量目标的前</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提下，促进区域经济的健康稳定发展</w:t>
      </w:r>
      <w:r>
        <w:rPr>
          <w:rFonts w:hint="default" w:ascii="Times New Roman" w:hAnsi="Times New Roman" w:eastAsia="宋体" w:cs="Times New Roman"/>
          <w:spacing w:val="5"/>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3" w:line="396" w:lineRule="auto"/>
        <w:ind w:left="134" w:right="118" w:firstLine="479"/>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参照《建设</w:t>
      </w:r>
      <w:r>
        <w:rPr>
          <w:rFonts w:hint="default" w:ascii="Times New Roman" w:hAnsi="Times New Roman" w:eastAsia="宋体" w:cs="Times New Roman"/>
          <w:spacing w:val="6"/>
          <w:sz w:val="23"/>
          <w:szCs w:val="23"/>
          <w:highlight w:val="none"/>
        </w:rPr>
        <w:t>项</w:t>
      </w:r>
      <w:r>
        <w:rPr>
          <w:rFonts w:hint="default" w:ascii="Times New Roman" w:hAnsi="Times New Roman" w:eastAsia="宋体" w:cs="Times New Roman"/>
          <w:spacing w:val="5"/>
          <w:sz w:val="23"/>
          <w:szCs w:val="23"/>
          <w:highlight w:val="none"/>
        </w:rPr>
        <w:t>目主要污染物排放总量指标审核及管理暂行办法》的通知 (环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发</w:t>
      </w:r>
      <w:r>
        <w:rPr>
          <w:rFonts w:hint="default" w:ascii="Times New Roman" w:hAnsi="Times New Roman" w:eastAsia="Times New Roman" w:cs="Times New Roman"/>
          <w:spacing w:val="7"/>
          <w:sz w:val="23"/>
          <w:szCs w:val="23"/>
          <w:highlight w:val="none"/>
        </w:rPr>
        <w:t xml:space="preserve">[2014] 197 </w:t>
      </w:r>
      <w:r>
        <w:rPr>
          <w:rFonts w:hint="default" w:ascii="Times New Roman" w:hAnsi="Times New Roman" w:eastAsia="宋体" w:cs="Times New Roman"/>
          <w:spacing w:val="7"/>
          <w:sz w:val="23"/>
          <w:szCs w:val="23"/>
          <w:highlight w:val="none"/>
        </w:rPr>
        <w:t>号) 中其他行业依照国家或地方污染物排放标准及单位产品基准</w:t>
      </w:r>
      <w:r>
        <w:rPr>
          <w:rFonts w:hint="default" w:ascii="Times New Roman" w:hAnsi="Times New Roman" w:eastAsia="宋体" w:cs="Times New Roman"/>
          <w:spacing w:val="5"/>
          <w:sz w:val="23"/>
          <w:szCs w:val="23"/>
          <w:highlight w:val="none"/>
        </w:rPr>
        <w:t>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水</w:t>
      </w:r>
      <w:r>
        <w:rPr>
          <w:rFonts w:hint="default" w:ascii="Times New Roman" w:hAnsi="Times New Roman" w:eastAsia="宋体" w:cs="Times New Roman"/>
          <w:spacing w:val="8"/>
          <w:sz w:val="23"/>
          <w:szCs w:val="23"/>
          <w:highlight w:val="none"/>
        </w:rPr>
        <w:t>量 (行业最高允许排水量) 、废气量等予以核定。</w:t>
      </w:r>
    </w:p>
    <w:p>
      <w:pPr>
        <w:keepNext w:val="0"/>
        <w:keepLines w:val="0"/>
        <w:pageBreakBefore w:val="0"/>
        <w:widowControl/>
        <w:kinsoku w:val="0"/>
        <w:wordWrap/>
        <w:overflowPunct/>
        <w:topLinePunct w:val="0"/>
        <w:autoSpaceDE w:val="0"/>
        <w:autoSpaceDN w:val="0"/>
        <w:bidi w:val="0"/>
        <w:adjustRightInd w:val="0"/>
        <w:snapToGrid w:val="0"/>
        <w:spacing w:line="227" w:lineRule="auto"/>
        <w:ind w:left="611"/>
        <w:outlineLvl w:val="9"/>
        <w:rPr>
          <w:rFonts w:hint="default" w:ascii="Times New Roman" w:hAnsi="Times New Roman" w:eastAsia="宋体" w:cs="Times New Roman"/>
          <w:sz w:val="23"/>
          <w:szCs w:val="23"/>
          <w:highlight w:val="none"/>
        </w:rPr>
      </w:pPr>
      <w:bookmarkStart w:id="220" w:name="_Toc31332"/>
      <w:bookmarkStart w:id="221" w:name="_Toc22977"/>
      <w:bookmarkStart w:id="222" w:name="_Toc23693"/>
      <w:r>
        <w:rPr>
          <w:rFonts w:hint="eastAsia" w:ascii="Times New Roman" w:hAnsi="Times New Roman" w:eastAsia="宋体" w:cs="Times New Roman"/>
          <w:spacing w:val="7"/>
          <w:sz w:val="23"/>
          <w:szCs w:val="23"/>
          <w:highlight w:val="none"/>
          <w:lang w:eastAsia="zh-CN"/>
        </w:rPr>
        <w:t>（</w:t>
      </w:r>
      <w:r>
        <w:rPr>
          <w:rFonts w:hint="eastAsia" w:ascii="Times New Roman" w:hAnsi="Times New Roman" w:eastAsia="宋体" w:cs="Times New Roman"/>
          <w:spacing w:val="7"/>
          <w:sz w:val="23"/>
          <w:szCs w:val="23"/>
          <w:highlight w:val="none"/>
          <w:lang w:val="en-US" w:eastAsia="zh-CN"/>
        </w:rPr>
        <w:t>1</w:t>
      </w:r>
      <w:r>
        <w:rPr>
          <w:rFonts w:hint="eastAsia" w:ascii="Times New Roman" w:hAnsi="Times New Roman" w:eastAsia="宋体" w:cs="Times New Roman"/>
          <w:spacing w:val="7"/>
          <w:sz w:val="23"/>
          <w:szCs w:val="23"/>
          <w:highlight w:val="none"/>
          <w:lang w:eastAsia="zh-CN"/>
        </w:rPr>
        <w:t>）</w:t>
      </w:r>
      <w:r>
        <w:rPr>
          <w:rFonts w:hint="default" w:ascii="Times New Roman" w:hAnsi="Times New Roman" w:eastAsia="宋体" w:cs="Times New Roman"/>
          <w:spacing w:val="7"/>
          <w:sz w:val="23"/>
          <w:szCs w:val="23"/>
          <w:highlight w:val="none"/>
        </w:rPr>
        <w:t>废</w:t>
      </w:r>
      <w:r>
        <w:rPr>
          <w:rFonts w:hint="default" w:ascii="Times New Roman" w:hAnsi="Times New Roman" w:eastAsia="宋体" w:cs="Times New Roman"/>
          <w:spacing w:val="6"/>
          <w:sz w:val="23"/>
          <w:szCs w:val="23"/>
          <w:highlight w:val="none"/>
        </w:rPr>
        <w:t>气</w:t>
      </w:r>
      <w:bookmarkEnd w:id="220"/>
      <w:bookmarkEnd w:id="221"/>
      <w:bookmarkEnd w:id="222"/>
    </w:p>
    <w:p>
      <w:pPr>
        <w:keepNext w:val="0"/>
        <w:keepLines w:val="0"/>
        <w:pageBreakBefore w:val="0"/>
        <w:widowControl/>
        <w:kinsoku w:val="0"/>
        <w:wordWrap/>
        <w:overflowPunct/>
        <w:topLinePunct w:val="0"/>
        <w:autoSpaceDE w:val="0"/>
        <w:autoSpaceDN w:val="0"/>
        <w:bidi w:val="0"/>
        <w:adjustRightInd w:val="0"/>
        <w:snapToGrid w:val="0"/>
        <w:spacing w:line="460" w:lineRule="exact"/>
        <w:ind w:left="130" w:right="113" w:firstLine="482"/>
        <w:textAlignment w:val="baseline"/>
        <w:outlineLvl w:val="9"/>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21"/>
          <w:sz w:val="23"/>
          <w:szCs w:val="23"/>
          <w:highlight w:val="none"/>
        </w:rPr>
        <w:t>本</w:t>
      </w:r>
      <w:r>
        <w:rPr>
          <w:rFonts w:hint="default" w:ascii="Times New Roman" w:hAnsi="Times New Roman" w:eastAsia="宋体" w:cs="Times New Roman"/>
          <w:spacing w:val="13"/>
          <w:sz w:val="23"/>
          <w:szCs w:val="23"/>
          <w:highlight w:val="none"/>
        </w:rPr>
        <w:t>项目生产车间不供暖，办公室、宿舍等辅助设施，采用空调取暖，不涉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及</w:t>
      </w:r>
      <w:r>
        <w:rPr>
          <w:rFonts w:hint="default" w:ascii="Times New Roman" w:hAnsi="Times New Roman" w:eastAsia="宋体" w:cs="Times New Roman"/>
          <w:spacing w:val="11"/>
          <w:sz w:val="23"/>
          <w:szCs w:val="23"/>
          <w:highlight w:val="none"/>
        </w:rPr>
        <w:t xml:space="preserve"> </w:t>
      </w:r>
      <w:r>
        <w:rPr>
          <w:rFonts w:hint="default" w:ascii="Times New Roman" w:hAnsi="Times New Roman" w:eastAsia="宋体" w:cs="Times New Roman"/>
          <w:sz w:val="23"/>
          <w:szCs w:val="23"/>
          <w:highlight w:val="none"/>
        </w:rPr>
        <w:t>SO</w:t>
      </w:r>
      <w:r>
        <w:rPr>
          <w:rFonts w:hint="default" w:ascii="Times New Roman" w:hAnsi="Times New Roman" w:eastAsia="宋体" w:cs="Times New Roman"/>
          <w:spacing w:val="7"/>
          <w:position w:val="-1"/>
          <w:sz w:val="23"/>
          <w:szCs w:val="23"/>
          <w:highlight w:val="none"/>
          <w:vertAlign w:val="subscript"/>
        </w:rPr>
        <w:t>2</w:t>
      </w:r>
      <w:r>
        <w:rPr>
          <w:rFonts w:hint="default" w:ascii="Times New Roman" w:hAnsi="Times New Roman" w:eastAsia="宋体" w:cs="Times New Roman"/>
          <w:spacing w:val="7"/>
          <w:position w:val="-1"/>
          <w:sz w:val="23"/>
          <w:szCs w:val="23"/>
          <w:highlight w:val="none"/>
        </w:rPr>
        <w:t xml:space="preserve"> </w:t>
      </w:r>
      <w:r>
        <w:rPr>
          <w:rFonts w:hint="default" w:ascii="Times New Roman" w:hAnsi="Times New Roman" w:eastAsia="宋体" w:cs="Times New Roman"/>
          <w:spacing w:val="7"/>
          <w:sz w:val="23"/>
          <w:szCs w:val="23"/>
          <w:highlight w:val="none"/>
        </w:rPr>
        <w:t xml:space="preserve">及 </w:t>
      </w:r>
      <w:r>
        <w:rPr>
          <w:rFonts w:hint="default" w:ascii="Times New Roman" w:hAnsi="Times New Roman" w:eastAsia="宋体" w:cs="Times New Roman"/>
          <w:sz w:val="23"/>
          <w:szCs w:val="23"/>
          <w:highlight w:val="none"/>
        </w:rPr>
        <w:t>NO</w:t>
      </w:r>
      <w:r>
        <w:rPr>
          <w:rFonts w:hint="default" w:ascii="Times New Roman" w:hAnsi="Times New Roman" w:eastAsia="宋体" w:cs="Times New Roman"/>
          <w:position w:val="-1"/>
          <w:sz w:val="23"/>
          <w:szCs w:val="23"/>
          <w:highlight w:val="none"/>
          <w:vertAlign w:val="subscript"/>
        </w:rPr>
        <w:t>X</w:t>
      </w:r>
      <w:r>
        <w:rPr>
          <w:rFonts w:hint="default" w:ascii="Times New Roman" w:hAnsi="Times New Roman" w:eastAsia="宋体" w:cs="Times New Roman"/>
          <w:spacing w:val="7"/>
          <w:position w:val="-1"/>
          <w:sz w:val="23"/>
          <w:szCs w:val="23"/>
          <w:highlight w:val="none"/>
        </w:rPr>
        <w:t xml:space="preserve"> </w:t>
      </w:r>
      <w:r>
        <w:rPr>
          <w:rFonts w:hint="default" w:ascii="Times New Roman" w:hAnsi="Times New Roman" w:eastAsia="宋体" w:cs="Times New Roman"/>
          <w:spacing w:val="7"/>
          <w:sz w:val="23"/>
          <w:szCs w:val="23"/>
          <w:highlight w:val="none"/>
        </w:rPr>
        <w:t>排放，本项目破碎工序、筛分工序及物料堆存、转运等过程产生的</w:t>
      </w:r>
      <w:r>
        <w:rPr>
          <w:rFonts w:hint="eastAsia" w:ascii="Times New Roman" w:hAnsi="Times New Roman" w:eastAsia="宋体" w:cs="Times New Roman"/>
          <w:spacing w:val="7"/>
          <w:sz w:val="23"/>
          <w:szCs w:val="23"/>
          <w:highlight w:val="none"/>
          <w:lang w:val="en-US" w:eastAsia="zh-CN"/>
        </w:rPr>
        <w:t>含尘</w:t>
      </w:r>
      <w:r>
        <w:rPr>
          <w:rFonts w:hint="default" w:ascii="Times New Roman" w:hAnsi="Times New Roman" w:eastAsia="宋体" w:cs="Times New Roman"/>
          <w:spacing w:val="7"/>
          <w:sz w:val="23"/>
          <w:szCs w:val="23"/>
          <w:highlight w:val="none"/>
        </w:rPr>
        <w:t>废气</w:t>
      </w:r>
      <w:r>
        <w:rPr>
          <w:rFonts w:hint="default" w:ascii="Times New Roman" w:hAnsi="Times New Roman" w:eastAsia="宋体" w:cs="Times New Roman"/>
          <w:spacing w:val="3"/>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both"/>
        <w:textAlignment w:val="baseline"/>
        <w:outlineLvl w:val="9"/>
        <w:rPr>
          <w:rFonts w:hint="default" w:ascii="Times New Roman" w:hAnsi="Times New Roman" w:eastAsia="宋体" w:cs="Times New Roman"/>
          <w:bCs/>
          <w:sz w:val="23"/>
          <w:szCs w:val="23"/>
          <w:highlight w:val="none"/>
        </w:rPr>
      </w:pPr>
      <w:r>
        <w:rPr>
          <w:rFonts w:hint="default" w:ascii="Times New Roman" w:hAnsi="Times New Roman" w:eastAsia="宋体" w:cs="Times New Roman"/>
          <w:bCs/>
          <w:sz w:val="23"/>
          <w:szCs w:val="23"/>
          <w:highlight w:val="none"/>
        </w:rPr>
        <w:t>根据《建设项目主要污染物排放总量指标审核及管理暂行办法》的相关要求，总量核算以污染物排放标准中的排放浓度限值为基准，计算总量指标。计算结果和计算依据如下：</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both"/>
        <w:textAlignment w:val="baseline"/>
        <w:outlineLvl w:val="9"/>
        <w:rPr>
          <w:rFonts w:hint="default" w:ascii="Times New Roman" w:hAnsi="Times New Roman" w:eastAsia="宋体" w:cs="Times New Roman"/>
          <w:bCs/>
          <w:sz w:val="23"/>
          <w:szCs w:val="23"/>
          <w:highlight w:val="none"/>
        </w:rPr>
      </w:pPr>
      <w:bookmarkStart w:id="223" w:name="_Toc9202"/>
      <w:bookmarkStart w:id="224" w:name="_Toc23238"/>
      <w:bookmarkStart w:id="225" w:name="_Toc10321"/>
      <w:r>
        <w:rPr>
          <w:rFonts w:hint="default" w:ascii="Times New Roman" w:hAnsi="Times New Roman" w:eastAsia="宋体" w:cs="Times New Roman"/>
          <w:bCs/>
          <w:sz w:val="23"/>
          <w:szCs w:val="23"/>
          <w:highlight w:val="none"/>
        </w:rPr>
        <w:t>（1）计算依据</w:t>
      </w:r>
      <w:bookmarkEnd w:id="223"/>
      <w:bookmarkEnd w:id="224"/>
      <w:bookmarkEnd w:id="225"/>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both"/>
        <w:textAlignment w:val="baseline"/>
        <w:outlineLvl w:val="9"/>
        <w:rPr>
          <w:rFonts w:hint="default" w:ascii="Times New Roman" w:hAnsi="Times New Roman" w:eastAsia="宋体" w:cs="Times New Roman"/>
          <w:bCs/>
          <w:sz w:val="23"/>
          <w:szCs w:val="23"/>
          <w:highlight w:val="none"/>
        </w:rPr>
      </w:pPr>
      <w:r>
        <w:rPr>
          <w:rFonts w:hint="default" w:ascii="Times New Roman" w:hAnsi="Times New Roman" w:eastAsia="宋体" w:cs="Times New Roman"/>
          <w:bCs/>
          <w:sz w:val="23"/>
          <w:szCs w:val="23"/>
          <w:highlight w:val="none"/>
        </w:rPr>
        <w:t>颗粒物排放标准执行《铁矿采选工业污染物排放标准》（GB28661-2012）表6中的标准限值：10mg/m</w:t>
      </w:r>
      <w:r>
        <w:rPr>
          <w:rFonts w:hint="default" w:ascii="Times New Roman" w:hAnsi="Times New Roman" w:eastAsia="宋体" w:cs="Times New Roman"/>
          <w:bCs/>
          <w:sz w:val="23"/>
          <w:szCs w:val="23"/>
          <w:highlight w:val="none"/>
          <w:vertAlign w:val="superscript"/>
        </w:rPr>
        <w:t>3</w:t>
      </w:r>
      <w:r>
        <w:rPr>
          <w:rFonts w:hint="default" w:ascii="Times New Roman" w:hAnsi="Times New Roman" w:eastAsia="宋体" w:cs="Times New Roman"/>
          <w:bCs/>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both"/>
        <w:textAlignment w:val="baseline"/>
        <w:outlineLvl w:val="9"/>
        <w:rPr>
          <w:rFonts w:hint="default" w:ascii="Times New Roman" w:hAnsi="Times New Roman" w:eastAsia="宋体" w:cs="Times New Roman"/>
          <w:bCs/>
          <w:sz w:val="23"/>
          <w:szCs w:val="23"/>
          <w:highlight w:val="none"/>
        </w:rPr>
      </w:pPr>
      <w:bookmarkStart w:id="226" w:name="_Toc14462"/>
      <w:bookmarkStart w:id="227" w:name="_Toc10768"/>
      <w:bookmarkStart w:id="228" w:name="_Toc25421"/>
      <w:r>
        <w:rPr>
          <w:rFonts w:hint="default" w:ascii="Times New Roman" w:hAnsi="Times New Roman" w:eastAsia="宋体" w:cs="Times New Roman"/>
          <w:bCs/>
          <w:sz w:val="23"/>
          <w:szCs w:val="23"/>
          <w:highlight w:val="none"/>
        </w:rPr>
        <w:t>（2）计算过程</w:t>
      </w:r>
      <w:bookmarkEnd w:id="226"/>
      <w:bookmarkEnd w:id="227"/>
      <w:bookmarkEnd w:id="228"/>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both"/>
        <w:textAlignment w:val="baseline"/>
        <w:outlineLvl w:val="9"/>
        <w:rPr>
          <w:rFonts w:hint="default" w:ascii="Times New Roman" w:hAnsi="Times New Roman" w:eastAsia="宋体" w:cs="Times New Roman"/>
          <w:bCs/>
          <w:sz w:val="23"/>
          <w:szCs w:val="23"/>
          <w:highlight w:val="none"/>
        </w:rPr>
      </w:pPr>
      <w:r>
        <w:rPr>
          <w:rFonts w:hint="eastAsia" w:ascii="Times New Roman" w:hAnsi="Times New Roman" w:eastAsia="宋体" w:cs="Times New Roman"/>
          <w:bCs/>
          <w:sz w:val="23"/>
          <w:szCs w:val="23"/>
          <w:highlight w:val="none"/>
          <w:lang w:val="en-US" w:eastAsia="zh-CN"/>
        </w:rPr>
        <w:t>7#</w:t>
      </w:r>
      <w:r>
        <w:rPr>
          <w:rFonts w:hint="default" w:ascii="Times New Roman" w:hAnsi="Times New Roman" w:eastAsia="宋体" w:cs="Times New Roman"/>
          <w:bCs/>
          <w:sz w:val="23"/>
          <w:szCs w:val="23"/>
          <w:highlight w:val="none"/>
        </w:rPr>
        <w:t>生产线颗粒物排放量=10mg/m</w:t>
      </w:r>
      <w:r>
        <w:rPr>
          <w:rFonts w:hint="default" w:ascii="Times New Roman" w:hAnsi="Times New Roman" w:eastAsia="宋体" w:cs="Times New Roman"/>
          <w:bCs/>
          <w:sz w:val="23"/>
          <w:szCs w:val="23"/>
          <w:highlight w:val="none"/>
          <w:vertAlign w:val="superscript"/>
        </w:rPr>
        <w:t>3</w:t>
      </w:r>
      <w:r>
        <w:rPr>
          <w:rFonts w:hint="default" w:ascii="Times New Roman" w:hAnsi="Times New Roman" w:eastAsia="宋体" w:cs="Times New Roman"/>
          <w:bCs/>
          <w:sz w:val="23"/>
          <w:szCs w:val="23"/>
          <w:highlight w:val="none"/>
        </w:rPr>
        <w:t>×40000m</w:t>
      </w:r>
      <w:r>
        <w:rPr>
          <w:rFonts w:hint="default" w:ascii="Times New Roman" w:hAnsi="Times New Roman" w:eastAsia="宋体" w:cs="Times New Roman"/>
          <w:bCs/>
          <w:sz w:val="23"/>
          <w:szCs w:val="23"/>
          <w:highlight w:val="none"/>
          <w:vertAlign w:val="superscript"/>
        </w:rPr>
        <w:t>3</w:t>
      </w:r>
      <w:r>
        <w:rPr>
          <w:rFonts w:hint="default" w:ascii="Times New Roman" w:hAnsi="Times New Roman" w:eastAsia="宋体" w:cs="Times New Roman"/>
          <w:bCs/>
          <w:sz w:val="23"/>
          <w:szCs w:val="23"/>
          <w:highlight w:val="none"/>
        </w:rPr>
        <w:t>/h×</w:t>
      </w:r>
      <w:r>
        <w:rPr>
          <w:rFonts w:hint="eastAsia" w:ascii="Times New Roman" w:hAnsi="Times New Roman" w:eastAsia="宋体" w:cs="Times New Roman"/>
          <w:bCs/>
          <w:sz w:val="23"/>
          <w:szCs w:val="23"/>
          <w:highlight w:val="none"/>
          <w:lang w:val="en-US" w:eastAsia="zh-CN"/>
        </w:rPr>
        <w:t>20</w:t>
      </w:r>
      <w:r>
        <w:rPr>
          <w:rFonts w:hint="default" w:ascii="Times New Roman" w:hAnsi="Times New Roman" w:eastAsia="宋体" w:cs="Times New Roman"/>
          <w:bCs/>
          <w:sz w:val="23"/>
          <w:szCs w:val="23"/>
          <w:highlight w:val="none"/>
        </w:rPr>
        <w:t>00h×10</w:t>
      </w:r>
      <w:r>
        <w:rPr>
          <w:rFonts w:hint="default" w:ascii="Times New Roman" w:hAnsi="Times New Roman" w:eastAsia="宋体" w:cs="Times New Roman"/>
          <w:bCs/>
          <w:sz w:val="23"/>
          <w:szCs w:val="23"/>
          <w:highlight w:val="none"/>
          <w:vertAlign w:val="superscript"/>
        </w:rPr>
        <w:t>-9</w:t>
      </w:r>
      <w:r>
        <w:rPr>
          <w:rFonts w:hint="default" w:ascii="Times New Roman" w:hAnsi="Times New Roman" w:eastAsia="宋体" w:cs="Times New Roman"/>
          <w:bCs/>
          <w:sz w:val="23"/>
          <w:szCs w:val="23"/>
          <w:highlight w:val="none"/>
        </w:rPr>
        <w:t>mg/t =</w:t>
      </w:r>
      <w:r>
        <w:rPr>
          <w:rFonts w:hint="eastAsia" w:ascii="Times New Roman" w:hAnsi="Times New Roman" w:eastAsia="宋体" w:cs="Times New Roman"/>
          <w:bCs/>
          <w:sz w:val="23"/>
          <w:szCs w:val="23"/>
          <w:highlight w:val="none"/>
          <w:lang w:val="en-US" w:eastAsia="zh-CN"/>
        </w:rPr>
        <w:t>0.8</w:t>
      </w:r>
      <w:r>
        <w:rPr>
          <w:rFonts w:hint="default" w:ascii="Times New Roman" w:hAnsi="Times New Roman" w:eastAsia="宋体" w:cs="Times New Roman"/>
          <w:bCs/>
          <w:sz w:val="23"/>
          <w:szCs w:val="23"/>
          <w:highlight w:val="none"/>
        </w:rPr>
        <w:t>t/a</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both"/>
        <w:textAlignment w:val="baseline"/>
        <w:outlineLvl w:val="9"/>
        <w:rPr>
          <w:rFonts w:hint="default" w:ascii="Times New Roman" w:hAnsi="Times New Roman" w:eastAsia="宋体" w:cs="Times New Roman"/>
          <w:bCs/>
          <w:sz w:val="23"/>
          <w:szCs w:val="23"/>
          <w:highlight w:val="none"/>
        </w:rPr>
      </w:pPr>
      <w:r>
        <w:rPr>
          <w:rFonts w:hint="default" w:ascii="Times New Roman" w:hAnsi="Times New Roman" w:eastAsia="宋体" w:cs="Times New Roman"/>
          <w:bCs/>
          <w:sz w:val="23"/>
          <w:szCs w:val="23"/>
          <w:highlight w:val="none"/>
          <w:lang w:val="en-US" w:eastAsia="zh-CN"/>
        </w:rPr>
        <w:t>本</w:t>
      </w:r>
      <w:r>
        <w:rPr>
          <w:rFonts w:hint="default" w:ascii="Times New Roman" w:hAnsi="Times New Roman" w:eastAsia="宋体" w:cs="Times New Roman"/>
          <w:bCs/>
          <w:sz w:val="23"/>
          <w:szCs w:val="23"/>
          <w:highlight w:val="none"/>
        </w:rPr>
        <w:t>项目总量控制指标见表3.</w:t>
      </w:r>
      <w:r>
        <w:rPr>
          <w:rFonts w:hint="eastAsia" w:ascii="Times New Roman" w:hAnsi="Times New Roman" w:eastAsia="宋体" w:cs="Times New Roman"/>
          <w:bCs/>
          <w:sz w:val="23"/>
          <w:szCs w:val="23"/>
          <w:highlight w:val="none"/>
          <w:lang w:val="en-US" w:eastAsia="zh-CN"/>
        </w:rPr>
        <w:t>5</w:t>
      </w:r>
      <w:r>
        <w:rPr>
          <w:rFonts w:hint="default" w:ascii="Times New Roman" w:hAnsi="Times New Roman" w:eastAsia="宋体" w:cs="Times New Roman"/>
          <w:bCs/>
          <w:sz w:val="23"/>
          <w:szCs w:val="23"/>
          <w:highlight w:val="none"/>
        </w:rPr>
        <w:t>-</w:t>
      </w:r>
      <w:r>
        <w:rPr>
          <w:rFonts w:hint="eastAsia" w:ascii="Times New Roman" w:hAnsi="Times New Roman" w:eastAsia="宋体" w:cs="Times New Roman"/>
          <w:bCs/>
          <w:sz w:val="23"/>
          <w:szCs w:val="23"/>
          <w:highlight w:val="none"/>
          <w:lang w:val="en-US" w:eastAsia="zh-CN"/>
        </w:rPr>
        <w:t>1</w:t>
      </w:r>
      <w:r>
        <w:rPr>
          <w:rFonts w:hint="default" w:ascii="Times New Roman" w:hAnsi="Times New Roman" w:eastAsia="宋体" w:cs="Times New Roman"/>
          <w:bCs/>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auto"/>
        <w:outlineLvl w:val="9"/>
        <w:rPr>
          <w:rFonts w:eastAsia="黑体"/>
          <w:b/>
          <w:bCs/>
          <w:kern w:val="2"/>
          <w:sz w:val="23"/>
          <w:szCs w:val="23"/>
          <w:highlight w:val="none"/>
        </w:rPr>
      </w:pPr>
      <w:bookmarkStart w:id="229" w:name="_Ref9208098"/>
      <w:r>
        <w:rPr>
          <w:rFonts w:hint="eastAsia" w:eastAsia="黑体"/>
          <w:b/>
          <w:bCs/>
          <w:kern w:val="2"/>
          <w:sz w:val="23"/>
          <w:szCs w:val="23"/>
          <w:highlight w:val="none"/>
        </w:rPr>
        <w:t>表3.</w:t>
      </w:r>
      <w:r>
        <w:rPr>
          <w:rFonts w:hint="eastAsia" w:eastAsia="黑体"/>
          <w:b/>
          <w:bCs/>
          <w:kern w:val="2"/>
          <w:sz w:val="23"/>
          <w:szCs w:val="23"/>
          <w:highlight w:val="none"/>
          <w:lang w:val="en-US" w:eastAsia="zh-CN"/>
        </w:rPr>
        <w:t>5</w:t>
      </w:r>
      <w:r>
        <w:rPr>
          <w:rFonts w:hint="eastAsia" w:eastAsia="黑体"/>
          <w:b/>
          <w:bCs/>
          <w:kern w:val="2"/>
          <w:sz w:val="23"/>
          <w:szCs w:val="23"/>
          <w:highlight w:val="none"/>
        </w:rPr>
        <w:t>-</w:t>
      </w:r>
      <w:r>
        <w:rPr>
          <w:rFonts w:hint="eastAsia" w:eastAsia="黑体"/>
          <w:b/>
          <w:bCs/>
          <w:kern w:val="2"/>
          <w:sz w:val="23"/>
          <w:szCs w:val="23"/>
          <w:highlight w:val="none"/>
          <w:lang w:val="en-US" w:eastAsia="zh-CN"/>
        </w:rPr>
        <w:t>1</w:t>
      </w:r>
      <w:r>
        <w:rPr>
          <w:rFonts w:hint="eastAsia" w:eastAsia="黑体"/>
          <w:b/>
          <w:bCs/>
          <w:kern w:val="2"/>
          <w:sz w:val="23"/>
          <w:szCs w:val="23"/>
          <w:highlight w:val="none"/>
        </w:rPr>
        <w:t xml:space="preserve"> </w:t>
      </w:r>
      <w:bookmarkEnd w:id="229"/>
      <w:r>
        <w:rPr>
          <w:rFonts w:eastAsia="黑体"/>
          <w:b/>
          <w:bCs/>
          <w:kern w:val="2"/>
          <w:sz w:val="23"/>
          <w:szCs w:val="23"/>
          <w:highlight w:val="none"/>
        </w:rPr>
        <w:t xml:space="preserve">  </w:t>
      </w:r>
      <w:r>
        <w:rPr>
          <w:rFonts w:hint="eastAsia" w:eastAsia="黑体"/>
          <w:b/>
          <w:bCs/>
          <w:kern w:val="2"/>
          <w:sz w:val="23"/>
          <w:szCs w:val="23"/>
          <w:highlight w:val="none"/>
          <w:lang w:val="en-US" w:eastAsia="zh-CN"/>
        </w:rPr>
        <w:t>改扩建</w:t>
      </w:r>
      <w:r>
        <w:rPr>
          <w:rFonts w:hint="eastAsia" w:eastAsia="黑体"/>
          <w:b/>
          <w:bCs/>
          <w:kern w:val="2"/>
          <w:sz w:val="23"/>
          <w:szCs w:val="23"/>
          <w:highlight w:val="none"/>
        </w:rPr>
        <w:t>项目总量控制指表 单位 t/a</w:t>
      </w:r>
    </w:p>
    <w:tbl>
      <w:tblPr>
        <w:tblStyle w:val="15"/>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744"/>
        <w:gridCol w:w="1744"/>
        <w:gridCol w:w="1397"/>
        <w:gridCol w:w="992"/>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项目</w:t>
            </w:r>
          </w:p>
        </w:tc>
        <w:tc>
          <w:tcPr>
            <w:tcW w:w="3488" w:type="dxa"/>
            <w:gridSpan w:val="2"/>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废水污染物</w:t>
            </w:r>
          </w:p>
        </w:tc>
        <w:tc>
          <w:tcPr>
            <w:tcW w:w="3489" w:type="dxa"/>
            <w:gridSpan w:val="3"/>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vMerge w:val="restart"/>
            <w:shd w:val="clear" w:color="auto" w:fill="auto"/>
            <w:vAlign w:val="center"/>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总量控制指标</w:t>
            </w:r>
          </w:p>
        </w:tc>
        <w:tc>
          <w:tcPr>
            <w:tcW w:w="1744" w:type="dxa"/>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COD</w:t>
            </w:r>
          </w:p>
        </w:tc>
        <w:tc>
          <w:tcPr>
            <w:tcW w:w="1744" w:type="dxa"/>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氨氮</w:t>
            </w:r>
          </w:p>
        </w:tc>
        <w:tc>
          <w:tcPr>
            <w:tcW w:w="1397" w:type="dxa"/>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SO</w:t>
            </w:r>
            <w:r>
              <w:rPr>
                <w:rFonts w:hint="default" w:ascii="Times New Roman" w:hAnsi="Times New Roman" w:eastAsia="宋体" w:cs="Times New Roman"/>
                <w:sz w:val="21"/>
                <w:szCs w:val="21"/>
                <w:highlight w:val="none"/>
                <w:vertAlign w:val="subscript"/>
                <w:lang w:bidi="zh-CN"/>
              </w:rPr>
              <w:t>2</w:t>
            </w:r>
          </w:p>
        </w:tc>
        <w:tc>
          <w:tcPr>
            <w:tcW w:w="992" w:type="dxa"/>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NOx</w:t>
            </w:r>
          </w:p>
        </w:tc>
        <w:tc>
          <w:tcPr>
            <w:tcW w:w="1100" w:type="dxa"/>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vMerge w:val="continue"/>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p>
        </w:tc>
        <w:tc>
          <w:tcPr>
            <w:tcW w:w="1744" w:type="dxa"/>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0</w:t>
            </w:r>
          </w:p>
        </w:tc>
        <w:tc>
          <w:tcPr>
            <w:tcW w:w="1744" w:type="dxa"/>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0</w:t>
            </w:r>
          </w:p>
        </w:tc>
        <w:tc>
          <w:tcPr>
            <w:tcW w:w="1397" w:type="dxa"/>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0</w:t>
            </w:r>
          </w:p>
        </w:tc>
        <w:tc>
          <w:tcPr>
            <w:tcW w:w="992" w:type="dxa"/>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bidi="zh-CN"/>
              </w:rPr>
            </w:pPr>
            <w:r>
              <w:rPr>
                <w:rFonts w:hint="default" w:ascii="Times New Roman" w:hAnsi="Times New Roman" w:eastAsia="宋体" w:cs="Times New Roman"/>
                <w:sz w:val="21"/>
                <w:szCs w:val="21"/>
                <w:highlight w:val="none"/>
                <w:lang w:bidi="zh-CN"/>
              </w:rPr>
              <w:t>0</w:t>
            </w:r>
          </w:p>
        </w:tc>
        <w:tc>
          <w:tcPr>
            <w:tcW w:w="1100" w:type="dxa"/>
            <w:shd w:val="clear" w:color="auto" w:fill="auto"/>
          </w:tcPr>
          <w:p>
            <w:pPr>
              <w:pStyle w:val="21"/>
              <w:keepNext w:val="0"/>
              <w:keepLines w:val="0"/>
              <w:pageBreakBefore w:val="0"/>
              <w:widowControl/>
              <w:kinsoku w:val="0"/>
              <w:wordWrap/>
              <w:overflowPunct/>
              <w:topLinePunct w:val="0"/>
              <w:autoSpaceDE w:val="0"/>
              <w:autoSpaceDN w:val="0"/>
              <w:bidi w:val="0"/>
              <w:adjustRightInd w:val="0"/>
              <w:snapToGrid w:val="0"/>
              <w:spacing w:line="240" w:lineRule="auto"/>
              <w:outlineLvl w:val="9"/>
              <w:rPr>
                <w:rFonts w:hint="default" w:ascii="Times New Roman" w:hAnsi="Times New Roman" w:eastAsia="宋体" w:cs="Times New Roman"/>
                <w:sz w:val="21"/>
                <w:szCs w:val="21"/>
                <w:highlight w:val="none"/>
                <w:lang w:val="en-US" w:bidi="zh-CN"/>
              </w:rPr>
            </w:pPr>
            <w:r>
              <w:rPr>
                <w:rFonts w:hint="eastAsia" w:ascii="Times New Roman" w:hAnsi="Times New Roman" w:eastAsia="宋体" w:cs="Times New Roman"/>
                <w:sz w:val="21"/>
                <w:szCs w:val="21"/>
                <w:highlight w:val="none"/>
                <w:lang w:val="en-US" w:bidi="zh-CN"/>
              </w:rPr>
              <w:t>0.8</w:t>
            </w:r>
          </w:p>
        </w:tc>
      </w:tr>
    </w:tbl>
    <w:p>
      <w:pPr>
        <w:keepNext w:val="0"/>
        <w:keepLines w:val="0"/>
        <w:pageBreakBefore w:val="0"/>
        <w:widowControl/>
        <w:kinsoku w:val="0"/>
        <w:wordWrap/>
        <w:overflowPunct/>
        <w:topLinePunct w:val="0"/>
        <w:autoSpaceDE w:val="0"/>
        <w:autoSpaceDN w:val="0"/>
        <w:bidi w:val="0"/>
        <w:adjustRightInd w:val="0"/>
        <w:snapToGrid w:val="0"/>
        <w:spacing w:before="0" w:beforeLines="50" w:line="228" w:lineRule="auto"/>
        <w:ind w:left="612"/>
        <w:textAlignment w:val="baseline"/>
        <w:outlineLvl w:val="9"/>
        <w:rPr>
          <w:rFonts w:hint="default" w:ascii="Times New Roman" w:hAnsi="Times New Roman" w:eastAsia="宋体" w:cs="Times New Roman"/>
          <w:sz w:val="23"/>
          <w:szCs w:val="23"/>
          <w:highlight w:val="none"/>
        </w:rPr>
      </w:pPr>
      <w:bookmarkStart w:id="230" w:name="_Toc12363"/>
      <w:bookmarkStart w:id="231" w:name="_Toc26607"/>
      <w:bookmarkStart w:id="232" w:name="_Toc25905"/>
      <w:r>
        <w:rPr>
          <w:rFonts w:hint="eastAsia" w:ascii="Times New Roman" w:hAnsi="Times New Roman" w:eastAsia="宋体" w:cs="Times New Roman"/>
          <w:spacing w:val="7"/>
          <w:sz w:val="23"/>
          <w:szCs w:val="23"/>
          <w:highlight w:val="none"/>
          <w:lang w:eastAsia="zh-CN"/>
        </w:rPr>
        <w:t>（</w:t>
      </w:r>
      <w:r>
        <w:rPr>
          <w:rFonts w:hint="eastAsia" w:ascii="Times New Roman" w:hAnsi="Times New Roman" w:eastAsia="宋体" w:cs="Times New Roman"/>
          <w:spacing w:val="7"/>
          <w:sz w:val="23"/>
          <w:szCs w:val="23"/>
          <w:highlight w:val="none"/>
          <w:lang w:val="en-US" w:eastAsia="zh-CN"/>
        </w:rPr>
        <w:t>2</w:t>
      </w:r>
      <w:r>
        <w:rPr>
          <w:rFonts w:hint="eastAsia" w:ascii="Times New Roman" w:hAnsi="Times New Roman" w:eastAsia="宋体" w:cs="Times New Roman"/>
          <w:spacing w:val="7"/>
          <w:sz w:val="23"/>
          <w:szCs w:val="23"/>
          <w:highlight w:val="none"/>
          <w:lang w:eastAsia="zh-CN"/>
        </w:rPr>
        <w:t>）</w:t>
      </w:r>
      <w:r>
        <w:rPr>
          <w:rFonts w:hint="default" w:ascii="Times New Roman" w:hAnsi="Times New Roman" w:eastAsia="宋体" w:cs="Times New Roman"/>
          <w:spacing w:val="7"/>
          <w:sz w:val="23"/>
          <w:szCs w:val="23"/>
          <w:highlight w:val="none"/>
        </w:rPr>
        <w:t>废</w:t>
      </w:r>
      <w:r>
        <w:rPr>
          <w:rFonts w:hint="default" w:ascii="Times New Roman" w:hAnsi="Times New Roman" w:eastAsia="宋体" w:cs="Times New Roman"/>
          <w:spacing w:val="6"/>
          <w:sz w:val="23"/>
          <w:szCs w:val="23"/>
          <w:highlight w:val="none"/>
        </w:rPr>
        <w:t>水</w:t>
      </w:r>
      <w:bookmarkEnd w:id="230"/>
      <w:bookmarkEnd w:id="231"/>
      <w:bookmarkEnd w:id="232"/>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532" w:firstLineChars="200"/>
        <w:jc w:val="both"/>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项</w:t>
      </w:r>
      <w:r>
        <w:rPr>
          <w:rFonts w:hint="default" w:ascii="Times New Roman" w:hAnsi="Times New Roman" w:eastAsia="宋体" w:cs="Times New Roman"/>
          <w:spacing w:val="13"/>
          <w:sz w:val="23"/>
          <w:szCs w:val="23"/>
          <w:highlight w:val="none"/>
        </w:rPr>
        <w:t>目无生产废水外排。厂区生活污水通过管道排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入</w:t>
      </w:r>
      <w:r>
        <w:rPr>
          <w:rFonts w:hint="default" w:ascii="Times New Roman" w:hAnsi="Times New Roman" w:eastAsia="宋体" w:cs="Times New Roman"/>
          <w:spacing w:val="16"/>
          <w:sz w:val="23"/>
          <w:szCs w:val="23"/>
          <w:highlight w:val="none"/>
        </w:rPr>
        <w:t>遵</w:t>
      </w:r>
      <w:r>
        <w:rPr>
          <w:rFonts w:hint="default" w:ascii="Times New Roman" w:hAnsi="Times New Roman" w:eastAsia="宋体" w:cs="Times New Roman"/>
          <w:spacing w:val="9"/>
          <w:sz w:val="23"/>
          <w:szCs w:val="23"/>
          <w:highlight w:val="none"/>
        </w:rPr>
        <w:t>化市势竹矿业有限公司防渗化粪池， 由环卫部门定期清掏，不外排，不涉</w:t>
      </w:r>
      <w:r>
        <w:rPr>
          <w:rFonts w:hint="default" w:ascii="Times New Roman" w:hAnsi="Times New Roman" w:eastAsia="宋体" w:cs="Times New Roman"/>
          <w:spacing w:val="3"/>
          <w:sz w:val="23"/>
          <w:szCs w:val="23"/>
          <w:highlight w:val="none"/>
        </w:rPr>
        <w:t xml:space="preserve">及 </w:t>
      </w:r>
      <w:r>
        <w:rPr>
          <w:rFonts w:hint="default" w:ascii="Times New Roman" w:hAnsi="Times New Roman" w:eastAsia="Times New Roman" w:cs="Times New Roman"/>
          <w:sz w:val="23"/>
          <w:szCs w:val="23"/>
          <w:highlight w:val="none"/>
        </w:rPr>
        <w:t>COD</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及氨氮的排放</w:t>
      </w:r>
      <w:r>
        <w:rPr>
          <w:rFonts w:hint="default" w:ascii="Times New Roman" w:hAnsi="Times New Roman" w:eastAsia="宋体" w:cs="Times New Roman"/>
          <w:spacing w:val="2"/>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25" w:right="93" w:firstLine="492" w:firstLineChars="200"/>
        <w:jc w:val="both"/>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因此，本项</w:t>
      </w:r>
      <w:r>
        <w:rPr>
          <w:rFonts w:hint="default" w:ascii="Times New Roman" w:hAnsi="Times New Roman" w:eastAsia="宋体" w:cs="Times New Roman"/>
          <w:spacing w:val="7"/>
          <w:sz w:val="23"/>
          <w:szCs w:val="23"/>
          <w:highlight w:val="none"/>
        </w:rPr>
        <w:t>目</w:t>
      </w:r>
      <w:r>
        <w:rPr>
          <w:rFonts w:hint="default" w:ascii="Times New Roman" w:hAnsi="Times New Roman" w:eastAsia="宋体" w:cs="Times New Roman"/>
          <w:spacing w:val="4"/>
          <w:sz w:val="23"/>
          <w:szCs w:val="23"/>
          <w:highlight w:val="none"/>
        </w:rPr>
        <w:t>建议总量控制指标为：</w:t>
      </w:r>
      <w:r>
        <w:rPr>
          <w:rFonts w:hint="default" w:ascii="Times New Roman" w:hAnsi="Times New Roman" w:eastAsia="Times New Roman" w:cs="Times New Roman"/>
          <w:sz w:val="23"/>
          <w:szCs w:val="23"/>
          <w:highlight w:val="none"/>
        </w:rPr>
        <w:t>SO</w:t>
      </w:r>
      <w:r>
        <w:rPr>
          <w:rFonts w:hint="default" w:ascii="Times New Roman" w:hAnsi="Times New Roman" w:eastAsia="Times New Roman" w:cs="Times New Roman"/>
          <w:spacing w:val="4"/>
          <w:position w:val="-1"/>
          <w:sz w:val="15"/>
          <w:szCs w:val="15"/>
          <w:highlight w:val="none"/>
        </w:rPr>
        <w:t xml:space="preserve">2 </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0</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z w:val="23"/>
          <w:szCs w:val="23"/>
          <w:highlight w:val="none"/>
        </w:rPr>
        <w:t>NO</w:t>
      </w:r>
      <w:r>
        <w:rPr>
          <w:rFonts w:hint="default" w:ascii="Times New Roman" w:hAnsi="Times New Roman" w:eastAsia="Times New Roman" w:cs="Times New Roman"/>
          <w:position w:val="-2"/>
          <w:sz w:val="17"/>
          <w:szCs w:val="17"/>
          <w:highlight w:val="none"/>
        </w:rPr>
        <w:t>x</w:t>
      </w:r>
      <w:r>
        <w:rPr>
          <w:rFonts w:hint="default" w:ascii="Times New Roman" w:hAnsi="Times New Roman" w:eastAsia="Times New Roman" w:cs="Times New Roman"/>
          <w:spacing w:val="4"/>
          <w:position w:val="-2"/>
          <w:sz w:val="17"/>
          <w:szCs w:val="17"/>
          <w:highlight w:val="none"/>
        </w:rPr>
        <w:t xml:space="preserve"> </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0</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z w:val="23"/>
          <w:szCs w:val="23"/>
          <w:highlight w:val="none"/>
        </w:rPr>
        <w:t>COD</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0</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氨氮：</w:t>
      </w:r>
      <w:r>
        <w:rPr>
          <w:rFonts w:hint="default" w:ascii="Times New Roman" w:hAnsi="Times New Roman" w:eastAsia="Times New Roman" w:cs="Times New Roman"/>
          <w:spacing w:val="-1"/>
          <w:sz w:val="23"/>
          <w:szCs w:val="23"/>
          <w:highlight w:val="none"/>
        </w:rPr>
        <w:t>0</w:t>
      </w:r>
      <w:r>
        <w:rPr>
          <w:rFonts w:hint="default" w:ascii="Times New Roman" w:hAnsi="Times New Roman" w:eastAsia="Times New Roman" w:cs="Times New Roman"/>
          <w:sz w:val="23"/>
          <w:szCs w:val="23"/>
          <w:highlight w:val="none"/>
        </w:rPr>
        <w:t xml:space="preserve">t/a </w:t>
      </w:r>
      <w:r>
        <w:rPr>
          <w:rFonts w:hint="default" w:ascii="Times New Roman" w:hAnsi="Times New Roman" w:eastAsia="宋体" w:cs="Times New Roman"/>
          <w:sz w:val="23"/>
          <w:szCs w:val="23"/>
          <w:highlight w:val="none"/>
        </w:rPr>
        <w:t>；颗粒物</w:t>
      </w:r>
      <w:r>
        <w:rPr>
          <w:rFonts w:hint="eastAsia" w:ascii="Times New Roman" w:hAnsi="Times New Roman" w:eastAsia="宋体" w:cs="Times New Roman"/>
          <w:sz w:val="23"/>
          <w:szCs w:val="23"/>
          <w:highlight w:val="none"/>
          <w:lang w:val="en-US" w:eastAsia="zh-CN"/>
        </w:rPr>
        <w:t>0.8</w:t>
      </w:r>
      <w:r>
        <w:rPr>
          <w:rFonts w:hint="default" w:ascii="Times New Roman" w:hAnsi="Times New Roman" w:eastAsia="Times New Roman" w:cs="Times New Roman"/>
          <w:sz w:val="23"/>
          <w:szCs w:val="23"/>
          <w:highlight w:val="none"/>
        </w:rPr>
        <w:t>t/a</w:t>
      </w:r>
      <w:r>
        <w:rPr>
          <w:rFonts w:hint="default" w:ascii="Times New Roman" w:hAnsi="Times New Roman" w:eastAsia="宋体" w:cs="Times New Roman"/>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82"/>
        <w:jc w:val="both"/>
        <w:textAlignment w:val="baseline"/>
        <w:outlineLvl w:val="9"/>
        <w:rPr>
          <w:rFonts w:hint="default" w:ascii="Times New Roman" w:hAnsi="Times New Roman" w:eastAsia="宋体" w:cs="Times New Roman"/>
          <w:bCs/>
          <w:sz w:val="23"/>
          <w:szCs w:val="23"/>
          <w:highlight w:val="none"/>
        </w:rPr>
      </w:pPr>
      <w:bookmarkStart w:id="233" w:name="_Toc12547"/>
      <w:bookmarkStart w:id="234" w:name="_Toc17208"/>
      <w:bookmarkStart w:id="235" w:name="_Toc24044"/>
      <w:r>
        <w:rPr>
          <w:rFonts w:hint="default" w:ascii="Times New Roman" w:hAnsi="Times New Roman" w:eastAsia="宋体" w:cs="Times New Roman"/>
          <w:bCs/>
          <w:sz w:val="23"/>
          <w:szCs w:val="23"/>
          <w:highlight w:val="none"/>
        </w:rPr>
        <w:t>（</w:t>
      </w:r>
      <w:r>
        <w:rPr>
          <w:rFonts w:hint="default" w:ascii="Times New Roman" w:hAnsi="Times New Roman" w:eastAsia="宋体" w:cs="Times New Roman"/>
          <w:bCs/>
          <w:sz w:val="23"/>
          <w:szCs w:val="23"/>
          <w:highlight w:val="none"/>
          <w:lang w:val="en-US" w:eastAsia="zh-CN"/>
        </w:rPr>
        <w:t>3</w:t>
      </w:r>
      <w:r>
        <w:rPr>
          <w:rFonts w:hint="default" w:ascii="Times New Roman" w:hAnsi="Times New Roman" w:eastAsia="宋体" w:cs="Times New Roman"/>
          <w:bCs/>
          <w:sz w:val="23"/>
          <w:szCs w:val="23"/>
          <w:highlight w:val="none"/>
        </w:rPr>
        <w:t>）</w:t>
      </w:r>
      <w:r>
        <w:rPr>
          <w:rFonts w:hint="default" w:ascii="Times New Roman" w:hAnsi="Times New Roman" w:eastAsia="宋体" w:cs="Times New Roman"/>
          <w:bCs/>
          <w:sz w:val="23"/>
          <w:szCs w:val="23"/>
          <w:highlight w:val="none"/>
          <w:lang w:val="en-US" w:eastAsia="zh-CN"/>
        </w:rPr>
        <w:t>全厂</w:t>
      </w:r>
      <w:r>
        <w:rPr>
          <w:rFonts w:hint="default" w:ascii="Times New Roman" w:hAnsi="Times New Roman" w:eastAsia="宋体" w:cs="Times New Roman"/>
          <w:bCs/>
          <w:sz w:val="23"/>
          <w:szCs w:val="23"/>
          <w:highlight w:val="none"/>
        </w:rPr>
        <w:t>总量控制指标</w:t>
      </w:r>
      <w:bookmarkEnd w:id="233"/>
      <w:bookmarkEnd w:id="234"/>
      <w:bookmarkEnd w:id="235"/>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82"/>
        <w:jc w:val="both"/>
        <w:textAlignment w:val="baseline"/>
        <w:outlineLvl w:val="9"/>
        <w:rPr>
          <w:rFonts w:hint="default" w:ascii="Times New Roman" w:hAnsi="Times New Roman" w:eastAsia="宋体" w:cs="Times New Roman"/>
          <w:bCs/>
          <w:sz w:val="23"/>
          <w:szCs w:val="23"/>
          <w:highlight w:val="none"/>
        </w:rPr>
      </w:pPr>
      <w:r>
        <w:rPr>
          <w:rFonts w:hint="default" w:ascii="Times New Roman" w:hAnsi="Times New Roman" w:eastAsia="宋体" w:cs="Times New Roman"/>
          <w:bCs/>
          <w:sz w:val="23"/>
          <w:szCs w:val="23"/>
          <w:highlight w:val="none"/>
          <w:lang w:val="en-US" w:eastAsia="zh-CN"/>
        </w:rPr>
        <w:t>现有工程总量控制指标：</w:t>
      </w:r>
      <w:r>
        <w:rPr>
          <w:rFonts w:hint="default" w:ascii="Times New Roman" w:hAnsi="Times New Roman" w:eastAsia="宋体" w:cs="Times New Roman"/>
          <w:bCs/>
          <w:sz w:val="23"/>
          <w:szCs w:val="23"/>
          <w:highlight w:val="none"/>
        </w:rPr>
        <w:t>SO</w:t>
      </w:r>
      <w:r>
        <w:rPr>
          <w:rFonts w:hint="default" w:ascii="Times New Roman" w:hAnsi="Times New Roman" w:eastAsia="宋体" w:cs="Times New Roman"/>
          <w:bCs/>
          <w:sz w:val="23"/>
          <w:szCs w:val="23"/>
          <w:highlight w:val="none"/>
          <w:vertAlign w:val="subscript"/>
        </w:rPr>
        <w:t>2</w:t>
      </w:r>
      <w:r>
        <w:rPr>
          <w:rFonts w:hint="default" w:ascii="Times New Roman" w:hAnsi="Times New Roman" w:eastAsia="宋体" w:cs="Times New Roman"/>
          <w:bCs/>
          <w:sz w:val="23"/>
          <w:szCs w:val="23"/>
          <w:highlight w:val="none"/>
        </w:rPr>
        <w:t>：0t/a、NO</w:t>
      </w:r>
      <w:r>
        <w:rPr>
          <w:rFonts w:hint="default" w:ascii="Times New Roman" w:hAnsi="Times New Roman" w:eastAsia="宋体" w:cs="Times New Roman"/>
          <w:bCs/>
          <w:sz w:val="23"/>
          <w:szCs w:val="23"/>
          <w:highlight w:val="none"/>
          <w:vertAlign w:val="subscript"/>
        </w:rPr>
        <w:t>X</w:t>
      </w:r>
      <w:r>
        <w:rPr>
          <w:rFonts w:hint="default" w:ascii="Times New Roman" w:hAnsi="Times New Roman" w:eastAsia="宋体" w:cs="Times New Roman"/>
          <w:bCs/>
          <w:sz w:val="23"/>
          <w:szCs w:val="23"/>
          <w:highlight w:val="none"/>
        </w:rPr>
        <w:t>：0t/a，颗粒物：</w:t>
      </w:r>
      <w:r>
        <w:rPr>
          <w:rFonts w:hint="eastAsia" w:ascii="Times New Roman" w:hAnsi="Times New Roman" w:eastAsia="宋体" w:cs="Times New Roman"/>
          <w:bCs/>
          <w:sz w:val="23"/>
          <w:szCs w:val="23"/>
          <w:highlight w:val="none"/>
          <w:lang w:val="en-US" w:eastAsia="zh-CN"/>
        </w:rPr>
        <w:t>12.36</w:t>
      </w:r>
      <w:r>
        <w:rPr>
          <w:rFonts w:hint="default" w:ascii="Times New Roman" w:hAnsi="Times New Roman" w:eastAsia="宋体" w:cs="Times New Roman"/>
          <w:bCs/>
          <w:sz w:val="23"/>
          <w:szCs w:val="23"/>
          <w:highlight w:val="none"/>
        </w:rPr>
        <w:t>t/a；COD：0t/a、氨氮：0t/a。</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82"/>
        <w:jc w:val="both"/>
        <w:textAlignment w:val="baseline"/>
        <w:outlineLvl w:val="9"/>
        <w:rPr>
          <w:rFonts w:hint="default" w:ascii="Times New Roman" w:hAnsi="Times New Roman" w:eastAsia="宋体" w:cs="Times New Roman"/>
          <w:bCs/>
          <w:sz w:val="23"/>
          <w:szCs w:val="23"/>
          <w:highlight w:val="none"/>
        </w:rPr>
      </w:pPr>
      <w:r>
        <w:rPr>
          <w:rFonts w:hint="default" w:ascii="Times New Roman" w:hAnsi="Times New Roman" w:eastAsia="宋体" w:cs="Times New Roman"/>
          <w:bCs/>
          <w:sz w:val="23"/>
          <w:szCs w:val="23"/>
          <w:highlight w:val="none"/>
        </w:rPr>
        <w:t>因此，</w:t>
      </w:r>
      <w:r>
        <w:rPr>
          <w:rFonts w:hint="default" w:ascii="Times New Roman" w:hAnsi="Times New Roman" w:eastAsia="宋体" w:cs="Times New Roman"/>
          <w:bCs/>
          <w:sz w:val="23"/>
          <w:szCs w:val="23"/>
          <w:highlight w:val="none"/>
          <w:lang w:val="en-US" w:eastAsia="zh-CN"/>
        </w:rPr>
        <w:t>本</w:t>
      </w:r>
      <w:r>
        <w:rPr>
          <w:rFonts w:hint="default" w:ascii="Times New Roman" w:hAnsi="Times New Roman" w:eastAsia="宋体" w:cs="Times New Roman"/>
          <w:bCs/>
          <w:sz w:val="23"/>
          <w:szCs w:val="23"/>
          <w:highlight w:val="none"/>
        </w:rPr>
        <w:t>项目建成后</w:t>
      </w:r>
      <w:r>
        <w:rPr>
          <w:rFonts w:hint="default" w:ascii="Times New Roman" w:hAnsi="Times New Roman" w:eastAsia="宋体" w:cs="Times New Roman"/>
          <w:bCs/>
          <w:sz w:val="23"/>
          <w:szCs w:val="23"/>
          <w:highlight w:val="none"/>
          <w:lang w:val="en-US" w:eastAsia="zh-CN"/>
        </w:rPr>
        <w:t>全厂</w:t>
      </w:r>
      <w:r>
        <w:rPr>
          <w:rFonts w:hint="default" w:ascii="Times New Roman" w:hAnsi="Times New Roman" w:eastAsia="宋体" w:cs="Times New Roman"/>
          <w:bCs/>
          <w:sz w:val="23"/>
          <w:szCs w:val="23"/>
          <w:highlight w:val="none"/>
        </w:rPr>
        <w:t>总量控制指标</w:t>
      </w:r>
      <w:r>
        <w:rPr>
          <w:rFonts w:hint="default" w:ascii="Times New Roman" w:hAnsi="Times New Roman" w:eastAsia="宋体" w:cs="Times New Roman"/>
          <w:bCs/>
          <w:sz w:val="23"/>
          <w:szCs w:val="23"/>
          <w:highlight w:val="none"/>
          <w:lang w:val="en-US" w:eastAsia="zh-CN"/>
        </w:rPr>
        <w:t>为：</w:t>
      </w:r>
      <w:r>
        <w:rPr>
          <w:rFonts w:hint="default" w:ascii="Times New Roman" w:hAnsi="Times New Roman" w:eastAsia="宋体" w:cs="Times New Roman"/>
          <w:bCs/>
          <w:sz w:val="23"/>
          <w:szCs w:val="23"/>
          <w:highlight w:val="none"/>
        </w:rPr>
        <w:t>SO</w:t>
      </w:r>
      <w:r>
        <w:rPr>
          <w:rFonts w:hint="default" w:ascii="Times New Roman" w:hAnsi="Times New Roman" w:eastAsia="宋体" w:cs="Times New Roman"/>
          <w:bCs/>
          <w:sz w:val="23"/>
          <w:szCs w:val="23"/>
          <w:highlight w:val="none"/>
          <w:vertAlign w:val="subscript"/>
        </w:rPr>
        <w:t>2</w:t>
      </w:r>
      <w:r>
        <w:rPr>
          <w:rFonts w:hint="default" w:ascii="Times New Roman" w:hAnsi="Times New Roman" w:eastAsia="宋体" w:cs="Times New Roman"/>
          <w:bCs/>
          <w:sz w:val="23"/>
          <w:szCs w:val="23"/>
          <w:highlight w:val="none"/>
        </w:rPr>
        <w:t>：0t/a、NO</w:t>
      </w:r>
      <w:r>
        <w:rPr>
          <w:rFonts w:hint="default" w:ascii="Times New Roman" w:hAnsi="Times New Roman" w:eastAsia="宋体" w:cs="Times New Roman"/>
          <w:bCs/>
          <w:sz w:val="23"/>
          <w:szCs w:val="23"/>
          <w:highlight w:val="none"/>
          <w:vertAlign w:val="subscript"/>
        </w:rPr>
        <w:t>X</w:t>
      </w:r>
      <w:r>
        <w:rPr>
          <w:rFonts w:hint="default" w:ascii="Times New Roman" w:hAnsi="Times New Roman" w:eastAsia="宋体" w:cs="Times New Roman"/>
          <w:bCs/>
          <w:sz w:val="23"/>
          <w:szCs w:val="23"/>
          <w:highlight w:val="none"/>
        </w:rPr>
        <w:t>：0t/a，颗粒物：</w:t>
      </w:r>
      <w:r>
        <w:rPr>
          <w:rFonts w:hint="eastAsia" w:ascii="Times New Roman" w:hAnsi="Times New Roman" w:eastAsia="宋体" w:cs="Times New Roman"/>
          <w:bCs/>
          <w:sz w:val="23"/>
          <w:szCs w:val="23"/>
          <w:highlight w:val="none"/>
          <w:lang w:val="en-US" w:eastAsia="zh-CN"/>
        </w:rPr>
        <w:t>13.16</w:t>
      </w:r>
      <w:r>
        <w:rPr>
          <w:rFonts w:hint="default" w:ascii="Times New Roman" w:hAnsi="Times New Roman" w:eastAsia="宋体" w:cs="Times New Roman"/>
          <w:bCs/>
          <w:sz w:val="23"/>
          <w:szCs w:val="23"/>
          <w:highlight w:val="none"/>
        </w:rPr>
        <w:t>t/a；COD：0t/a、氨氮：0t/a。</w:t>
      </w:r>
    </w:p>
    <w:p>
      <w:pPr>
        <w:spacing w:before="123" w:line="221" w:lineRule="auto"/>
        <w:ind w:left="126"/>
        <w:outlineLvl w:val="1"/>
        <w:rPr>
          <w:rFonts w:hint="eastAsia" w:ascii="Times New Roman" w:hAnsi="Times New Roman" w:eastAsia="宋体" w:cs="Times New Roman"/>
          <w:sz w:val="28"/>
          <w:szCs w:val="28"/>
          <w:highlight w:val="none"/>
          <w:lang w:eastAsia="zh-CN"/>
          <w14:textOutline w14:w="5103" w14:cap="sq" w14:cmpd="sng">
            <w14:solidFill>
              <w14:srgbClr w14:val="000000"/>
            </w14:solidFill>
            <w14:prstDash w14:val="solid"/>
            <w14:bevel/>
          </w14:textOutline>
        </w:rPr>
      </w:pPr>
      <w:bookmarkStart w:id="236" w:name="_Toc20379"/>
      <w:bookmarkStart w:id="237" w:name="_Toc29628"/>
      <w:bookmarkStart w:id="238" w:name="_Toc11335"/>
      <w:bookmarkStart w:id="239" w:name="_Toc26003"/>
      <w:r>
        <w:rPr>
          <w:rFonts w:hint="eastAsia" w:ascii="Times New Roman" w:hAnsi="Times New Roman" w:eastAsia="宋体" w:cs="Times New Roman"/>
          <w:sz w:val="28"/>
          <w:szCs w:val="28"/>
          <w:highlight w:val="none"/>
          <w:lang w:val="en-US" w:eastAsia="zh-CN"/>
          <w14:textOutline w14:w="5103" w14:cap="sq" w14:cmpd="sng">
            <w14:solidFill>
              <w14:srgbClr w14:val="000000"/>
            </w14:solidFill>
            <w14:prstDash w14:val="solid"/>
            <w14:bevel/>
          </w14:textOutline>
        </w:rPr>
        <w:t>3.6</w:t>
      </w:r>
      <w:r>
        <w:rPr>
          <w:rFonts w:hint="eastAsia" w:ascii="Times New Roman" w:hAnsi="Times New Roman" w:eastAsia="宋体" w:cs="Times New Roman"/>
          <w:sz w:val="28"/>
          <w:szCs w:val="28"/>
          <w:highlight w:val="none"/>
          <w:lang w:eastAsia="zh-CN"/>
          <w14:textOutline w14:w="5103" w14:cap="sq" w14:cmpd="sng">
            <w14:solidFill>
              <w14:srgbClr w14:val="000000"/>
            </w14:solidFill>
            <w14:prstDash w14:val="solid"/>
            <w14:bevel/>
          </w14:textOutline>
        </w:rPr>
        <w:t>污染物排放量“三本账”</w:t>
      </w:r>
      <w:bookmarkEnd w:id="236"/>
      <w:bookmarkEnd w:id="237"/>
      <w:bookmarkEnd w:id="238"/>
      <w:bookmarkEnd w:id="239"/>
    </w:p>
    <w:p>
      <w:pPr>
        <w:keepNext w:val="0"/>
        <w:keepLines w:val="0"/>
        <w:pageBreakBefore w:val="0"/>
        <w:widowControl/>
        <w:kinsoku w:val="0"/>
        <w:wordWrap/>
        <w:overflowPunct/>
        <w:topLinePunct w:val="0"/>
        <w:autoSpaceDE w:val="0"/>
        <w:autoSpaceDN w:val="0"/>
        <w:bidi w:val="0"/>
        <w:adjustRightInd w:val="0"/>
        <w:snapToGrid w:val="0"/>
        <w:spacing w:after="157" w:afterLines="50" w:line="460" w:lineRule="exact"/>
        <w:ind w:firstLine="512" w:firstLineChars="200"/>
        <w:jc w:val="both"/>
        <w:textAlignment w:val="baseline"/>
        <w:rPr>
          <w:rFonts w:hint="eastAsia" w:ascii="Times New Roman" w:hAnsi="Times New Roman" w:eastAsia="宋体" w:cs="Times New Roman"/>
          <w:spacing w:val="13"/>
          <w:sz w:val="23"/>
          <w:szCs w:val="23"/>
          <w:highlight w:val="none"/>
          <w:lang w:val="en-US" w:eastAsia="zh-CN"/>
        </w:rPr>
      </w:pPr>
      <w:r>
        <w:rPr>
          <w:rFonts w:hint="eastAsia" w:ascii="Times New Roman" w:hAnsi="Times New Roman" w:eastAsia="宋体" w:cs="Times New Roman"/>
          <w:spacing w:val="13"/>
          <w:sz w:val="23"/>
          <w:szCs w:val="23"/>
          <w:highlight w:val="none"/>
          <w:lang w:eastAsia="zh-CN"/>
        </w:rPr>
        <w:t>本项目实施后全厂污染物排放量“三本账”见表</w:t>
      </w:r>
      <w:r>
        <w:rPr>
          <w:rFonts w:hint="eastAsia" w:ascii="Times New Roman" w:hAnsi="Times New Roman" w:eastAsia="宋体" w:cs="Times New Roman"/>
          <w:spacing w:val="13"/>
          <w:sz w:val="23"/>
          <w:szCs w:val="23"/>
          <w:highlight w:val="none"/>
          <w:lang w:val="en-US" w:eastAsia="zh-CN"/>
        </w:rPr>
        <w:t>3.6-1。</w:t>
      </w:r>
    </w:p>
    <w:p>
      <w:pPr>
        <w:spacing w:line="240" w:lineRule="auto"/>
        <w:ind w:firstLine="0" w:firstLineChars="0"/>
        <w:jc w:val="center"/>
        <w:textAlignment w:val="auto"/>
        <w:rPr>
          <w:rFonts w:hint="eastAsia" w:eastAsia="黑体"/>
          <w:b/>
          <w:bCs/>
          <w:kern w:val="2"/>
          <w:sz w:val="23"/>
          <w:szCs w:val="23"/>
          <w:highlight w:val="none"/>
        </w:rPr>
      </w:pPr>
      <w:r>
        <w:rPr>
          <w:rFonts w:hint="eastAsia" w:eastAsia="黑体"/>
          <w:b/>
          <w:bCs/>
          <w:kern w:val="2"/>
          <w:sz w:val="23"/>
          <w:szCs w:val="23"/>
          <w:highlight w:val="none"/>
        </w:rPr>
        <w:t>表 3.</w:t>
      </w:r>
      <w:r>
        <w:rPr>
          <w:rFonts w:hint="eastAsia" w:eastAsia="黑体"/>
          <w:b/>
          <w:bCs/>
          <w:kern w:val="2"/>
          <w:sz w:val="23"/>
          <w:szCs w:val="23"/>
          <w:highlight w:val="none"/>
          <w:lang w:val="en-US" w:eastAsia="zh-CN"/>
        </w:rPr>
        <w:t>6-1</w:t>
      </w:r>
      <w:r>
        <w:rPr>
          <w:rFonts w:hint="eastAsia" w:eastAsia="黑体"/>
          <w:b/>
          <w:bCs/>
          <w:kern w:val="2"/>
          <w:sz w:val="23"/>
          <w:szCs w:val="23"/>
          <w:highlight w:val="none"/>
        </w:rPr>
        <w:t xml:space="preserve">   </w:t>
      </w:r>
      <w:r>
        <w:rPr>
          <w:rFonts w:hint="eastAsia" w:eastAsia="黑体"/>
          <w:b/>
          <w:bCs/>
          <w:kern w:val="2"/>
          <w:sz w:val="23"/>
          <w:szCs w:val="23"/>
          <w:highlight w:val="none"/>
          <w:lang w:eastAsia="zh-CN"/>
        </w:rPr>
        <w:t>改扩建工程实施后全厂污染排放量“三本账”</w:t>
      </w:r>
      <w:r>
        <w:rPr>
          <w:rFonts w:hint="eastAsia" w:eastAsia="黑体"/>
          <w:b/>
          <w:bCs/>
          <w:kern w:val="2"/>
          <w:sz w:val="23"/>
          <w:szCs w:val="23"/>
          <w:highlight w:val="none"/>
        </w:rPr>
        <w:t xml:space="preserve"> 单位 t/a</w:t>
      </w:r>
    </w:p>
    <w:tbl>
      <w:tblPr>
        <w:tblStyle w:val="1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1485"/>
        <w:gridCol w:w="1651"/>
        <w:gridCol w:w="1337"/>
        <w:gridCol w:w="964"/>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Merge w:val="restart"/>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项目</w:t>
            </w:r>
          </w:p>
        </w:tc>
        <w:tc>
          <w:tcPr>
            <w:tcW w:w="3136" w:type="dxa"/>
            <w:gridSpan w:val="2"/>
            <w:tcBorders>
              <w:tl2br w:val="nil"/>
              <w:tr2bl w:val="nil"/>
            </w:tcBorders>
          </w:tcPr>
          <w:p>
            <w:pPr>
              <w:spacing w:line="240" w:lineRule="auto"/>
              <w:ind w:firstLine="42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废水污染物</w:t>
            </w:r>
          </w:p>
        </w:tc>
        <w:tc>
          <w:tcPr>
            <w:tcW w:w="3368" w:type="dxa"/>
            <w:gridSpan w:val="3"/>
            <w:tcBorders>
              <w:tl2br w:val="nil"/>
              <w:tr2bl w:val="nil"/>
            </w:tcBorders>
          </w:tcPr>
          <w:p>
            <w:pPr>
              <w:spacing w:line="240" w:lineRule="auto"/>
              <w:ind w:firstLine="420"/>
              <w:jc w:val="both"/>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1"/>
                <w:szCs w:val="21"/>
                <w:highlight w:val="none"/>
                <w:lang w:eastAsia="zh-CN"/>
              </w:rPr>
            </w:pPr>
          </w:p>
        </w:tc>
        <w:tc>
          <w:tcPr>
            <w:tcW w:w="1485"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COD</w:t>
            </w:r>
          </w:p>
        </w:tc>
        <w:tc>
          <w:tcPr>
            <w:tcW w:w="1651"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氨氮</w:t>
            </w:r>
          </w:p>
        </w:tc>
        <w:tc>
          <w:tcPr>
            <w:tcW w:w="1337"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SO</w:t>
            </w:r>
            <w:r>
              <w:rPr>
                <w:rFonts w:hint="default" w:ascii="Times New Roman" w:hAnsi="Times New Roman" w:cs="Times New Roman"/>
                <w:bCs/>
                <w:sz w:val="21"/>
                <w:szCs w:val="21"/>
                <w:highlight w:val="none"/>
                <w:vertAlign w:val="subscript"/>
              </w:rPr>
              <w:t>2</w:t>
            </w:r>
          </w:p>
        </w:tc>
        <w:tc>
          <w:tcPr>
            <w:tcW w:w="964"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NO</w:t>
            </w:r>
            <w:r>
              <w:rPr>
                <w:rFonts w:hint="default" w:ascii="Times New Roman" w:hAnsi="Times New Roman" w:cs="Times New Roman"/>
                <w:bCs/>
                <w:sz w:val="21"/>
                <w:szCs w:val="21"/>
                <w:highlight w:val="none"/>
                <w:vertAlign w:val="subscript"/>
              </w:rPr>
              <w:t>x</w:t>
            </w:r>
          </w:p>
        </w:tc>
        <w:tc>
          <w:tcPr>
            <w:tcW w:w="1067"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lang w:eastAsia="zh-CN"/>
              </w:rPr>
              <w:t>现有工程排放量</w:t>
            </w:r>
          </w:p>
        </w:tc>
        <w:tc>
          <w:tcPr>
            <w:tcW w:w="1485"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0</w:t>
            </w:r>
          </w:p>
        </w:tc>
        <w:tc>
          <w:tcPr>
            <w:tcW w:w="1651"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0</w:t>
            </w:r>
          </w:p>
        </w:tc>
        <w:tc>
          <w:tcPr>
            <w:tcW w:w="1337"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0</w:t>
            </w:r>
          </w:p>
        </w:tc>
        <w:tc>
          <w:tcPr>
            <w:tcW w:w="964"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0</w:t>
            </w:r>
          </w:p>
        </w:tc>
        <w:tc>
          <w:tcPr>
            <w:tcW w:w="1067"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8.566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sz w:val="21"/>
                <w:szCs w:val="21"/>
                <w:highlight w:val="none"/>
                <w:lang w:eastAsia="zh-CN"/>
              </w:rPr>
            </w:pPr>
            <w:r>
              <w:rPr>
                <w:rFonts w:hint="default" w:ascii="Times New Roman" w:hAnsi="Times New Roman" w:cs="Times New Roman"/>
                <w:bCs/>
                <w:sz w:val="21"/>
                <w:szCs w:val="21"/>
                <w:highlight w:val="none"/>
                <w:lang w:eastAsia="zh-CN"/>
              </w:rPr>
              <w:t>改扩建工程</w:t>
            </w:r>
            <w:r>
              <w:rPr>
                <w:rFonts w:hint="eastAsia" w:ascii="Times New Roman" w:hAnsi="Times New Roman" w:cs="Times New Roman"/>
                <w:bCs/>
                <w:sz w:val="21"/>
                <w:szCs w:val="21"/>
                <w:highlight w:val="none"/>
                <w:lang w:val="en-US" w:eastAsia="zh-CN"/>
              </w:rPr>
              <w:t>有组织</w:t>
            </w:r>
            <w:r>
              <w:rPr>
                <w:rFonts w:hint="default" w:ascii="Times New Roman" w:hAnsi="Times New Roman" w:cs="Times New Roman"/>
                <w:bCs/>
                <w:sz w:val="21"/>
                <w:szCs w:val="21"/>
                <w:highlight w:val="none"/>
                <w:lang w:eastAsia="zh-CN"/>
              </w:rPr>
              <w:t>排放量</w:t>
            </w:r>
          </w:p>
        </w:tc>
        <w:tc>
          <w:tcPr>
            <w:tcW w:w="1485"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1651"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1337"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964"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1067"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0.4045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highlight w:val="none"/>
                <w:lang w:eastAsia="zh-CN"/>
              </w:rPr>
            </w:pPr>
            <w:r>
              <w:rPr>
                <w:rFonts w:hint="default" w:ascii="Times New Roman" w:hAnsi="Times New Roman" w:cs="Times New Roman"/>
                <w:bCs/>
                <w:sz w:val="21"/>
                <w:szCs w:val="21"/>
                <w:highlight w:val="none"/>
                <w:lang w:eastAsia="zh-CN"/>
              </w:rPr>
              <w:t>以新带老削减量</w:t>
            </w:r>
          </w:p>
        </w:tc>
        <w:tc>
          <w:tcPr>
            <w:tcW w:w="1485"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1651"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1337"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964"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1067"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highlight w:val="none"/>
                <w:lang w:eastAsia="zh-CN"/>
              </w:rPr>
            </w:pPr>
            <w:r>
              <w:rPr>
                <w:rFonts w:hint="default" w:ascii="Times New Roman" w:hAnsi="Times New Roman" w:cs="Times New Roman"/>
                <w:bCs/>
                <w:sz w:val="21"/>
                <w:szCs w:val="21"/>
                <w:highlight w:val="none"/>
                <w:lang w:eastAsia="zh-CN"/>
              </w:rPr>
              <w:t>全厂排放量</w:t>
            </w:r>
          </w:p>
        </w:tc>
        <w:tc>
          <w:tcPr>
            <w:tcW w:w="1485"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1651"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1337"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964" w:type="dxa"/>
            <w:tcBorders>
              <w:tl2br w:val="nil"/>
              <w:tr2bl w:val="nil"/>
            </w:tcBorders>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0</w:t>
            </w:r>
          </w:p>
        </w:tc>
        <w:tc>
          <w:tcPr>
            <w:tcW w:w="1067" w:type="dxa"/>
            <w:tcBorders>
              <w:tl2br w:val="nil"/>
              <w:tr2bl w:val="nil"/>
            </w:tcBorders>
          </w:tcPr>
          <w:p>
            <w:pPr>
              <w:spacing w:line="240" w:lineRule="auto"/>
              <w:ind w:firstLine="0" w:firstLineChars="0"/>
              <w:jc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8.9705</w:t>
            </w:r>
            <w:bookmarkStart w:id="845" w:name="_GoBack"/>
            <w:bookmarkEnd w:id="8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4" w:type="dxa"/>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highlight w:val="none"/>
                <w:lang w:eastAsia="zh-CN"/>
              </w:rPr>
            </w:pPr>
            <w:r>
              <w:rPr>
                <w:rFonts w:hint="eastAsia" w:ascii="Times New Roman" w:hAnsi="Times New Roman" w:cs="Times New Roman"/>
                <w:bCs/>
                <w:sz w:val="21"/>
                <w:szCs w:val="21"/>
                <w:highlight w:val="none"/>
                <w:lang w:val="en-US" w:eastAsia="zh-CN"/>
              </w:rPr>
              <w:t>有组织</w:t>
            </w:r>
            <w:r>
              <w:rPr>
                <w:rFonts w:hint="default" w:ascii="Times New Roman" w:hAnsi="Times New Roman" w:cs="Times New Roman"/>
                <w:bCs/>
                <w:sz w:val="21"/>
                <w:szCs w:val="21"/>
                <w:highlight w:val="none"/>
                <w:lang w:eastAsia="zh-CN"/>
              </w:rPr>
              <w:t>排放增减量</w:t>
            </w:r>
          </w:p>
        </w:tc>
        <w:tc>
          <w:tcPr>
            <w:tcW w:w="1485" w:type="dxa"/>
            <w:tcBorders>
              <w:tl2br w:val="nil"/>
              <w:tr2bl w:val="nil"/>
            </w:tcBorders>
            <w:vAlign w:val="top"/>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bidi="ar-SA"/>
              </w:rPr>
            </w:pPr>
            <w:r>
              <w:rPr>
                <w:rFonts w:hint="default" w:ascii="Times New Roman" w:hAnsi="Times New Roman" w:cs="Times New Roman"/>
                <w:bCs/>
                <w:sz w:val="21"/>
                <w:szCs w:val="21"/>
                <w:highlight w:val="none"/>
                <w:lang w:val="en-US" w:eastAsia="zh-CN"/>
              </w:rPr>
              <w:t>0</w:t>
            </w:r>
          </w:p>
        </w:tc>
        <w:tc>
          <w:tcPr>
            <w:tcW w:w="1651" w:type="dxa"/>
            <w:tcBorders>
              <w:tl2br w:val="nil"/>
              <w:tr2bl w:val="nil"/>
            </w:tcBorders>
            <w:vAlign w:val="top"/>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bidi="ar-SA"/>
              </w:rPr>
            </w:pPr>
            <w:r>
              <w:rPr>
                <w:rFonts w:hint="default" w:ascii="Times New Roman" w:hAnsi="Times New Roman" w:cs="Times New Roman"/>
                <w:bCs/>
                <w:sz w:val="21"/>
                <w:szCs w:val="21"/>
                <w:highlight w:val="none"/>
                <w:lang w:val="en-US" w:eastAsia="zh-CN"/>
              </w:rPr>
              <w:t>0</w:t>
            </w:r>
          </w:p>
        </w:tc>
        <w:tc>
          <w:tcPr>
            <w:tcW w:w="1337" w:type="dxa"/>
            <w:tcBorders>
              <w:tl2br w:val="nil"/>
              <w:tr2bl w:val="nil"/>
            </w:tcBorders>
            <w:vAlign w:val="top"/>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bidi="ar-SA"/>
              </w:rPr>
            </w:pPr>
            <w:r>
              <w:rPr>
                <w:rFonts w:hint="default" w:ascii="Times New Roman" w:hAnsi="Times New Roman" w:cs="Times New Roman"/>
                <w:bCs/>
                <w:sz w:val="21"/>
                <w:szCs w:val="21"/>
                <w:highlight w:val="none"/>
                <w:lang w:val="en-US" w:eastAsia="zh-CN"/>
              </w:rPr>
              <w:t>0</w:t>
            </w:r>
          </w:p>
        </w:tc>
        <w:tc>
          <w:tcPr>
            <w:tcW w:w="964" w:type="dxa"/>
            <w:tcBorders>
              <w:tl2br w:val="nil"/>
              <w:tr2bl w:val="nil"/>
            </w:tcBorders>
            <w:vAlign w:val="top"/>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bidi="ar-SA"/>
              </w:rPr>
            </w:pPr>
            <w:r>
              <w:rPr>
                <w:rFonts w:hint="default" w:ascii="Times New Roman" w:hAnsi="Times New Roman" w:cs="Times New Roman"/>
                <w:bCs/>
                <w:sz w:val="21"/>
                <w:szCs w:val="21"/>
                <w:highlight w:val="none"/>
                <w:lang w:val="en-US" w:eastAsia="zh-CN"/>
              </w:rPr>
              <w:t>0</w:t>
            </w:r>
          </w:p>
        </w:tc>
        <w:tc>
          <w:tcPr>
            <w:tcW w:w="1067" w:type="dxa"/>
            <w:tcBorders>
              <w:tl2br w:val="nil"/>
              <w:tr2bl w:val="nil"/>
            </w:tcBorders>
            <w:vAlign w:val="top"/>
          </w:tcPr>
          <w:p>
            <w:pPr>
              <w:spacing w:line="240" w:lineRule="auto"/>
              <w:ind w:firstLine="0" w:firstLineChars="0"/>
              <w:jc w:val="center"/>
              <w:rPr>
                <w:rFonts w:hint="default" w:ascii="Times New Roman" w:hAnsi="Times New Roman" w:eastAsia="宋体" w:cs="Times New Roman"/>
                <w:bCs/>
                <w:sz w:val="21"/>
                <w:szCs w:val="21"/>
                <w:highlight w:val="none"/>
                <w:lang w:val="en-US" w:eastAsia="zh-CN" w:bidi="ar-SA"/>
              </w:rPr>
            </w:pPr>
            <w:r>
              <w:rPr>
                <w:rFonts w:hint="default" w:ascii="Times New Roman" w:hAnsi="Times New Roman" w:cs="Times New Roman"/>
                <w:bCs/>
                <w:sz w:val="21"/>
                <w:szCs w:val="21"/>
                <w:highlight w:val="none"/>
                <w:lang w:val="en-US" w:eastAsia="zh-CN"/>
              </w:rPr>
              <w:t>+</w:t>
            </w:r>
            <w:r>
              <w:rPr>
                <w:rFonts w:hint="eastAsia" w:ascii="Times New Roman" w:hAnsi="Times New Roman" w:cs="Times New Roman"/>
                <w:bCs/>
                <w:sz w:val="21"/>
                <w:szCs w:val="21"/>
                <w:highlight w:val="none"/>
                <w:lang w:val="en-US" w:eastAsia="zh-CN"/>
              </w:rPr>
              <w:t>0.4045</w:t>
            </w:r>
          </w:p>
        </w:tc>
      </w:tr>
    </w:tbl>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6" w:firstLineChars="200"/>
        <w:jc w:val="both"/>
        <w:textAlignment w:val="baseline"/>
        <w:rPr>
          <w:rFonts w:hint="default" w:ascii="Arial" w:hAnsi="Arial" w:eastAsia="Arial" w:cs="Arial"/>
          <w:snapToGrid w:val="0"/>
          <w:color w:val="000000"/>
          <w:kern w:val="0"/>
          <w:sz w:val="21"/>
          <w:szCs w:val="21"/>
          <w:highlight w:val="none"/>
          <w:lang w:val="en-US" w:eastAsia="zh-CN"/>
        </w:rPr>
      </w:pPr>
      <w:r>
        <w:rPr>
          <w:rFonts w:hint="eastAsia" w:ascii="Times New Roman" w:hAnsi="Times New Roman" w:eastAsia="宋体" w:cs="Times New Roman"/>
          <w:spacing w:val="4"/>
          <w:sz w:val="23"/>
          <w:szCs w:val="23"/>
          <w:highlight w:val="none"/>
          <w:lang w:eastAsia="zh-CN"/>
        </w:rPr>
        <w:t>本项目应进行颗粒物排放倍量削减替代，在落实倍量削减替代方案的前提下将会对区域环境空气质量起到一定改善作用。</w:t>
      </w:r>
      <w:r>
        <w:rPr>
          <w:rFonts w:hint="eastAsia" w:cs="Arial"/>
          <w:snapToGrid w:val="0"/>
          <w:color w:val="000000"/>
          <w:kern w:val="0"/>
          <w:sz w:val="21"/>
          <w:szCs w:val="21"/>
          <w:highlight w:val="none"/>
          <w:lang w:val="en-US" w:eastAsia="zh-CN"/>
        </w:rPr>
        <w:t>本次颗粒物削减只削减颗粒物有组织排放量。</w:t>
      </w:r>
    </w:p>
    <w:p>
      <w:pPr>
        <w:bidi w:val="0"/>
        <w:rPr>
          <w:rFonts w:hint="eastAsia"/>
          <w:highlight w:val="none"/>
          <w:lang w:eastAsia="zh-CN"/>
        </w:rPr>
      </w:pPr>
    </w:p>
    <w:p>
      <w:pPr>
        <w:bidi w:val="0"/>
        <w:rPr>
          <w:rFonts w:hint="eastAsia"/>
          <w:highlight w:val="none"/>
          <w:lang w:eastAsia="zh-CN"/>
        </w:rPr>
      </w:pPr>
    </w:p>
    <w:p>
      <w:pPr>
        <w:bidi w:val="0"/>
        <w:rPr>
          <w:rFonts w:hint="eastAsia"/>
          <w:highlight w:val="none"/>
          <w:lang w:eastAsia="zh-CN"/>
        </w:rPr>
      </w:pPr>
    </w:p>
    <w:p>
      <w:pPr>
        <w:bidi w:val="0"/>
        <w:rPr>
          <w:rFonts w:hint="eastAsia"/>
          <w:highlight w:val="none"/>
          <w:lang w:eastAsia="zh-CN"/>
        </w:rPr>
      </w:pPr>
    </w:p>
    <w:p>
      <w:pPr>
        <w:tabs>
          <w:tab w:val="left" w:pos="1323"/>
        </w:tabs>
        <w:bidi w:val="0"/>
        <w:jc w:val="left"/>
        <w:rPr>
          <w:rFonts w:hint="default" w:ascii="Times New Roman" w:hAnsi="Times New Roman" w:cs="Times New Roman"/>
          <w:highlight w:val="none"/>
        </w:rPr>
        <w:sectPr>
          <w:headerReference r:id="rId37" w:type="default"/>
          <w:footerReference r:id="rId38" w:type="default"/>
          <w:pgSz w:w="11906" w:h="16839"/>
          <w:pgMar w:top="1167" w:right="1785" w:bottom="1311" w:left="1785" w:header="897" w:footer="1015" w:gutter="0"/>
          <w:pgBorders>
            <w:top w:val="none" w:sz="0" w:space="0"/>
            <w:left w:val="none" w:sz="0" w:space="0"/>
            <w:bottom w:val="none" w:sz="0" w:space="0"/>
            <w:right w:val="none" w:sz="0" w:space="0"/>
          </w:pgBorders>
          <w:pgNumType w:fmt="decimal"/>
          <w:cols w:space="720" w:num="1"/>
        </w:sectPr>
      </w:pPr>
      <w:r>
        <w:rPr>
          <w:rFonts w:hint="eastAsia"/>
          <w:highlight w:val="none"/>
          <w:lang w:eastAsia="zh-CN"/>
        </w:rPr>
        <w:tab/>
      </w:r>
    </w:p>
    <w:p>
      <w:pPr>
        <w:spacing w:line="439"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138" o:spid="_x0000_s1138" o:spt="1" style="position:absolute;left:0pt;margin-left:89.85pt;margin-top:776.35pt;height:0.75pt;width:415.65pt;mso-position-horizontal-relative:page;mso-position-vertical-relative:page;z-index:251700224;mso-width-relative:page;mso-height-relative:page;" fillcolor="#FFFFFF" filled="t" stroked="f" coordsize="21600,21600" o:allowincell="f">
            <v:path/>
            <v:fill on="t" color2="#FFFFFF" focussize="0,0"/>
            <v:stroke on="f"/>
            <v:imagedata o:title=""/>
            <o:lock v:ext="edit" aspectratio="f"/>
          </v:rect>
        </w:pict>
      </w:r>
      <w:r>
        <w:rPr>
          <w:rFonts w:hint="default" w:ascii="Times New Roman" w:hAnsi="Times New Roman" w:cs="Times New Roman"/>
          <w:highlight w:val="none"/>
        </w:rPr>
        <w:pict>
          <v:shape id="_x0000_s1139" o:spid="_x0000_s1139" style="position:absolute;left:0pt;margin-left:89.85pt;margin-top:59.05pt;height:0.75pt;width:415.65pt;mso-position-horizontal-relative:page;mso-position-vertical-relative:page;z-index:251699200;mso-width-relative:page;mso-height-relative:page;" fillcolor="#000000" filled="t" stroked="f" coordsize="8312,15" o:allowincell="f" path="m0,0l8312,0,8312,14,0,14,0,0xe">
            <v:path/>
            <v:fill on="t" focussize="0,0"/>
            <v:stroke on="f"/>
            <v:imagedata o:title=""/>
            <o:lock v:ext="edit"/>
          </v:shape>
        </w:pict>
      </w:r>
    </w:p>
    <w:p>
      <w:pPr>
        <w:spacing w:before="95" w:line="228" w:lineRule="auto"/>
        <w:ind w:left="19"/>
        <w:outlineLvl w:val="0"/>
        <w:rPr>
          <w:rFonts w:hint="default" w:ascii="Times New Roman" w:hAnsi="Times New Roman" w:eastAsia="黑体" w:cs="Times New Roman"/>
          <w:sz w:val="29"/>
          <w:szCs w:val="29"/>
          <w:highlight w:val="none"/>
        </w:rPr>
      </w:pPr>
      <w:bookmarkStart w:id="240" w:name="_Toc185"/>
      <w:bookmarkStart w:id="241" w:name="_Toc4326"/>
      <w:bookmarkStart w:id="242" w:name="_Toc6656"/>
      <w:r>
        <w:rPr>
          <w:rFonts w:hint="default" w:ascii="Times New Roman" w:hAnsi="Times New Roman" w:eastAsia="Times New Roman" w:cs="Times New Roman"/>
          <w:b/>
          <w:bCs/>
          <w:spacing w:val="14"/>
          <w:sz w:val="29"/>
          <w:szCs w:val="29"/>
          <w:highlight w:val="none"/>
        </w:rPr>
        <w:t>4</w:t>
      </w:r>
      <w:r>
        <w:rPr>
          <w:rFonts w:hint="default" w:ascii="Times New Roman" w:hAnsi="Times New Roman" w:eastAsia="Times New Roman" w:cs="Times New Roman"/>
          <w:spacing w:val="8"/>
          <w:sz w:val="29"/>
          <w:szCs w:val="29"/>
          <w:highlight w:val="none"/>
        </w:rPr>
        <w:t xml:space="preserve">  </w:t>
      </w:r>
      <w:r>
        <w:rPr>
          <w:rFonts w:hint="default" w:ascii="Times New Roman" w:hAnsi="Times New Roman" w:eastAsia="黑体" w:cs="Times New Roman"/>
          <w:spacing w:val="8"/>
          <w:sz w:val="29"/>
          <w:szCs w:val="29"/>
          <w:highlight w:val="none"/>
          <w14:textOutline w14:w="5448" w14:cap="sq" w14:cmpd="sng">
            <w14:solidFill>
              <w14:srgbClr w14:val="000000"/>
            </w14:solidFill>
            <w14:prstDash w14:val="solid"/>
            <w14:bevel/>
          </w14:textOutline>
        </w:rPr>
        <w:t>环境现状调查与评价</w:t>
      </w:r>
      <w:bookmarkEnd w:id="240"/>
      <w:bookmarkEnd w:id="241"/>
      <w:bookmarkEnd w:id="242"/>
    </w:p>
    <w:p>
      <w:pPr>
        <w:spacing w:before="277" w:line="219" w:lineRule="auto"/>
        <w:ind w:left="18"/>
        <w:outlineLvl w:val="1"/>
        <w:rPr>
          <w:rFonts w:hint="default" w:ascii="Times New Roman" w:hAnsi="Times New Roman" w:eastAsia="宋体" w:cs="Times New Roman"/>
          <w:sz w:val="28"/>
          <w:szCs w:val="28"/>
          <w:highlight w:val="none"/>
        </w:rPr>
      </w:pPr>
      <w:bookmarkStart w:id="243" w:name="_Toc14806"/>
      <w:bookmarkStart w:id="244" w:name="_Toc11349"/>
      <w:bookmarkStart w:id="245" w:name="_Toc17193"/>
      <w:r>
        <w:rPr>
          <w:rFonts w:hint="default" w:ascii="Times New Roman" w:hAnsi="Times New Roman" w:eastAsia="Times New Roman" w:cs="Times New Roman"/>
          <w:b/>
          <w:bCs/>
          <w:spacing w:val="1"/>
          <w:sz w:val="28"/>
          <w:szCs w:val="28"/>
          <w:highlight w:val="none"/>
        </w:rPr>
        <w:t>4.1</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自然环境现状调查与评价</w:t>
      </w:r>
      <w:bookmarkEnd w:id="243"/>
      <w:bookmarkEnd w:id="244"/>
      <w:bookmarkEnd w:id="245"/>
    </w:p>
    <w:p>
      <w:pPr>
        <w:spacing w:line="245" w:lineRule="auto"/>
        <w:rPr>
          <w:rFonts w:hint="default" w:ascii="Times New Roman" w:hAnsi="Times New Roman" w:cs="Times New Roman"/>
          <w:sz w:val="21"/>
          <w:highlight w:val="none"/>
        </w:rPr>
      </w:pPr>
    </w:p>
    <w:p>
      <w:pPr>
        <w:spacing w:before="74" w:line="230" w:lineRule="auto"/>
        <w:ind w:left="17"/>
        <w:outlineLvl w:val="2"/>
        <w:rPr>
          <w:rFonts w:hint="default" w:ascii="Times New Roman" w:hAnsi="Times New Roman" w:eastAsia="宋体" w:cs="Times New Roman"/>
          <w:sz w:val="23"/>
          <w:szCs w:val="23"/>
          <w:highlight w:val="none"/>
        </w:rPr>
      </w:pPr>
      <w:bookmarkStart w:id="246" w:name="_Toc403"/>
      <w:bookmarkStart w:id="247" w:name="_Toc22663"/>
      <w:bookmarkStart w:id="248" w:name="_Toc13379"/>
      <w:r>
        <w:rPr>
          <w:rFonts w:hint="default" w:ascii="Times New Roman" w:hAnsi="Times New Roman" w:eastAsia="Times New Roman" w:cs="Times New Roman"/>
          <w:b/>
          <w:bCs/>
          <w:spacing w:val="10"/>
          <w:sz w:val="23"/>
          <w:szCs w:val="23"/>
          <w:highlight w:val="none"/>
        </w:rPr>
        <w:t>4</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1.1</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地理位置</w:t>
      </w:r>
      <w:bookmarkEnd w:id="246"/>
      <w:bookmarkEnd w:id="247"/>
      <w:bookmarkEnd w:id="248"/>
    </w:p>
    <w:p>
      <w:pPr>
        <w:spacing w:line="259" w:lineRule="auto"/>
        <w:rPr>
          <w:rFonts w:hint="default" w:ascii="Times New Roman" w:hAnsi="Times New Roman" w:cs="Times New Roman"/>
          <w:sz w:val="21"/>
          <w:highlight w:val="none"/>
        </w:rPr>
      </w:pPr>
    </w:p>
    <w:p>
      <w:pPr>
        <w:spacing w:before="75" w:line="401" w:lineRule="auto"/>
        <w:ind w:left="21"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遵</w:t>
      </w:r>
      <w:r>
        <w:rPr>
          <w:rFonts w:hint="default" w:ascii="Times New Roman" w:hAnsi="Times New Roman" w:eastAsia="宋体" w:cs="Times New Roman"/>
          <w:spacing w:val="7"/>
          <w:sz w:val="23"/>
          <w:szCs w:val="23"/>
          <w:highlight w:val="none"/>
        </w:rPr>
        <w:t>化市位于河北省东北部，为唐山市所辖县级市，东与迁西县交界，南与唐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山市丰润区、玉</w:t>
      </w:r>
      <w:r>
        <w:rPr>
          <w:rFonts w:hint="default" w:ascii="Times New Roman" w:hAnsi="Times New Roman" w:eastAsia="宋体" w:cs="Times New Roman"/>
          <w:spacing w:val="3"/>
          <w:sz w:val="23"/>
          <w:szCs w:val="23"/>
          <w:highlight w:val="none"/>
        </w:rPr>
        <w:t>田</w:t>
      </w:r>
      <w:r>
        <w:rPr>
          <w:rFonts w:hint="default" w:ascii="Times New Roman" w:hAnsi="Times New Roman" w:eastAsia="宋体" w:cs="Times New Roman"/>
          <w:spacing w:val="2"/>
          <w:sz w:val="23"/>
          <w:szCs w:val="23"/>
          <w:highlight w:val="none"/>
        </w:rPr>
        <w:t>县接壤，西与天津市蓟县相连，北靠长城与承德市兴隆县为邻，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0"/>
          <w:sz w:val="23"/>
          <w:szCs w:val="23"/>
          <w:highlight w:val="none"/>
        </w:rPr>
        <w:t>地理</w:t>
      </w:r>
      <w:r>
        <w:rPr>
          <w:rFonts w:hint="default" w:ascii="Times New Roman" w:hAnsi="Times New Roman" w:eastAsia="宋体" w:cs="Times New Roman"/>
          <w:spacing w:val="17"/>
          <w:sz w:val="23"/>
          <w:szCs w:val="23"/>
          <w:highlight w:val="none"/>
        </w:rPr>
        <w:t>坐</w:t>
      </w:r>
      <w:r>
        <w:rPr>
          <w:rFonts w:hint="default" w:ascii="Times New Roman" w:hAnsi="Times New Roman" w:eastAsia="宋体" w:cs="Times New Roman"/>
          <w:spacing w:val="15"/>
          <w:sz w:val="23"/>
          <w:szCs w:val="23"/>
          <w:highlight w:val="none"/>
        </w:rPr>
        <w:t xml:space="preserve">标位于北纬 </w:t>
      </w:r>
      <w:r>
        <w:rPr>
          <w:rFonts w:hint="default" w:ascii="Times New Roman" w:hAnsi="Times New Roman" w:eastAsia="Times New Roman" w:cs="Times New Roman"/>
          <w:spacing w:val="15"/>
          <w:sz w:val="23"/>
          <w:szCs w:val="23"/>
          <w:highlight w:val="none"/>
        </w:rPr>
        <w:t>39°55′</w:t>
      </w:r>
      <w:r>
        <w:rPr>
          <w:rFonts w:hint="default" w:ascii="Times New Roman" w:hAnsi="Times New Roman" w:eastAsia="宋体" w:cs="Times New Roman"/>
          <w:spacing w:val="15"/>
          <w:sz w:val="23"/>
          <w:szCs w:val="23"/>
          <w:highlight w:val="none"/>
        </w:rPr>
        <w:t>~</w:t>
      </w:r>
      <w:r>
        <w:rPr>
          <w:rFonts w:hint="default" w:ascii="Times New Roman" w:hAnsi="Times New Roman" w:eastAsia="Times New Roman" w:cs="Times New Roman"/>
          <w:spacing w:val="15"/>
          <w:sz w:val="23"/>
          <w:szCs w:val="23"/>
          <w:highlight w:val="none"/>
        </w:rPr>
        <w:t xml:space="preserve">40°22′ </w:t>
      </w:r>
      <w:r>
        <w:rPr>
          <w:rFonts w:hint="default" w:ascii="Times New Roman" w:hAnsi="Times New Roman" w:eastAsia="宋体" w:cs="Times New Roman"/>
          <w:spacing w:val="15"/>
          <w:sz w:val="23"/>
          <w:szCs w:val="23"/>
          <w:highlight w:val="none"/>
        </w:rPr>
        <w:t xml:space="preserve">、东经 </w:t>
      </w:r>
      <w:r>
        <w:rPr>
          <w:rFonts w:hint="default" w:ascii="Times New Roman" w:hAnsi="Times New Roman" w:eastAsia="Times New Roman" w:cs="Times New Roman"/>
          <w:spacing w:val="15"/>
          <w:sz w:val="23"/>
          <w:szCs w:val="23"/>
          <w:highlight w:val="none"/>
        </w:rPr>
        <w:t>117°34′</w:t>
      </w:r>
      <w:r>
        <w:rPr>
          <w:rFonts w:hint="default" w:ascii="Times New Roman" w:hAnsi="Times New Roman" w:eastAsia="宋体" w:cs="Times New Roman"/>
          <w:spacing w:val="15"/>
          <w:sz w:val="23"/>
          <w:szCs w:val="23"/>
          <w:highlight w:val="none"/>
        </w:rPr>
        <w:t>~</w:t>
      </w:r>
      <w:r>
        <w:rPr>
          <w:rFonts w:hint="default" w:ascii="Times New Roman" w:hAnsi="Times New Roman" w:eastAsia="Times New Roman" w:cs="Times New Roman"/>
          <w:spacing w:val="15"/>
          <w:sz w:val="23"/>
          <w:szCs w:val="23"/>
          <w:highlight w:val="none"/>
        </w:rPr>
        <w:t>118°14′</w:t>
      </w:r>
      <w:r>
        <w:rPr>
          <w:rFonts w:hint="default" w:ascii="Times New Roman" w:hAnsi="Times New Roman" w:eastAsia="宋体" w:cs="Times New Roman"/>
          <w:spacing w:val="15"/>
          <w:sz w:val="23"/>
          <w:szCs w:val="23"/>
          <w:highlight w:val="none"/>
        </w:rPr>
        <w:t>之间，全市总面积</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6"/>
          <w:sz w:val="23"/>
          <w:szCs w:val="23"/>
          <w:highlight w:val="none"/>
        </w:rPr>
        <w:t>15</w:t>
      </w:r>
      <w:r>
        <w:rPr>
          <w:rFonts w:hint="default" w:ascii="Times New Roman" w:hAnsi="Times New Roman" w:eastAsia="Times New Roman" w:cs="Times New Roman"/>
          <w:spacing w:val="5"/>
          <w:sz w:val="23"/>
          <w:szCs w:val="23"/>
          <w:highlight w:val="none"/>
        </w:rPr>
        <w:t>2</w:t>
      </w:r>
      <w:r>
        <w:rPr>
          <w:rFonts w:hint="default" w:ascii="Times New Roman" w:hAnsi="Times New Roman" w:eastAsia="Times New Roman" w:cs="Times New Roman"/>
          <w:spacing w:val="3"/>
          <w:sz w:val="23"/>
          <w:szCs w:val="23"/>
          <w:highlight w:val="none"/>
        </w:rPr>
        <w:t>1</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3"/>
          <w:position w:val="8"/>
          <w:sz w:val="15"/>
          <w:szCs w:val="15"/>
          <w:highlight w:val="none"/>
        </w:rPr>
        <w:t xml:space="preserve">2 </w:t>
      </w:r>
      <w:r>
        <w:rPr>
          <w:rFonts w:hint="default" w:ascii="Times New Roman" w:hAnsi="Times New Roman" w:eastAsia="宋体" w:cs="Times New Roman"/>
          <w:spacing w:val="3"/>
          <w:sz w:val="23"/>
          <w:szCs w:val="23"/>
          <w:highlight w:val="none"/>
        </w:rPr>
        <w:t xml:space="preserve">。其中，苏家洼镇位于市境中部偏北，距市区 </w:t>
      </w:r>
      <w:r>
        <w:rPr>
          <w:rFonts w:hint="default" w:ascii="Times New Roman" w:hAnsi="Times New Roman" w:eastAsia="Times New Roman" w:cs="Times New Roman"/>
          <w:spacing w:val="3"/>
          <w:sz w:val="23"/>
          <w:szCs w:val="23"/>
          <w:highlight w:val="none"/>
        </w:rPr>
        <w:t xml:space="preserve">3 </w:t>
      </w:r>
      <w:r>
        <w:rPr>
          <w:rFonts w:hint="default" w:ascii="Times New Roman" w:hAnsi="Times New Roman" w:eastAsia="宋体" w:cs="Times New Roman"/>
          <w:spacing w:val="3"/>
          <w:sz w:val="23"/>
          <w:szCs w:val="23"/>
          <w:highlight w:val="none"/>
        </w:rPr>
        <w:t xml:space="preserve">千米，面积 </w:t>
      </w:r>
      <w:r>
        <w:rPr>
          <w:rFonts w:hint="default" w:ascii="Times New Roman" w:hAnsi="Times New Roman" w:eastAsia="Times New Roman" w:cs="Times New Roman"/>
          <w:spacing w:val="3"/>
          <w:sz w:val="23"/>
          <w:szCs w:val="23"/>
          <w:highlight w:val="none"/>
        </w:rPr>
        <w:t xml:space="preserve">54.2 </w:t>
      </w:r>
      <w:r>
        <w:rPr>
          <w:rFonts w:hint="default" w:ascii="Times New Roman" w:hAnsi="Times New Roman" w:eastAsia="宋体" w:cs="Times New Roman"/>
          <w:spacing w:val="3"/>
          <w:sz w:val="23"/>
          <w:szCs w:val="23"/>
          <w:highlight w:val="none"/>
        </w:rPr>
        <w:t>平方千</w:t>
      </w:r>
      <w:r>
        <w:rPr>
          <w:rFonts w:hint="default" w:ascii="Times New Roman" w:hAnsi="Times New Roman" w:eastAsia="宋体" w:cs="Times New Roman"/>
          <w:sz w:val="23"/>
          <w:szCs w:val="23"/>
          <w:highlight w:val="none"/>
        </w:rPr>
        <w:t xml:space="preserve"> 米。</w:t>
      </w:r>
    </w:p>
    <w:p>
      <w:pPr>
        <w:spacing w:before="3" w:line="401" w:lineRule="auto"/>
        <w:ind w:left="15" w:right="65" w:firstLine="48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本项目位于遵化市苏家洼镇张家坟村南</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9"/>
          <w:sz w:val="23"/>
          <w:szCs w:val="23"/>
          <w:highlight w:val="none"/>
          <w:lang w:val="en-US" w:eastAsia="zh-CN"/>
        </w:rPr>
        <w:t>现有厂区内</w:t>
      </w:r>
      <w:r>
        <w:rPr>
          <w:rFonts w:hint="default" w:ascii="Times New Roman" w:hAnsi="Times New Roman" w:eastAsia="宋体" w:cs="Times New Roman"/>
          <w:spacing w:val="7"/>
          <w:sz w:val="23"/>
          <w:szCs w:val="23"/>
          <w:highlight w:val="none"/>
        </w:rPr>
        <w:t>，厂区中心地理坐标为中心坐标北</w:t>
      </w:r>
      <w:r>
        <w:rPr>
          <w:rFonts w:hint="default" w:ascii="Times New Roman" w:hAnsi="Times New Roman" w:eastAsia="宋体" w:cs="Times New Roman"/>
          <w:spacing w:val="6"/>
          <w:sz w:val="23"/>
          <w:szCs w:val="23"/>
          <w:highlight w:val="none"/>
        </w:rPr>
        <w:t>纬</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0"/>
          <w:sz w:val="23"/>
          <w:szCs w:val="23"/>
          <w:highlight w:val="none"/>
        </w:rPr>
        <w:t>4</w:t>
      </w:r>
      <w:r>
        <w:rPr>
          <w:rFonts w:hint="default" w:ascii="Times New Roman" w:hAnsi="Times New Roman" w:eastAsia="Times New Roman" w:cs="Times New Roman"/>
          <w:spacing w:val="7"/>
          <w:sz w:val="23"/>
          <w:szCs w:val="23"/>
          <w:highlight w:val="none"/>
        </w:rPr>
        <w:t>0</w:t>
      </w:r>
      <w:r>
        <w:rPr>
          <w:rFonts w:hint="default" w:ascii="Times New Roman" w:hAnsi="Times New Roman" w:eastAsia="Times New Roman" w:cs="Times New Roman"/>
          <w:spacing w:val="5"/>
          <w:sz w:val="23"/>
          <w:szCs w:val="23"/>
          <w:highlight w:val="none"/>
        </w:rPr>
        <w:t xml:space="preserve">°14'12.99" </w:t>
      </w:r>
      <w:r>
        <w:rPr>
          <w:rFonts w:hint="default" w:ascii="Times New Roman" w:hAnsi="Times New Roman" w:eastAsia="宋体" w:cs="Times New Roman"/>
          <w:spacing w:val="5"/>
          <w:sz w:val="23"/>
          <w:szCs w:val="23"/>
          <w:highlight w:val="none"/>
        </w:rPr>
        <w:t xml:space="preserve">，东经 </w:t>
      </w:r>
      <w:r>
        <w:rPr>
          <w:rFonts w:hint="default" w:ascii="Times New Roman" w:hAnsi="Times New Roman" w:eastAsia="Times New Roman" w:cs="Times New Roman"/>
          <w:spacing w:val="5"/>
          <w:sz w:val="23"/>
          <w:szCs w:val="23"/>
          <w:highlight w:val="none"/>
        </w:rPr>
        <w:t xml:space="preserve">117°58'19.33" </w:t>
      </w:r>
      <w:r>
        <w:rPr>
          <w:rFonts w:hint="default" w:ascii="Times New Roman" w:hAnsi="Times New Roman" w:eastAsia="宋体" w:cs="Times New Roman"/>
          <w:spacing w:val="5"/>
          <w:sz w:val="23"/>
          <w:szCs w:val="23"/>
          <w:highlight w:val="none"/>
        </w:rPr>
        <w:t>。厂区外东侧为道路，隔道路为空地；南侧、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西</w:t>
      </w:r>
      <w:r>
        <w:rPr>
          <w:rFonts w:hint="default" w:ascii="Times New Roman" w:hAnsi="Times New Roman" w:eastAsia="宋体" w:cs="Times New Roman"/>
          <w:spacing w:val="12"/>
          <w:sz w:val="23"/>
          <w:szCs w:val="23"/>
          <w:highlight w:val="none"/>
        </w:rPr>
        <w:t>侧</w:t>
      </w:r>
      <w:r>
        <w:rPr>
          <w:rFonts w:hint="default" w:ascii="Times New Roman" w:hAnsi="Times New Roman" w:eastAsia="宋体" w:cs="Times New Roman"/>
          <w:spacing w:val="7"/>
          <w:sz w:val="23"/>
          <w:szCs w:val="23"/>
          <w:highlight w:val="none"/>
        </w:rPr>
        <w:t>为空地；北侧为空地，隔空地为张家坟村。本项目最近敏感点为厂界</w:t>
      </w:r>
      <w:r>
        <w:rPr>
          <w:rFonts w:hint="default" w:ascii="Times New Roman" w:hAnsi="Times New Roman" w:eastAsia="宋体" w:cs="Times New Roman"/>
          <w:spacing w:val="6"/>
          <w:sz w:val="23"/>
          <w:szCs w:val="23"/>
          <w:highlight w:val="none"/>
        </w:rPr>
        <w:t xml:space="preserve">北侧约 </w:t>
      </w:r>
      <w:r>
        <w:rPr>
          <w:rFonts w:hint="default" w:ascii="Times New Roman" w:hAnsi="Times New Roman" w:eastAsia="Times New Roman" w:cs="Times New Roman"/>
          <w:spacing w:val="6"/>
          <w:sz w:val="23"/>
          <w:szCs w:val="23"/>
          <w:highlight w:val="none"/>
        </w:rPr>
        <w:t>116</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处的张家坟村</w:t>
      </w:r>
      <w:r>
        <w:rPr>
          <w:rFonts w:hint="default" w:ascii="Times New Roman" w:hAnsi="Times New Roman" w:eastAsia="宋体" w:cs="Times New Roman"/>
          <w:spacing w:val="2"/>
          <w:sz w:val="23"/>
          <w:szCs w:val="23"/>
          <w:highlight w:val="none"/>
        </w:rPr>
        <w:t>。</w:t>
      </w:r>
    </w:p>
    <w:p>
      <w:pPr>
        <w:spacing w:before="76" w:line="230" w:lineRule="auto"/>
        <w:ind w:left="17"/>
        <w:outlineLvl w:val="2"/>
        <w:rPr>
          <w:rFonts w:hint="default" w:ascii="Times New Roman" w:hAnsi="Times New Roman" w:eastAsia="宋体" w:cs="Times New Roman"/>
          <w:sz w:val="23"/>
          <w:szCs w:val="23"/>
          <w:highlight w:val="none"/>
        </w:rPr>
      </w:pPr>
      <w:bookmarkStart w:id="249" w:name="_Toc12122"/>
      <w:bookmarkStart w:id="250" w:name="_Toc5222"/>
      <w:bookmarkStart w:id="251" w:name="_Toc14431"/>
      <w:r>
        <w:rPr>
          <w:rFonts w:hint="default" w:ascii="Times New Roman" w:hAnsi="Times New Roman" w:eastAsia="Times New Roman" w:cs="Times New Roman"/>
          <w:b/>
          <w:bCs/>
          <w:spacing w:val="7"/>
          <w:sz w:val="23"/>
          <w:szCs w:val="23"/>
          <w:highlight w:val="none"/>
        </w:rPr>
        <w:t>4</w:t>
      </w:r>
      <w:r>
        <w:rPr>
          <w:rFonts w:hint="default" w:ascii="Times New Roman" w:hAnsi="Times New Roman" w:eastAsia="Times New Roman" w:cs="Times New Roman"/>
          <w:b/>
          <w:bCs/>
          <w:spacing w:val="6"/>
          <w:sz w:val="23"/>
          <w:szCs w:val="23"/>
          <w:highlight w:val="none"/>
        </w:rPr>
        <w:t>.1.2</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地形、地貌</w:t>
      </w:r>
      <w:bookmarkEnd w:id="249"/>
      <w:bookmarkEnd w:id="250"/>
      <w:bookmarkEnd w:id="251"/>
    </w:p>
    <w:p>
      <w:pPr>
        <w:spacing w:line="257" w:lineRule="auto"/>
        <w:rPr>
          <w:rFonts w:hint="default" w:ascii="Times New Roman" w:hAnsi="Times New Roman" w:cs="Times New Roman"/>
          <w:sz w:val="21"/>
          <w:highlight w:val="none"/>
        </w:rPr>
      </w:pPr>
    </w:p>
    <w:p>
      <w:pPr>
        <w:spacing w:before="75" w:line="401" w:lineRule="auto"/>
        <w:ind w:left="21" w:right="65"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遵</w:t>
      </w:r>
      <w:r>
        <w:rPr>
          <w:rFonts w:hint="default" w:ascii="Times New Roman" w:hAnsi="Times New Roman" w:eastAsia="宋体" w:cs="Times New Roman"/>
          <w:spacing w:val="7"/>
          <w:sz w:val="23"/>
          <w:szCs w:val="23"/>
          <w:highlight w:val="none"/>
        </w:rPr>
        <w:t>化市是燕山南麓著名的山间盆地，周围由燕山余脉环绕，中部为山间冲洪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积平原，其间有一带状山脉把山间平原分成南北两个山间川地，形成了</w:t>
      </w:r>
      <w:r>
        <w:rPr>
          <w:rFonts w:hint="default" w:ascii="Times New Roman" w:hAnsi="Times New Roman" w:eastAsia="Times New Roman" w:cs="Times New Roman"/>
          <w:spacing w:val="11"/>
          <w:sz w:val="23"/>
          <w:szCs w:val="23"/>
          <w:highlight w:val="none"/>
        </w:rPr>
        <w:t>“</w:t>
      </w:r>
      <w:r>
        <w:rPr>
          <w:rFonts w:hint="default" w:ascii="Times New Roman" w:hAnsi="Times New Roman" w:eastAsia="宋体" w:cs="Times New Roman"/>
          <w:spacing w:val="11"/>
          <w:sz w:val="23"/>
          <w:szCs w:val="23"/>
          <w:highlight w:val="none"/>
        </w:rPr>
        <w:t>三山</w:t>
      </w:r>
      <w:r>
        <w:rPr>
          <w:rFonts w:hint="default" w:ascii="Times New Roman" w:hAnsi="Times New Roman" w:eastAsia="宋体" w:cs="Times New Roman"/>
          <w:spacing w:val="5"/>
          <w:sz w:val="23"/>
          <w:szCs w:val="23"/>
          <w:highlight w:val="none"/>
        </w:rPr>
        <w:t>两</w:t>
      </w:r>
    </w:p>
    <w:p>
      <w:pPr>
        <w:spacing w:before="1" w:line="227" w:lineRule="auto"/>
        <w:ind w:left="2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川</w:t>
      </w:r>
      <w:r>
        <w:rPr>
          <w:rFonts w:hint="default" w:ascii="Times New Roman" w:hAnsi="Times New Roman" w:eastAsia="Times New Roman" w:cs="Times New Roman"/>
          <w:spacing w:val="6"/>
          <w:sz w:val="23"/>
          <w:szCs w:val="23"/>
          <w:highlight w:val="none"/>
        </w:rPr>
        <w:t>”</w:t>
      </w:r>
      <w:r>
        <w:rPr>
          <w:rFonts w:hint="default" w:ascii="Times New Roman" w:hAnsi="Times New Roman" w:eastAsia="宋体" w:cs="Times New Roman"/>
          <w:spacing w:val="6"/>
          <w:sz w:val="23"/>
          <w:szCs w:val="23"/>
          <w:highlight w:val="none"/>
        </w:rPr>
        <w:t>的地貌特点</w:t>
      </w:r>
      <w:r>
        <w:rPr>
          <w:rFonts w:hint="default" w:ascii="Times New Roman" w:hAnsi="Times New Roman" w:eastAsia="宋体" w:cs="Times New Roman"/>
          <w:spacing w:val="5"/>
          <w:sz w:val="23"/>
          <w:szCs w:val="23"/>
          <w:highlight w:val="none"/>
        </w:rPr>
        <w:t>。</w:t>
      </w:r>
    </w:p>
    <w:p>
      <w:pPr>
        <w:spacing w:before="180" w:line="404" w:lineRule="auto"/>
        <w:ind w:left="15" w:right="55" w:firstLine="48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5"/>
          <w:sz w:val="23"/>
          <w:szCs w:val="23"/>
          <w:highlight w:val="none"/>
        </w:rPr>
        <w:t xml:space="preserve">全市地势东北高，西南低， 由北向南，高低相间，地势比降 </w:t>
      </w:r>
      <w:r>
        <w:rPr>
          <w:rFonts w:hint="default" w:ascii="Times New Roman" w:hAnsi="Times New Roman" w:eastAsia="Times New Roman" w:cs="Times New Roman"/>
          <w:spacing w:val="5"/>
          <w:sz w:val="23"/>
          <w:szCs w:val="23"/>
          <w:highlight w:val="none"/>
        </w:rPr>
        <w:t xml:space="preserve">15‰ </w:t>
      </w:r>
      <w:r>
        <w:rPr>
          <w:rFonts w:hint="default" w:ascii="Times New Roman" w:hAnsi="Times New Roman" w:eastAsia="宋体" w:cs="Times New Roman"/>
          <w:spacing w:val="5"/>
          <w:sz w:val="23"/>
          <w:szCs w:val="23"/>
          <w:highlight w:val="none"/>
        </w:rPr>
        <w:t>，境</w:t>
      </w:r>
      <w:r>
        <w:rPr>
          <w:rFonts w:hint="default" w:ascii="Times New Roman" w:hAnsi="Times New Roman" w:eastAsia="宋体" w:cs="Times New Roman"/>
          <w:spacing w:val="4"/>
          <w:sz w:val="23"/>
          <w:szCs w:val="23"/>
          <w:highlight w:val="none"/>
        </w:rPr>
        <w:t>内</w:t>
      </w:r>
      <w:r>
        <w:rPr>
          <w:rFonts w:hint="default" w:ascii="Times New Roman" w:hAnsi="Times New Roman" w:eastAsia="宋体" w:cs="Times New Roman"/>
          <w:sz w:val="23"/>
          <w:szCs w:val="23"/>
          <w:highlight w:val="none"/>
        </w:rPr>
        <w:t xml:space="preserve">最 </w:t>
      </w:r>
      <w:r>
        <w:rPr>
          <w:rFonts w:hint="default" w:ascii="Times New Roman" w:hAnsi="Times New Roman" w:eastAsia="宋体" w:cs="Times New Roman"/>
          <w:spacing w:val="1"/>
          <w:sz w:val="23"/>
          <w:szCs w:val="23"/>
          <w:highlight w:val="none"/>
        </w:rPr>
        <w:t>高</w:t>
      </w:r>
      <w:r>
        <w:rPr>
          <w:rFonts w:hint="default" w:ascii="Times New Roman" w:hAnsi="Times New Roman" w:eastAsia="宋体" w:cs="Times New Roman"/>
          <w:sz w:val="23"/>
          <w:szCs w:val="23"/>
          <w:highlight w:val="none"/>
        </w:rPr>
        <w:t xml:space="preserve">山峰海拔 </w:t>
      </w:r>
      <w:r>
        <w:rPr>
          <w:rFonts w:hint="default" w:ascii="Times New Roman" w:hAnsi="Times New Roman" w:eastAsia="Times New Roman" w:cs="Times New Roman"/>
          <w:sz w:val="23"/>
          <w:szCs w:val="23"/>
          <w:highlight w:val="none"/>
        </w:rPr>
        <w:t xml:space="preserve">895m </w:t>
      </w:r>
      <w:r>
        <w:rPr>
          <w:rFonts w:hint="default" w:ascii="Times New Roman" w:hAnsi="Times New Roman" w:eastAsia="宋体" w:cs="Times New Roman"/>
          <w:sz w:val="23"/>
          <w:szCs w:val="23"/>
          <w:highlight w:val="none"/>
        </w:rPr>
        <w:t xml:space="preserve">，蓟运河沿岸地势最低，海拔仅 </w:t>
      </w:r>
      <w:r>
        <w:rPr>
          <w:rFonts w:hint="default" w:ascii="Times New Roman" w:hAnsi="Times New Roman" w:eastAsia="Times New Roman" w:cs="Times New Roman"/>
          <w:sz w:val="23"/>
          <w:szCs w:val="23"/>
          <w:highlight w:val="none"/>
        </w:rPr>
        <w:t xml:space="preserve">20m </w:t>
      </w:r>
      <w:r>
        <w:rPr>
          <w:rFonts w:hint="default" w:ascii="Times New Roman" w:hAnsi="Times New Roman" w:eastAsia="宋体" w:cs="Times New Roman"/>
          <w:sz w:val="23"/>
          <w:szCs w:val="23"/>
          <w:highlight w:val="none"/>
        </w:rPr>
        <w:t xml:space="preserve">。全市山区面积 </w:t>
      </w:r>
      <w:r>
        <w:rPr>
          <w:rFonts w:hint="default" w:ascii="Times New Roman" w:hAnsi="Times New Roman" w:eastAsia="Times New Roman" w:cs="Times New Roman"/>
          <w:sz w:val="23"/>
          <w:szCs w:val="23"/>
          <w:highlight w:val="none"/>
        </w:rPr>
        <w:t>514km</w:t>
      </w:r>
      <w:r>
        <w:rPr>
          <w:rFonts w:hint="default" w:ascii="Times New Roman" w:hAnsi="Times New Roman" w:eastAsia="Times New Roman" w:cs="Times New Roman"/>
          <w:position w:val="8"/>
          <w:sz w:val="15"/>
          <w:szCs w:val="15"/>
          <w:highlight w:val="none"/>
        </w:rPr>
        <w:t>2</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占全市</w:t>
      </w:r>
      <w:r>
        <w:rPr>
          <w:rFonts w:hint="default" w:ascii="Times New Roman" w:hAnsi="Times New Roman" w:eastAsia="宋体" w:cs="Times New Roman"/>
          <w:spacing w:val="1"/>
          <w:sz w:val="23"/>
          <w:szCs w:val="23"/>
          <w:highlight w:val="none"/>
        </w:rPr>
        <w:t xml:space="preserve">总面积的 </w:t>
      </w:r>
      <w:r>
        <w:rPr>
          <w:rFonts w:hint="default" w:ascii="Times New Roman" w:hAnsi="Times New Roman" w:eastAsia="Times New Roman" w:cs="Times New Roman"/>
          <w:spacing w:val="1"/>
          <w:sz w:val="23"/>
          <w:szCs w:val="23"/>
          <w:highlight w:val="none"/>
        </w:rPr>
        <w:t>33.8%</w:t>
      </w:r>
      <w:r>
        <w:rPr>
          <w:rFonts w:hint="default" w:ascii="Times New Roman" w:hAnsi="Times New Roman" w:eastAsia="宋体" w:cs="Times New Roman"/>
          <w:spacing w:val="1"/>
          <w:sz w:val="23"/>
          <w:szCs w:val="23"/>
          <w:highlight w:val="none"/>
        </w:rPr>
        <w:t xml:space="preserve">，丘陵区面积 </w:t>
      </w:r>
      <w:r>
        <w:rPr>
          <w:rFonts w:hint="default" w:ascii="Times New Roman" w:hAnsi="Times New Roman" w:eastAsia="Times New Roman" w:cs="Times New Roman"/>
          <w:spacing w:val="1"/>
          <w:sz w:val="23"/>
          <w:szCs w:val="23"/>
          <w:highlight w:val="none"/>
        </w:rPr>
        <w:t>522</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1"/>
          <w:position w:val="7"/>
          <w:sz w:val="15"/>
          <w:szCs w:val="15"/>
          <w:highlight w:val="none"/>
        </w:rPr>
        <w:t xml:space="preserve">2 </w:t>
      </w:r>
      <w:r>
        <w:rPr>
          <w:rFonts w:hint="default" w:ascii="Times New Roman" w:hAnsi="Times New Roman" w:eastAsia="宋体" w:cs="Times New Roman"/>
          <w:spacing w:val="1"/>
          <w:sz w:val="23"/>
          <w:szCs w:val="23"/>
          <w:highlight w:val="none"/>
        </w:rPr>
        <w:t xml:space="preserve">，占全市面积的 </w:t>
      </w:r>
      <w:r>
        <w:rPr>
          <w:rFonts w:hint="default" w:ascii="Times New Roman" w:hAnsi="Times New Roman" w:eastAsia="Times New Roman" w:cs="Times New Roman"/>
          <w:spacing w:val="1"/>
          <w:sz w:val="23"/>
          <w:szCs w:val="23"/>
          <w:highlight w:val="none"/>
        </w:rPr>
        <w:t>34.2%</w:t>
      </w:r>
      <w:r>
        <w:rPr>
          <w:rFonts w:hint="default" w:ascii="Times New Roman" w:hAnsi="Times New Roman" w:eastAsia="宋体" w:cs="Times New Roman"/>
          <w:spacing w:val="1"/>
          <w:sz w:val="23"/>
          <w:szCs w:val="23"/>
          <w:highlight w:val="none"/>
        </w:rPr>
        <w:t>；平原区面积</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
          <w:sz w:val="23"/>
          <w:szCs w:val="23"/>
          <w:highlight w:val="none"/>
        </w:rPr>
        <w:t>485</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1"/>
          <w:position w:val="8"/>
          <w:sz w:val="15"/>
          <w:szCs w:val="15"/>
          <w:highlight w:val="none"/>
        </w:rPr>
        <w:t xml:space="preserve">2 </w:t>
      </w:r>
      <w:r>
        <w:rPr>
          <w:rFonts w:hint="default" w:ascii="Times New Roman" w:hAnsi="Times New Roman" w:eastAsia="宋体" w:cs="Times New Roman"/>
          <w:spacing w:val="-1"/>
          <w:sz w:val="23"/>
          <w:szCs w:val="23"/>
          <w:highlight w:val="none"/>
        </w:rPr>
        <w:t>， 占</w:t>
      </w:r>
      <w:r>
        <w:rPr>
          <w:rFonts w:hint="default" w:ascii="Times New Roman" w:hAnsi="Times New Roman" w:eastAsia="宋体" w:cs="Times New Roman"/>
          <w:sz w:val="23"/>
          <w:szCs w:val="23"/>
          <w:highlight w:val="none"/>
        </w:rPr>
        <w:t xml:space="preserve">总面积的 </w:t>
      </w:r>
      <w:r>
        <w:rPr>
          <w:rFonts w:hint="default" w:ascii="Times New Roman" w:hAnsi="Times New Roman" w:eastAsia="Times New Roman" w:cs="Times New Roman"/>
          <w:sz w:val="23"/>
          <w:szCs w:val="23"/>
          <w:highlight w:val="none"/>
        </w:rPr>
        <w:t>32%</w:t>
      </w:r>
      <w:r>
        <w:rPr>
          <w:rFonts w:hint="default" w:ascii="Times New Roman" w:hAnsi="Times New Roman" w:eastAsia="宋体" w:cs="Times New Roman"/>
          <w:sz w:val="23"/>
          <w:szCs w:val="23"/>
          <w:highlight w:val="none"/>
        </w:rPr>
        <w:t xml:space="preserve">；平原区地面平坦开阔，地面坡降小于 </w:t>
      </w:r>
      <w:r>
        <w:rPr>
          <w:rFonts w:hint="default" w:ascii="Times New Roman" w:hAnsi="Times New Roman" w:eastAsia="Times New Roman" w:cs="Times New Roman"/>
          <w:sz w:val="23"/>
          <w:szCs w:val="23"/>
          <w:highlight w:val="none"/>
        </w:rPr>
        <w:t xml:space="preserve">1% </w:t>
      </w:r>
      <w:r>
        <w:rPr>
          <w:rFonts w:hint="default" w:ascii="Times New Roman" w:hAnsi="Times New Roman" w:eastAsia="宋体" w:cs="Times New Roman"/>
          <w:sz w:val="23"/>
          <w:szCs w:val="23"/>
          <w:highlight w:val="none"/>
        </w:rPr>
        <w:t xml:space="preserve">，海拔高程 </w:t>
      </w:r>
      <w:r>
        <w:rPr>
          <w:rFonts w:hint="default" w:ascii="Times New Roman" w:hAnsi="Times New Roman" w:eastAsia="Times New Roman" w:cs="Times New Roman"/>
          <w:spacing w:val="28"/>
          <w:sz w:val="23"/>
          <w:szCs w:val="23"/>
          <w:highlight w:val="none"/>
        </w:rPr>
        <w:t>2</w:t>
      </w:r>
      <w:r>
        <w:rPr>
          <w:rFonts w:hint="default" w:ascii="Times New Roman" w:hAnsi="Times New Roman" w:eastAsia="Times New Roman" w:cs="Times New Roman"/>
          <w:spacing w:val="24"/>
          <w:sz w:val="23"/>
          <w:szCs w:val="23"/>
          <w:highlight w:val="none"/>
        </w:rPr>
        <w:t>0</w:t>
      </w:r>
      <w:r>
        <w:rPr>
          <w:rFonts w:hint="default" w:ascii="Times New Roman" w:hAnsi="Times New Roman" w:eastAsia="宋体" w:cs="Times New Roman"/>
          <w:spacing w:val="24"/>
          <w:sz w:val="23"/>
          <w:szCs w:val="23"/>
          <w:highlight w:val="none"/>
        </w:rPr>
        <w:t>~</w:t>
      </w:r>
      <w:r>
        <w:rPr>
          <w:rFonts w:hint="default" w:ascii="Times New Roman" w:hAnsi="Times New Roman" w:eastAsia="Times New Roman" w:cs="Times New Roman"/>
          <w:spacing w:val="24"/>
          <w:sz w:val="23"/>
          <w:szCs w:val="23"/>
          <w:highlight w:val="none"/>
        </w:rPr>
        <w:t>80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24"/>
          <w:sz w:val="23"/>
          <w:szCs w:val="23"/>
          <w:highlight w:val="none"/>
        </w:rPr>
        <w:t>。</w:t>
      </w:r>
    </w:p>
    <w:p>
      <w:pPr>
        <w:spacing w:before="19" w:line="410" w:lineRule="auto"/>
        <w:ind w:left="21" w:right="139" w:firstLine="51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36"/>
          <w:sz w:val="23"/>
          <w:szCs w:val="23"/>
          <w:highlight w:val="none"/>
        </w:rPr>
        <w:t>项</w:t>
      </w:r>
      <w:r>
        <w:rPr>
          <w:rFonts w:hint="default" w:ascii="Times New Roman" w:hAnsi="Times New Roman" w:eastAsia="宋体" w:cs="Times New Roman"/>
          <w:spacing w:val="20"/>
          <w:sz w:val="23"/>
          <w:szCs w:val="23"/>
          <w:highlight w:val="none"/>
        </w:rPr>
        <w:t>目</w:t>
      </w:r>
      <w:r>
        <w:rPr>
          <w:rFonts w:hint="default" w:ascii="Times New Roman" w:hAnsi="Times New Roman" w:eastAsia="宋体" w:cs="Times New Roman"/>
          <w:spacing w:val="18"/>
          <w:sz w:val="23"/>
          <w:szCs w:val="23"/>
          <w:highlight w:val="none"/>
        </w:rPr>
        <w:t>位于遵化市苏家洼镇张家坟村南，属于沙河冲积平原，地形简单，</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3"/>
          <w:sz w:val="23"/>
          <w:szCs w:val="23"/>
          <w:highlight w:val="none"/>
        </w:rPr>
        <w:t>地势较为平坦</w:t>
      </w:r>
      <w:r>
        <w:rPr>
          <w:rFonts w:hint="default" w:ascii="Times New Roman" w:hAnsi="Times New Roman" w:eastAsia="宋体" w:cs="Times New Roman"/>
          <w:spacing w:val="22"/>
          <w:sz w:val="23"/>
          <w:szCs w:val="23"/>
          <w:highlight w:val="none"/>
        </w:rPr>
        <w:t>。</w:t>
      </w:r>
    </w:p>
    <w:p>
      <w:pPr>
        <w:rPr>
          <w:rFonts w:hint="default" w:ascii="Times New Roman" w:hAnsi="Times New Roman" w:cs="Times New Roman"/>
          <w:highlight w:val="none"/>
        </w:rPr>
        <w:sectPr>
          <w:headerReference r:id="rId39" w:type="default"/>
          <w:footerReference r:id="rId40" w:type="default"/>
          <w:pgSz w:w="11906" w:h="16839"/>
          <w:pgMar w:top="1167" w:right="1731" w:bottom="1282" w:left="1785" w:header="897" w:footer="1015" w:gutter="0"/>
          <w:pgBorders>
            <w:top w:val="none" w:sz="0" w:space="0"/>
            <w:left w:val="none" w:sz="0" w:space="0"/>
            <w:bottom w:val="none" w:sz="0" w:space="0"/>
            <w:right w:val="none" w:sz="0" w:space="0"/>
          </w:pgBorders>
          <w:pgNumType w:fmt="decimal"/>
          <w:cols w:space="720" w:num="1"/>
        </w:sectPr>
      </w:pPr>
    </w:p>
    <w:p>
      <w:pPr>
        <w:spacing w:line="391"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140" o:spid="_x0000_s1140" style="position:absolute;left:0pt;margin-left:89.85pt;margin-top:59.05pt;height:0.75pt;width:415.65pt;mso-position-horizontal-relative:page;mso-position-vertical-relative:page;z-index:251701248;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cs="Times New Roman"/>
          <w:highlight w:val="none"/>
        </w:rPr>
        <w:pict>
          <v:shape id="_x0000_s1141" o:spid="_x0000_s1141" style="position:absolute;left:0pt;margin-left:89.85pt;margin-top:776.35pt;height:0.75pt;width:415.65pt;mso-position-horizontal-relative:page;mso-position-vertical-relative:page;z-index:251702272;mso-width-relative:page;mso-height-relative:page;" fillcolor="#FFFFFF" filled="t" stroked="f" coordsize="8312,15" o:allowincell="f" path="m0,0l8312,0,8312,14,0,14,0,0xe">
            <v:path/>
            <v:fill on="t" color2="#FFFFFF" focussize="0,0"/>
            <v:stroke on="f"/>
            <v:imagedata o:title=""/>
            <o:lock v:ext="edit" aspectratio="f"/>
          </v:shape>
        </w:pict>
      </w:r>
    </w:p>
    <w:p>
      <w:pPr>
        <w:spacing w:before="75" w:line="227" w:lineRule="auto"/>
        <w:ind w:left="17"/>
        <w:outlineLvl w:val="2"/>
        <w:rPr>
          <w:rFonts w:hint="default" w:ascii="Times New Roman" w:hAnsi="Times New Roman" w:eastAsia="宋体" w:cs="Times New Roman"/>
          <w:sz w:val="23"/>
          <w:szCs w:val="23"/>
          <w:highlight w:val="none"/>
        </w:rPr>
      </w:pPr>
      <w:bookmarkStart w:id="252" w:name="_Toc3662"/>
      <w:bookmarkStart w:id="253" w:name="_Toc15458"/>
      <w:bookmarkStart w:id="254" w:name="_Toc11161"/>
      <w:r>
        <w:rPr>
          <w:rFonts w:hint="default" w:ascii="Times New Roman" w:hAnsi="Times New Roman" w:eastAsia="Times New Roman" w:cs="Times New Roman"/>
          <w:b/>
          <w:bCs/>
          <w:spacing w:val="10"/>
          <w:sz w:val="23"/>
          <w:szCs w:val="23"/>
          <w:highlight w:val="none"/>
        </w:rPr>
        <w:t>4</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1.3</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地层地质</w:t>
      </w:r>
      <w:bookmarkEnd w:id="252"/>
      <w:bookmarkEnd w:id="253"/>
      <w:bookmarkEnd w:id="254"/>
    </w:p>
    <w:p>
      <w:pPr>
        <w:spacing w:line="260" w:lineRule="auto"/>
        <w:rPr>
          <w:rFonts w:hint="default" w:ascii="Times New Roman" w:hAnsi="Times New Roman" w:cs="Times New Roman"/>
          <w:sz w:val="21"/>
          <w:highlight w:val="none"/>
        </w:rPr>
      </w:pPr>
    </w:p>
    <w:p>
      <w:pPr>
        <w:spacing w:before="74" w:line="227"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1</w:t>
      </w:r>
      <w:r>
        <w:rPr>
          <w:rFonts w:hint="default" w:ascii="Times New Roman" w:hAnsi="Times New Roman" w:eastAsia="宋体" w:cs="Times New Roman"/>
          <w:spacing w:val="20"/>
          <w:sz w:val="23"/>
          <w:szCs w:val="23"/>
          <w:highlight w:val="none"/>
        </w:rPr>
        <w:t>) 地层情</w:t>
      </w:r>
      <w:r>
        <w:rPr>
          <w:rFonts w:hint="default" w:ascii="Times New Roman" w:hAnsi="Times New Roman" w:eastAsia="宋体" w:cs="Times New Roman"/>
          <w:spacing w:val="19"/>
          <w:sz w:val="23"/>
          <w:szCs w:val="23"/>
          <w:highlight w:val="none"/>
        </w:rPr>
        <w:t>况</w:t>
      </w:r>
    </w:p>
    <w:p>
      <w:pPr>
        <w:spacing w:before="217" w:line="401" w:lineRule="auto"/>
        <w:ind w:left="24" w:right="63" w:firstLine="47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遵</w:t>
      </w:r>
      <w:r>
        <w:rPr>
          <w:rFonts w:hint="default" w:ascii="Times New Roman" w:hAnsi="Times New Roman" w:eastAsia="宋体" w:cs="Times New Roman"/>
          <w:spacing w:val="7"/>
          <w:sz w:val="23"/>
          <w:szCs w:val="23"/>
          <w:highlight w:val="none"/>
        </w:rPr>
        <w:t>化市境内出露地层主要有：①太古界迁西群变质岩：下部三屯营组以角闪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二</w:t>
      </w:r>
      <w:r>
        <w:rPr>
          <w:rFonts w:hint="default" w:ascii="Times New Roman" w:hAnsi="Times New Roman" w:eastAsia="宋体" w:cs="Times New Roman"/>
          <w:spacing w:val="7"/>
          <w:sz w:val="23"/>
          <w:szCs w:val="23"/>
          <w:highlight w:val="none"/>
        </w:rPr>
        <w:t>辉斜长片麻岩和黑云斜长片麻岩为主；夹磁铁石英岩，上部马兰峪组，岩性为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紫</w:t>
      </w:r>
      <w:r>
        <w:rPr>
          <w:rFonts w:hint="default" w:ascii="Times New Roman" w:hAnsi="Times New Roman" w:eastAsia="宋体" w:cs="Times New Roman"/>
          <w:spacing w:val="9"/>
          <w:sz w:val="23"/>
          <w:szCs w:val="23"/>
          <w:highlight w:val="none"/>
        </w:rPr>
        <w:t>苏黑云角闪斜长片麻岩，角闪二辉斜长片麻岩，夹数层磁铁石英岩。</w:t>
      </w:r>
    </w:p>
    <w:p>
      <w:pPr>
        <w:spacing w:before="1" w:line="401" w:lineRule="auto"/>
        <w:ind w:left="21" w:right="13"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5"/>
          <w:sz w:val="23"/>
          <w:szCs w:val="23"/>
          <w:highlight w:val="none"/>
        </w:rPr>
        <w:t>②长城系： 由下到上可分为：常州沟组、串岭沟组、大洪峪组及高于庄组</w:t>
      </w:r>
      <w:r>
        <w:rPr>
          <w:rFonts w:hint="default" w:ascii="Times New Roman" w:hAnsi="Times New Roman" w:eastAsia="宋体" w:cs="Times New Roman"/>
          <w:spacing w:val="3"/>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其</w:t>
      </w:r>
      <w:r>
        <w:rPr>
          <w:rFonts w:hint="default" w:ascii="Times New Roman" w:hAnsi="Times New Roman" w:eastAsia="宋体" w:cs="Times New Roman"/>
          <w:spacing w:val="7"/>
          <w:sz w:val="23"/>
          <w:szCs w:val="23"/>
          <w:highlight w:val="none"/>
        </w:rPr>
        <w:t>底部岩性为含砾粗砂岩和砾岩，与下伏太古界片麻岩呈不整合接触，中部为砂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岩</w:t>
      </w:r>
      <w:r>
        <w:rPr>
          <w:rFonts w:hint="default" w:ascii="Times New Roman" w:hAnsi="Times New Roman" w:eastAsia="宋体" w:cs="Times New Roman"/>
          <w:spacing w:val="12"/>
          <w:sz w:val="23"/>
          <w:szCs w:val="23"/>
          <w:highlight w:val="none"/>
        </w:rPr>
        <w:t>、</w:t>
      </w:r>
      <w:r>
        <w:rPr>
          <w:rFonts w:hint="default" w:ascii="Times New Roman" w:hAnsi="Times New Roman" w:eastAsia="宋体" w:cs="Times New Roman"/>
          <w:spacing w:val="9"/>
          <w:sz w:val="23"/>
          <w:szCs w:val="23"/>
          <w:highlight w:val="none"/>
        </w:rPr>
        <w:t>含砾砂岩和砾岩，上部为石灰岩，高于庄组以燧石条带白云岩为主。</w:t>
      </w:r>
    </w:p>
    <w:p>
      <w:pPr>
        <w:spacing w:before="1" w:line="225" w:lineRule="auto"/>
        <w:ind w:left="49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7"/>
          <w:sz w:val="23"/>
          <w:szCs w:val="23"/>
          <w:highlight w:val="none"/>
        </w:rPr>
        <w:t>③</w:t>
      </w:r>
      <w:r>
        <w:rPr>
          <w:rFonts w:hint="default" w:ascii="Times New Roman" w:hAnsi="Times New Roman" w:eastAsia="宋体" w:cs="Times New Roman"/>
          <w:spacing w:val="9"/>
          <w:sz w:val="23"/>
          <w:szCs w:val="23"/>
          <w:highlight w:val="none"/>
        </w:rPr>
        <w:t>蓟县系：可分为杨庄组及雾迷山组，岩性以白云岩为主。</w:t>
      </w:r>
    </w:p>
    <w:p>
      <w:pPr>
        <w:spacing w:before="220" w:line="226" w:lineRule="auto"/>
        <w:ind w:left="49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④</w:t>
      </w:r>
      <w:r>
        <w:rPr>
          <w:rFonts w:hint="default" w:ascii="Times New Roman" w:hAnsi="Times New Roman" w:eastAsia="宋体" w:cs="Times New Roman"/>
          <w:spacing w:val="9"/>
          <w:sz w:val="23"/>
          <w:szCs w:val="23"/>
          <w:highlight w:val="none"/>
        </w:rPr>
        <w:t>青白口系：主要岩性为白云岩、泥质灰岩及砂岩、页岩等。</w:t>
      </w:r>
    </w:p>
    <w:p>
      <w:pPr>
        <w:spacing w:before="216" w:line="402" w:lineRule="auto"/>
        <w:ind w:left="22" w:right="16" w:firstLine="47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3"/>
          <w:sz w:val="23"/>
          <w:szCs w:val="23"/>
          <w:highlight w:val="none"/>
        </w:rPr>
        <w:t>⑤</w:t>
      </w:r>
      <w:r>
        <w:rPr>
          <w:rFonts w:hint="default" w:ascii="Times New Roman" w:hAnsi="Times New Roman" w:eastAsia="宋体" w:cs="Times New Roman"/>
          <w:spacing w:val="8"/>
          <w:sz w:val="23"/>
          <w:szCs w:val="23"/>
          <w:highlight w:val="none"/>
        </w:rPr>
        <w:t xml:space="preserve">第四系：北川平原沉积厚度 </w:t>
      </w:r>
      <w:r>
        <w:rPr>
          <w:rFonts w:hint="default" w:ascii="Times New Roman" w:hAnsi="Times New Roman" w:eastAsia="Times New Roman" w:cs="Times New Roman"/>
          <w:spacing w:val="8"/>
          <w:sz w:val="23"/>
          <w:szCs w:val="23"/>
          <w:highlight w:val="none"/>
        </w:rPr>
        <w:t>150</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350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 xml:space="preserve">，南川平原沉积厚度 </w:t>
      </w:r>
      <w:r>
        <w:rPr>
          <w:rFonts w:hint="default" w:ascii="Times New Roman" w:hAnsi="Times New Roman" w:eastAsia="Times New Roman" w:cs="Times New Roman"/>
          <w:spacing w:val="8"/>
          <w:sz w:val="23"/>
          <w:szCs w:val="23"/>
          <w:highlight w:val="none"/>
        </w:rPr>
        <w:t>100</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150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8"/>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主</w:t>
      </w:r>
      <w:r>
        <w:rPr>
          <w:rFonts w:hint="default" w:ascii="Times New Roman" w:hAnsi="Times New Roman" w:eastAsia="宋体" w:cs="Times New Roman"/>
          <w:spacing w:val="12"/>
          <w:sz w:val="23"/>
          <w:szCs w:val="23"/>
          <w:highlight w:val="none"/>
        </w:rPr>
        <w:t>要</w:t>
      </w:r>
      <w:r>
        <w:rPr>
          <w:rFonts w:hint="default" w:ascii="Times New Roman" w:hAnsi="Times New Roman" w:eastAsia="宋体" w:cs="Times New Roman"/>
          <w:spacing w:val="8"/>
          <w:sz w:val="23"/>
          <w:szCs w:val="23"/>
          <w:highlight w:val="none"/>
        </w:rPr>
        <w:t>岩性为砂砾卵石、粗砂、粘土等。</w:t>
      </w:r>
    </w:p>
    <w:p>
      <w:pPr>
        <w:spacing w:before="2" w:line="401" w:lineRule="auto"/>
        <w:ind w:left="20" w:right="61"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5"/>
          <w:sz w:val="23"/>
          <w:szCs w:val="23"/>
          <w:highlight w:val="none"/>
        </w:rPr>
        <w:t>早</w:t>
      </w:r>
      <w:r>
        <w:rPr>
          <w:rFonts w:hint="default" w:ascii="Times New Roman" w:hAnsi="Times New Roman" w:eastAsia="宋体" w:cs="Times New Roman"/>
          <w:spacing w:val="12"/>
          <w:sz w:val="23"/>
          <w:szCs w:val="23"/>
          <w:highlight w:val="none"/>
        </w:rPr>
        <w:t>更新统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12"/>
          <w:sz w:val="23"/>
          <w:szCs w:val="23"/>
          <w:highlight w:val="none"/>
        </w:rPr>
        <w:t>1</w:t>
      </w:r>
      <w:r>
        <w:rPr>
          <w:rFonts w:hint="default" w:ascii="Times New Roman" w:hAnsi="Times New Roman" w:eastAsia="宋体" w:cs="Times New Roman"/>
          <w:spacing w:val="12"/>
          <w:sz w:val="23"/>
          <w:szCs w:val="23"/>
          <w:highlight w:val="none"/>
        </w:rPr>
        <w:t>) ：主要是一套含粘性土的卵砾石沉积物，并夹有粘砂土、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砂粘</w:t>
      </w:r>
      <w:r>
        <w:rPr>
          <w:rFonts w:hint="default" w:ascii="Times New Roman" w:hAnsi="Times New Roman" w:eastAsia="宋体" w:cs="Times New Roman"/>
          <w:spacing w:val="8"/>
          <w:sz w:val="23"/>
          <w:szCs w:val="23"/>
          <w:highlight w:val="none"/>
        </w:rPr>
        <w:t>土</w:t>
      </w:r>
      <w:r>
        <w:rPr>
          <w:rFonts w:hint="default" w:ascii="Times New Roman" w:hAnsi="Times New Roman" w:eastAsia="宋体" w:cs="Times New Roman"/>
          <w:spacing w:val="6"/>
          <w:sz w:val="23"/>
          <w:szCs w:val="23"/>
          <w:highlight w:val="none"/>
        </w:rPr>
        <w:t xml:space="preserve">土层，其厚度 </w:t>
      </w:r>
      <w:r>
        <w:rPr>
          <w:rFonts w:hint="default" w:ascii="Times New Roman" w:hAnsi="Times New Roman" w:eastAsia="Times New Roman" w:cs="Times New Roman"/>
          <w:spacing w:val="6"/>
          <w:sz w:val="23"/>
          <w:szCs w:val="23"/>
          <w:highlight w:val="none"/>
        </w:rPr>
        <w:t>100</w:t>
      </w:r>
      <w:r>
        <w:rPr>
          <w:rFonts w:hint="default" w:ascii="Times New Roman" w:hAnsi="Times New Roman" w:eastAsia="宋体" w:cs="Times New Roman"/>
          <w:spacing w:val="6"/>
          <w:sz w:val="23"/>
          <w:szCs w:val="23"/>
          <w:highlight w:val="none"/>
        </w:rPr>
        <w:t>~</w:t>
      </w:r>
      <w:r>
        <w:rPr>
          <w:rFonts w:hint="default" w:ascii="Times New Roman" w:hAnsi="Times New Roman" w:eastAsia="Times New Roman" w:cs="Times New Roman"/>
          <w:spacing w:val="6"/>
          <w:sz w:val="23"/>
          <w:szCs w:val="23"/>
          <w:highlight w:val="none"/>
        </w:rPr>
        <w:t>200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。卵砾石层中除石英砂岩外，还有如变质岩、火</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7"/>
          <w:sz w:val="23"/>
          <w:szCs w:val="23"/>
          <w:highlight w:val="none"/>
        </w:rPr>
        <w:t>成</w:t>
      </w:r>
      <w:r>
        <w:rPr>
          <w:rFonts w:hint="default" w:ascii="Times New Roman" w:hAnsi="Times New Roman" w:eastAsia="宋体" w:cs="Times New Roman"/>
          <w:spacing w:val="9"/>
          <w:sz w:val="23"/>
          <w:szCs w:val="23"/>
          <w:highlight w:val="none"/>
        </w:rPr>
        <w:t>岩卵砾石，且多以风化成砂性及粘性土，该层一般不含水。</w:t>
      </w:r>
    </w:p>
    <w:p>
      <w:pPr>
        <w:spacing w:before="1" w:line="401" w:lineRule="auto"/>
        <w:ind w:left="22" w:right="63" w:firstLine="50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2"/>
          <w:sz w:val="23"/>
          <w:szCs w:val="23"/>
          <w:highlight w:val="none"/>
        </w:rPr>
        <w:t>中</w:t>
      </w:r>
      <w:r>
        <w:rPr>
          <w:rFonts w:hint="default" w:ascii="Times New Roman" w:hAnsi="Times New Roman" w:eastAsia="宋体" w:cs="Times New Roman"/>
          <w:spacing w:val="14"/>
          <w:sz w:val="23"/>
          <w:szCs w:val="23"/>
          <w:highlight w:val="none"/>
        </w:rPr>
        <w:t>更</w:t>
      </w:r>
      <w:r>
        <w:rPr>
          <w:rFonts w:hint="default" w:ascii="Times New Roman" w:hAnsi="Times New Roman" w:eastAsia="宋体" w:cs="Times New Roman"/>
          <w:spacing w:val="11"/>
          <w:sz w:val="23"/>
          <w:szCs w:val="23"/>
          <w:highlight w:val="none"/>
        </w:rPr>
        <w:t>新统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11"/>
          <w:sz w:val="23"/>
          <w:szCs w:val="23"/>
          <w:highlight w:val="none"/>
        </w:rPr>
        <w:t>2</w:t>
      </w:r>
      <w:r>
        <w:rPr>
          <w:rFonts w:hint="default" w:ascii="Times New Roman" w:hAnsi="Times New Roman" w:eastAsia="宋体" w:cs="Times New Roman"/>
          <w:spacing w:val="11"/>
          <w:sz w:val="23"/>
          <w:szCs w:val="23"/>
          <w:highlight w:val="none"/>
        </w:rPr>
        <w:t>) ：主要是一套含少量粘性土的卵砾石层的沉积物，卵石有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轻</w:t>
      </w:r>
      <w:r>
        <w:rPr>
          <w:rFonts w:hint="default" w:ascii="Times New Roman" w:hAnsi="Times New Roman" w:eastAsia="宋体" w:cs="Times New Roman"/>
          <w:spacing w:val="7"/>
          <w:sz w:val="23"/>
          <w:szCs w:val="23"/>
          <w:highlight w:val="none"/>
        </w:rPr>
        <w:t>微风化现象，由于构造运动影响，致使该层沉积物在堡子店以西地区大部分裸</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露</w:t>
      </w:r>
      <w:r>
        <w:rPr>
          <w:rFonts w:hint="default" w:ascii="Times New Roman" w:hAnsi="Times New Roman" w:eastAsia="宋体" w:cs="Times New Roman"/>
          <w:spacing w:val="11"/>
          <w:sz w:val="23"/>
          <w:szCs w:val="23"/>
          <w:highlight w:val="none"/>
        </w:rPr>
        <w:t xml:space="preserve">地表，厚度一般 </w:t>
      </w:r>
      <w:r>
        <w:rPr>
          <w:rFonts w:hint="default" w:ascii="Times New Roman" w:hAnsi="Times New Roman" w:eastAsia="Times New Roman" w:cs="Times New Roman"/>
          <w:spacing w:val="11"/>
          <w:sz w:val="23"/>
          <w:szCs w:val="23"/>
          <w:highlight w:val="none"/>
        </w:rPr>
        <w:t>50</w:t>
      </w:r>
      <w:r>
        <w:rPr>
          <w:rFonts w:hint="default" w:ascii="Times New Roman" w:hAnsi="Times New Roman" w:eastAsia="宋体" w:cs="Times New Roman"/>
          <w:spacing w:val="11"/>
          <w:sz w:val="23"/>
          <w:szCs w:val="23"/>
          <w:highlight w:val="none"/>
        </w:rPr>
        <w:t>~</w:t>
      </w:r>
      <w:r>
        <w:rPr>
          <w:rFonts w:hint="default" w:ascii="Times New Roman" w:hAnsi="Times New Roman" w:eastAsia="Times New Roman" w:cs="Times New Roman"/>
          <w:spacing w:val="11"/>
          <w:sz w:val="23"/>
          <w:szCs w:val="23"/>
          <w:highlight w:val="none"/>
        </w:rPr>
        <w:t>60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11"/>
          <w:sz w:val="23"/>
          <w:szCs w:val="23"/>
          <w:highlight w:val="none"/>
        </w:rPr>
        <w:t>。</w:t>
      </w:r>
    </w:p>
    <w:p>
      <w:pPr>
        <w:spacing w:before="2" w:line="400" w:lineRule="auto"/>
        <w:ind w:left="20" w:right="63" w:firstLine="49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2"/>
          <w:sz w:val="23"/>
          <w:szCs w:val="23"/>
          <w:highlight w:val="none"/>
        </w:rPr>
        <w:t>晚更</w:t>
      </w:r>
      <w:r>
        <w:rPr>
          <w:rFonts w:hint="default" w:ascii="Times New Roman" w:hAnsi="Times New Roman" w:eastAsia="宋体" w:cs="Times New Roman"/>
          <w:spacing w:val="13"/>
          <w:sz w:val="23"/>
          <w:szCs w:val="23"/>
          <w:highlight w:val="none"/>
        </w:rPr>
        <w:t>新</w:t>
      </w:r>
      <w:r>
        <w:rPr>
          <w:rFonts w:hint="default" w:ascii="Times New Roman" w:hAnsi="Times New Roman" w:eastAsia="宋体" w:cs="Times New Roman"/>
          <w:spacing w:val="11"/>
          <w:sz w:val="23"/>
          <w:szCs w:val="23"/>
          <w:highlight w:val="none"/>
        </w:rPr>
        <w:t>统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11"/>
          <w:sz w:val="23"/>
          <w:szCs w:val="23"/>
          <w:highlight w:val="none"/>
        </w:rPr>
        <w:t>3</w:t>
      </w:r>
      <w:r>
        <w:rPr>
          <w:rFonts w:hint="default" w:ascii="Times New Roman" w:hAnsi="Times New Roman" w:eastAsia="宋体" w:cs="Times New Roman"/>
          <w:spacing w:val="11"/>
          <w:sz w:val="23"/>
          <w:szCs w:val="23"/>
          <w:highlight w:val="none"/>
        </w:rPr>
        <w:t>) ：主要是一套粘砂土、砂粘土与砂砾石沉积物，厚度一般</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在 </w:t>
      </w:r>
      <w:r>
        <w:rPr>
          <w:rFonts w:hint="default" w:ascii="Times New Roman" w:hAnsi="Times New Roman" w:eastAsia="Times New Roman" w:cs="Times New Roman"/>
          <w:spacing w:val="8"/>
          <w:sz w:val="23"/>
          <w:szCs w:val="23"/>
          <w:highlight w:val="none"/>
        </w:rPr>
        <w:t>20</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40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，在北川平原东部地区广泛分布</w:t>
      </w:r>
      <w:r>
        <w:rPr>
          <w:rFonts w:hint="default" w:ascii="Times New Roman" w:hAnsi="Times New Roman" w:eastAsia="宋体" w:cs="Times New Roman"/>
          <w:spacing w:val="3"/>
          <w:sz w:val="23"/>
          <w:szCs w:val="23"/>
          <w:highlight w:val="none"/>
        </w:rPr>
        <w:t>。</w:t>
      </w:r>
    </w:p>
    <w:p>
      <w:pPr>
        <w:spacing w:before="1" w:line="401" w:lineRule="auto"/>
        <w:ind w:left="23" w:right="91" w:firstLine="47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全新统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9"/>
          <w:sz w:val="23"/>
          <w:szCs w:val="23"/>
          <w:highlight w:val="none"/>
        </w:rPr>
        <w:t>4</w:t>
      </w:r>
      <w:r>
        <w:rPr>
          <w:rFonts w:hint="default" w:ascii="Times New Roman" w:hAnsi="Times New Roman" w:eastAsia="宋体" w:cs="Times New Roman"/>
          <w:spacing w:val="9"/>
          <w:sz w:val="23"/>
          <w:szCs w:val="23"/>
          <w:highlight w:val="none"/>
        </w:rPr>
        <w:t xml:space="preserve">) ：为粘砂土、中粗砂及砂砾卵石沉积物，厚度一般 </w:t>
      </w:r>
      <w:r>
        <w:rPr>
          <w:rFonts w:hint="default" w:ascii="Times New Roman" w:hAnsi="Times New Roman" w:eastAsia="Times New Roman" w:cs="Times New Roman"/>
          <w:spacing w:val="9"/>
          <w:sz w:val="23"/>
          <w:szCs w:val="23"/>
          <w:highlight w:val="none"/>
        </w:rPr>
        <w:t>5</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15</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分</w:t>
      </w:r>
      <w:r>
        <w:rPr>
          <w:rFonts w:hint="default" w:ascii="Times New Roman" w:hAnsi="Times New Roman" w:eastAsia="宋体" w:cs="Times New Roman"/>
          <w:spacing w:val="7"/>
          <w:sz w:val="23"/>
          <w:szCs w:val="23"/>
          <w:highlight w:val="none"/>
        </w:rPr>
        <w:t>布于近代河川两侧。</w:t>
      </w:r>
    </w:p>
    <w:p>
      <w:pPr>
        <w:spacing w:before="1" w:line="228"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2</w:t>
      </w:r>
      <w:r>
        <w:rPr>
          <w:rFonts w:hint="default" w:ascii="Times New Roman" w:hAnsi="Times New Roman" w:eastAsia="宋体" w:cs="Times New Roman"/>
          <w:spacing w:val="20"/>
          <w:sz w:val="23"/>
          <w:szCs w:val="23"/>
          <w:highlight w:val="none"/>
        </w:rPr>
        <w:t>) 地质构</w:t>
      </w:r>
      <w:r>
        <w:rPr>
          <w:rFonts w:hint="default" w:ascii="Times New Roman" w:hAnsi="Times New Roman" w:eastAsia="宋体" w:cs="Times New Roman"/>
          <w:spacing w:val="19"/>
          <w:sz w:val="23"/>
          <w:szCs w:val="23"/>
          <w:highlight w:val="none"/>
        </w:rPr>
        <w:t>造</w:t>
      </w:r>
    </w:p>
    <w:p>
      <w:pPr>
        <w:spacing w:before="214" w:line="405" w:lineRule="auto"/>
        <w:ind w:left="20"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遵</w:t>
      </w:r>
      <w:r>
        <w:rPr>
          <w:rFonts w:hint="default" w:ascii="Times New Roman" w:hAnsi="Times New Roman" w:eastAsia="宋体" w:cs="Times New Roman"/>
          <w:spacing w:val="5"/>
          <w:sz w:val="23"/>
          <w:szCs w:val="23"/>
          <w:highlight w:val="none"/>
        </w:rPr>
        <w:t>化市地处燕山台褶带(Ⅱ级构造单元) ，马兰峪复式背斜(Ⅲ级构造单元)，</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遵</w:t>
      </w:r>
      <w:r>
        <w:rPr>
          <w:rFonts w:hint="default" w:ascii="Times New Roman" w:hAnsi="Times New Roman" w:eastAsia="宋体" w:cs="Times New Roman"/>
          <w:spacing w:val="9"/>
          <w:sz w:val="23"/>
          <w:szCs w:val="23"/>
          <w:highlight w:val="none"/>
        </w:rPr>
        <w:t>化穹褶束，区内主要构造有：马兰峪</w:t>
      </w:r>
      <w:r>
        <w:rPr>
          <w:rFonts w:hint="default" w:ascii="Times New Roman" w:hAnsi="Times New Roman" w:eastAsia="Times New Roman" w:cs="Times New Roman"/>
          <w:spacing w:val="9"/>
          <w:sz w:val="23"/>
          <w:szCs w:val="23"/>
          <w:highlight w:val="none"/>
        </w:rPr>
        <w:t>—</w:t>
      </w:r>
      <w:r>
        <w:rPr>
          <w:rFonts w:hint="default" w:ascii="Times New Roman" w:hAnsi="Times New Roman" w:eastAsia="宋体" w:cs="Times New Roman"/>
          <w:spacing w:val="9"/>
          <w:sz w:val="23"/>
          <w:szCs w:val="23"/>
          <w:highlight w:val="none"/>
        </w:rPr>
        <w:t>侯家寨</w:t>
      </w:r>
      <w:r>
        <w:rPr>
          <w:rFonts w:hint="default" w:ascii="Times New Roman" w:hAnsi="Times New Roman" w:eastAsia="Times New Roman" w:cs="Times New Roman"/>
          <w:spacing w:val="9"/>
          <w:sz w:val="23"/>
          <w:szCs w:val="23"/>
          <w:highlight w:val="none"/>
        </w:rPr>
        <w:t>—</w:t>
      </w:r>
      <w:r>
        <w:rPr>
          <w:rFonts w:hint="default" w:ascii="Times New Roman" w:hAnsi="Times New Roman" w:eastAsia="宋体" w:cs="Times New Roman"/>
          <w:spacing w:val="9"/>
          <w:sz w:val="23"/>
          <w:szCs w:val="23"/>
          <w:highlight w:val="none"/>
        </w:rPr>
        <w:t>三屯营背斜，走向近东西向，</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由</w:t>
      </w:r>
      <w:r>
        <w:rPr>
          <w:rFonts w:hint="default" w:ascii="Times New Roman" w:hAnsi="Times New Roman" w:eastAsia="宋体" w:cs="Times New Roman"/>
          <w:spacing w:val="7"/>
          <w:sz w:val="23"/>
          <w:szCs w:val="23"/>
          <w:highlight w:val="none"/>
        </w:rPr>
        <w:t>太古界片麻岩组成背斜轴部。次一级构造有磨台寺</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五虎岭向斜、党峪</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大官</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屯</w:t>
      </w:r>
      <w:r>
        <w:rPr>
          <w:rFonts w:hint="default" w:ascii="Times New Roman" w:hAnsi="Times New Roman" w:eastAsia="宋体" w:cs="Times New Roman"/>
          <w:spacing w:val="11"/>
          <w:sz w:val="23"/>
          <w:szCs w:val="23"/>
          <w:highlight w:val="none"/>
        </w:rPr>
        <w:t>背</w:t>
      </w:r>
      <w:r>
        <w:rPr>
          <w:rFonts w:hint="default" w:ascii="Times New Roman" w:hAnsi="Times New Roman" w:eastAsia="宋体" w:cs="Times New Roman"/>
          <w:spacing w:val="8"/>
          <w:sz w:val="23"/>
          <w:szCs w:val="23"/>
          <w:highlight w:val="none"/>
        </w:rPr>
        <w:t>斜，主要由长城系地层组成。</w:t>
      </w:r>
    </w:p>
    <w:p>
      <w:pPr>
        <w:rPr>
          <w:rFonts w:hint="default" w:ascii="Times New Roman" w:hAnsi="Times New Roman" w:cs="Times New Roman"/>
          <w:highlight w:val="none"/>
        </w:rPr>
        <w:sectPr>
          <w:headerReference r:id="rId41" w:type="default"/>
          <w:footerReference r:id="rId42" w:type="default"/>
          <w:pgSz w:w="11906" w:h="16839"/>
          <w:pgMar w:top="1167" w:right="1733" w:bottom="1282" w:left="1785" w:header="897" w:footer="1015" w:gutter="0"/>
          <w:pgBorders>
            <w:top w:val="none" w:sz="0" w:space="0"/>
            <w:left w:val="none" w:sz="0" w:space="0"/>
            <w:bottom w:val="none" w:sz="0" w:space="0"/>
            <w:right w:val="none" w:sz="0" w:space="0"/>
          </w:pgBorders>
          <w:pgNumType w:fmt="decimal"/>
          <w:cols w:space="720" w:num="1"/>
        </w:sectPr>
      </w:pPr>
    </w:p>
    <w:p>
      <w:pPr>
        <w:spacing w:line="390"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142" o:spid="_x0000_s1142" style="position:absolute;left:0pt;margin-left:89.85pt;margin-top:59.05pt;height:0.75pt;width:415.65pt;mso-position-horizontal-relative:page;mso-position-vertical-relative:page;z-index:251703296;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cs="Times New Roman"/>
          <w:highlight w:val="none"/>
        </w:rPr>
        <w:pict>
          <v:shape id="_x0000_s1143" o:spid="_x0000_s1143" style="position:absolute;left:0pt;margin-left:89.85pt;margin-top:776.35pt;height:0.75pt;width:415.65pt;mso-position-horizontal-relative:page;mso-position-vertical-relative:page;z-index:251704320;mso-width-relative:page;mso-height-relative:page;" fillcolor="#FFFFFF" filled="t" stroked="f" coordsize="8312,15" o:allowincell="f" path="m0,0l8312,0,8312,14,0,14,0,0xe">
            <v:path/>
            <v:fill on="t" color2="#FFFFFF" focussize="0,0"/>
            <v:stroke on="f"/>
            <v:imagedata o:title=""/>
            <o:lock v:ext="edit" aspectratio="f"/>
          </v:shape>
        </w:pict>
      </w:r>
    </w:p>
    <w:p>
      <w:pPr>
        <w:spacing w:before="75" w:line="401" w:lineRule="auto"/>
        <w:ind w:left="23" w:right="11" w:firstLine="47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遵</w:t>
      </w:r>
      <w:r>
        <w:rPr>
          <w:rFonts w:hint="default" w:ascii="Times New Roman" w:hAnsi="Times New Roman" w:eastAsia="宋体" w:cs="Times New Roman"/>
          <w:spacing w:val="7"/>
          <w:sz w:val="23"/>
          <w:szCs w:val="23"/>
          <w:highlight w:val="none"/>
        </w:rPr>
        <w:t>化市境内断裂构造，主要是北西向和东西向断裂规模较大，北西向的断裂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大</w:t>
      </w:r>
      <w:r>
        <w:rPr>
          <w:rFonts w:hint="default" w:ascii="Times New Roman" w:hAnsi="Times New Roman" w:eastAsia="宋体" w:cs="Times New Roman"/>
          <w:spacing w:val="8"/>
          <w:sz w:val="23"/>
          <w:szCs w:val="23"/>
          <w:highlight w:val="none"/>
        </w:rPr>
        <w:t>部分被后期的煌斑岩充填。</w:t>
      </w:r>
    </w:p>
    <w:p>
      <w:pPr>
        <w:spacing w:line="228" w:lineRule="auto"/>
        <w:ind w:left="50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项</w:t>
      </w:r>
      <w:r>
        <w:rPr>
          <w:rFonts w:hint="default" w:ascii="Times New Roman" w:hAnsi="Times New Roman" w:eastAsia="宋体" w:cs="Times New Roman"/>
          <w:spacing w:val="8"/>
          <w:sz w:val="23"/>
          <w:szCs w:val="23"/>
          <w:highlight w:val="none"/>
        </w:rPr>
        <w:t>目区域内未发现全新世活动断裂。</w:t>
      </w:r>
    </w:p>
    <w:p>
      <w:pPr>
        <w:spacing w:line="261" w:lineRule="auto"/>
        <w:rPr>
          <w:rFonts w:hint="default" w:ascii="Times New Roman" w:hAnsi="Times New Roman" w:cs="Times New Roman"/>
          <w:sz w:val="21"/>
          <w:highlight w:val="none"/>
        </w:rPr>
      </w:pPr>
    </w:p>
    <w:p>
      <w:pPr>
        <w:spacing w:before="74" w:line="228" w:lineRule="auto"/>
        <w:ind w:left="17"/>
        <w:outlineLvl w:val="2"/>
        <w:rPr>
          <w:rFonts w:hint="default" w:ascii="Times New Roman" w:hAnsi="Times New Roman" w:eastAsia="宋体" w:cs="Times New Roman"/>
          <w:sz w:val="23"/>
          <w:szCs w:val="23"/>
          <w:highlight w:val="none"/>
        </w:rPr>
      </w:pPr>
      <w:bookmarkStart w:id="255" w:name="_Toc8446"/>
      <w:bookmarkStart w:id="256" w:name="_Toc7646"/>
      <w:bookmarkStart w:id="257" w:name="_Toc28777"/>
      <w:r>
        <w:rPr>
          <w:rFonts w:hint="default" w:ascii="Times New Roman" w:hAnsi="Times New Roman" w:eastAsia="Times New Roman" w:cs="Times New Roman"/>
          <w:b/>
          <w:bCs/>
          <w:spacing w:val="10"/>
          <w:sz w:val="23"/>
          <w:szCs w:val="23"/>
          <w:highlight w:val="none"/>
        </w:rPr>
        <w:t>4</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1.4</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水文地质</w:t>
      </w:r>
      <w:bookmarkEnd w:id="255"/>
      <w:bookmarkEnd w:id="256"/>
      <w:bookmarkEnd w:id="257"/>
    </w:p>
    <w:p>
      <w:pPr>
        <w:spacing w:line="259" w:lineRule="auto"/>
        <w:rPr>
          <w:rFonts w:hint="default" w:ascii="Times New Roman" w:hAnsi="Times New Roman" w:cs="Times New Roman"/>
          <w:sz w:val="21"/>
          <w:highlight w:val="none"/>
        </w:rPr>
      </w:pPr>
    </w:p>
    <w:p>
      <w:pPr>
        <w:spacing w:before="75" w:line="401" w:lineRule="auto"/>
        <w:ind w:left="21" w:right="11"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遵</w:t>
      </w:r>
      <w:r>
        <w:rPr>
          <w:rFonts w:hint="default" w:ascii="Times New Roman" w:hAnsi="Times New Roman" w:eastAsia="宋体" w:cs="Times New Roman"/>
          <w:spacing w:val="7"/>
          <w:sz w:val="23"/>
          <w:szCs w:val="23"/>
          <w:highlight w:val="none"/>
        </w:rPr>
        <w:t>化市境内地下水赋存条件及其富水程度，主要受岩性、地貌，以及地下水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补</w:t>
      </w:r>
      <w:r>
        <w:rPr>
          <w:rFonts w:hint="default" w:ascii="Times New Roman" w:hAnsi="Times New Roman" w:eastAsia="宋体" w:cs="Times New Roman"/>
          <w:spacing w:val="7"/>
          <w:sz w:val="23"/>
          <w:szCs w:val="23"/>
          <w:highlight w:val="none"/>
        </w:rPr>
        <w:t>给条件控制，项目区域潜层地下水属于松散岩类孔隙含水岩组，松散岩类孔隙</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含</w:t>
      </w:r>
      <w:r>
        <w:rPr>
          <w:rFonts w:hint="default" w:ascii="Times New Roman" w:hAnsi="Times New Roman" w:eastAsia="宋体" w:cs="Times New Roman"/>
          <w:spacing w:val="8"/>
          <w:sz w:val="23"/>
          <w:szCs w:val="23"/>
          <w:highlight w:val="none"/>
        </w:rPr>
        <w:t>水岩组划分为六个含水亚组。</w:t>
      </w:r>
    </w:p>
    <w:p>
      <w:pPr>
        <w:spacing w:before="2" w:line="399" w:lineRule="auto"/>
        <w:ind w:left="22" w:right="8"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①极富</w:t>
      </w:r>
      <w:r>
        <w:rPr>
          <w:rFonts w:hint="default" w:ascii="Times New Roman" w:hAnsi="Times New Roman" w:eastAsia="宋体" w:cs="Times New Roman"/>
          <w:spacing w:val="9"/>
          <w:sz w:val="23"/>
          <w:szCs w:val="23"/>
          <w:highlight w:val="none"/>
        </w:rPr>
        <w:t>水</w:t>
      </w:r>
      <w:r>
        <w:rPr>
          <w:rFonts w:hint="default" w:ascii="Times New Roman" w:hAnsi="Times New Roman" w:eastAsia="宋体" w:cs="Times New Roman"/>
          <w:spacing w:val="5"/>
          <w:sz w:val="23"/>
          <w:szCs w:val="23"/>
          <w:highlight w:val="none"/>
        </w:rPr>
        <w:t xml:space="preserve">亚组：为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5"/>
          <w:position w:val="-1"/>
          <w:sz w:val="15"/>
          <w:szCs w:val="15"/>
          <w:highlight w:val="none"/>
        </w:rPr>
        <w:t xml:space="preserve">4 </w:t>
      </w:r>
      <w:r>
        <w:rPr>
          <w:rFonts w:hint="default" w:ascii="Times New Roman" w:hAnsi="Times New Roman" w:eastAsia="宋体" w:cs="Times New Roman"/>
          <w:spacing w:val="5"/>
          <w:sz w:val="23"/>
          <w:szCs w:val="23"/>
          <w:highlight w:val="none"/>
        </w:rPr>
        <w:t xml:space="preserve">及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5"/>
          <w:position w:val="-1"/>
          <w:sz w:val="15"/>
          <w:szCs w:val="15"/>
          <w:highlight w:val="none"/>
        </w:rPr>
        <w:t xml:space="preserve">3 </w:t>
      </w:r>
      <w:r>
        <w:rPr>
          <w:rFonts w:hint="default" w:ascii="Times New Roman" w:hAnsi="Times New Roman" w:eastAsia="宋体" w:cs="Times New Roman"/>
          <w:spacing w:val="5"/>
          <w:sz w:val="23"/>
          <w:szCs w:val="23"/>
          <w:highlight w:val="none"/>
        </w:rPr>
        <w:t xml:space="preserve">冲洪积卵砾石层，及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5"/>
          <w:position w:val="-1"/>
          <w:sz w:val="15"/>
          <w:szCs w:val="15"/>
          <w:highlight w:val="none"/>
        </w:rPr>
        <w:t xml:space="preserve">2 </w:t>
      </w:r>
      <w:r>
        <w:rPr>
          <w:rFonts w:hint="default" w:ascii="Times New Roman" w:hAnsi="Times New Roman" w:eastAsia="宋体" w:cs="Times New Roman"/>
          <w:spacing w:val="5"/>
          <w:sz w:val="23"/>
          <w:szCs w:val="23"/>
          <w:highlight w:val="none"/>
        </w:rPr>
        <w:t>的砾石层。卵砾石层占</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 xml:space="preserve">开采深度的 </w:t>
      </w:r>
      <w:r>
        <w:rPr>
          <w:rFonts w:hint="default" w:ascii="Times New Roman" w:hAnsi="Times New Roman" w:eastAsia="Times New Roman" w:cs="Times New Roman"/>
          <w:spacing w:val="10"/>
          <w:sz w:val="23"/>
          <w:szCs w:val="23"/>
          <w:highlight w:val="none"/>
        </w:rPr>
        <w:t>70</w:t>
      </w:r>
      <w:r>
        <w:rPr>
          <w:rFonts w:hint="default" w:ascii="Times New Roman" w:hAnsi="Times New Roman" w:eastAsia="宋体" w:cs="Times New Roman"/>
          <w:spacing w:val="10"/>
          <w:sz w:val="23"/>
          <w:szCs w:val="23"/>
          <w:highlight w:val="none"/>
        </w:rPr>
        <w:t>~</w:t>
      </w:r>
      <w:r>
        <w:rPr>
          <w:rFonts w:hint="default" w:ascii="Times New Roman" w:hAnsi="Times New Roman" w:eastAsia="Times New Roman" w:cs="Times New Roman"/>
          <w:spacing w:val="10"/>
          <w:sz w:val="23"/>
          <w:szCs w:val="23"/>
          <w:highlight w:val="none"/>
        </w:rPr>
        <w:t>80</w:t>
      </w:r>
      <w:r>
        <w:rPr>
          <w:rFonts w:hint="default" w:ascii="Times New Roman" w:hAnsi="Times New Roman" w:eastAsia="宋体" w:cs="Times New Roman"/>
          <w:spacing w:val="10"/>
          <w:sz w:val="23"/>
          <w:szCs w:val="23"/>
          <w:highlight w:val="none"/>
        </w:rPr>
        <w:t xml:space="preserve">％，单井涌水量 </w:t>
      </w:r>
      <w:r>
        <w:rPr>
          <w:rFonts w:hint="default" w:ascii="Times New Roman" w:hAnsi="Times New Roman" w:eastAsia="Times New Roman" w:cs="Times New Roman"/>
          <w:spacing w:val="10"/>
          <w:sz w:val="23"/>
          <w:szCs w:val="23"/>
          <w:highlight w:val="none"/>
        </w:rPr>
        <w:t>100</w:t>
      </w:r>
      <w:r>
        <w:rPr>
          <w:rFonts w:hint="default" w:ascii="Times New Roman" w:hAnsi="Times New Roman" w:eastAsia="宋体" w:cs="Times New Roman"/>
          <w:spacing w:val="10"/>
          <w:sz w:val="23"/>
          <w:szCs w:val="23"/>
          <w:highlight w:val="none"/>
        </w:rPr>
        <w:t>~</w:t>
      </w:r>
      <w:r>
        <w:rPr>
          <w:rFonts w:hint="default" w:ascii="Times New Roman" w:hAnsi="Times New Roman" w:eastAsia="Times New Roman" w:cs="Times New Roman"/>
          <w:spacing w:val="10"/>
          <w:sz w:val="23"/>
          <w:szCs w:val="23"/>
          <w:highlight w:val="none"/>
        </w:rPr>
        <w:t>200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0"/>
          <w:position w:val="7"/>
          <w:sz w:val="15"/>
          <w:szCs w:val="15"/>
          <w:highlight w:val="none"/>
        </w:rPr>
        <w:t>3</w:t>
      </w:r>
      <w:r>
        <w:rPr>
          <w:rFonts w:hint="default" w:ascii="Times New Roman" w:hAnsi="Times New Roman" w:eastAsia="Times New Roman" w:cs="Times New Roman"/>
          <w:spacing w:val="10"/>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10"/>
          <w:sz w:val="23"/>
          <w:szCs w:val="23"/>
          <w:highlight w:val="none"/>
        </w:rPr>
        <w:t xml:space="preserve"> </w:t>
      </w:r>
      <w:r>
        <w:rPr>
          <w:rFonts w:hint="default" w:ascii="Times New Roman" w:hAnsi="Times New Roman" w:eastAsia="宋体" w:cs="Times New Roman"/>
          <w:spacing w:val="10"/>
          <w:sz w:val="23"/>
          <w:szCs w:val="23"/>
          <w:highlight w:val="none"/>
        </w:rPr>
        <w:t xml:space="preserve">，水位埋深 </w:t>
      </w:r>
      <w:r>
        <w:rPr>
          <w:rFonts w:hint="default" w:ascii="Times New Roman" w:hAnsi="Times New Roman" w:eastAsia="Times New Roman" w:cs="Times New Roman"/>
          <w:spacing w:val="10"/>
          <w:sz w:val="23"/>
          <w:szCs w:val="23"/>
          <w:highlight w:val="none"/>
        </w:rPr>
        <w:t>12</w:t>
      </w:r>
      <w:r>
        <w:rPr>
          <w:rFonts w:hint="default" w:ascii="Times New Roman" w:hAnsi="Times New Roman" w:eastAsia="宋体" w:cs="Times New Roman"/>
          <w:spacing w:val="10"/>
          <w:sz w:val="23"/>
          <w:szCs w:val="23"/>
          <w:highlight w:val="none"/>
        </w:rPr>
        <w:t>~</w:t>
      </w:r>
      <w:r>
        <w:rPr>
          <w:rFonts w:hint="default" w:ascii="Times New Roman" w:hAnsi="Times New Roman" w:eastAsia="Times New Roman" w:cs="Times New Roman"/>
          <w:spacing w:val="10"/>
          <w:sz w:val="23"/>
          <w:szCs w:val="23"/>
          <w:highlight w:val="none"/>
        </w:rPr>
        <w:t>15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0"/>
          <w:sz w:val="23"/>
          <w:szCs w:val="23"/>
          <w:highlight w:val="none"/>
        </w:rPr>
        <w:t xml:space="preserve"> </w:t>
      </w:r>
      <w:r>
        <w:rPr>
          <w:rFonts w:hint="default" w:ascii="Times New Roman" w:hAnsi="Times New Roman" w:eastAsia="宋体" w:cs="Times New Roman"/>
          <w:spacing w:val="10"/>
          <w:sz w:val="23"/>
          <w:szCs w:val="23"/>
          <w:highlight w:val="none"/>
        </w:rPr>
        <w:t>。分布</w:t>
      </w:r>
      <w:r>
        <w:rPr>
          <w:rFonts w:hint="default" w:ascii="Times New Roman" w:hAnsi="Times New Roman" w:eastAsia="宋体" w:cs="Times New Roman"/>
          <w:spacing w:val="4"/>
          <w:sz w:val="23"/>
          <w:szCs w:val="23"/>
          <w:highlight w:val="none"/>
        </w:rPr>
        <w:t>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北</w:t>
      </w:r>
      <w:r>
        <w:rPr>
          <w:rFonts w:hint="default" w:ascii="Times New Roman" w:hAnsi="Times New Roman" w:eastAsia="宋体" w:cs="Times New Roman"/>
          <w:spacing w:val="7"/>
          <w:sz w:val="23"/>
          <w:szCs w:val="23"/>
          <w:highlight w:val="none"/>
        </w:rPr>
        <w:t>川平原，其东部位于冲洪积扇上部，西部位于冲洪积扇下部。此含水亚组为遵</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化</w:t>
      </w:r>
      <w:r>
        <w:rPr>
          <w:rFonts w:hint="default" w:ascii="Times New Roman" w:hAnsi="Times New Roman" w:eastAsia="宋体" w:cs="Times New Roman"/>
          <w:spacing w:val="9"/>
          <w:sz w:val="23"/>
          <w:szCs w:val="23"/>
          <w:highlight w:val="none"/>
        </w:rPr>
        <w:t>市</w:t>
      </w:r>
      <w:r>
        <w:rPr>
          <w:rFonts w:hint="default" w:ascii="Times New Roman" w:hAnsi="Times New Roman" w:eastAsia="宋体" w:cs="Times New Roman"/>
          <w:spacing w:val="8"/>
          <w:sz w:val="23"/>
          <w:szCs w:val="23"/>
          <w:highlight w:val="none"/>
        </w:rPr>
        <w:t>教厂水源地的主要开采层段。</w:t>
      </w:r>
    </w:p>
    <w:p>
      <w:pPr>
        <w:spacing w:before="8" w:line="400" w:lineRule="auto"/>
        <w:ind w:left="23" w:right="11" w:firstLine="47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 xml:space="preserve">②富水亚组：为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6"/>
          <w:position w:val="-1"/>
          <w:sz w:val="15"/>
          <w:szCs w:val="15"/>
          <w:highlight w:val="none"/>
        </w:rPr>
        <w:t>3</w:t>
      </w:r>
      <w:r>
        <w:rPr>
          <w:rFonts w:hint="default" w:ascii="Times New Roman" w:hAnsi="Times New Roman" w:eastAsia="Times New Roman" w:cs="Times New Roman"/>
          <w:spacing w:val="4"/>
          <w:position w:val="-1"/>
          <w:sz w:val="15"/>
          <w:szCs w:val="15"/>
          <w:highlight w:val="none"/>
        </w:rPr>
        <w:t xml:space="preserve"> </w:t>
      </w:r>
      <w:r>
        <w:rPr>
          <w:rFonts w:hint="default" w:ascii="Times New Roman" w:hAnsi="Times New Roman" w:eastAsia="宋体" w:cs="Times New Roman"/>
          <w:spacing w:val="3"/>
          <w:sz w:val="23"/>
          <w:szCs w:val="23"/>
          <w:highlight w:val="none"/>
        </w:rPr>
        <w:t xml:space="preserve">及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3"/>
          <w:position w:val="-1"/>
          <w:sz w:val="15"/>
          <w:szCs w:val="15"/>
          <w:highlight w:val="none"/>
        </w:rPr>
        <w:t xml:space="preserve">4 </w:t>
      </w:r>
      <w:r>
        <w:rPr>
          <w:rFonts w:hint="default" w:ascii="Times New Roman" w:hAnsi="Times New Roman" w:eastAsia="宋体" w:cs="Times New Roman"/>
          <w:spacing w:val="3"/>
          <w:sz w:val="23"/>
          <w:szCs w:val="23"/>
          <w:highlight w:val="none"/>
        </w:rPr>
        <w:t>冲洪积及洪积砂砾石和卵砾石层。砂砾石层厚一般</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5"/>
          <w:sz w:val="23"/>
          <w:szCs w:val="23"/>
          <w:highlight w:val="none"/>
        </w:rPr>
        <w:t>5</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15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 xml:space="preserve">，单井涌水量 </w:t>
      </w:r>
      <w:r>
        <w:rPr>
          <w:rFonts w:hint="default" w:ascii="Times New Roman" w:hAnsi="Times New Roman" w:eastAsia="Times New Roman" w:cs="Times New Roman"/>
          <w:spacing w:val="9"/>
          <w:sz w:val="23"/>
          <w:szCs w:val="23"/>
          <w:highlight w:val="none"/>
        </w:rPr>
        <w:t>50</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200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position w:val="8"/>
          <w:sz w:val="15"/>
          <w:szCs w:val="15"/>
          <w:highlight w:val="none"/>
        </w:rPr>
        <w:t>3</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 xml:space="preserve">。砂砾石层厚度一般 </w:t>
      </w:r>
      <w:r>
        <w:rPr>
          <w:rFonts w:hint="default" w:ascii="Times New Roman" w:hAnsi="Times New Roman" w:eastAsia="Times New Roman" w:cs="Times New Roman"/>
          <w:spacing w:val="9"/>
          <w:sz w:val="23"/>
          <w:szCs w:val="23"/>
          <w:highlight w:val="none"/>
        </w:rPr>
        <w:t>5</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10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，个别地段大于</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2"/>
          <w:sz w:val="23"/>
          <w:szCs w:val="23"/>
          <w:highlight w:val="none"/>
        </w:rPr>
        <w:t>10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2"/>
          <w:sz w:val="23"/>
          <w:szCs w:val="23"/>
          <w:highlight w:val="none"/>
        </w:rPr>
        <w:t xml:space="preserve"> </w:t>
      </w:r>
      <w:r>
        <w:rPr>
          <w:rFonts w:hint="default" w:ascii="Times New Roman" w:hAnsi="Times New Roman" w:eastAsia="宋体" w:cs="Times New Roman"/>
          <w:spacing w:val="7"/>
          <w:sz w:val="23"/>
          <w:szCs w:val="23"/>
          <w:highlight w:val="none"/>
        </w:rPr>
        <w:t>，</w:t>
      </w:r>
      <w:r>
        <w:rPr>
          <w:rFonts w:hint="default" w:ascii="Times New Roman" w:hAnsi="Times New Roman" w:eastAsia="宋体" w:cs="Times New Roman"/>
          <w:spacing w:val="6"/>
          <w:sz w:val="23"/>
          <w:szCs w:val="23"/>
          <w:highlight w:val="none"/>
        </w:rPr>
        <w:t xml:space="preserve">水位埋深一般 </w:t>
      </w:r>
      <w:r>
        <w:rPr>
          <w:rFonts w:hint="default" w:ascii="Times New Roman" w:hAnsi="Times New Roman" w:eastAsia="Times New Roman" w:cs="Times New Roman"/>
          <w:spacing w:val="6"/>
          <w:sz w:val="23"/>
          <w:szCs w:val="23"/>
          <w:highlight w:val="none"/>
        </w:rPr>
        <w:t>5</w:t>
      </w:r>
      <w:r>
        <w:rPr>
          <w:rFonts w:hint="default" w:ascii="Times New Roman" w:hAnsi="Times New Roman" w:eastAsia="宋体" w:cs="Times New Roman"/>
          <w:spacing w:val="6"/>
          <w:sz w:val="23"/>
          <w:szCs w:val="23"/>
          <w:highlight w:val="none"/>
        </w:rPr>
        <w:t>~</w:t>
      </w:r>
      <w:r>
        <w:rPr>
          <w:rFonts w:hint="default" w:ascii="Times New Roman" w:hAnsi="Times New Roman" w:eastAsia="Times New Roman" w:cs="Times New Roman"/>
          <w:spacing w:val="6"/>
          <w:sz w:val="23"/>
          <w:szCs w:val="23"/>
          <w:highlight w:val="none"/>
        </w:rPr>
        <w:t>7</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。分布于冲洪积扇前缘及近洪积扇地带。</w:t>
      </w:r>
    </w:p>
    <w:p>
      <w:pPr>
        <w:spacing w:before="5" w:line="392" w:lineRule="auto"/>
        <w:ind w:left="21" w:right="11"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③中等富水</w:t>
      </w:r>
      <w:r>
        <w:rPr>
          <w:rFonts w:hint="default" w:ascii="Times New Roman" w:hAnsi="Times New Roman" w:eastAsia="宋体" w:cs="Times New Roman"/>
          <w:spacing w:val="6"/>
          <w:sz w:val="23"/>
          <w:szCs w:val="23"/>
          <w:highlight w:val="none"/>
        </w:rPr>
        <w:t>亚</w:t>
      </w:r>
      <w:r>
        <w:rPr>
          <w:rFonts w:hint="default" w:ascii="Times New Roman" w:hAnsi="Times New Roman" w:eastAsia="宋体" w:cs="Times New Roman"/>
          <w:spacing w:val="5"/>
          <w:sz w:val="23"/>
          <w:szCs w:val="23"/>
          <w:highlight w:val="none"/>
        </w:rPr>
        <w:t xml:space="preserve">组：为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5"/>
          <w:position w:val="-1"/>
          <w:sz w:val="15"/>
          <w:szCs w:val="15"/>
          <w:highlight w:val="none"/>
        </w:rPr>
        <w:t xml:space="preserve">3 </w:t>
      </w:r>
      <w:r>
        <w:rPr>
          <w:rFonts w:hint="default" w:ascii="Times New Roman" w:hAnsi="Times New Roman" w:eastAsia="宋体" w:cs="Times New Roman"/>
          <w:spacing w:val="5"/>
          <w:sz w:val="23"/>
          <w:szCs w:val="23"/>
          <w:highlight w:val="none"/>
        </w:rPr>
        <w:t xml:space="preserve">冲洪积砂砾石及砂含砾石层。砂砾石层厚一般 </w:t>
      </w:r>
      <w:r>
        <w:rPr>
          <w:rFonts w:hint="default" w:ascii="Times New Roman" w:hAnsi="Times New Roman" w:eastAsia="Times New Roman" w:cs="Times New Roman"/>
          <w:spacing w:val="5"/>
          <w:sz w:val="23"/>
          <w:szCs w:val="23"/>
          <w:highlight w:val="none"/>
        </w:rPr>
        <w:t>10</w:t>
      </w:r>
      <w:r>
        <w:rPr>
          <w:rFonts w:hint="default" w:ascii="Times New Roman" w:hAnsi="Times New Roman" w:eastAsia="Times New Roman" w:cs="Times New Roman"/>
          <w:sz w:val="23"/>
          <w:szCs w:val="23"/>
          <w:highlight w:val="none"/>
        </w:rPr>
        <w:t xml:space="preserve">m </w:t>
      </w:r>
      <w:r>
        <w:rPr>
          <w:rFonts w:hint="default" w:ascii="Times New Roman" w:hAnsi="Times New Roman" w:eastAsia="宋体" w:cs="Times New Roman"/>
          <w:spacing w:val="16"/>
          <w:sz w:val="23"/>
          <w:szCs w:val="23"/>
          <w:highlight w:val="none"/>
        </w:rPr>
        <w:t>左右，</w:t>
      </w:r>
      <w:r>
        <w:rPr>
          <w:rFonts w:hint="default" w:ascii="Times New Roman" w:hAnsi="Times New Roman" w:eastAsia="宋体" w:cs="Times New Roman"/>
          <w:spacing w:val="8"/>
          <w:sz w:val="23"/>
          <w:szCs w:val="23"/>
          <w:highlight w:val="none"/>
        </w:rPr>
        <w:t xml:space="preserve">该组下部个别地段夹有薄层淤泥质砂粘土。单井涌水量 </w:t>
      </w:r>
      <w:r>
        <w:rPr>
          <w:rFonts w:hint="default" w:ascii="Times New Roman" w:hAnsi="Times New Roman" w:eastAsia="Times New Roman" w:cs="Times New Roman"/>
          <w:spacing w:val="8"/>
          <w:sz w:val="23"/>
          <w:szCs w:val="23"/>
          <w:highlight w:val="none"/>
        </w:rPr>
        <w:t>25</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100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position w:val="8"/>
          <w:sz w:val="15"/>
          <w:szCs w:val="15"/>
          <w:highlight w:val="none"/>
        </w:rPr>
        <w:t>3</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位</w:t>
      </w:r>
      <w:r>
        <w:rPr>
          <w:rFonts w:hint="default" w:ascii="Times New Roman" w:hAnsi="Times New Roman" w:eastAsia="宋体" w:cs="Times New Roman"/>
          <w:spacing w:val="8"/>
          <w:sz w:val="23"/>
          <w:szCs w:val="23"/>
          <w:highlight w:val="none"/>
        </w:rPr>
        <w:t xml:space="preserve">埋深一般 </w:t>
      </w:r>
      <w:r>
        <w:rPr>
          <w:rFonts w:hint="default" w:ascii="Times New Roman" w:hAnsi="Times New Roman" w:eastAsia="Times New Roman" w:cs="Times New Roman"/>
          <w:spacing w:val="8"/>
          <w:sz w:val="23"/>
          <w:szCs w:val="23"/>
          <w:highlight w:val="none"/>
        </w:rPr>
        <w:t>5</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7</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。分布于北川平原的扇间地带。</w:t>
      </w:r>
    </w:p>
    <w:p>
      <w:pPr>
        <w:spacing w:before="2" w:line="401" w:lineRule="auto"/>
        <w:ind w:left="22" w:right="8" w:firstLine="47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 xml:space="preserve">④弱富水亚组：为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2"/>
          <w:position w:val="-1"/>
          <w:sz w:val="15"/>
          <w:szCs w:val="15"/>
          <w:highlight w:val="none"/>
        </w:rPr>
        <w:t xml:space="preserve">3 </w:t>
      </w:r>
      <w:r>
        <w:rPr>
          <w:rFonts w:hint="default" w:ascii="Times New Roman" w:hAnsi="Times New Roman" w:eastAsia="宋体" w:cs="Times New Roman"/>
          <w:spacing w:val="2"/>
          <w:sz w:val="23"/>
          <w:szCs w:val="23"/>
          <w:highlight w:val="none"/>
        </w:rPr>
        <w:t xml:space="preserve">和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1"/>
          <w:position w:val="-1"/>
          <w:sz w:val="15"/>
          <w:szCs w:val="15"/>
          <w:highlight w:val="none"/>
        </w:rPr>
        <w:t xml:space="preserve">4 </w:t>
      </w:r>
      <w:r>
        <w:rPr>
          <w:rFonts w:hint="default" w:ascii="Times New Roman" w:hAnsi="Times New Roman" w:eastAsia="宋体" w:cs="Times New Roman"/>
          <w:spacing w:val="1"/>
          <w:sz w:val="23"/>
          <w:szCs w:val="23"/>
          <w:highlight w:val="none"/>
        </w:rPr>
        <w:t xml:space="preserve">冲洪积砂砾石层，单井涌水量小于 </w:t>
      </w:r>
      <w:r>
        <w:rPr>
          <w:rFonts w:hint="default" w:ascii="Times New Roman" w:hAnsi="Times New Roman" w:eastAsia="Times New Roman" w:cs="Times New Roman"/>
          <w:spacing w:val="1"/>
          <w:sz w:val="23"/>
          <w:szCs w:val="23"/>
          <w:highlight w:val="none"/>
        </w:rPr>
        <w:t>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1"/>
          <w:sz w:val="23"/>
          <w:szCs w:val="23"/>
          <w:highlight w:val="none"/>
        </w:rPr>
        <w:t>，水位</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埋深一般 </w:t>
      </w:r>
      <w:r>
        <w:rPr>
          <w:rFonts w:hint="default" w:ascii="Times New Roman" w:hAnsi="Times New Roman" w:eastAsia="Times New Roman" w:cs="Times New Roman"/>
          <w:spacing w:val="8"/>
          <w:sz w:val="23"/>
          <w:szCs w:val="23"/>
          <w:highlight w:val="none"/>
        </w:rPr>
        <w:t>5</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7</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 xml:space="preserve">，个别地段 </w:t>
      </w:r>
      <w:r>
        <w:rPr>
          <w:rFonts w:hint="default" w:ascii="Times New Roman" w:hAnsi="Times New Roman" w:eastAsia="Times New Roman" w:cs="Times New Roman"/>
          <w:spacing w:val="8"/>
          <w:sz w:val="23"/>
          <w:szCs w:val="23"/>
          <w:highlight w:val="none"/>
        </w:rPr>
        <w:t>15</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25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。分布于地北头、枣林一带</w:t>
      </w:r>
      <w:r>
        <w:rPr>
          <w:rFonts w:hint="default" w:ascii="Times New Roman" w:hAnsi="Times New Roman" w:eastAsia="宋体" w:cs="Times New Roman"/>
          <w:spacing w:val="4"/>
          <w:sz w:val="23"/>
          <w:szCs w:val="23"/>
          <w:highlight w:val="none"/>
        </w:rPr>
        <w:t>。</w:t>
      </w:r>
    </w:p>
    <w:p>
      <w:pPr>
        <w:spacing w:line="409" w:lineRule="auto"/>
        <w:ind w:left="21" w:right="8"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 xml:space="preserve">⑤贫水亚组：为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2"/>
          <w:position w:val="-1"/>
          <w:sz w:val="15"/>
          <w:szCs w:val="15"/>
          <w:highlight w:val="none"/>
        </w:rPr>
        <w:t xml:space="preserve">3 </w:t>
      </w:r>
      <w:r>
        <w:rPr>
          <w:rFonts w:hint="default" w:ascii="Times New Roman" w:hAnsi="Times New Roman" w:eastAsia="宋体" w:cs="Times New Roman"/>
          <w:spacing w:val="2"/>
          <w:sz w:val="23"/>
          <w:szCs w:val="23"/>
          <w:highlight w:val="none"/>
        </w:rPr>
        <w:t xml:space="preserve">和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2"/>
          <w:position w:val="-1"/>
          <w:sz w:val="15"/>
          <w:szCs w:val="15"/>
          <w:highlight w:val="none"/>
        </w:rPr>
        <w:t>4</w:t>
      </w:r>
      <w:r>
        <w:rPr>
          <w:rFonts w:hint="default" w:ascii="Times New Roman" w:hAnsi="Times New Roman" w:eastAsia="Times New Roman" w:cs="Times New Roman"/>
          <w:spacing w:val="1"/>
          <w:position w:val="-1"/>
          <w:sz w:val="15"/>
          <w:szCs w:val="15"/>
          <w:highlight w:val="none"/>
        </w:rPr>
        <w:t xml:space="preserve"> </w:t>
      </w:r>
      <w:r>
        <w:rPr>
          <w:rFonts w:hint="default" w:ascii="Times New Roman" w:hAnsi="Times New Roman" w:eastAsia="宋体" w:cs="Times New Roman"/>
          <w:spacing w:val="1"/>
          <w:sz w:val="23"/>
          <w:szCs w:val="23"/>
          <w:highlight w:val="none"/>
        </w:rPr>
        <w:t xml:space="preserve">冲洪积砂砾卵石，单井涌水量小于 </w:t>
      </w:r>
      <w:r>
        <w:rPr>
          <w:rFonts w:hint="default" w:ascii="Times New Roman" w:hAnsi="Times New Roman" w:eastAsia="Times New Roman" w:cs="Times New Roman"/>
          <w:spacing w:val="1"/>
          <w:sz w:val="23"/>
          <w:szCs w:val="23"/>
          <w:highlight w:val="none"/>
        </w:rPr>
        <w:t>30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8"/>
          <w:sz w:val="15"/>
          <w:szCs w:val="15"/>
          <w:highlight w:val="none"/>
        </w:rPr>
        <w:t>3</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1"/>
          <w:sz w:val="23"/>
          <w:szCs w:val="23"/>
          <w:highlight w:val="none"/>
        </w:rPr>
        <w:t>，水位埋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深一般 </w:t>
      </w:r>
      <w:r>
        <w:rPr>
          <w:rFonts w:hint="default" w:ascii="Times New Roman" w:hAnsi="Times New Roman" w:eastAsia="Times New Roman" w:cs="Times New Roman"/>
          <w:spacing w:val="8"/>
          <w:sz w:val="23"/>
          <w:szCs w:val="23"/>
          <w:highlight w:val="none"/>
        </w:rPr>
        <w:t>3</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。分布于山间沟谷地带</w:t>
      </w:r>
      <w:r>
        <w:rPr>
          <w:rFonts w:hint="default" w:ascii="Times New Roman" w:hAnsi="Times New Roman" w:eastAsia="宋体" w:cs="Times New Roman"/>
          <w:spacing w:val="5"/>
          <w:sz w:val="23"/>
          <w:szCs w:val="23"/>
          <w:highlight w:val="none"/>
        </w:rPr>
        <w:t>。</w:t>
      </w:r>
    </w:p>
    <w:p>
      <w:pPr>
        <w:spacing w:before="16" w:line="401" w:lineRule="auto"/>
        <w:ind w:left="22" w:right="8" w:firstLine="47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 xml:space="preserve">⑥微含水或不含水亚组：为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4"/>
          <w:position w:val="-1"/>
          <w:sz w:val="15"/>
          <w:szCs w:val="15"/>
          <w:highlight w:val="none"/>
        </w:rPr>
        <w:t xml:space="preserve">2 </w:t>
      </w:r>
      <w:r>
        <w:rPr>
          <w:rFonts w:hint="default" w:ascii="Times New Roman" w:hAnsi="Times New Roman" w:eastAsia="宋体" w:cs="Times New Roman"/>
          <w:spacing w:val="4"/>
          <w:sz w:val="23"/>
          <w:szCs w:val="23"/>
          <w:highlight w:val="none"/>
        </w:rPr>
        <w:t xml:space="preserve">和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4"/>
          <w:position w:val="-1"/>
          <w:sz w:val="15"/>
          <w:szCs w:val="15"/>
          <w:highlight w:val="none"/>
        </w:rPr>
        <w:t xml:space="preserve">3 </w:t>
      </w:r>
      <w:r>
        <w:rPr>
          <w:rFonts w:hint="default" w:ascii="Times New Roman" w:hAnsi="Times New Roman" w:eastAsia="宋体" w:cs="Times New Roman"/>
          <w:spacing w:val="4"/>
          <w:sz w:val="23"/>
          <w:szCs w:val="23"/>
          <w:highlight w:val="none"/>
        </w:rPr>
        <w:t>冲洪积层，主要岩性为粘砂土，或</w:t>
      </w:r>
      <w:r>
        <w:rPr>
          <w:rFonts w:hint="default" w:ascii="Times New Roman" w:hAnsi="Times New Roman" w:eastAsia="宋体" w:cs="Times New Roman"/>
          <w:spacing w:val="2"/>
          <w:sz w:val="23"/>
          <w:szCs w:val="23"/>
          <w:highlight w:val="none"/>
        </w:rPr>
        <w:t>粘</w:t>
      </w:r>
      <w:r>
        <w:rPr>
          <w:rFonts w:hint="default" w:ascii="Times New Roman" w:hAnsi="Times New Roman" w:eastAsia="宋体" w:cs="Times New Roman"/>
          <w:sz w:val="23"/>
          <w:szCs w:val="23"/>
          <w:highlight w:val="none"/>
        </w:rPr>
        <w:t xml:space="preserve">砂 </w:t>
      </w:r>
      <w:r>
        <w:rPr>
          <w:rFonts w:hint="default" w:ascii="Times New Roman" w:hAnsi="Times New Roman" w:eastAsia="宋体" w:cs="Times New Roman"/>
          <w:spacing w:val="9"/>
          <w:sz w:val="23"/>
          <w:szCs w:val="23"/>
          <w:highlight w:val="none"/>
        </w:rPr>
        <w:t>土含碎石，不含或微含水。分布于丘陵边缘</w:t>
      </w:r>
      <w:r>
        <w:rPr>
          <w:rFonts w:hint="default" w:ascii="Times New Roman" w:hAnsi="Times New Roman" w:eastAsia="宋体" w:cs="Times New Roman"/>
          <w:spacing w:val="8"/>
          <w:sz w:val="23"/>
          <w:szCs w:val="23"/>
          <w:highlight w:val="none"/>
        </w:rPr>
        <w:t>。</w:t>
      </w:r>
    </w:p>
    <w:p>
      <w:pPr>
        <w:spacing w:before="1" w:line="401" w:lineRule="auto"/>
        <w:ind w:left="20" w:right="11"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遵</w:t>
      </w:r>
      <w:r>
        <w:rPr>
          <w:rFonts w:hint="default" w:ascii="Times New Roman" w:hAnsi="Times New Roman" w:eastAsia="宋体" w:cs="Times New Roman"/>
          <w:spacing w:val="7"/>
          <w:sz w:val="23"/>
          <w:szCs w:val="23"/>
          <w:highlight w:val="none"/>
        </w:rPr>
        <w:t>化市地处河流源头，地下水排泄条件好，大气降水落到地面之后，迅速排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入</w:t>
      </w:r>
      <w:r>
        <w:rPr>
          <w:rFonts w:hint="default" w:ascii="Times New Roman" w:hAnsi="Times New Roman" w:eastAsia="宋体" w:cs="Times New Roman"/>
          <w:spacing w:val="7"/>
          <w:sz w:val="23"/>
          <w:szCs w:val="23"/>
          <w:highlight w:val="none"/>
        </w:rPr>
        <w:t>地下或汇入河川，续而径流出境，地下水在含水层中停滞时间短，因而导致其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矿</w:t>
      </w:r>
      <w:r>
        <w:rPr>
          <w:rFonts w:hint="default" w:ascii="Times New Roman" w:hAnsi="Times New Roman" w:eastAsia="宋体" w:cs="Times New Roman"/>
          <w:spacing w:val="3"/>
          <w:sz w:val="23"/>
          <w:szCs w:val="23"/>
          <w:highlight w:val="none"/>
        </w:rPr>
        <w:t xml:space="preserve">化度很低，绝大部分地区小于 </w:t>
      </w:r>
      <w:r>
        <w:rPr>
          <w:rFonts w:hint="default" w:ascii="Times New Roman" w:hAnsi="Times New Roman" w:eastAsia="Times New Roman" w:cs="Times New Roman"/>
          <w:spacing w:val="3"/>
          <w:sz w:val="23"/>
          <w:szCs w:val="23"/>
          <w:highlight w:val="none"/>
        </w:rPr>
        <w:t>0.2</w:t>
      </w:r>
      <w:r>
        <w:rPr>
          <w:rFonts w:hint="default" w:ascii="Times New Roman" w:hAnsi="Times New Roman" w:eastAsia="Times New Roman" w:cs="Times New Roman"/>
          <w:sz w:val="23"/>
          <w:szCs w:val="23"/>
          <w:highlight w:val="none"/>
        </w:rPr>
        <w:t>g</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L</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 xml:space="preserve">，多为 </w:t>
      </w:r>
      <w:r>
        <w:rPr>
          <w:rFonts w:hint="default" w:ascii="Times New Roman" w:hAnsi="Times New Roman" w:eastAsia="Times New Roman" w:cs="Times New Roman"/>
          <w:sz w:val="23"/>
          <w:szCs w:val="23"/>
          <w:highlight w:val="none"/>
        </w:rPr>
        <w:t>HCO</w:t>
      </w:r>
      <w:r>
        <w:rPr>
          <w:rFonts w:hint="default" w:ascii="Times New Roman" w:hAnsi="Times New Roman" w:eastAsia="Times New Roman" w:cs="Times New Roman"/>
          <w:spacing w:val="3"/>
          <w:position w:val="-1"/>
          <w:sz w:val="15"/>
          <w:szCs w:val="15"/>
          <w:highlight w:val="none"/>
        </w:rPr>
        <w:t>3</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Ca</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型水。</w:t>
      </w:r>
    </w:p>
    <w:p>
      <w:pPr>
        <w:spacing w:before="1" w:line="227" w:lineRule="auto"/>
        <w:ind w:left="50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项目区域潜层地下水属于松散岩类孔隙含水岩组中的极富水亚组，区域地</w:t>
      </w:r>
      <w:r>
        <w:rPr>
          <w:rFonts w:hint="default" w:ascii="Times New Roman" w:hAnsi="Times New Roman" w:eastAsia="宋体" w:cs="Times New Roman"/>
          <w:spacing w:val="3"/>
          <w:sz w:val="23"/>
          <w:szCs w:val="23"/>
          <w:highlight w:val="none"/>
        </w:rPr>
        <w:t>下</w:t>
      </w:r>
    </w:p>
    <w:p>
      <w:pPr>
        <w:rPr>
          <w:rFonts w:hint="default" w:ascii="Times New Roman" w:hAnsi="Times New Roman" w:cs="Times New Roman"/>
          <w:highlight w:val="none"/>
        </w:rPr>
        <w:sectPr>
          <w:headerReference r:id="rId43" w:type="default"/>
          <w:footerReference r:id="rId44" w:type="default"/>
          <w:pgSz w:w="11906" w:h="16839"/>
          <w:pgMar w:top="1167" w:right="1785" w:bottom="1282" w:left="1785" w:header="897" w:footer="1015" w:gutter="0"/>
          <w:pgBorders>
            <w:top w:val="none" w:sz="0" w:space="0"/>
            <w:left w:val="none" w:sz="0" w:space="0"/>
            <w:bottom w:val="none" w:sz="0" w:space="0"/>
            <w:right w:val="none" w:sz="0" w:space="0"/>
          </w:pgBorders>
          <w:pgNumType w:fmt="decimal"/>
          <w:cols w:space="720" w:num="1"/>
        </w:sectPr>
      </w:pPr>
    </w:p>
    <w:p>
      <w:pPr>
        <w:spacing w:line="391"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144" o:spid="_x0000_s1144" style="position:absolute;left:0pt;margin-left:89.85pt;margin-top:59.05pt;height:0.75pt;width:415.65pt;mso-position-horizontal-relative:page;mso-position-vertical-relative:page;z-index:251706368;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cs="Times New Roman"/>
          <w:highlight w:val="none"/>
        </w:rPr>
        <w:pict>
          <v:shape id="_x0000_s1145" o:spid="_x0000_s1145" style="position:absolute;left:0pt;margin-left:89.85pt;margin-top:776.35pt;height:0.75pt;width:415.65pt;mso-position-horizontal-relative:page;mso-position-vertical-relative:page;z-index:251705344;mso-width-relative:page;mso-height-relative:page;" fillcolor="#FFFFFF" filled="t" stroked="f" coordsize="8312,15" o:allowincell="f" path="m0,0l8312,0,8312,14,0,14,0,0xe">
            <v:path/>
            <v:fill on="t" color2="#FFFFFF" focussize="0,0"/>
            <v:stroke on="f"/>
            <v:imagedata o:title=""/>
            <o:lock v:ext="edit" aspectratio="f"/>
          </v:shape>
        </w:pict>
      </w:r>
    </w:p>
    <w:p>
      <w:pPr>
        <w:spacing w:before="75" w:line="228" w:lineRule="auto"/>
        <w:ind w:left="2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潜水总体流向是由东北流向西和西南方向。</w:t>
      </w:r>
    </w:p>
    <w:p>
      <w:pPr>
        <w:spacing w:line="258" w:lineRule="auto"/>
        <w:rPr>
          <w:rFonts w:hint="default" w:ascii="Times New Roman" w:hAnsi="Times New Roman" w:cs="Times New Roman"/>
          <w:sz w:val="21"/>
          <w:highlight w:val="none"/>
        </w:rPr>
      </w:pPr>
    </w:p>
    <w:p>
      <w:pPr>
        <w:spacing w:before="75" w:line="227" w:lineRule="auto"/>
        <w:ind w:left="17"/>
        <w:outlineLvl w:val="2"/>
        <w:rPr>
          <w:rFonts w:hint="default" w:ascii="Times New Roman" w:hAnsi="Times New Roman" w:eastAsia="宋体" w:cs="Times New Roman"/>
          <w:sz w:val="23"/>
          <w:szCs w:val="23"/>
          <w:highlight w:val="none"/>
        </w:rPr>
      </w:pPr>
      <w:bookmarkStart w:id="258" w:name="_Toc15524"/>
      <w:bookmarkStart w:id="259" w:name="_Toc15956"/>
      <w:bookmarkStart w:id="260" w:name="_Toc32128"/>
      <w:r>
        <w:rPr>
          <w:rFonts w:hint="default" w:ascii="Times New Roman" w:hAnsi="Times New Roman" w:eastAsia="Times New Roman" w:cs="Times New Roman"/>
          <w:b/>
          <w:bCs/>
          <w:spacing w:val="6"/>
          <w:sz w:val="23"/>
          <w:szCs w:val="23"/>
          <w:highlight w:val="none"/>
        </w:rPr>
        <w:t>4</w:t>
      </w:r>
      <w:r>
        <w:rPr>
          <w:rFonts w:hint="default" w:ascii="Times New Roman" w:hAnsi="Times New Roman" w:eastAsia="Times New Roman" w:cs="Times New Roman"/>
          <w:b/>
          <w:bCs/>
          <w:spacing w:val="5"/>
          <w:sz w:val="23"/>
          <w:szCs w:val="23"/>
          <w:highlight w:val="none"/>
        </w:rPr>
        <w:t>.1.5</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水资源</w:t>
      </w:r>
      <w:bookmarkEnd w:id="258"/>
      <w:bookmarkEnd w:id="259"/>
      <w:bookmarkEnd w:id="260"/>
    </w:p>
    <w:p>
      <w:pPr>
        <w:spacing w:line="260" w:lineRule="auto"/>
        <w:rPr>
          <w:rFonts w:hint="default" w:ascii="Times New Roman" w:hAnsi="Times New Roman" w:cs="Times New Roman"/>
          <w:sz w:val="21"/>
          <w:highlight w:val="none"/>
        </w:rPr>
      </w:pPr>
    </w:p>
    <w:p>
      <w:pPr>
        <w:spacing w:before="75" w:line="228"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21"/>
          <w:sz w:val="23"/>
          <w:szCs w:val="23"/>
          <w:highlight w:val="none"/>
        </w:rPr>
        <w:t>1</w:t>
      </w:r>
      <w:r>
        <w:rPr>
          <w:rFonts w:hint="default" w:ascii="Times New Roman" w:hAnsi="Times New Roman" w:eastAsia="宋体" w:cs="Times New Roman"/>
          <w:spacing w:val="21"/>
          <w:sz w:val="23"/>
          <w:szCs w:val="23"/>
          <w:highlight w:val="none"/>
        </w:rPr>
        <w:t>) 地表水</w:t>
      </w:r>
    </w:p>
    <w:p>
      <w:pPr>
        <w:spacing w:before="178" w:line="406" w:lineRule="auto"/>
        <w:ind w:left="20" w:right="80"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 xml:space="preserve">遵化市共有大小河流 </w:t>
      </w:r>
      <w:r>
        <w:rPr>
          <w:rFonts w:hint="default" w:ascii="Times New Roman" w:hAnsi="Times New Roman" w:eastAsia="Times New Roman" w:cs="Times New Roman"/>
          <w:spacing w:val="6"/>
          <w:sz w:val="23"/>
          <w:szCs w:val="23"/>
          <w:highlight w:val="none"/>
        </w:rPr>
        <w:t xml:space="preserve">37 </w:t>
      </w:r>
      <w:r>
        <w:rPr>
          <w:rFonts w:hint="default" w:ascii="Times New Roman" w:hAnsi="Times New Roman" w:eastAsia="宋体" w:cs="Times New Roman"/>
          <w:spacing w:val="6"/>
          <w:sz w:val="23"/>
          <w:szCs w:val="23"/>
          <w:highlight w:val="none"/>
        </w:rPr>
        <w:t xml:space="preserve">条，河川汇水总面积 </w:t>
      </w:r>
      <w:r>
        <w:rPr>
          <w:rFonts w:hint="default" w:ascii="Times New Roman" w:hAnsi="Times New Roman" w:eastAsia="Times New Roman" w:cs="Times New Roman"/>
          <w:spacing w:val="6"/>
          <w:sz w:val="23"/>
          <w:szCs w:val="23"/>
          <w:highlight w:val="none"/>
        </w:rPr>
        <w:t>1913</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6"/>
          <w:position w:val="8"/>
          <w:sz w:val="15"/>
          <w:szCs w:val="15"/>
          <w:highlight w:val="none"/>
        </w:rPr>
        <w:t xml:space="preserve">2 </w:t>
      </w:r>
      <w:r>
        <w:rPr>
          <w:rFonts w:hint="default" w:ascii="Times New Roman" w:hAnsi="Times New Roman" w:eastAsia="宋体" w:cs="Times New Roman"/>
          <w:spacing w:val="6"/>
          <w:sz w:val="23"/>
          <w:szCs w:val="23"/>
          <w:highlight w:val="none"/>
        </w:rPr>
        <w:t>，分属滦河、蓟运河</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两</w:t>
      </w:r>
      <w:r>
        <w:rPr>
          <w:rFonts w:hint="default" w:ascii="Times New Roman" w:hAnsi="Times New Roman" w:eastAsia="宋体" w:cs="Times New Roman"/>
          <w:spacing w:val="6"/>
          <w:sz w:val="23"/>
          <w:szCs w:val="23"/>
          <w:highlight w:val="none"/>
        </w:rPr>
        <w:t>大</w:t>
      </w:r>
      <w:r>
        <w:rPr>
          <w:rFonts w:hint="default" w:ascii="Times New Roman" w:hAnsi="Times New Roman" w:eastAsia="宋体" w:cs="Times New Roman"/>
          <w:spacing w:val="5"/>
          <w:sz w:val="23"/>
          <w:szCs w:val="23"/>
          <w:highlight w:val="none"/>
        </w:rPr>
        <w:t xml:space="preserve">流域水系。滦河流域在遵化市境内的只有遵化市东北角流域约 </w:t>
      </w:r>
      <w:r>
        <w:rPr>
          <w:rFonts w:hint="default" w:ascii="Times New Roman" w:hAnsi="Times New Roman" w:eastAsia="Times New Roman" w:cs="Times New Roman"/>
          <w:spacing w:val="5"/>
          <w:sz w:val="23"/>
          <w:szCs w:val="23"/>
          <w:highlight w:val="none"/>
        </w:rPr>
        <w:t>41</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5"/>
          <w:position w:val="8"/>
          <w:sz w:val="15"/>
          <w:szCs w:val="15"/>
          <w:highlight w:val="none"/>
        </w:rPr>
        <w:t xml:space="preserve">2 </w:t>
      </w:r>
      <w:r>
        <w:rPr>
          <w:rFonts w:hint="default" w:ascii="Times New Roman" w:hAnsi="Times New Roman" w:eastAsia="宋体" w:cs="Times New Roman"/>
          <w:spacing w:val="5"/>
          <w:sz w:val="23"/>
          <w:szCs w:val="23"/>
          <w:highlight w:val="none"/>
        </w:rPr>
        <w:t>的洪山</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口</w:t>
      </w:r>
      <w:r>
        <w:rPr>
          <w:rFonts w:hint="default" w:ascii="Times New Roman" w:hAnsi="Times New Roman" w:eastAsia="宋体" w:cs="Times New Roman"/>
          <w:spacing w:val="7"/>
          <w:sz w:val="23"/>
          <w:szCs w:val="23"/>
          <w:highlight w:val="none"/>
        </w:rPr>
        <w:t>河，该河向北流出长城洪山口，入兴隆县后折向东流入滦河。蓟运河流域水系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在遵</w:t>
      </w:r>
      <w:r>
        <w:rPr>
          <w:rFonts w:hint="default" w:ascii="Times New Roman" w:hAnsi="Times New Roman" w:eastAsia="宋体" w:cs="Times New Roman"/>
          <w:spacing w:val="15"/>
          <w:sz w:val="23"/>
          <w:szCs w:val="23"/>
          <w:highlight w:val="none"/>
        </w:rPr>
        <w:t>化</w:t>
      </w:r>
      <w:r>
        <w:rPr>
          <w:rFonts w:hint="default" w:ascii="Times New Roman" w:hAnsi="Times New Roman" w:eastAsia="宋体" w:cs="Times New Roman"/>
          <w:spacing w:val="8"/>
          <w:sz w:val="23"/>
          <w:szCs w:val="23"/>
          <w:highlight w:val="none"/>
        </w:rPr>
        <w:t>市境内有沙河、黎河、还乡河、淋河 (西大河) 四大水系。</w:t>
      </w:r>
    </w:p>
    <w:p>
      <w:pPr>
        <w:spacing w:before="17" w:line="401" w:lineRule="auto"/>
        <w:ind w:left="19"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沙河由东起市</w:t>
      </w:r>
      <w:r>
        <w:rPr>
          <w:rFonts w:hint="default" w:ascii="Times New Roman" w:hAnsi="Times New Roman" w:eastAsia="宋体" w:cs="Times New Roman"/>
          <w:spacing w:val="2"/>
          <w:sz w:val="23"/>
          <w:szCs w:val="23"/>
          <w:highlight w:val="none"/>
        </w:rPr>
        <w:t>域东的主支沙河，往西有老爪河、清水河、冷咀头河、汤泉河、</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魏</w:t>
      </w:r>
      <w:r>
        <w:rPr>
          <w:rFonts w:hint="default" w:ascii="Times New Roman" w:hAnsi="Times New Roman" w:eastAsia="宋体" w:cs="Times New Roman"/>
          <w:spacing w:val="8"/>
          <w:sz w:val="23"/>
          <w:szCs w:val="23"/>
          <w:highlight w:val="none"/>
        </w:rPr>
        <w:t>进</w:t>
      </w:r>
      <w:r>
        <w:rPr>
          <w:rFonts w:hint="default" w:ascii="Times New Roman" w:hAnsi="Times New Roman" w:eastAsia="宋体" w:cs="Times New Roman"/>
          <w:spacing w:val="7"/>
          <w:sz w:val="23"/>
          <w:szCs w:val="23"/>
          <w:highlight w:val="none"/>
        </w:rPr>
        <w:t>河、马兰河，以扇状位于遵化市北半部市域中间地带。除老爪河源于本市区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北</w:t>
      </w:r>
      <w:r>
        <w:rPr>
          <w:rFonts w:hint="default" w:ascii="Times New Roman" w:hAnsi="Times New Roman" w:eastAsia="宋体" w:cs="Times New Roman"/>
          <w:spacing w:val="8"/>
          <w:sz w:val="23"/>
          <w:szCs w:val="23"/>
          <w:highlight w:val="none"/>
        </w:rPr>
        <w:t>石</w:t>
      </w:r>
      <w:r>
        <w:rPr>
          <w:rFonts w:hint="default" w:ascii="Times New Roman" w:hAnsi="Times New Roman" w:eastAsia="宋体" w:cs="Times New Roman"/>
          <w:spacing w:val="7"/>
          <w:sz w:val="23"/>
          <w:szCs w:val="23"/>
          <w:highlight w:val="none"/>
        </w:rPr>
        <w:t>家口、汤泉河源于市西北汤泉北沟外，其他均源于兴隆县，汇流于扇轴水平</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口</w:t>
      </w:r>
      <w:r>
        <w:rPr>
          <w:rFonts w:hint="default" w:ascii="Times New Roman" w:hAnsi="Times New Roman" w:eastAsia="宋体" w:cs="Times New Roman"/>
          <w:spacing w:val="8"/>
          <w:sz w:val="23"/>
          <w:szCs w:val="23"/>
          <w:highlight w:val="none"/>
        </w:rPr>
        <w:t>。</w:t>
      </w:r>
      <w:r>
        <w:rPr>
          <w:rFonts w:hint="default" w:ascii="Times New Roman" w:hAnsi="Times New Roman" w:eastAsia="宋体" w:cs="Times New Roman"/>
          <w:spacing w:val="7"/>
          <w:sz w:val="23"/>
          <w:szCs w:val="23"/>
          <w:highlight w:val="none"/>
        </w:rPr>
        <w:t>沙河水系在水平口以上属季节性河流，其下游常年径流不断。沙河上游修建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有般</w:t>
      </w:r>
      <w:r>
        <w:rPr>
          <w:rFonts w:hint="default" w:ascii="Times New Roman" w:hAnsi="Times New Roman" w:eastAsia="宋体" w:cs="Times New Roman"/>
          <w:spacing w:val="5"/>
          <w:sz w:val="23"/>
          <w:szCs w:val="23"/>
          <w:highlight w:val="none"/>
        </w:rPr>
        <w:t>若</w:t>
      </w:r>
      <w:r>
        <w:rPr>
          <w:rFonts w:hint="default" w:ascii="Times New Roman" w:hAnsi="Times New Roman" w:eastAsia="宋体" w:cs="Times New Roman"/>
          <w:spacing w:val="3"/>
          <w:sz w:val="23"/>
          <w:szCs w:val="23"/>
          <w:highlight w:val="none"/>
        </w:rPr>
        <w:t xml:space="preserve">院、上关两座中型水库。主支流沙河全长 </w:t>
      </w:r>
      <w:r>
        <w:rPr>
          <w:rFonts w:hint="default" w:ascii="Times New Roman" w:hAnsi="Times New Roman" w:eastAsia="Times New Roman" w:cs="Times New Roman"/>
          <w:spacing w:val="3"/>
          <w:sz w:val="23"/>
          <w:szCs w:val="23"/>
          <w:highlight w:val="none"/>
        </w:rPr>
        <w:t>70</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 xml:space="preserve">，流域面积 </w:t>
      </w:r>
      <w:r>
        <w:rPr>
          <w:rFonts w:hint="default" w:ascii="Times New Roman" w:hAnsi="Times New Roman" w:eastAsia="Times New Roman" w:cs="Times New Roman"/>
          <w:spacing w:val="3"/>
          <w:sz w:val="23"/>
          <w:szCs w:val="23"/>
          <w:highlight w:val="none"/>
        </w:rPr>
        <w:t>866.2</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3"/>
          <w:position w:val="7"/>
          <w:sz w:val="15"/>
          <w:szCs w:val="15"/>
          <w:highlight w:val="none"/>
        </w:rPr>
        <w:t xml:space="preserve">2 </w:t>
      </w:r>
      <w:r>
        <w:rPr>
          <w:rFonts w:hint="default" w:ascii="Times New Roman" w:hAnsi="Times New Roman" w:eastAsia="宋体" w:cs="Times New Roman"/>
          <w:spacing w:val="3"/>
          <w:sz w:val="23"/>
          <w:szCs w:val="23"/>
          <w:highlight w:val="none"/>
        </w:rPr>
        <w:t>，其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中遵化市</w:t>
      </w:r>
      <w:r>
        <w:rPr>
          <w:rFonts w:hint="default" w:ascii="Times New Roman" w:hAnsi="Times New Roman" w:eastAsia="宋体" w:cs="Times New Roman"/>
          <w:spacing w:val="2"/>
          <w:sz w:val="23"/>
          <w:szCs w:val="23"/>
          <w:highlight w:val="none"/>
        </w:rPr>
        <w:t xml:space="preserve">域内流域面积山区 </w:t>
      </w:r>
      <w:r>
        <w:rPr>
          <w:rFonts w:hint="default" w:ascii="Times New Roman" w:hAnsi="Times New Roman" w:eastAsia="Times New Roman" w:cs="Times New Roman"/>
          <w:spacing w:val="2"/>
          <w:sz w:val="23"/>
          <w:szCs w:val="23"/>
          <w:highlight w:val="none"/>
        </w:rPr>
        <w:t xml:space="preserve">272.7 </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2"/>
          <w:position w:val="7"/>
          <w:sz w:val="15"/>
          <w:szCs w:val="15"/>
          <w:highlight w:val="none"/>
        </w:rPr>
        <w:t xml:space="preserve">2 </w:t>
      </w:r>
      <w:r>
        <w:rPr>
          <w:rFonts w:hint="default" w:ascii="Times New Roman" w:hAnsi="Times New Roman" w:eastAsia="宋体" w:cs="Times New Roman"/>
          <w:spacing w:val="2"/>
          <w:sz w:val="23"/>
          <w:szCs w:val="23"/>
          <w:highlight w:val="none"/>
        </w:rPr>
        <w:t xml:space="preserve">，平原 </w:t>
      </w:r>
      <w:r>
        <w:rPr>
          <w:rFonts w:hint="default" w:ascii="Times New Roman" w:hAnsi="Times New Roman" w:eastAsia="Times New Roman" w:cs="Times New Roman"/>
          <w:spacing w:val="2"/>
          <w:sz w:val="23"/>
          <w:szCs w:val="23"/>
          <w:highlight w:val="none"/>
        </w:rPr>
        <w:t xml:space="preserve">287.6 </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2"/>
          <w:position w:val="7"/>
          <w:sz w:val="15"/>
          <w:szCs w:val="15"/>
          <w:highlight w:val="none"/>
        </w:rPr>
        <w:t>2</w:t>
      </w:r>
      <w:r>
        <w:rPr>
          <w:rFonts w:hint="default" w:ascii="Times New Roman" w:hAnsi="Times New Roman" w:eastAsia="宋体" w:cs="Times New Roman"/>
          <w:spacing w:val="2"/>
          <w:sz w:val="23"/>
          <w:szCs w:val="23"/>
          <w:highlight w:val="none"/>
        </w:rPr>
        <w:t>。</w:t>
      </w:r>
    </w:p>
    <w:p>
      <w:pPr>
        <w:spacing w:before="2" w:line="401" w:lineRule="auto"/>
        <w:ind w:left="20" w:right="77"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黎河由北黎河与南黎河汇合后成黎河，现在河道已干涸，主要肩负行洪排泄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 xml:space="preserve">和临时向天津供水双重功能，为 </w:t>
      </w:r>
      <w:r>
        <w:rPr>
          <w:rFonts w:hint="default" w:ascii="Times New Roman" w:hAnsi="Times New Roman" w:eastAsia="Times New Roman" w:cs="Times New Roman"/>
          <w:sz w:val="23"/>
          <w:szCs w:val="23"/>
          <w:highlight w:val="none"/>
        </w:rPr>
        <w:t>III</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类水体。黎河水系均发源于遵化市境内，</w:t>
      </w:r>
      <w:r>
        <w:rPr>
          <w:rFonts w:hint="default" w:ascii="Times New Roman" w:hAnsi="Times New Roman" w:eastAsia="宋体" w:cs="Times New Roman"/>
          <w:spacing w:val="6"/>
          <w:sz w:val="23"/>
          <w:szCs w:val="23"/>
          <w:highlight w:val="none"/>
        </w:rPr>
        <w:t>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河</w:t>
      </w:r>
      <w:r>
        <w:rPr>
          <w:rFonts w:hint="default" w:ascii="Times New Roman" w:hAnsi="Times New Roman" w:eastAsia="宋体" w:cs="Times New Roman"/>
          <w:spacing w:val="7"/>
          <w:sz w:val="23"/>
          <w:szCs w:val="23"/>
          <w:highlight w:val="none"/>
        </w:rPr>
        <w:t>北黎河发源于遵化市东北部柴户场北沟，自东北流向西南，在蓟县苍山庄与沙</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 xml:space="preserve">河汇合成果河。黎河全长 </w:t>
      </w:r>
      <w:r>
        <w:rPr>
          <w:rFonts w:hint="default" w:ascii="Times New Roman" w:hAnsi="Times New Roman" w:eastAsia="Times New Roman" w:cs="Times New Roman"/>
          <w:spacing w:val="-2"/>
          <w:sz w:val="23"/>
          <w:szCs w:val="23"/>
          <w:highlight w:val="none"/>
        </w:rPr>
        <w:t xml:space="preserve">74km </w:t>
      </w:r>
      <w:r>
        <w:rPr>
          <w:rFonts w:hint="default" w:ascii="Times New Roman" w:hAnsi="Times New Roman" w:eastAsia="宋体" w:cs="Times New Roman"/>
          <w:spacing w:val="-2"/>
          <w:sz w:val="23"/>
          <w:szCs w:val="23"/>
          <w:highlight w:val="none"/>
        </w:rPr>
        <w:t xml:space="preserve">，流域面积 </w:t>
      </w:r>
      <w:r>
        <w:rPr>
          <w:rFonts w:hint="default" w:ascii="Times New Roman" w:hAnsi="Times New Roman" w:eastAsia="Times New Roman" w:cs="Times New Roman"/>
          <w:spacing w:val="-2"/>
          <w:sz w:val="23"/>
          <w:szCs w:val="23"/>
          <w:highlight w:val="none"/>
        </w:rPr>
        <w:t>562km</w:t>
      </w:r>
      <w:r>
        <w:rPr>
          <w:rFonts w:hint="default" w:ascii="Times New Roman" w:hAnsi="Times New Roman" w:eastAsia="Times New Roman" w:cs="Times New Roman"/>
          <w:spacing w:val="-2"/>
          <w:position w:val="8"/>
          <w:sz w:val="15"/>
          <w:szCs w:val="15"/>
          <w:highlight w:val="none"/>
        </w:rPr>
        <w:t xml:space="preserve">2 </w:t>
      </w:r>
      <w:r>
        <w:rPr>
          <w:rFonts w:hint="default" w:ascii="Times New Roman" w:hAnsi="Times New Roman" w:eastAsia="宋体" w:cs="Times New Roman"/>
          <w:spacing w:val="-2"/>
          <w:sz w:val="23"/>
          <w:szCs w:val="23"/>
          <w:highlight w:val="none"/>
        </w:rPr>
        <w:t xml:space="preserve">， 占全市面积的 </w:t>
      </w:r>
      <w:r>
        <w:rPr>
          <w:rFonts w:hint="default" w:ascii="Times New Roman" w:hAnsi="Times New Roman" w:eastAsia="Times New Roman" w:cs="Times New Roman"/>
          <w:spacing w:val="-2"/>
          <w:sz w:val="23"/>
          <w:szCs w:val="23"/>
          <w:highlight w:val="none"/>
        </w:rPr>
        <w:t xml:space="preserve">36.9% </w:t>
      </w:r>
      <w:r>
        <w:rPr>
          <w:rFonts w:hint="default" w:ascii="Times New Roman" w:hAnsi="Times New Roman" w:eastAsia="宋体" w:cs="Times New Roman"/>
          <w:spacing w:val="-2"/>
          <w:sz w:val="23"/>
          <w:szCs w:val="23"/>
          <w:highlight w:val="none"/>
        </w:rPr>
        <w:t>。其中</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 xml:space="preserve">山区 </w:t>
      </w:r>
      <w:r>
        <w:rPr>
          <w:rFonts w:hint="default" w:ascii="Times New Roman" w:hAnsi="Times New Roman" w:eastAsia="Times New Roman" w:cs="Times New Roman"/>
          <w:spacing w:val="-1"/>
          <w:sz w:val="23"/>
          <w:szCs w:val="23"/>
          <w:highlight w:val="none"/>
        </w:rPr>
        <w:t>347</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1"/>
          <w:position w:val="7"/>
          <w:sz w:val="15"/>
          <w:szCs w:val="15"/>
          <w:highlight w:val="none"/>
        </w:rPr>
        <w:t xml:space="preserve">2   </w:t>
      </w:r>
      <w:r>
        <w:rPr>
          <w:rFonts w:hint="default" w:ascii="Times New Roman" w:hAnsi="Times New Roman" w:eastAsia="宋体" w:cs="Times New Roman"/>
          <w:spacing w:val="-1"/>
          <w:sz w:val="23"/>
          <w:szCs w:val="23"/>
          <w:highlight w:val="none"/>
        </w:rPr>
        <w:t xml:space="preserve">(迁西县 </w:t>
      </w:r>
      <w:r>
        <w:rPr>
          <w:rFonts w:hint="default" w:ascii="Times New Roman" w:hAnsi="Times New Roman" w:eastAsia="Times New Roman" w:cs="Times New Roman"/>
          <w:spacing w:val="-1"/>
          <w:sz w:val="23"/>
          <w:szCs w:val="23"/>
          <w:highlight w:val="none"/>
        </w:rPr>
        <w:t>10</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1"/>
          <w:position w:val="7"/>
          <w:sz w:val="15"/>
          <w:szCs w:val="15"/>
          <w:highlight w:val="none"/>
        </w:rPr>
        <w:t xml:space="preserve">2 </w:t>
      </w:r>
      <w:r>
        <w:rPr>
          <w:rFonts w:hint="default" w:ascii="Times New Roman" w:hAnsi="Times New Roman" w:eastAsia="宋体" w:cs="Times New Roman"/>
          <w:spacing w:val="-1"/>
          <w:sz w:val="23"/>
          <w:szCs w:val="23"/>
          <w:highlight w:val="none"/>
        </w:rPr>
        <w:t>) ，</w:t>
      </w:r>
      <w:r>
        <w:rPr>
          <w:rFonts w:hint="default" w:ascii="Times New Roman" w:hAnsi="Times New Roman" w:eastAsia="宋体" w:cs="Times New Roman"/>
          <w:sz w:val="23"/>
          <w:szCs w:val="23"/>
          <w:highlight w:val="none"/>
        </w:rPr>
        <w:t xml:space="preserve">平原 </w:t>
      </w:r>
      <w:r>
        <w:rPr>
          <w:rFonts w:hint="default" w:ascii="Times New Roman" w:hAnsi="Times New Roman" w:eastAsia="Times New Roman" w:cs="Times New Roman"/>
          <w:sz w:val="23"/>
          <w:szCs w:val="23"/>
          <w:highlight w:val="none"/>
        </w:rPr>
        <w:t>215km</w:t>
      </w:r>
      <w:r>
        <w:rPr>
          <w:rFonts w:hint="default" w:ascii="Times New Roman" w:hAnsi="Times New Roman" w:eastAsia="Times New Roman" w:cs="Times New Roman"/>
          <w:position w:val="7"/>
          <w:sz w:val="15"/>
          <w:szCs w:val="15"/>
          <w:highlight w:val="none"/>
        </w:rPr>
        <w:t>2</w:t>
      </w:r>
      <w:r>
        <w:rPr>
          <w:rFonts w:hint="default" w:ascii="Times New Roman" w:hAnsi="Times New Roman" w:eastAsia="宋体" w:cs="Times New Roman"/>
          <w:sz w:val="23"/>
          <w:szCs w:val="23"/>
          <w:highlight w:val="none"/>
        </w:rPr>
        <w:t>。</w:t>
      </w:r>
    </w:p>
    <w:p>
      <w:pPr>
        <w:spacing w:before="1" w:line="401" w:lineRule="auto"/>
        <w:ind w:left="20" w:right="80"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还</w:t>
      </w:r>
      <w:r>
        <w:rPr>
          <w:rFonts w:hint="default" w:ascii="Times New Roman" w:hAnsi="Times New Roman" w:eastAsia="宋体" w:cs="Times New Roman"/>
          <w:spacing w:val="7"/>
          <w:sz w:val="23"/>
          <w:szCs w:val="23"/>
          <w:highlight w:val="none"/>
        </w:rPr>
        <w:t>乡河发源于迁西县新集，于玉田县南端入蓟运河下梢，是汇入蓟运河最大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的</w:t>
      </w:r>
      <w:r>
        <w:rPr>
          <w:rFonts w:hint="default" w:ascii="Times New Roman" w:hAnsi="Times New Roman" w:eastAsia="宋体" w:cs="Times New Roman"/>
          <w:spacing w:val="7"/>
          <w:sz w:val="23"/>
          <w:szCs w:val="23"/>
          <w:highlight w:val="none"/>
        </w:rPr>
        <w:t>支流。遵化市汇入还乡河水系的主要有铁厂河、娘娘庄河、党峪河以及鲁家峪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河</w:t>
      </w:r>
      <w:r>
        <w:rPr>
          <w:rFonts w:hint="default" w:ascii="Times New Roman" w:hAnsi="Times New Roman" w:eastAsia="宋体" w:cs="Times New Roman"/>
          <w:spacing w:val="7"/>
          <w:sz w:val="23"/>
          <w:szCs w:val="23"/>
          <w:highlight w:val="none"/>
        </w:rPr>
        <w:t>。</w:t>
      </w:r>
      <w:r>
        <w:rPr>
          <w:rFonts w:hint="default" w:ascii="Times New Roman" w:hAnsi="Times New Roman" w:eastAsia="宋体" w:cs="Times New Roman"/>
          <w:spacing w:val="5"/>
          <w:sz w:val="23"/>
          <w:szCs w:val="23"/>
          <w:highlight w:val="none"/>
        </w:rPr>
        <w:t xml:space="preserve">还乡河在遵化市境内流域面积 </w:t>
      </w:r>
      <w:r>
        <w:rPr>
          <w:rFonts w:hint="default" w:ascii="Times New Roman" w:hAnsi="Times New Roman" w:eastAsia="Times New Roman" w:cs="Times New Roman"/>
          <w:spacing w:val="5"/>
          <w:sz w:val="23"/>
          <w:szCs w:val="23"/>
          <w:highlight w:val="none"/>
        </w:rPr>
        <w:t>295.4</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5"/>
          <w:position w:val="7"/>
          <w:sz w:val="15"/>
          <w:szCs w:val="15"/>
          <w:highlight w:val="none"/>
        </w:rPr>
        <w:t>2</w:t>
      </w:r>
      <w:r>
        <w:rPr>
          <w:rFonts w:hint="default" w:ascii="Times New Roman" w:hAnsi="Times New Roman" w:eastAsia="宋体" w:cs="Times New Roman"/>
          <w:spacing w:val="5"/>
          <w:sz w:val="23"/>
          <w:szCs w:val="23"/>
          <w:highlight w:val="none"/>
        </w:rPr>
        <w:t>。</w:t>
      </w:r>
    </w:p>
    <w:p>
      <w:pPr>
        <w:spacing w:before="1" w:line="401" w:lineRule="auto"/>
        <w:ind w:left="22" w:right="30"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淋河位于遵化市西部，发源于兴隆县南部若采山南麓，由长城楦门子口入</w:t>
      </w:r>
      <w:r>
        <w:rPr>
          <w:rFonts w:hint="default" w:ascii="Times New Roman" w:hAnsi="Times New Roman" w:eastAsia="宋体" w:cs="Times New Roman"/>
          <w:spacing w:val="5"/>
          <w:sz w:val="23"/>
          <w:szCs w:val="23"/>
          <w:highlight w:val="none"/>
        </w:rPr>
        <w:t>遵</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化市</w:t>
      </w:r>
      <w:r>
        <w:rPr>
          <w:rFonts w:hint="default" w:ascii="Times New Roman" w:hAnsi="Times New Roman" w:eastAsia="宋体" w:cs="Times New Roman"/>
          <w:spacing w:val="12"/>
          <w:sz w:val="23"/>
          <w:szCs w:val="23"/>
          <w:highlight w:val="none"/>
        </w:rPr>
        <w:t>，</w:t>
      </w:r>
      <w:r>
        <w:rPr>
          <w:rFonts w:hint="default" w:ascii="Times New Roman" w:hAnsi="Times New Roman" w:eastAsia="宋体" w:cs="Times New Roman"/>
          <w:spacing w:val="8"/>
          <w:sz w:val="23"/>
          <w:szCs w:val="23"/>
          <w:highlight w:val="none"/>
        </w:rPr>
        <w:t>经东陵陵区南流出龙门口向西流，在小岳各庄南与北来支流汇合成淋河。</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至蓟</w:t>
      </w:r>
      <w:r>
        <w:rPr>
          <w:rFonts w:hint="default" w:ascii="Times New Roman" w:hAnsi="Times New Roman" w:eastAsia="宋体" w:cs="Times New Roman"/>
          <w:spacing w:val="10"/>
          <w:sz w:val="23"/>
          <w:szCs w:val="23"/>
          <w:highlight w:val="none"/>
        </w:rPr>
        <w:t>县</w:t>
      </w:r>
      <w:r>
        <w:rPr>
          <w:rFonts w:hint="default" w:ascii="Times New Roman" w:hAnsi="Times New Roman" w:eastAsia="宋体" w:cs="Times New Roman"/>
          <w:spacing w:val="8"/>
          <w:sz w:val="23"/>
          <w:szCs w:val="23"/>
          <w:highlight w:val="none"/>
        </w:rPr>
        <w:t>于桥水库区内的三叉口汇入果河成州河。全长</w:t>
      </w:r>
      <w:r>
        <w:rPr>
          <w:rFonts w:hint="default" w:ascii="Times New Roman" w:hAnsi="Times New Roman" w:eastAsia="Times New Roman" w:cs="Times New Roman"/>
          <w:spacing w:val="8"/>
          <w:sz w:val="23"/>
          <w:szCs w:val="23"/>
          <w:highlight w:val="none"/>
        </w:rPr>
        <w:t>50</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，流域面积</w:t>
      </w:r>
      <w:r>
        <w:rPr>
          <w:rFonts w:hint="default" w:ascii="Times New Roman" w:hAnsi="Times New Roman" w:eastAsia="Times New Roman" w:cs="Times New Roman"/>
          <w:spacing w:val="8"/>
          <w:sz w:val="23"/>
          <w:szCs w:val="23"/>
          <w:highlight w:val="none"/>
        </w:rPr>
        <w:t>152</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8"/>
          <w:position w:val="7"/>
          <w:sz w:val="15"/>
          <w:szCs w:val="15"/>
          <w:highlight w:val="none"/>
        </w:rPr>
        <w:t xml:space="preserve">2 </w:t>
      </w:r>
      <w:r>
        <w:rPr>
          <w:rFonts w:hint="default" w:ascii="Times New Roman" w:hAnsi="Times New Roman" w:eastAsia="宋体" w:cs="Times New Roman"/>
          <w:spacing w:val="8"/>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其</w:t>
      </w:r>
      <w:r>
        <w:rPr>
          <w:rFonts w:hint="default" w:ascii="Times New Roman" w:hAnsi="Times New Roman" w:eastAsia="宋体" w:cs="Times New Roman"/>
          <w:spacing w:val="6"/>
          <w:sz w:val="23"/>
          <w:szCs w:val="23"/>
          <w:highlight w:val="none"/>
        </w:rPr>
        <w:t>中遵化市浅山区</w:t>
      </w:r>
      <w:r>
        <w:rPr>
          <w:rFonts w:hint="default" w:ascii="Times New Roman" w:hAnsi="Times New Roman" w:eastAsia="Times New Roman" w:cs="Times New Roman"/>
          <w:spacing w:val="6"/>
          <w:sz w:val="23"/>
          <w:szCs w:val="23"/>
          <w:highlight w:val="none"/>
        </w:rPr>
        <w:t>44</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6"/>
          <w:position w:val="7"/>
          <w:sz w:val="15"/>
          <w:szCs w:val="15"/>
          <w:highlight w:val="none"/>
        </w:rPr>
        <w:t xml:space="preserve">2 </w:t>
      </w:r>
      <w:r>
        <w:rPr>
          <w:rFonts w:hint="default" w:ascii="Times New Roman" w:hAnsi="Times New Roman" w:eastAsia="宋体" w:cs="Times New Roman"/>
          <w:spacing w:val="6"/>
          <w:sz w:val="23"/>
          <w:szCs w:val="23"/>
          <w:highlight w:val="none"/>
        </w:rPr>
        <w:t>，平原</w:t>
      </w:r>
      <w:r>
        <w:rPr>
          <w:rFonts w:hint="default" w:ascii="Times New Roman" w:hAnsi="Times New Roman" w:eastAsia="Times New Roman" w:cs="Times New Roman"/>
          <w:spacing w:val="6"/>
          <w:sz w:val="23"/>
          <w:szCs w:val="23"/>
          <w:highlight w:val="none"/>
        </w:rPr>
        <w:t>32</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6"/>
          <w:position w:val="7"/>
          <w:sz w:val="15"/>
          <w:szCs w:val="15"/>
          <w:highlight w:val="none"/>
        </w:rPr>
        <w:t xml:space="preserve">2 </w:t>
      </w:r>
      <w:r>
        <w:rPr>
          <w:rFonts w:hint="default" w:ascii="Times New Roman" w:hAnsi="Times New Roman" w:eastAsia="宋体" w:cs="Times New Roman"/>
          <w:spacing w:val="6"/>
          <w:sz w:val="23"/>
          <w:szCs w:val="23"/>
          <w:highlight w:val="none"/>
        </w:rPr>
        <w:t>。淋河中游修建了龙门口水库。</w:t>
      </w:r>
    </w:p>
    <w:p>
      <w:pPr>
        <w:spacing w:line="228"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21"/>
          <w:sz w:val="23"/>
          <w:szCs w:val="23"/>
          <w:highlight w:val="none"/>
        </w:rPr>
        <w:t>2</w:t>
      </w:r>
      <w:r>
        <w:rPr>
          <w:rFonts w:hint="default" w:ascii="Times New Roman" w:hAnsi="Times New Roman" w:eastAsia="宋体" w:cs="Times New Roman"/>
          <w:spacing w:val="21"/>
          <w:sz w:val="23"/>
          <w:szCs w:val="23"/>
          <w:highlight w:val="none"/>
        </w:rPr>
        <w:t>) 地下水</w:t>
      </w:r>
    </w:p>
    <w:p>
      <w:pPr>
        <w:spacing w:before="215" w:line="228" w:lineRule="auto"/>
        <w:ind w:left="50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遵化平</w:t>
      </w:r>
      <w:r>
        <w:rPr>
          <w:rFonts w:hint="default" w:ascii="Times New Roman" w:hAnsi="Times New Roman" w:eastAsia="宋体" w:cs="Times New Roman"/>
          <w:spacing w:val="-12"/>
          <w:sz w:val="23"/>
          <w:szCs w:val="23"/>
          <w:highlight w:val="none"/>
        </w:rPr>
        <w:t>原</w:t>
      </w:r>
      <w:r>
        <w:rPr>
          <w:rFonts w:hint="default" w:ascii="Times New Roman" w:hAnsi="Times New Roman" w:eastAsia="宋体" w:cs="Times New Roman"/>
          <w:spacing w:val="-10"/>
          <w:sz w:val="23"/>
          <w:szCs w:val="23"/>
          <w:highlight w:val="none"/>
        </w:rPr>
        <w:t xml:space="preserve">大部分为第四系砾石孔隙含水岩组，分 Ⅰ </w:t>
      </w:r>
      <w:r>
        <w:rPr>
          <w:rFonts w:hint="default" w:ascii="Times New Roman" w:hAnsi="Times New Roman" w:eastAsia="Times New Roman" w:cs="Times New Roman"/>
          <w:spacing w:val="-10"/>
          <w:sz w:val="23"/>
          <w:szCs w:val="23"/>
          <w:highlight w:val="none"/>
        </w:rPr>
        <w:t xml:space="preserve">1 </w:t>
      </w:r>
      <w:r>
        <w:rPr>
          <w:rFonts w:hint="default" w:ascii="Times New Roman" w:hAnsi="Times New Roman" w:eastAsia="宋体" w:cs="Times New Roman"/>
          <w:spacing w:val="-10"/>
          <w:sz w:val="23"/>
          <w:szCs w:val="23"/>
          <w:highlight w:val="none"/>
        </w:rPr>
        <w:t>、  Ⅰ</w:t>
      </w:r>
      <w:r>
        <w:rPr>
          <w:rFonts w:hint="default" w:ascii="Times New Roman" w:hAnsi="Times New Roman" w:eastAsia="Times New Roman" w:cs="Times New Roman"/>
          <w:spacing w:val="-10"/>
          <w:sz w:val="23"/>
          <w:szCs w:val="23"/>
          <w:highlight w:val="none"/>
        </w:rPr>
        <w:t xml:space="preserve">2 </w:t>
      </w:r>
      <w:r>
        <w:rPr>
          <w:rFonts w:hint="default" w:ascii="Times New Roman" w:hAnsi="Times New Roman" w:eastAsia="宋体" w:cs="Times New Roman"/>
          <w:spacing w:val="-10"/>
          <w:sz w:val="23"/>
          <w:szCs w:val="23"/>
          <w:highlight w:val="none"/>
        </w:rPr>
        <w:t>、  Ⅰ</w:t>
      </w:r>
      <w:r>
        <w:rPr>
          <w:rFonts w:hint="default" w:ascii="Times New Roman" w:hAnsi="Times New Roman" w:eastAsia="Times New Roman" w:cs="Times New Roman"/>
          <w:spacing w:val="-10"/>
          <w:sz w:val="23"/>
          <w:szCs w:val="23"/>
          <w:highlight w:val="none"/>
        </w:rPr>
        <w:t>3</w:t>
      </w:r>
      <w:r>
        <w:rPr>
          <w:rFonts w:hint="default" w:ascii="Times New Roman" w:hAnsi="Times New Roman" w:eastAsia="宋体" w:cs="Times New Roman"/>
          <w:spacing w:val="-10"/>
          <w:sz w:val="23"/>
          <w:szCs w:val="23"/>
          <w:highlight w:val="none"/>
        </w:rPr>
        <w:t>三个组。高</w:t>
      </w:r>
    </w:p>
    <w:p>
      <w:pPr>
        <w:rPr>
          <w:rFonts w:hint="default" w:ascii="Times New Roman" w:hAnsi="Times New Roman" w:cs="Times New Roman"/>
          <w:highlight w:val="none"/>
        </w:rPr>
        <w:sectPr>
          <w:headerReference r:id="rId45" w:type="default"/>
          <w:footerReference r:id="rId46" w:type="default"/>
          <w:pgSz w:w="11906" w:h="16839"/>
          <w:pgMar w:top="1167" w:right="1716" w:bottom="1282" w:left="1785" w:header="897" w:footer="1015" w:gutter="0"/>
          <w:pgBorders>
            <w:top w:val="none" w:sz="0" w:space="0"/>
            <w:left w:val="none" w:sz="0" w:space="0"/>
            <w:bottom w:val="none" w:sz="0" w:space="0"/>
            <w:right w:val="none" w:sz="0" w:space="0"/>
          </w:pgBorders>
          <w:pgNumType w:fmt="decimal"/>
          <w:cols w:space="720" w:num="1"/>
        </w:sectPr>
      </w:pPr>
    </w:p>
    <w:p>
      <w:pPr>
        <w:spacing w:line="390"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147" o:spid="_x0000_s1147" style="position:absolute;left:0pt;margin-left:89.85pt;margin-top:59.05pt;height:0.75pt;width:415.65pt;mso-position-horizontal-relative:page;mso-position-vertical-relative:page;z-index:251707392;mso-width-relative:page;mso-height-relative:page;" fillcolor="#000000" filled="t" stroked="f" coordsize="8312,15" o:allowincell="f" path="m0,0l8312,0,8312,14,0,14,0,0xe">
            <v:path/>
            <v:fill on="t" focussize="0,0"/>
            <v:stroke on="f"/>
            <v:imagedata o:title=""/>
            <o:lock v:ext="edit"/>
          </v:shape>
        </w:pict>
      </w:r>
    </w:p>
    <w:p>
      <w:pPr>
        <w:spacing w:before="75" w:line="401" w:lineRule="auto"/>
        <w:ind w:left="22" w:right="47" w:firstLine="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水</w:t>
      </w:r>
      <w:r>
        <w:rPr>
          <w:rFonts w:hint="default" w:ascii="Times New Roman" w:hAnsi="Times New Roman" w:eastAsia="宋体" w:cs="Times New Roman"/>
          <w:spacing w:val="10"/>
          <w:sz w:val="23"/>
          <w:szCs w:val="23"/>
          <w:highlight w:val="none"/>
        </w:rPr>
        <w:t>位</w:t>
      </w:r>
      <w:r>
        <w:rPr>
          <w:rFonts w:hint="default" w:ascii="Times New Roman" w:hAnsi="Times New Roman" w:eastAsia="宋体" w:cs="Times New Roman"/>
          <w:spacing w:val="7"/>
          <w:sz w:val="23"/>
          <w:szCs w:val="23"/>
          <w:highlight w:val="none"/>
        </w:rPr>
        <w:t>期水位埋深一般为</w:t>
      </w:r>
      <w:r>
        <w:rPr>
          <w:rFonts w:hint="default" w:ascii="Times New Roman" w:hAnsi="Times New Roman" w:eastAsia="Times New Roman" w:cs="Times New Roman"/>
          <w:spacing w:val="7"/>
          <w:sz w:val="23"/>
          <w:szCs w:val="23"/>
          <w:highlight w:val="none"/>
        </w:rPr>
        <w:t>4.6-8.6</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。该区大部分地区水矿化度很低，多为重镁型水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质</w:t>
      </w:r>
      <w:r>
        <w:rPr>
          <w:rFonts w:hint="default" w:ascii="Times New Roman" w:hAnsi="Times New Roman" w:eastAsia="宋体" w:cs="Times New Roman"/>
          <w:sz w:val="23"/>
          <w:szCs w:val="23"/>
          <w:highlight w:val="none"/>
        </w:rPr>
        <w:t>。</w:t>
      </w:r>
    </w:p>
    <w:p>
      <w:pPr>
        <w:spacing w:before="1" w:line="401" w:lineRule="auto"/>
        <w:ind w:left="20" w:right="49"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地下水的富积与运动状态主要受地质、地貌、埋藏条件等因素的控制，地下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分</w:t>
      </w:r>
      <w:r>
        <w:rPr>
          <w:rFonts w:hint="default" w:ascii="Times New Roman" w:hAnsi="Times New Roman" w:eastAsia="宋体" w:cs="Times New Roman"/>
          <w:spacing w:val="7"/>
          <w:sz w:val="23"/>
          <w:szCs w:val="23"/>
          <w:highlight w:val="none"/>
        </w:rPr>
        <w:t>水岭与地表分水岭基本一致，其地下水流向为由东北向西南，后汇入引滦入津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干渠</w:t>
      </w:r>
      <w:r>
        <w:rPr>
          <w:rFonts w:hint="default" w:ascii="Times New Roman" w:hAnsi="Times New Roman" w:eastAsia="宋体" w:cs="Times New Roman"/>
          <w:spacing w:val="3"/>
          <w:sz w:val="23"/>
          <w:szCs w:val="23"/>
          <w:highlight w:val="none"/>
        </w:rPr>
        <w:t>。</w:t>
      </w:r>
    </w:p>
    <w:p>
      <w:pPr>
        <w:spacing w:line="228" w:lineRule="auto"/>
        <w:ind w:left="50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地下水：北部山区的山谷地为冲积积砾、卵砂层的松散岩，属裂隙浅水含水</w:t>
      </w:r>
    </w:p>
    <w:p>
      <w:pPr>
        <w:spacing w:before="180" w:line="404" w:lineRule="auto"/>
        <w:ind w:left="20" w:right="4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层，单井出水量小于</w:t>
      </w:r>
      <w:r>
        <w:rPr>
          <w:rFonts w:hint="default" w:ascii="Times New Roman" w:hAnsi="Times New Roman" w:eastAsia="Times New Roman" w:cs="Times New Roman"/>
          <w:spacing w:val="9"/>
          <w:sz w:val="23"/>
          <w:szCs w:val="23"/>
          <w:highlight w:val="none"/>
        </w:rPr>
        <w:t>30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position w:val="8"/>
          <w:sz w:val="15"/>
          <w:szCs w:val="15"/>
          <w:highlight w:val="none"/>
        </w:rPr>
        <w:t>3</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，水位埋深</w:t>
      </w:r>
      <w:r>
        <w:rPr>
          <w:rFonts w:hint="default" w:ascii="Times New Roman" w:hAnsi="Times New Roman" w:eastAsia="Times New Roman" w:cs="Times New Roman"/>
          <w:spacing w:val="9"/>
          <w:sz w:val="23"/>
          <w:szCs w:val="23"/>
          <w:highlight w:val="none"/>
        </w:rPr>
        <w:t>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，是该区主要地下水水源分布区。</w:t>
      </w:r>
      <w:r>
        <w:rPr>
          <w:rFonts w:hint="default" w:ascii="Times New Roman" w:hAnsi="Times New Roman" w:eastAsia="宋体" w:cs="Times New Roman"/>
          <w:spacing w:val="8"/>
          <w:sz w:val="23"/>
          <w:szCs w:val="23"/>
          <w:highlight w:val="none"/>
        </w:rPr>
        <w:t>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0"/>
          <w:sz w:val="23"/>
          <w:szCs w:val="23"/>
          <w:highlight w:val="none"/>
        </w:rPr>
        <w:t>麻</w:t>
      </w:r>
      <w:r>
        <w:rPr>
          <w:rFonts w:hint="default" w:ascii="Times New Roman" w:hAnsi="Times New Roman" w:eastAsia="宋体" w:cs="Times New Roman"/>
          <w:spacing w:val="21"/>
          <w:sz w:val="23"/>
          <w:szCs w:val="23"/>
          <w:highlight w:val="none"/>
        </w:rPr>
        <w:t>岩地带地下水主要为上部风化裂隙水和局部构造裂隙脉状水，单井出水量</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6"/>
          <w:sz w:val="23"/>
          <w:szCs w:val="23"/>
          <w:highlight w:val="none"/>
        </w:rPr>
        <w:t>0.6- 1.3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7"/>
          <w:sz w:val="15"/>
          <w:szCs w:val="15"/>
          <w:highlight w:val="none"/>
        </w:rPr>
        <w:t>3</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，构造破碎带可达</w:t>
      </w:r>
      <w:r>
        <w:rPr>
          <w:rFonts w:hint="default" w:ascii="Times New Roman" w:hAnsi="Times New Roman" w:eastAsia="Times New Roman" w:cs="Times New Roman"/>
          <w:spacing w:val="3"/>
          <w:sz w:val="23"/>
          <w:szCs w:val="23"/>
          <w:highlight w:val="none"/>
        </w:rPr>
        <w:t>30-40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position w:val="7"/>
          <w:sz w:val="15"/>
          <w:szCs w:val="15"/>
          <w:highlight w:val="none"/>
        </w:rPr>
        <w:t>3</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3"/>
          <w:sz w:val="23"/>
          <w:szCs w:val="23"/>
          <w:highlight w:val="none"/>
        </w:rPr>
        <w:t>；泉水发育较好，但涌水量不大，一般为</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4"/>
          <w:sz w:val="23"/>
          <w:szCs w:val="23"/>
          <w:highlight w:val="none"/>
        </w:rPr>
        <w:t>1</w:t>
      </w:r>
      <w:r>
        <w:rPr>
          <w:rFonts w:hint="default" w:ascii="Times New Roman" w:hAnsi="Times New Roman" w:eastAsia="Times New Roman" w:cs="Times New Roman"/>
          <w:spacing w:val="11"/>
          <w:sz w:val="23"/>
          <w:szCs w:val="23"/>
          <w:highlight w:val="none"/>
        </w:rPr>
        <w:t>.</w:t>
      </w:r>
      <w:r>
        <w:rPr>
          <w:rFonts w:hint="default" w:ascii="Times New Roman" w:hAnsi="Times New Roman" w:eastAsia="Times New Roman" w:cs="Times New Roman"/>
          <w:spacing w:val="7"/>
          <w:sz w:val="23"/>
          <w:szCs w:val="23"/>
          <w:highlight w:val="none"/>
        </w:rPr>
        <w:t xml:space="preserve">3-7.0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position w:val="7"/>
          <w:sz w:val="15"/>
          <w:szCs w:val="15"/>
          <w:highlight w:val="none"/>
        </w:rPr>
        <w:t>3</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，群泉可达</w:t>
      </w:r>
      <w:r>
        <w:rPr>
          <w:rFonts w:hint="default" w:ascii="Times New Roman" w:hAnsi="Times New Roman" w:eastAsia="Times New Roman" w:cs="Times New Roman"/>
          <w:spacing w:val="7"/>
          <w:sz w:val="23"/>
          <w:szCs w:val="23"/>
          <w:highlight w:val="none"/>
        </w:rPr>
        <w:t xml:space="preserve">11.2-54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position w:val="7"/>
          <w:sz w:val="15"/>
          <w:szCs w:val="15"/>
          <w:highlight w:val="none"/>
        </w:rPr>
        <w:t>3</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。花岗岩及花岗闪长岩地带，风化裂隙不发</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育，仅在个别地段有泉水出露。北部山区地下水资</w:t>
      </w:r>
      <w:r>
        <w:rPr>
          <w:rFonts w:hint="default" w:ascii="Times New Roman" w:hAnsi="Times New Roman" w:eastAsia="宋体" w:cs="Times New Roman"/>
          <w:sz w:val="23"/>
          <w:szCs w:val="23"/>
          <w:highlight w:val="none"/>
        </w:rPr>
        <w:t>源不丰富，多年平均水量达</w:t>
      </w:r>
      <w:r>
        <w:rPr>
          <w:rFonts w:hint="default" w:ascii="Times New Roman" w:hAnsi="Times New Roman" w:eastAsia="Times New Roman" w:cs="Times New Roman"/>
          <w:sz w:val="23"/>
          <w:szCs w:val="23"/>
          <w:highlight w:val="none"/>
        </w:rPr>
        <w:t xml:space="preserve">2353 </w:t>
      </w:r>
      <w:r>
        <w:rPr>
          <w:rFonts w:hint="default" w:ascii="Times New Roman" w:hAnsi="Times New Roman" w:eastAsia="宋体" w:cs="Times New Roman"/>
          <w:spacing w:val="4"/>
          <w:position w:val="-1"/>
          <w:sz w:val="23"/>
          <w:szCs w:val="23"/>
          <w:highlight w:val="none"/>
        </w:rPr>
        <w:t>万</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3"/>
          <w:position w:val="6"/>
          <w:sz w:val="15"/>
          <w:szCs w:val="15"/>
          <w:highlight w:val="none"/>
        </w:rPr>
        <w:t>3</w:t>
      </w:r>
      <w:r>
        <w:rPr>
          <w:rFonts w:hint="default" w:ascii="Times New Roman" w:hAnsi="Times New Roman" w:eastAsia="宋体" w:cs="Times New Roman"/>
          <w:spacing w:val="3"/>
          <w:position w:val="-1"/>
          <w:sz w:val="23"/>
          <w:szCs w:val="23"/>
          <w:highlight w:val="none"/>
        </w:rPr>
        <w:t>。</w:t>
      </w:r>
    </w:p>
    <w:p>
      <w:pPr>
        <w:spacing w:before="16" w:line="396" w:lineRule="auto"/>
        <w:ind w:left="21" w:right="45"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北川平原和南川平原：北川平原富水分布由北向南逐渐递增，中道山北侧</w:t>
      </w:r>
      <w:r>
        <w:rPr>
          <w:rFonts w:hint="default" w:ascii="Times New Roman" w:hAnsi="Times New Roman" w:eastAsia="宋体" w:cs="Times New Roman"/>
          <w:spacing w:val="3"/>
          <w:sz w:val="23"/>
          <w:szCs w:val="23"/>
          <w:highlight w:val="none"/>
        </w:rPr>
        <w:t>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富</w:t>
      </w:r>
      <w:r>
        <w:rPr>
          <w:rFonts w:hint="default" w:ascii="Times New Roman" w:hAnsi="Times New Roman" w:eastAsia="宋体" w:cs="Times New Roman"/>
          <w:spacing w:val="9"/>
          <w:sz w:val="23"/>
          <w:szCs w:val="23"/>
          <w:highlight w:val="none"/>
        </w:rPr>
        <w:t>水带单井出水量大于</w:t>
      </w:r>
      <w:r>
        <w:rPr>
          <w:rFonts w:hint="default" w:ascii="Times New Roman" w:hAnsi="Times New Roman" w:eastAsia="Times New Roman" w:cs="Times New Roman"/>
          <w:spacing w:val="9"/>
          <w:sz w:val="23"/>
          <w:szCs w:val="23"/>
          <w:highlight w:val="none"/>
        </w:rPr>
        <w:t xml:space="preserve">200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position w:val="8"/>
          <w:sz w:val="15"/>
          <w:szCs w:val="15"/>
          <w:highlight w:val="none"/>
        </w:rPr>
        <w:t>3</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9"/>
          <w:sz w:val="23"/>
          <w:szCs w:val="23"/>
          <w:highlight w:val="none"/>
        </w:rPr>
        <w:t>；洪冲积扇前缘及近洪积扇富水地带，单井出水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量</w:t>
      </w:r>
      <w:r>
        <w:rPr>
          <w:rFonts w:hint="default" w:ascii="Times New Roman" w:hAnsi="Times New Roman" w:eastAsia="宋体" w:cs="Times New Roman"/>
          <w:spacing w:val="6"/>
          <w:sz w:val="23"/>
          <w:szCs w:val="23"/>
          <w:highlight w:val="none"/>
        </w:rPr>
        <w:t>达</w:t>
      </w:r>
      <w:r>
        <w:rPr>
          <w:rFonts w:hint="default" w:ascii="Times New Roman" w:hAnsi="Times New Roman" w:eastAsia="Times New Roman" w:cs="Times New Roman"/>
          <w:spacing w:val="6"/>
          <w:sz w:val="23"/>
          <w:szCs w:val="23"/>
          <w:highlight w:val="none"/>
        </w:rPr>
        <w:t xml:space="preserve">100-200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7"/>
          <w:sz w:val="15"/>
          <w:szCs w:val="15"/>
          <w:highlight w:val="none"/>
        </w:rPr>
        <w:t>3</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6"/>
          <w:sz w:val="23"/>
          <w:szCs w:val="23"/>
          <w:highlight w:val="none"/>
        </w:rPr>
        <w:t>；中等富水带位于扇间地带，单井出水量达</w:t>
      </w:r>
      <w:r>
        <w:rPr>
          <w:rFonts w:hint="default" w:ascii="Times New Roman" w:hAnsi="Times New Roman" w:eastAsia="Times New Roman" w:cs="Times New Roman"/>
          <w:spacing w:val="6"/>
          <w:sz w:val="23"/>
          <w:szCs w:val="23"/>
          <w:highlight w:val="none"/>
        </w:rPr>
        <w:t xml:space="preserve">50- 100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7"/>
          <w:sz w:val="15"/>
          <w:szCs w:val="15"/>
          <w:highlight w:val="none"/>
        </w:rPr>
        <w:t>3</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，平原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与山丘边缘是不含水和微含水的地带</w:t>
      </w:r>
      <w:r>
        <w:rPr>
          <w:rFonts w:hint="default" w:ascii="Times New Roman" w:hAnsi="Times New Roman" w:eastAsia="宋体" w:cs="Times New Roman"/>
          <w:spacing w:val="6"/>
          <w:sz w:val="23"/>
          <w:szCs w:val="23"/>
          <w:highlight w:val="none"/>
        </w:rPr>
        <w:t>。</w:t>
      </w:r>
    </w:p>
    <w:p>
      <w:pPr>
        <w:spacing w:before="26" w:line="464" w:lineRule="exact"/>
        <w:ind w:left="50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position w:val="17"/>
          <w:sz w:val="23"/>
          <w:szCs w:val="23"/>
          <w:highlight w:val="none"/>
        </w:rPr>
        <w:t>北川平原和南川平原是遵化市地下水富水区：北川平原地下水资源多年平</w:t>
      </w:r>
      <w:r>
        <w:rPr>
          <w:rFonts w:hint="default" w:ascii="Times New Roman" w:hAnsi="Times New Roman" w:eastAsia="宋体" w:cs="Times New Roman"/>
          <w:spacing w:val="3"/>
          <w:position w:val="17"/>
          <w:sz w:val="23"/>
          <w:szCs w:val="23"/>
          <w:highlight w:val="none"/>
        </w:rPr>
        <w:t>均</w:t>
      </w:r>
    </w:p>
    <w:p>
      <w:pPr>
        <w:spacing w:line="314" w:lineRule="exact"/>
        <w:ind w:left="2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position w:val="1"/>
          <w:sz w:val="23"/>
          <w:szCs w:val="23"/>
          <w:highlight w:val="none"/>
        </w:rPr>
        <w:t>总量</w:t>
      </w:r>
      <w:r>
        <w:rPr>
          <w:rFonts w:hint="default" w:ascii="Times New Roman" w:hAnsi="Times New Roman" w:eastAsia="宋体" w:cs="Times New Roman"/>
          <w:spacing w:val="8"/>
          <w:position w:val="1"/>
          <w:sz w:val="23"/>
          <w:szCs w:val="23"/>
          <w:highlight w:val="none"/>
        </w:rPr>
        <w:t>达</w:t>
      </w:r>
      <w:r>
        <w:rPr>
          <w:rFonts w:hint="default" w:ascii="Times New Roman" w:hAnsi="Times New Roman" w:eastAsia="Times New Roman" w:cs="Times New Roman"/>
          <w:spacing w:val="7"/>
          <w:position w:val="1"/>
          <w:sz w:val="23"/>
          <w:szCs w:val="23"/>
          <w:highlight w:val="none"/>
        </w:rPr>
        <w:t>7000</w:t>
      </w:r>
      <w:r>
        <w:rPr>
          <w:rFonts w:hint="default" w:ascii="Times New Roman" w:hAnsi="Times New Roman" w:eastAsia="宋体" w:cs="Times New Roman"/>
          <w:spacing w:val="7"/>
          <w:position w:val="1"/>
          <w:sz w:val="23"/>
          <w:szCs w:val="23"/>
          <w:highlight w:val="none"/>
        </w:rPr>
        <w:t>万</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7"/>
          <w:position w:val="8"/>
          <w:sz w:val="15"/>
          <w:szCs w:val="15"/>
          <w:highlight w:val="none"/>
        </w:rPr>
        <w:t>3</w:t>
      </w:r>
      <w:r>
        <w:rPr>
          <w:rFonts w:hint="default" w:ascii="Times New Roman" w:hAnsi="Times New Roman" w:eastAsia="Times New Roman" w:cs="Times New Roman"/>
          <w:spacing w:val="7"/>
          <w:position w:val="1"/>
          <w:sz w:val="23"/>
          <w:szCs w:val="23"/>
          <w:highlight w:val="none"/>
        </w:rPr>
        <w:t>/</w:t>
      </w:r>
      <w:r>
        <w:rPr>
          <w:rFonts w:hint="default" w:ascii="Times New Roman" w:hAnsi="Times New Roman" w:eastAsia="Times New Roman" w:cs="Times New Roman"/>
          <w:position w:val="1"/>
          <w:sz w:val="23"/>
          <w:szCs w:val="23"/>
          <w:highlight w:val="none"/>
        </w:rPr>
        <w:t>h</w:t>
      </w:r>
      <w:r>
        <w:rPr>
          <w:rFonts w:hint="default" w:ascii="Times New Roman" w:hAnsi="Times New Roman" w:eastAsia="宋体" w:cs="Times New Roman"/>
          <w:spacing w:val="7"/>
          <w:position w:val="1"/>
          <w:sz w:val="23"/>
          <w:szCs w:val="23"/>
          <w:highlight w:val="none"/>
        </w:rPr>
        <w:t>；南川平原地下水由北向南逐渐递增，多年平均达</w:t>
      </w:r>
      <w:r>
        <w:rPr>
          <w:rFonts w:hint="default" w:ascii="Times New Roman" w:hAnsi="Times New Roman" w:eastAsia="Times New Roman" w:cs="Times New Roman"/>
          <w:spacing w:val="7"/>
          <w:position w:val="1"/>
          <w:sz w:val="23"/>
          <w:szCs w:val="23"/>
          <w:highlight w:val="none"/>
        </w:rPr>
        <w:t xml:space="preserve">6000 </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7"/>
          <w:position w:val="8"/>
          <w:sz w:val="15"/>
          <w:szCs w:val="15"/>
          <w:highlight w:val="none"/>
        </w:rPr>
        <w:t>3</w:t>
      </w:r>
      <w:r>
        <w:rPr>
          <w:rFonts w:hint="default" w:ascii="Times New Roman" w:hAnsi="Times New Roman" w:eastAsia="Times New Roman" w:cs="Times New Roman"/>
          <w:spacing w:val="7"/>
          <w:position w:val="1"/>
          <w:sz w:val="23"/>
          <w:szCs w:val="23"/>
          <w:highlight w:val="none"/>
        </w:rPr>
        <w:t>/</w:t>
      </w:r>
      <w:r>
        <w:rPr>
          <w:rFonts w:hint="default" w:ascii="Times New Roman" w:hAnsi="Times New Roman" w:eastAsia="Times New Roman" w:cs="Times New Roman"/>
          <w:position w:val="1"/>
          <w:sz w:val="23"/>
          <w:szCs w:val="23"/>
          <w:highlight w:val="none"/>
        </w:rPr>
        <w:t>h</w:t>
      </w:r>
      <w:r>
        <w:rPr>
          <w:rFonts w:hint="default" w:ascii="Times New Roman" w:hAnsi="Times New Roman" w:eastAsia="宋体" w:cs="Times New Roman"/>
          <w:spacing w:val="7"/>
          <w:position w:val="1"/>
          <w:sz w:val="23"/>
          <w:szCs w:val="23"/>
          <w:highlight w:val="none"/>
        </w:rPr>
        <w:t>。</w:t>
      </w:r>
    </w:p>
    <w:p>
      <w:pPr>
        <w:spacing w:before="183" w:line="409" w:lineRule="auto"/>
        <w:ind w:left="21" w:right="45" w:firstLine="50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中</w:t>
      </w:r>
      <w:r>
        <w:rPr>
          <w:rFonts w:hint="default" w:ascii="Times New Roman" w:hAnsi="Times New Roman" w:eastAsia="宋体" w:cs="Times New Roman"/>
          <w:spacing w:val="6"/>
          <w:sz w:val="23"/>
          <w:szCs w:val="23"/>
          <w:highlight w:val="none"/>
        </w:rPr>
        <w:t>道山地带：中道山前冲积扇，地下水单井出水量一般为</w:t>
      </w:r>
      <w:r>
        <w:rPr>
          <w:rFonts w:hint="default" w:ascii="Times New Roman" w:hAnsi="Times New Roman" w:eastAsia="Times New Roman" w:cs="Times New Roman"/>
          <w:spacing w:val="6"/>
          <w:sz w:val="23"/>
          <w:szCs w:val="23"/>
          <w:highlight w:val="none"/>
        </w:rPr>
        <w:t xml:space="preserve">3-20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8"/>
          <w:sz w:val="15"/>
          <w:szCs w:val="15"/>
          <w:highlight w:val="none"/>
        </w:rPr>
        <w:t>3</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6"/>
          <w:sz w:val="23"/>
          <w:szCs w:val="23"/>
          <w:highlight w:val="none"/>
        </w:rPr>
        <w:t>；石门西</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南</w:t>
      </w:r>
      <w:r>
        <w:rPr>
          <w:rFonts w:hint="default" w:ascii="Times New Roman" w:hAnsi="Times New Roman" w:eastAsia="宋体" w:cs="Times New Roman"/>
          <w:spacing w:val="5"/>
          <w:sz w:val="23"/>
          <w:szCs w:val="23"/>
          <w:highlight w:val="none"/>
        </w:rPr>
        <w:t>片为淋河的冲洪积砂及砂含砾层，单井出水量为</w:t>
      </w:r>
      <w:r>
        <w:rPr>
          <w:rFonts w:hint="default" w:ascii="Times New Roman" w:hAnsi="Times New Roman" w:eastAsia="Times New Roman" w:cs="Times New Roman"/>
          <w:spacing w:val="5"/>
          <w:sz w:val="23"/>
          <w:szCs w:val="23"/>
          <w:highlight w:val="none"/>
        </w:rPr>
        <w:t xml:space="preserve">50- 100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position w:val="8"/>
          <w:sz w:val="15"/>
          <w:szCs w:val="15"/>
          <w:highlight w:val="none"/>
        </w:rPr>
        <w:t>3</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5"/>
          <w:sz w:val="23"/>
          <w:szCs w:val="23"/>
          <w:highlight w:val="none"/>
        </w:rPr>
        <w:t>；姚各庄经蒋辛庄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至国各庄狭</w:t>
      </w:r>
      <w:r>
        <w:rPr>
          <w:rFonts w:hint="default" w:ascii="Times New Roman" w:hAnsi="Times New Roman" w:eastAsia="宋体" w:cs="Times New Roman"/>
          <w:spacing w:val="7"/>
          <w:sz w:val="23"/>
          <w:szCs w:val="23"/>
          <w:highlight w:val="none"/>
        </w:rPr>
        <w:t>长</w:t>
      </w:r>
      <w:r>
        <w:rPr>
          <w:rFonts w:hint="default" w:ascii="Times New Roman" w:hAnsi="Times New Roman" w:eastAsia="宋体" w:cs="Times New Roman"/>
          <w:spacing w:val="4"/>
          <w:sz w:val="23"/>
          <w:szCs w:val="23"/>
          <w:highlight w:val="none"/>
        </w:rPr>
        <w:t>谷地，为冲洪积砂砾卵石层，表层</w:t>
      </w:r>
      <w:r>
        <w:rPr>
          <w:rFonts w:hint="default" w:ascii="Times New Roman" w:hAnsi="Times New Roman" w:eastAsia="Times New Roman" w:cs="Times New Roman"/>
          <w:spacing w:val="4"/>
          <w:sz w:val="23"/>
          <w:szCs w:val="23"/>
          <w:highlight w:val="none"/>
        </w:rPr>
        <w:t>2-3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，附以淤积泥层，单井出水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量</w:t>
      </w:r>
      <w:r>
        <w:rPr>
          <w:rFonts w:hint="default" w:ascii="Times New Roman" w:hAnsi="Times New Roman" w:eastAsia="Times New Roman" w:cs="Times New Roman"/>
          <w:spacing w:val="6"/>
          <w:sz w:val="23"/>
          <w:szCs w:val="23"/>
          <w:highlight w:val="none"/>
        </w:rPr>
        <w:t xml:space="preserve">30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7"/>
          <w:sz w:val="15"/>
          <w:szCs w:val="15"/>
          <w:highlight w:val="none"/>
        </w:rPr>
        <w:t>3</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。中道山地带地下水资源多年平均总量达</w:t>
      </w:r>
      <w:r>
        <w:rPr>
          <w:rFonts w:hint="default" w:ascii="Times New Roman" w:hAnsi="Times New Roman" w:eastAsia="Times New Roman" w:cs="Times New Roman"/>
          <w:spacing w:val="6"/>
          <w:sz w:val="23"/>
          <w:szCs w:val="23"/>
          <w:highlight w:val="none"/>
        </w:rPr>
        <w:t>650</w:t>
      </w:r>
      <w:r>
        <w:rPr>
          <w:rFonts w:hint="default" w:ascii="Times New Roman" w:hAnsi="Times New Roman" w:eastAsia="宋体" w:cs="Times New Roman"/>
          <w:spacing w:val="6"/>
          <w:sz w:val="23"/>
          <w:szCs w:val="23"/>
          <w:highlight w:val="none"/>
        </w:rPr>
        <w:t>万</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7"/>
          <w:sz w:val="15"/>
          <w:szCs w:val="15"/>
          <w:highlight w:val="none"/>
        </w:rPr>
        <w:t>3</w:t>
      </w:r>
      <w:r>
        <w:rPr>
          <w:rFonts w:hint="default" w:ascii="Times New Roman" w:hAnsi="Times New Roman" w:eastAsia="宋体" w:cs="Times New Roman"/>
          <w:spacing w:val="6"/>
          <w:sz w:val="23"/>
          <w:szCs w:val="23"/>
          <w:highlight w:val="none"/>
        </w:rPr>
        <w:t>。</w:t>
      </w:r>
    </w:p>
    <w:p>
      <w:pPr>
        <w:spacing w:before="1" w:line="401" w:lineRule="auto"/>
        <w:ind w:left="13" w:right="40" w:firstLine="49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4"/>
          <w:sz w:val="23"/>
          <w:szCs w:val="23"/>
          <w:highlight w:val="none"/>
        </w:rPr>
        <w:t>东</w:t>
      </w:r>
      <w:r>
        <w:rPr>
          <w:rFonts w:hint="default" w:ascii="Times New Roman" w:hAnsi="Times New Roman" w:eastAsia="宋体" w:cs="Times New Roman"/>
          <w:spacing w:val="13"/>
          <w:sz w:val="23"/>
          <w:szCs w:val="23"/>
          <w:highlight w:val="none"/>
        </w:rPr>
        <w:t>南山丘区：东南山丘区是遵化市缺水区，地下水资源多年平均达</w:t>
      </w:r>
      <w:r>
        <w:rPr>
          <w:rFonts w:hint="default" w:ascii="Times New Roman" w:hAnsi="Times New Roman" w:eastAsia="Times New Roman" w:cs="Times New Roman"/>
          <w:spacing w:val="13"/>
          <w:sz w:val="23"/>
          <w:szCs w:val="23"/>
          <w:highlight w:val="none"/>
        </w:rPr>
        <w:t>1567</w:t>
      </w:r>
      <w:r>
        <w:rPr>
          <w:rFonts w:hint="default" w:ascii="Times New Roman" w:hAnsi="Times New Roman" w:eastAsia="宋体" w:cs="Times New Roman"/>
          <w:spacing w:val="13"/>
          <w:sz w:val="23"/>
          <w:szCs w:val="23"/>
          <w:highlight w:val="none"/>
        </w:rPr>
        <w:t>万</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0"/>
          <w:position w:val="7"/>
          <w:sz w:val="15"/>
          <w:szCs w:val="15"/>
          <w:highlight w:val="none"/>
        </w:rPr>
        <w:t xml:space="preserve">3 </w:t>
      </w:r>
      <w:r>
        <w:rPr>
          <w:rFonts w:hint="default" w:ascii="Times New Roman" w:hAnsi="Times New Roman" w:eastAsia="宋体" w:cs="Times New Roman"/>
          <w:spacing w:val="10"/>
          <w:sz w:val="23"/>
          <w:szCs w:val="23"/>
          <w:highlight w:val="none"/>
        </w:rPr>
        <w:t>。由</w:t>
      </w:r>
      <w:r>
        <w:rPr>
          <w:rFonts w:hint="default" w:ascii="Times New Roman" w:hAnsi="Times New Roman" w:eastAsia="宋体" w:cs="Times New Roman"/>
          <w:spacing w:val="5"/>
          <w:sz w:val="23"/>
          <w:szCs w:val="23"/>
          <w:highlight w:val="none"/>
        </w:rPr>
        <w:t>高于庄和雾迷山两组构成的岩溶裂隙及地质构造的断层，向斜、背斜形成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的条状带，单井出水一般为</w:t>
      </w:r>
      <w:r>
        <w:rPr>
          <w:rFonts w:hint="default" w:ascii="Times New Roman" w:hAnsi="Times New Roman" w:eastAsia="Times New Roman" w:cs="Times New Roman"/>
          <w:spacing w:val="4"/>
          <w:sz w:val="23"/>
          <w:szCs w:val="23"/>
          <w:highlight w:val="none"/>
        </w:rPr>
        <w:t xml:space="preserve">100-250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position w:val="7"/>
          <w:sz w:val="15"/>
          <w:szCs w:val="15"/>
          <w:highlight w:val="none"/>
        </w:rPr>
        <w:t>3</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，涌泉量一般</w:t>
      </w:r>
      <w:r>
        <w:rPr>
          <w:rFonts w:hint="default" w:ascii="Times New Roman" w:hAnsi="Times New Roman" w:eastAsia="Times New Roman" w:cs="Times New Roman"/>
          <w:spacing w:val="4"/>
          <w:sz w:val="23"/>
          <w:szCs w:val="23"/>
          <w:highlight w:val="none"/>
        </w:rPr>
        <w:t xml:space="preserve">2-7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position w:val="7"/>
          <w:sz w:val="15"/>
          <w:szCs w:val="15"/>
          <w:highlight w:val="none"/>
        </w:rPr>
        <w:t>3</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，地下水随雨</w:t>
      </w:r>
      <w:r>
        <w:rPr>
          <w:rFonts w:hint="default" w:ascii="Times New Roman" w:hAnsi="Times New Roman" w:eastAsia="宋体" w:cs="Times New Roman"/>
          <w:spacing w:val="2"/>
          <w:sz w:val="23"/>
          <w:szCs w:val="23"/>
          <w:highlight w:val="none"/>
        </w:rPr>
        <w:t>水</w:t>
      </w:r>
      <w:r>
        <w:rPr>
          <w:rFonts w:hint="default" w:ascii="Times New Roman" w:hAnsi="Times New Roman" w:eastAsia="宋体" w:cs="Times New Roman"/>
          <w:sz w:val="23"/>
          <w:szCs w:val="23"/>
          <w:highlight w:val="none"/>
        </w:rPr>
        <w:t xml:space="preserve">季 </w:t>
      </w:r>
      <w:r>
        <w:rPr>
          <w:rFonts w:hint="default" w:ascii="Times New Roman" w:hAnsi="Times New Roman" w:eastAsia="宋体" w:cs="Times New Roman"/>
          <w:spacing w:val="10"/>
          <w:sz w:val="23"/>
          <w:szCs w:val="23"/>
          <w:highlight w:val="none"/>
        </w:rPr>
        <w:t>节而变</w:t>
      </w:r>
      <w:r>
        <w:rPr>
          <w:rFonts w:hint="default" w:ascii="Times New Roman" w:hAnsi="Times New Roman" w:eastAsia="宋体" w:cs="Times New Roman"/>
          <w:spacing w:val="6"/>
          <w:sz w:val="23"/>
          <w:szCs w:val="23"/>
          <w:highlight w:val="none"/>
        </w:rPr>
        <w:t>化</w:t>
      </w:r>
      <w:r>
        <w:rPr>
          <w:rFonts w:hint="default" w:ascii="Times New Roman" w:hAnsi="Times New Roman" w:eastAsia="宋体" w:cs="Times New Roman"/>
          <w:spacing w:val="5"/>
          <w:sz w:val="23"/>
          <w:szCs w:val="23"/>
          <w:highlight w:val="none"/>
        </w:rPr>
        <w:t>； 由大洪峪和杨庄两组构成岩溶裂隙发育，单井出水量</w:t>
      </w:r>
      <w:r>
        <w:rPr>
          <w:rFonts w:hint="default" w:ascii="Times New Roman" w:hAnsi="Times New Roman" w:eastAsia="Times New Roman" w:cs="Times New Roman"/>
          <w:spacing w:val="5"/>
          <w:sz w:val="23"/>
          <w:szCs w:val="23"/>
          <w:highlight w:val="none"/>
        </w:rPr>
        <w:t xml:space="preserve">20-30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position w:val="8"/>
          <w:sz w:val="15"/>
          <w:szCs w:val="15"/>
          <w:highlight w:val="none"/>
        </w:rPr>
        <w:t>3</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5"/>
          <w:sz w:val="23"/>
          <w:szCs w:val="23"/>
          <w:highlight w:val="none"/>
        </w:rPr>
        <w:t>。</w:t>
      </w:r>
    </w:p>
    <w:p>
      <w:pPr>
        <w:spacing w:before="1" w:line="227" w:lineRule="auto"/>
        <w:ind w:left="509"/>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rect id="_x0000_s1146" o:spid="_x0000_s1146" o:spt="1" style="position:absolute;left:0pt;margin-left:89.1pt;margin-top:775.6pt;height:0.75pt;width:415.65pt;mso-position-horizontal-relative:page;mso-position-vertical-relative:page;z-index:251708416;mso-width-relative:page;mso-height-relative:page;" fillcolor="#FFFFFF" filled="t" stroked="f" coordsize="21600,21600" o:allowincell="f">
            <v:path/>
            <v:fill on="t" color2="#FFFFFF" focussize="0,0"/>
            <v:stroke on="f"/>
            <v:imagedata o:title=""/>
            <o:lock v:ext="edit" aspectratio="f"/>
          </v:rect>
        </w:pict>
      </w:r>
      <w:r>
        <w:rPr>
          <w:rFonts w:hint="default" w:ascii="Times New Roman" w:hAnsi="Times New Roman" w:eastAsia="宋体" w:cs="Times New Roman"/>
          <w:spacing w:val="16"/>
          <w:sz w:val="23"/>
          <w:szCs w:val="23"/>
          <w:highlight w:val="none"/>
        </w:rPr>
        <w:t>东南</w:t>
      </w:r>
      <w:r>
        <w:rPr>
          <w:rFonts w:hint="default" w:ascii="Times New Roman" w:hAnsi="Times New Roman" w:eastAsia="宋体" w:cs="Times New Roman"/>
          <w:spacing w:val="10"/>
          <w:sz w:val="23"/>
          <w:szCs w:val="23"/>
          <w:highlight w:val="none"/>
        </w:rPr>
        <w:t>山</w:t>
      </w:r>
      <w:r>
        <w:rPr>
          <w:rFonts w:hint="default" w:ascii="Times New Roman" w:hAnsi="Times New Roman" w:eastAsia="宋体" w:cs="Times New Roman"/>
          <w:spacing w:val="8"/>
          <w:sz w:val="23"/>
          <w:szCs w:val="23"/>
          <w:highlight w:val="none"/>
        </w:rPr>
        <w:t>丘由构造破碎带和断层形成的地下水有九条：</w:t>
      </w:r>
    </w:p>
    <w:p>
      <w:pPr>
        <w:rPr>
          <w:rFonts w:hint="default" w:ascii="Times New Roman" w:hAnsi="Times New Roman" w:cs="Times New Roman"/>
          <w:highlight w:val="none"/>
        </w:rPr>
        <w:sectPr>
          <w:headerReference r:id="rId47" w:type="default"/>
          <w:footerReference r:id="rId48" w:type="default"/>
          <w:pgSz w:w="11906" w:h="16839"/>
          <w:pgMar w:top="1167" w:right="1747" w:bottom="1282" w:left="1785" w:header="897" w:footer="1015" w:gutter="0"/>
          <w:pgBorders>
            <w:top w:val="none" w:sz="0" w:space="0"/>
            <w:left w:val="none" w:sz="0" w:space="0"/>
            <w:bottom w:val="none" w:sz="0" w:space="0"/>
            <w:right w:val="none" w:sz="0" w:space="0"/>
          </w:pgBorders>
          <w:pgNumType w:fmt="decimal"/>
          <w:cols w:space="720" w:num="1"/>
        </w:sectPr>
      </w:pPr>
    </w:p>
    <w:p>
      <w:pPr>
        <w:spacing w:line="391"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148" o:spid="_x0000_s1148" style="position:absolute;left:0pt;margin-left:89.85pt;margin-top:59.05pt;height:0.75pt;width:415.65pt;mso-position-horizontal-relative:page;mso-position-vertical-relative:page;z-index:251709440;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cs="Times New Roman"/>
          <w:highlight w:val="none"/>
        </w:rPr>
        <w:pict>
          <v:shape id="_x0000_s1149" o:spid="_x0000_s1149" style="position:absolute;left:0pt;margin-left:89.85pt;margin-top:776.35pt;height:0.75pt;width:415.65pt;mso-position-horizontal-relative:page;mso-position-vertical-relative:page;z-index:251710464;mso-width-relative:page;mso-height-relative:page;" fillcolor="#FFFFFF" filled="t" stroked="f" coordsize="8312,15" o:allowincell="f" path="m0,0l8312,0,8312,14,0,14,0,0xe">
            <v:path/>
            <v:fill on="t" color2="#FFFFFF" focussize="0,0"/>
            <v:stroke on="f"/>
            <v:imagedata o:title=""/>
            <o:lock v:ext="edit" aspectratio="f"/>
          </v:shape>
        </w:pict>
      </w:r>
    </w:p>
    <w:p>
      <w:pPr>
        <w:spacing w:before="75" w:line="463" w:lineRule="exact"/>
        <w:ind w:left="495"/>
        <w:rPr>
          <w:rFonts w:hint="default" w:ascii="Times New Roman" w:hAnsi="Times New Roman" w:eastAsia="宋体" w:cs="Times New Roman"/>
          <w:sz w:val="23"/>
          <w:szCs w:val="23"/>
          <w:highlight w:val="none"/>
        </w:rPr>
      </w:pPr>
      <w:r>
        <w:rPr>
          <w:rFonts w:hint="default" w:ascii="Times New Roman" w:hAnsi="Times New Roman" w:eastAsia="Times New Roman" w:cs="Times New Roman"/>
          <w:position w:val="17"/>
          <w:sz w:val="23"/>
          <w:szCs w:val="23"/>
          <w:highlight w:val="none"/>
        </w:rPr>
        <w:t>F</w:t>
      </w:r>
      <w:r>
        <w:rPr>
          <w:rFonts w:hint="default" w:ascii="Times New Roman" w:hAnsi="Times New Roman" w:eastAsia="Times New Roman" w:cs="Times New Roman"/>
          <w:spacing w:val="20"/>
          <w:position w:val="17"/>
          <w:sz w:val="23"/>
          <w:szCs w:val="23"/>
          <w:highlight w:val="none"/>
        </w:rPr>
        <w:t>3</w:t>
      </w:r>
      <w:r>
        <w:rPr>
          <w:rFonts w:hint="default" w:ascii="Times New Roman" w:hAnsi="Times New Roman" w:eastAsia="宋体" w:cs="Times New Roman"/>
          <w:spacing w:val="20"/>
          <w:position w:val="17"/>
          <w:sz w:val="23"/>
          <w:szCs w:val="23"/>
          <w:highlight w:val="none"/>
        </w:rPr>
        <w:t>断</w:t>
      </w:r>
      <w:r>
        <w:rPr>
          <w:rFonts w:hint="default" w:ascii="Times New Roman" w:hAnsi="Times New Roman" w:eastAsia="宋体" w:cs="Times New Roman"/>
          <w:spacing w:val="13"/>
          <w:position w:val="17"/>
          <w:sz w:val="23"/>
          <w:szCs w:val="23"/>
          <w:highlight w:val="none"/>
        </w:rPr>
        <w:t>层</w:t>
      </w:r>
      <w:r>
        <w:rPr>
          <w:rFonts w:hint="default" w:ascii="Times New Roman" w:hAnsi="Times New Roman" w:eastAsia="宋体" w:cs="Times New Roman"/>
          <w:spacing w:val="10"/>
          <w:position w:val="17"/>
          <w:sz w:val="23"/>
          <w:szCs w:val="23"/>
          <w:highlight w:val="none"/>
        </w:rPr>
        <w:t>： 由泉水头北向东南平安庄至安各庄，水位深</w:t>
      </w:r>
      <w:r>
        <w:rPr>
          <w:rFonts w:hint="default" w:ascii="Times New Roman" w:hAnsi="Times New Roman" w:eastAsia="Times New Roman" w:cs="Times New Roman"/>
          <w:spacing w:val="10"/>
          <w:position w:val="17"/>
          <w:sz w:val="23"/>
          <w:szCs w:val="23"/>
          <w:highlight w:val="none"/>
        </w:rPr>
        <w:t>5-20</w:t>
      </w:r>
      <w:r>
        <w:rPr>
          <w:rFonts w:hint="default" w:ascii="Times New Roman" w:hAnsi="Times New Roman" w:eastAsia="Times New Roman" w:cs="Times New Roman"/>
          <w:position w:val="17"/>
          <w:sz w:val="23"/>
          <w:szCs w:val="23"/>
          <w:highlight w:val="none"/>
        </w:rPr>
        <w:t>m</w:t>
      </w:r>
      <w:r>
        <w:rPr>
          <w:rFonts w:hint="default" w:ascii="Times New Roman" w:hAnsi="Times New Roman" w:eastAsia="Times New Roman" w:cs="Times New Roman"/>
          <w:spacing w:val="10"/>
          <w:position w:val="17"/>
          <w:sz w:val="23"/>
          <w:szCs w:val="23"/>
          <w:highlight w:val="none"/>
        </w:rPr>
        <w:t xml:space="preserve"> </w:t>
      </w:r>
      <w:r>
        <w:rPr>
          <w:rFonts w:hint="default" w:ascii="Times New Roman" w:hAnsi="Times New Roman" w:eastAsia="宋体" w:cs="Times New Roman"/>
          <w:spacing w:val="10"/>
          <w:position w:val="17"/>
          <w:sz w:val="23"/>
          <w:szCs w:val="23"/>
          <w:highlight w:val="none"/>
        </w:rPr>
        <w:t>，单井出水量</w:t>
      </w:r>
    </w:p>
    <w:p>
      <w:pPr>
        <w:spacing w:line="314" w:lineRule="exact"/>
        <w:ind w:left="20"/>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2"/>
          <w:position w:val="1"/>
          <w:sz w:val="23"/>
          <w:szCs w:val="23"/>
          <w:highlight w:val="none"/>
        </w:rPr>
        <w:t>70- 1</w:t>
      </w:r>
      <w:r>
        <w:rPr>
          <w:rFonts w:hint="default" w:ascii="Times New Roman" w:hAnsi="Times New Roman" w:eastAsia="Times New Roman" w:cs="Times New Roman"/>
          <w:spacing w:val="-1"/>
          <w:position w:val="1"/>
          <w:sz w:val="23"/>
          <w:szCs w:val="23"/>
          <w:highlight w:val="none"/>
        </w:rPr>
        <w:t>20 m</w:t>
      </w:r>
      <w:r>
        <w:rPr>
          <w:rFonts w:hint="default" w:ascii="Times New Roman" w:hAnsi="Times New Roman" w:eastAsia="Times New Roman" w:cs="Times New Roman"/>
          <w:spacing w:val="-1"/>
          <w:position w:val="8"/>
          <w:sz w:val="15"/>
          <w:szCs w:val="15"/>
          <w:highlight w:val="none"/>
        </w:rPr>
        <w:t>3</w:t>
      </w:r>
      <w:r>
        <w:rPr>
          <w:rFonts w:hint="default" w:ascii="Times New Roman" w:hAnsi="Times New Roman" w:eastAsia="Times New Roman" w:cs="Times New Roman"/>
          <w:spacing w:val="-1"/>
          <w:position w:val="1"/>
          <w:sz w:val="23"/>
          <w:szCs w:val="23"/>
          <w:highlight w:val="none"/>
        </w:rPr>
        <w:t>/h</w:t>
      </w:r>
      <w:r>
        <w:rPr>
          <w:rFonts w:hint="default" w:ascii="Times New Roman" w:hAnsi="Times New Roman" w:eastAsia="宋体" w:cs="Times New Roman"/>
          <w:spacing w:val="-1"/>
          <w:position w:val="1"/>
          <w:sz w:val="23"/>
          <w:szCs w:val="23"/>
          <w:highlight w:val="none"/>
        </w:rPr>
        <w:t>。</w:t>
      </w:r>
    </w:p>
    <w:p>
      <w:pPr>
        <w:spacing w:before="183" w:line="402" w:lineRule="auto"/>
        <w:ind w:left="39" w:right="78" w:firstLine="455"/>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F</w:t>
      </w:r>
      <w:r>
        <w:rPr>
          <w:rFonts w:hint="default" w:ascii="Times New Roman" w:hAnsi="Times New Roman" w:eastAsia="Times New Roman" w:cs="Times New Roman"/>
          <w:spacing w:val="8"/>
          <w:sz w:val="23"/>
          <w:szCs w:val="23"/>
          <w:highlight w:val="none"/>
        </w:rPr>
        <w:t>4</w:t>
      </w:r>
      <w:r>
        <w:rPr>
          <w:rFonts w:hint="default" w:ascii="Times New Roman" w:hAnsi="Times New Roman" w:eastAsia="宋体" w:cs="Times New Roman"/>
          <w:spacing w:val="8"/>
          <w:sz w:val="23"/>
          <w:szCs w:val="23"/>
          <w:highlight w:val="none"/>
        </w:rPr>
        <w:t>断层： 由</w:t>
      </w:r>
      <w:r>
        <w:rPr>
          <w:rFonts w:hint="default" w:ascii="Times New Roman" w:hAnsi="Times New Roman" w:eastAsia="宋体" w:cs="Times New Roman"/>
          <w:spacing w:val="5"/>
          <w:sz w:val="23"/>
          <w:szCs w:val="23"/>
          <w:highlight w:val="none"/>
        </w:rPr>
        <w:t>刘</w:t>
      </w:r>
      <w:r>
        <w:rPr>
          <w:rFonts w:hint="default" w:ascii="Times New Roman" w:hAnsi="Times New Roman" w:eastAsia="宋体" w:cs="Times New Roman"/>
          <w:spacing w:val="4"/>
          <w:sz w:val="23"/>
          <w:szCs w:val="23"/>
          <w:highlight w:val="none"/>
        </w:rPr>
        <w:t>各庄向东经佛来峪至山头庄，单井出水量</w:t>
      </w:r>
      <w:r>
        <w:rPr>
          <w:rFonts w:hint="default" w:ascii="Times New Roman" w:hAnsi="Times New Roman" w:eastAsia="Times New Roman" w:cs="Times New Roman"/>
          <w:spacing w:val="4"/>
          <w:sz w:val="23"/>
          <w:szCs w:val="23"/>
          <w:highlight w:val="none"/>
        </w:rPr>
        <w:t xml:space="preserve">50-90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position w:val="7"/>
          <w:sz w:val="15"/>
          <w:szCs w:val="15"/>
          <w:highlight w:val="none"/>
        </w:rPr>
        <w:t>3</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，水位深</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
          <w:sz w:val="23"/>
          <w:szCs w:val="23"/>
          <w:highlight w:val="none"/>
        </w:rPr>
        <w:t>10-30</w:t>
      </w:r>
      <w:r>
        <w:rPr>
          <w:rFonts w:hint="default" w:ascii="Times New Roman" w:hAnsi="Times New Roman" w:eastAsia="Times New Roman" w:cs="Times New Roman"/>
          <w:sz w:val="23"/>
          <w:szCs w:val="23"/>
          <w:highlight w:val="none"/>
        </w:rPr>
        <w:t xml:space="preserve">m </w:t>
      </w:r>
      <w:r>
        <w:rPr>
          <w:rFonts w:hint="default" w:ascii="Times New Roman" w:hAnsi="Times New Roman" w:eastAsia="宋体" w:cs="Times New Roman"/>
          <w:sz w:val="23"/>
          <w:szCs w:val="23"/>
          <w:highlight w:val="none"/>
        </w:rPr>
        <w:t>，但降深较浅。</w:t>
      </w:r>
    </w:p>
    <w:p>
      <w:pPr>
        <w:spacing w:line="315" w:lineRule="exact"/>
        <w:ind w:left="495"/>
        <w:rPr>
          <w:rFonts w:hint="default" w:ascii="Times New Roman" w:hAnsi="Times New Roman" w:eastAsia="宋体" w:cs="Times New Roman"/>
          <w:sz w:val="23"/>
          <w:szCs w:val="23"/>
          <w:highlight w:val="none"/>
        </w:rPr>
      </w:pPr>
      <w:r>
        <w:rPr>
          <w:rFonts w:hint="default" w:ascii="Times New Roman" w:hAnsi="Times New Roman" w:eastAsia="Times New Roman" w:cs="Times New Roman"/>
          <w:position w:val="1"/>
          <w:sz w:val="23"/>
          <w:szCs w:val="23"/>
          <w:highlight w:val="none"/>
        </w:rPr>
        <w:t>F</w:t>
      </w:r>
      <w:r>
        <w:rPr>
          <w:rFonts w:hint="default" w:ascii="Times New Roman" w:hAnsi="Times New Roman" w:eastAsia="Times New Roman" w:cs="Times New Roman"/>
          <w:spacing w:val="11"/>
          <w:position w:val="1"/>
          <w:sz w:val="23"/>
          <w:szCs w:val="23"/>
          <w:highlight w:val="none"/>
        </w:rPr>
        <w:t>5</w:t>
      </w:r>
      <w:r>
        <w:rPr>
          <w:rFonts w:hint="default" w:ascii="Times New Roman" w:hAnsi="Times New Roman" w:eastAsia="宋体" w:cs="Times New Roman"/>
          <w:spacing w:val="11"/>
          <w:position w:val="1"/>
          <w:sz w:val="23"/>
          <w:szCs w:val="23"/>
          <w:highlight w:val="none"/>
        </w:rPr>
        <w:t>断层： 由佛来峪向南至鲁家峪村偏东，单井出水量</w:t>
      </w:r>
      <w:r>
        <w:rPr>
          <w:rFonts w:hint="default" w:ascii="Times New Roman" w:hAnsi="Times New Roman" w:eastAsia="Times New Roman" w:cs="Times New Roman"/>
          <w:spacing w:val="11"/>
          <w:position w:val="1"/>
          <w:sz w:val="23"/>
          <w:szCs w:val="23"/>
          <w:highlight w:val="none"/>
        </w:rPr>
        <w:t xml:space="preserve">30-60 </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11"/>
          <w:position w:val="9"/>
          <w:sz w:val="15"/>
          <w:szCs w:val="15"/>
          <w:highlight w:val="none"/>
        </w:rPr>
        <w:t>3</w:t>
      </w:r>
      <w:r>
        <w:rPr>
          <w:rFonts w:hint="default" w:ascii="Times New Roman" w:hAnsi="Times New Roman" w:eastAsia="Times New Roman" w:cs="Times New Roman"/>
          <w:spacing w:val="11"/>
          <w:position w:val="1"/>
          <w:sz w:val="23"/>
          <w:szCs w:val="23"/>
          <w:highlight w:val="none"/>
        </w:rPr>
        <w:t>/</w:t>
      </w:r>
      <w:r>
        <w:rPr>
          <w:rFonts w:hint="default" w:ascii="Times New Roman" w:hAnsi="Times New Roman" w:eastAsia="Times New Roman" w:cs="Times New Roman"/>
          <w:position w:val="1"/>
          <w:sz w:val="23"/>
          <w:szCs w:val="23"/>
          <w:highlight w:val="none"/>
        </w:rPr>
        <w:t>h</w:t>
      </w:r>
      <w:r>
        <w:rPr>
          <w:rFonts w:hint="default" w:ascii="Times New Roman" w:hAnsi="Times New Roman" w:eastAsia="Times New Roman" w:cs="Times New Roman"/>
          <w:spacing w:val="11"/>
          <w:position w:val="1"/>
          <w:sz w:val="23"/>
          <w:szCs w:val="23"/>
          <w:highlight w:val="none"/>
        </w:rPr>
        <w:t xml:space="preserve"> </w:t>
      </w:r>
      <w:r>
        <w:rPr>
          <w:rFonts w:hint="default" w:ascii="Times New Roman" w:hAnsi="Times New Roman" w:eastAsia="宋体" w:cs="Times New Roman"/>
          <w:spacing w:val="11"/>
          <w:position w:val="1"/>
          <w:sz w:val="23"/>
          <w:szCs w:val="23"/>
          <w:highlight w:val="none"/>
        </w:rPr>
        <w:t>，水位深</w:t>
      </w:r>
    </w:p>
    <w:p>
      <w:pPr>
        <w:spacing w:before="260" w:line="186" w:lineRule="auto"/>
        <w:ind w:left="16"/>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5"/>
          <w:sz w:val="23"/>
          <w:szCs w:val="23"/>
          <w:highlight w:val="none"/>
        </w:rPr>
        <w:t>2</w:t>
      </w:r>
      <w:r>
        <w:rPr>
          <w:rFonts w:hint="default" w:ascii="Times New Roman" w:hAnsi="Times New Roman" w:eastAsia="Times New Roman" w:cs="Times New Roman"/>
          <w:spacing w:val="4"/>
          <w:sz w:val="23"/>
          <w:szCs w:val="23"/>
          <w:highlight w:val="none"/>
        </w:rPr>
        <w:t>0-40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4"/>
          <w:sz w:val="23"/>
          <w:szCs w:val="23"/>
          <w:highlight w:val="none"/>
        </w:rPr>
        <w:t>。</w:t>
      </w:r>
    </w:p>
    <w:p>
      <w:pPr>
        <w:spacing w:before="191" w:line="315" w:lineRule="exact"/>
        <w:ind w:left="495"/>
        <w:rPr>
          <w:rFonts w:hint="default" w:ascii="Times New Roman" w:hAnsi="Times New Roman" w:eastAsia="宋体" w:cs="Times New Roman"/>
          <w:sz w:val="23"/>
          <w:szCs w:val="23"/>
          <w:highlight w:val="none"/>
        </w:rPr>
      </w:pPr>
      <w:r>
        <w:rPr>
          <w:rFonts w:hint="default" w:ascii="Times New Roman" w:hAnsi="Times New Roman" w:eastAsia="Times New Roman" w:cs="Times New Roman"/>
          <w:position w:val="1"/>
          <w:sz w:val="23"/>
          <w:szCs w:val="23"/>
          <w:highlight w:val="none"/>
        </w:rPr>
        <w:t>F</w:t>
      </w:r>
      <w:r>
        <w:rPr>
          <w:rFonts w:hint="default" w:ascii="Times New Roman" w:hAnsi="Times New Roman" w:eastAsia="Times New Roman" w:cs="Times New Roman"/>
          <w:spacing w:val="6"/>
          <w:position w:val="1"/>
          <w:sz w:val="23"/>
          <w:szCs w:val="23"/>
          <w:highlight w:val="none"/>
        </w:rPr>
        <w:t>6</w:t>
      </w:r>
      <w:r>
        <w:rPr>
          <w:rFonts w:hint="default" w:ascii="Times New Roman" w:hAnsi="Times New Roman" w:eastAsia="宋体" w:cs="Times New Roman"/>
          <w:spacing w:val="6"/>
          <w:position w:val="1"/>
          <w:sz w:val="23"/>
          <w:szCs w:val="23"/>
          <w:highlight w:val="none"/>
        </w:rPr>
        <w:t>断层： 由</w:t>
      </w:r>
      <w:r>
        <w:rPr>
          <w:rFonts w:hint="default" w:ascii="Times New Roman" w:hAnsi="Times New Roman" w:eastAsia="宋体" w:cs="Times New Roman"/>
          <w:spacing w:val="3"/>
          <w:position w:val="1"/>
          <w:sz w:val="23"/>
          <w:szCs w:val="23"/>
          <w:highlight w:val="none"/>
        </w:rPr>
        <w:t>晏家峪向北至尹各庄，单井出水量</w:t>
      </w:r>
      <w:r>
        <w:rPr>
          <w:rFonts w:hint="default" w:ascii="Times New Roman" w:hAnsi="Times New Roman" w:eastAsia="Times New Roman" w:cs="Times New Roman"/>
          <w:spacing w:val="3"/>
          <w:position w:val="1"/>
          <w:sz w:val="23"/>
          <w:szCs w:val="23"/>
          <w:highlight w:val="none"/>
        </w:rPr>
        <w:t xml:space="preserve">30-50 </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3"/>
          <w:position w:val="9"/>
          <w:sz w:val="15"/>
          <w:szCs w:val="15"/>
          <w:highlight w:val="none"/>
        </w:rPr>
        <w:t>3</w:t>
      </w:r>
      <w:r>
        <w:rPr>
          <w:rFonts w:hint="default" w:ascii="Times New Roman" w:hAnsi="Times New Roman" w:eastAsia="Times New Roman" w:cs="Times New Roman"/>
          <w:spacing w:val="3"/>
          <w:position w:val="1"/>
          <w:sz w:val="23"/>
          <w:szCs w:val="23"/>
          <w:highlight w:val="none"/>
        </w:rPr>
        <w:t>/</w:t>
      </w:r>
      <w:r>
        <w:rPr>
          <w:rFonts w:hint="default" w:ascii="Times New Roman" w:hAnsi="Times New Roman" w:eastAsia="Times New Roman" w:cs="Times New Roman"/>
          <w:position w:val="1"/>
          <w:sz w:val="23"/>
          <w:szCs w:val="23"/>
          <w:highlight w:val="none"/>
        </w:rPr>
        <w:t>h</w:t>
      </w:r>
      <w:r>
        <w:rPr>
          <w:rFonts w:hint="default" w:ascii="Times New Roman" w:hAnsi="Times New Roman" w:eastAsia="Times New Roman" w:cs="Times New Roman"/>
          <w:spacing w:val="3"/>
          <w:position w:val="1"/>
          <w:sz w:val="23"/>
          <w:szCs w:val="23"/>
          <w:highlight w:val="none"/>
        </w:rPr>
        <w:t xml:space="preserve"> </w:t>
      </w:r>
      <w:r>
        <w:rPr>
          <w:rFonts w:hint="default" w:ascii="Times New Roman" w:hAnsi="Times New Roman" w:eastAsia="宋体" w:cs="Times New Roman"/>
          <w:spacing w:val="3"/>
          <w:position w:val="1"/>
          <w:sz w:val="23"/>
          <w:szCs w:val="23"/>
          <w:highlight w:val="none"/>
        </w:rPr>
        <w:t>，水位深</w:t>
      </w:r>
      <w:r>
        <w:rPr>
          <w:rFonts w:hint="default" w:ascii="Times New Roman" w:hAnsi="Times New Roman" w:eastAsia="Times New Roman" w:cs="Times New Roman"/>
          <w:spacing w:val="3"/>
          <w:position w:val="1"/>
          <w:sz w:val="23"/>
          <w:szCs w:val="23"/>
          <w:highlight w:val="none"/>
        </w:rPr>
        <w:t>30-67</w:t>
      </w:r>
      <w:r>
        <w:rPr>
          <w:rFonts w:hint="default" w:ascii="Times New Roman" w:hAnsi="Times New Roman" w:eastAsia="Times New Roman" w:cs="Times New Roman"/>
          <w:position w:val="1"/>
          <w:sz w:val="23"/>
          <w:szCs w:val="23"/>
          <w:highlight w:val="none"/>
        </w:rPr>
        <w:t>m</w:t>
      </w:r>
      <w:r>
        <w:rPr>
          <w:rFonts w:hint="default" w:ascii="Times New Roman" w:hAnsi="Times New Roman" w:eastAsia="宋体" w:cs="Times New Roman"/>
          <w:spacing w:val="3"/>
          <w:position w:val="1"/>
          <w:sz w:val="23"/>
          <w:szCs w:val="23"/>
          <w:highlight w:val="none"/>
        </w:rPr>
        <w:t>。</w:t>
      </w:r>
    </w:p>
    <w:p>
      <w:pPr>
        <w:spacing w:before="222" w:line="464" w:lineRule="exact"/>
        <w:ind w:left="495"/>
        <w:rPr>
          <w:rFonts w:hint="default" w:ascii="Times New Roman" w:hAnsi="Times New Roman" w:eastAsia="宋体" w:cs="Times New Roman"/>
          <w:sz w:val="23"/>
          <w:szCs w:val="23"/>
          <w:highlight w:val="none"/>
        </w:rPr>
      </w:pPr>
      <w:r>
        <w:rPr>
          <w:rFonts w:hint="default" w:ascii="Times New Roman" w:hAnsi="Times New Roman" w:eastAsia="Times New Roman" w:cs="Times New Roman"/>
          <w:position w:val="17"/>
          <w:sz w:val="23"/>
          <w:szCs w:val="23"/>
          <w:highlight w:val="none"/>
        </w:rPr>
        <w:t>F</w:t>
      </w:r>
      <w:r>
        <w:rPr>
          <w:rFonts w:hint="default" w:ascii="Times New Roman" w:hAnsi="Times New Roman" w:eastAsia="Times New Roman" w:cs="Times New Roman"/>
          <w:spacing w:val="7"/>
          <w:position w:val="17"/>
          <w:sz w:val="23"/>
          <w:szCs w:val="23"/>
          <w:highlight w:val="none"/>
        </w:rPr>
        <w:t>7</w:t>
      </w:r>
      <w:r>
        <w:rPr>
          <w:rFonts w:hint="default" w:ascii="Times New Roman" w:hAnsi="Times New Roman" w:eastAsia="宋体" w:cs="Times New Roman"/>
          <w:spacing w:val="7"/>
          <w:position w:val="17"/>
          <w:sz w:val="23"/>
          <w:szCs w:val="23"/>
          <w:highlight w:val="none"/>
        </w:rPr>
        <w:t>断层：由羊田向北偏东经西山口、牛家峪、党峪西、尚店、莫台寺、君</w:t>
      </w:r>
      <w:r>
        <w:rPr>
          <w:rFonts w:hint="default" w:ascii="Times New Roman" w:hAnsi="Times New Roman" w:eastAsia="宋体" w:cs="Times New Roman"/>
          <w:position w:val="17"/>
          <w:sz w:val="23"/>
          <w:szCs w:val="23"/>
          <w:highlight w:val="none"/>
        </w:rPr>
        <w:t>子</w:t>
      </w:r>
    </w:p>
    <w:p>
      <w:pPr>
        <w:spacing w:line="315" w:lineRule="exact"/>
        <w:ind w:left="5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position w:val="1"/>
          <w:sz w:val="23"/>
          <w:szCs w:val="23"/>
          <w:highlight w:val="none"/>
        </w:rPr>
        <w:t>口</w:t>
      </w:r>
      <w:r>
        <w:rPr>
          <w:rFonts w:hint="default" w:ascii="Times New Roman" w:hAnsi="Times New Roman" w:eastAsia="宋体" w:cs="Times New Roman"/>
          <w:spacing w:val="6"/>
          <w:position w:val="1"/>
          <w:sz w:val="23"/>
          <w:szCs w:val="23"/>
          <w:highlight w:val="none"/>
        </w:rPr>
        <w:t>至</w:t>
      </w:r>
      <w:r>
        <w:rPr>
          <w:rFonts w:hint="default" w:ascii="Times New Roman" w:hAnsi="Times New Roman" w:eastAsia="宋体" w:cs="Times New Roman"/>
          <w:spacing w:val="4"/>
          <w:position w:val="1"/>
          <w:sz w:val="23"/>
          <w:szCs w:val="23"/>
          <w:highlight w:val="none"/>
        </w:rPr>
        <w:t>桃山屯东，单井出水量</w:t>
      </w:r>
      <w:r>
        <w:rPr>
          <w:rFonts w:hint="default" w:ascii="Times New Roman" w:hAnsi="Times New Roman" w:eastAsia="Times New Roman" w:cs="Times New Roman"/>
          <w:spacing w:val="4"/>
          <w:position w:val="1"/>
          <w:sz w:val="23"/>
          <w:szCs w:val="23"/>
          <w:highlight w:val="none"/>
        </w:rPr>
        <w:t xml:space="preserve">30-60 </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4"/>
          <w:position w:val="8"/>
          <w:sz w:val="15"/>
          <w:szCs w:val="15"/>
          <w:highlight w:val="none"/>
        </w:rPr>
        <w:t>3</w:t>
      </w:r>
      <w:r>
        <w:rPr>
          <w:rFonts w:hint="default" w:ascii="Times New Roman" w:hAnsi="Times New Roman" w:eastAsia="Times New Roman" w:cs="Times New Roman"/>
          <w:spacing w:val="4"/>
          <w:position w:val="1"/>
          <w:sz w:val="23"/>
          <w:szCs w:val="23"/>
          <w:highlight w:val="none"/>
        </w:rPr>
        <w:t>/</w:t>
      </w:r>
      <w:r>
        <w:rPr>
          <w:rFonts w:hint="default" w:ascii="Times New Roman" w:hAnsi="Times New Roman" w:eastAsia="Times New Roman" w:cs="Times New Roman"/>
          <w:position w:val="1"/>
          <w:sz w:val="23"/>
          <w:szCs w:val="23"/>
          <w:highlight w:val="none"/>
        </w:rPr>
        <w:t>h</w:t>
      </w:r>
      <w:r>
        <w:rPr>
          <w:rFonts w:hint="default" w:ascii="Times New Roman" w:hAnsi="Times New Roman" w:eastAsia="Times New Roman" w:cs="Times New Roman"/>
          <w:spacing w:val="4"/>
          <w:position w:val="1"/>
          <w:sz w:val="23"/>
          <w:szCs w:val="23"/>
          <w:highlight w:val="none"/>
        </w:rPr>
        <w:t xml:space="preserve"> </w:t>
      </w:r>
      <w:r>
        <w:rPr>
          <w:rFonts w:hint="default" w:ascii="Times New Roman" w:hAnsi="Times New Roman" w:eastAsia="宋体" w:cs="Times New Roman"/>
          <w:spacing w:val="4"/>
          <w:position w:val="1"/>
          <w:sz w:val="23"/>
          <w:szCs w:val="23"/>
          <w:highlight w:val="none"/>
        </w:rPr>
        <w:t>，水位深</w:t>
      </w:r>
      <w:r>
        <w:rPr>
          <w:rFonts w:hint="default" w:ascii="Times New Roman" w:hAnsi="Times New Roman" w:eastAsia="Times New Roman" w:cs="Times New Roman"/>
          <w:spacing w:val="4"/>
          <w:position w:val="1"/>
          <w:sz w:val="23"/>
          <w:szCs w:val="23"/>
          <w:highlight w:val="none"/>
        </w:rPr>
        <w:t>20-40</w:t>
      </w:r>
      <w:r>
        <w:rPr>
          <w:rFonts w:hint="default" w:ascii="Times New Roman" w:hAnsi="Times New Roman" w:eastAsia="Times New Roman" w:cs="Times New Roman"/>
          <w:position w:val="1"/>
          <w:sz w:val="23"/>
          <w:szCs w:val="23"/>
          <w:highlight w:val="none"/>
        </w:rPr>
        <w:t>m</w:t>
      </w:r>
      <w:r>
        <w:rPr>
          <w:rFonts w:hint="default" w:ascii="Times New Roman" w:hAnsi="Times New Roman" w:eastAsia="宋体" w:cs="Times New Roman"/>
          <w:spacing w:val="4"/>
          <w:position w:val="1"/>
          <w:sz w:val="23"/>
          <w:szCs w:val="23"/>
          <w:highlight w:val="none"/>
        </w:rPr>
        <w:t>。</w:t>
      </w:r>
    </w:p>
    <w:p>
      <w:pPr>
        <w:spacing w:before="184" w:line="410" w:lineRule="auto"/>
        <w:ind w:left="23" w:right="12" w:firstLine="471"/>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F</w:t>
      </w:r>
      <w:r>
        <w:rPr>
          <w:rFonts w:hint="default" w:ascii="Times New Roman" w:hAnsi="Times New Roman" w:eastAsia="Times New Roman" w:cs="Times New Roman"/>
          <w:spacing w:val="5"/>
          <w:sz w:val="23"/>
          <w:szCs w:val="23"/>
          <w:highlight w:val="none"/>
        </w:rPr>
        <w:t>8</w:t>
      </w:r>
      <w:r>
        <w:rPr>
          <w:rFonts w:hint="default" w:ascii="Times New Roman" w:hAnsi="Times New Roman" w:eastAsia="宋体" w:cs="Times New Roman"/>
          <w:spacing w:val="5"/>
          <w:sz w:val="23"/>
          <w:szCs w:val="23"/>
          <w:highlight w:val="none"/>
        </w:rPr>
        <w:t>断层：由车道峪东向北经峪口、沙石峪至常峪东，单井出水量</w:t>
      </w:r>
      <w:r>
        <w:rPr>
          <w:rFonts w:hint="default" w:ascii="Times New Roman" w:hAnsi="Times New Roman" w:eastAsia="Times New Roman" w:cs="Times New Roman"/>
          <w:spacing w:val="5"/>
          <w:sz w:val="23"/>
          <w:szCs w:val="23"/>
          <w:highlight w:val="none"/>
        </w:rPr>
        <w:t xml:space="preserve">40-67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position w:val="8"/>
          <w:sz w:val="15"/>
          <w:szCs w:val="15"/>
          <w:highlight w:val="none"/>
        </w:rPr>
        <w:t>3</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5"/>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水</w:t>
      </w:r>
      <w:r>
        <w:rPr>
          <w:rFonts w:hint="default" w:ascii="Times New Roman" w:hAnsi="Times New Roman" w:eastAsia="宋体" w:cs="Times New Roman"/>
          <w:spacing w:val="5"/>
          <w:sz w:val="23"/>
          <w:szCs w:val="23"/>
          <w:highlight w:val="none"/>
        </w:rPr>
        <w:t>位深</w:t>
      </w:r>
      <w:r>
        <w:rPr>
          <w:rFonts w:hint="default" w:ascii="Times New Roman" w:hAnsi="Times New Roman" w:eastAsia="Times New Roman" w:cs="Times New Roman"/>
          <w:spacing w:val="5"/>
          <w:sz w:val="23"/>
          <w:szCs w:val="23"/>
          <w:highlight w:val="none"/>
        </w:rPr>
        <w:t>20-60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5"/>
          <w:sz w:val="23"/>
          <w:szCs w:val="23"/>
          <w:highlight w:val="none"/>
        </w:rPr>
        <w:t>。</w:t>
      </w:r>
    </w:p>
    <w:p>
      <w:pPr>
        <w:spacing w:before="15" w:line="410" w:lineRule="auto"/>
        <w:ind w:left="20" w:right="15" w:firstLine="475"/>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F</w:t>
      </w:r>
      <w:r>
        <w:rPr>
          <w:rFonts w:hint="default" w:ascii="Times New Roman" w:hAnsi="Times New Roman" w:eastAsia="Times New Roman" w:cs="Times New Roman"/>
          <w:spacing w:val="2"/>
          <w:sz w:val="23"/>
          <w:szCs w:val="23"/>
          <w:highlight w:val="none"/>
        </w:rPr>
        <w:t>9</w:t>
      </w:r>
      <w:r>
        <w:rPr>
          <w:rFonts w:hint="default" w:ascii="Times New Roman" w:hAnsi="Times New Roman" w:eastAsia="宋体" w:cs="Times New Roman"/>
          <w:spacing w:val="2"/>
          <w:sz w:val="23"/>
          <w:szCs w:val="23"/>
          <w:highlight w:val="none"/>
        </w:rPr>
        <w:t>断层：由上丁家岭向北经潘庄吊虎崖、温庄南沟、七户、</w:t>
      </w:r>
      <w:r>
        <w:rPr>
          <w:rFonts w:hint="default" w:ascii="Times New Roman" w:hAnsi="Times New Roman" w:eastAsia="宋体" w:cs="Times New Roman"/>
          <w:spacing w:val="1"/>
          <w:sz w:val="23"/>
          <w:szCs w:val="23"/>
          <w:highlight w:val="none"/>
        </w:rPr>
        <w:t>石桥头偏向东北，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8"/>
          <w:sz w:val="23"/>
          <w:szCs w:val="23"/>
          <w:highlight w:val="none"/>
        </w:rPr>
        <w:t>往</w:t>
      </w:r>
      <w:r>
        <w:rPr>
          <w:rFonts w:hint="default" w:ascii="Times New Roman" w:hAnsi="Times New Roman" w:eastAsia="宋体" w:cs="Times New Roman"/>
          <w:spacing w:val="18"/>
          <w:sz w:val="23"/>
          <w:szCs w:val="23"/>
          <w:highlight w:val="none"/>
        </w:rPr>
        <w:t>徐</w:t>
      </w:r>
      <w:r>
        <w:rPr>
          <w:rFonts w:hint="default" w:ascii="Times New Roman" w:hAnsi="Times New Roman" w:eastAsia="宋体" w:cs="Times New Roman"/>
          <w:spacing w:val="14"/>
          <w:sz w:val="23"/>
          <w:szCs w:val="23"/>
          <w:highlight w:val="none"/>
        </w:rPr>
        <w:t>家套、姚家峪北向白马峪南延伸至县外，单井出水量</w:t>
      </w:r>
      <w:r>
        <w:rPr>
          <w:rFonts w:hint="default" w:ascii="Times New Roman" w:hAnsi="Times New Roman" w:eastAsia="Times New Roman" w:cs="Times New Roman"/>
          <w:spacing w:val="14"/>
          <w:sz w:val="23"/>
          <w:szCs w:val="23"/>
          <w:highlight w:val="none"/>
        </w:rPr>
        <w:t xml:space="preserve">30-67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4"/>
          <w:position w:val="8"/>
          <w:sz w:val="15"/>
          <w:szCs w:val="15"/>
          <w:highlight w:val="none"/>
        </w:rPr>
        <w:t>3</w:t>
      </w:r>
      <w:r>
        <w:rPr>
          <w:rFonts w:hint="default" w:ascii="Times New Roman" w:hAnsi="Times New Roman" w:eastAsia="Times New Roman" w:cs="Times New Roman"/>
          <w:spacing w:val="14"/>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14"/>
          <w:sz w:val="23"/>
          <w:szCs w:val="23"/>
          <w:highlight w:val="none"/>
        </w:rPr>
        <w:t xml:space="preserve"> </w:t>
      </w:r>
      <w:r>
        <w:rPr>
          <w:rFonts w:hint="default" w:ascii="Times New Roman" w:hAnsi="Times New Roman" w:eastAsia="宋体" w:cs="Times New Roman"/>
          <w:spacing w:val="14"/>
          <w:sz w:val="23"/>
          <w:szCs w:val="23"/>
          <w:highlight w:val="none"/>
        </w:rPr>
        <w:t>，水位深</w:t>
      </w:r>
    </w:p>
    <w:p>
      <w:pPr>
        <w:spacing w:before="20" w:line="186" w:lineRule="auto"/>
        <w:ind w:left="23"/>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4"/>
          <w:sz w:val="23"/>
          <w:szCs w:val="23"/>
          <w:highlight w:val="none"/>
        </w:rPr>
        <w:t>5</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pacing w:val="2"/>
          <w:sz w:val="23"/>
          <w:szCs w:val="23"/>
          <w:highlight w:val="none"/>
        </w:rPr>
        <w:t>30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2"/>
          <w:sz w:val="23"/>
          <w:szCs w:val="23"/>
          <w:highlight w:val="none"/>
        </w:rPr>
        <w:t>。</w:t>
      </w:r>
    </w:p>
    <w:p>
      <w:pPr>
        <w:spacing w:before="191" w:line="315" w:lineRule="exact"/>
        <w:ind w:left="495"/>
        <w:rPr>
          <w:rFonts w:hint="default" w:ascii="Times New Roman" w:hAnsi="Times New Roman" w:eastAsia="宋体" w:cs="Times New Roman"/>
          <w:sz w:val="23"/>
          <w:szCs w:val="23"/>
          <w:highlight w:val="none"/>
        </w:rPr>
      </w:pPr>
      <w:r>
        <w:rPr>
          <w:rFonts w:hint="default" w:ascii="Times New Roman" w:hAnsi="Times New Roman" w:eastAsia="Times New Roman" w:cs="Times New Roman"/>
          <w:position w:val="1"/>
          <w:sz w:val="23"/>
          <w:szCs w:val="23"/>
          <w:highlight w:val="none"/>
        </w:rPr>
        <w:t>F</w:t>
      </w:r>
      <w:r>
        <w:rPr>
          <w:rFonts w:hint="default" w:ascii="Times New Roman" w:hAnsi="Times New Roman" w:eastAsia="Times New Roman" w:cs="Times New Roman"/>
          <w:spacing w:val="12"/>
          <w:position w:val="1"/>
          <w:sz w:val="23"/>
          <w:szCs w:val="23"/>
          <w:highlight w:val="none"/>
        </w:rPr>
        <w:t>10</w:t>
      </w:r>
      <w:r>
        <w:rPr>
          <w:rFonts w:hint="default" w:ascii="Times New Roman" w:hAnsi="Times New Roman" w:eastAsia="宋体" w:cs="Times New Roman"/>
          <w:spacing w:val="6"/>
          <w:position w:val="1"/>
          <w:sz w:val="23"/>
          <w:szCs w:val="23"/>
          <w:highlight w:val="none"/>
        </w:rPr>
        <w:t>断层：位于铁厂北山东西向，单井出水量</w:t>
      </w:r>
      <w:r>
        <w:rPr>
          <w:rFonts w:hint="default" w:ascii="Times New Roman" w:hAnsi="Times New Roman" w:eastAsia="Times New Roman" w:cs="Times New Roman"/>
          <w:spacing w:val="6"/>
          <w:position w:val="1"/>
          <w:sz w:val="23"/>
          <w:szCs w:val="23"/>
          <w:highlight w:val="none"/>
        </w:rPr>
        <w:t xml:space="preserve">30-60 </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6"/>
          <w:position w:val="8"/>
          <w:sz w:val="15"/>
          <w:szCs w:val="15"/>
          <w:highlight w:val="none"/>
        </w:rPr>
        <w:t>3</w:t>
      </w:r>
      <w:r>
        <w:rPr>
          <w:rFonts w:hint="default" w:ascii="Times New Roman" w:hAnsi="Times New Roman" w:eastAsia="Times New Roman" w:cs="Times New Roman"/>
          <w:spacing w:val="6"/>
          <w:position w:val="1"/>
          <w:sz w:val="23"/>
          <w:szCs w:val="23"/>
          <w:highlight w:val="none"/>
        </w:rPr>
        <w:t>/</w:t>
      </w:r>
      <w:r>
        <w:rPr>
          <w:rFonts w:hint="default" w:ascii="Times New Roman" w:hAnsi="Times New Roman" w:eastAsia="Times New Roman" w:cs="Times New Roman"/>
          <w:position w:val="1"/>
          <w:sz w:val="23"/>
          <w:szCs w:val="23"/>
          <w:highlight w:val="none"/>
        </w:rPr>
        <w:t>h</w:t>
      </w:r>
      <w:r>
        <w:rPr>
          <w:rFonts w:hint="default" w:ascii="Times New Roman" w:hAnsi="Times New Roman" w:eastAsia="Times New Roman" w:cs="Times New Roman"/>
          <w:spacing w:val="6"/>
          <w:position w:val="1"/>
          <w:sz w:val="23"/>
          <w:szCs w:val="23"/>
          <w:highlight w:val="none"/>
        </w:rPr>
        <w:t xml:space="preserve"> </w:t>
      </w:r>
      <w:r>
        <w:rPr>
          <w:rFonts w:hint="default" w:ascii="Times New Roman" w:hAnsi="Times New Roman" w:eastAsia="宋体" w:cs="Times New Roman"/>
          <w:spacing w:val="6"/>
          <w:position w:val="1"/>
          <w:sz w:val="23"/>
          <w:szCs w:val="23"/>
          <w:highlight w:val="none"/>
        </w:rPr>
        <w:t>，水位深</w:t>
      </w:r>
      <w:r>
        <w:rPr>
          <w:rFonts w:hint="default" w:ascii="Times New Roman" w:hAnsi="Times New Roman" w:eastAsia="Times New Roman" w:cs="Times New Roman"/>
          <w:spacing w:val="6"/>
          <w:position w:val="1"/>
          <w:sz w:val="23"/>
          <w:szCs w:val="23"/>
          <w:highlight w:val="none"/>
        </w:rPr>
        <w:t>10-40</w:t>
      </w:r>
      <w:r>
        <w:rPr>
          <w:rFonts w:hint="default" w:ascii="Times New Roman" w:hAnsi="Times New Roman" w:eastAsia="Times New Roman" w:cs="Times New Roman"/>
          <w:position w:val="1"/>
          <w:sz w:val="23"/>
          <w:szCs w:val="23"/>
          <w:highlight w:val="none"/>
        </w:rPr>
        <w:t>m</w:t>
      </w:r>
      <w:r>
        <w:rPr>
          <w:rFonts w:hint="default" w:ascii="Times New Roman" w:hAnsi="Times New Roman" w:eastAsia="宋体" w:cs="Times New Roman"/>
          <w:spacing w:val="6"/>
          <w:position w:val="1"/>
          <w:sz w:val="23"/>
          <w:szCs w:val="23"/>
          <w:highlight w:val="none"/>
        </w:rPr>
        <w:t>。</w:t>
      </w:r>
    </w:p>
    <w:p>
      <w:pPr>
        <w:spacing w:before="184" w:line="410" w:lineRule="auto"/>
        <w:ind w:left="23" w:right="12" w:firstLine="471"/>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F</w:t>
      </w:r>
      <w:r>
        <w:rPr>
          <w:rFonts w:hint="default" w:ascii="Times New Roman" w:hAnsi="Times New Roman" w:eastAsia="Times New Roman" w:cs="Times New Roman"/>
          <w:spacing w:val="2"/>
          <w:sz w:val="23"/>
          <w:szCs w:val="23"/>
          <w:highlight w:val="none"/>
        </w:rPr>
        <w:t>11</w:t>
      </w:r>
      <w:r>
        <w:rPr>
          <w:rFonts w:hint="default" w:ascii="Times New Roman" w:hAnsi="Times New Roman" w:eastAsia="宋体" w:cs="Times New Roman"/>
          <w:spacing w:val="2"/>
          <w:sz w:val="23"/>
          <w:szCs w:val="23"/>
          <w:highlight w:val="none"/>
        </w:rPr>
        <w:t>断层：由下马家峪向东北经东水头村北至尹庄子，单井出水量</w:t>
      </w:r>
      <w:r>
        <w:rPr>
          <w:rFonts w:hint="default" w:ascii="Times New Roman" w:hAnsi="Times New Roman" w:eastAsia="Times New Roman" w:cs="Times New Roman"/>
          <w:spacing w:val="2"/>
          <w:sz w:val="23"/>
          <w:szCs w:val="23"/>
          <w:highlight w:val="none"/>
        </w:rPr>
        <w:t xml:space="preserve">30-50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position w:val="8"/>
          <w:sz w:val="15"/>
          <w:szCs w:val="15"/>
          <w:highlight w:val="none"/>
        </w:rPr>
        <w:t>3</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水</w:t>
      </w:r>
      <w:r>
        <w:rPr>
          <w:rFonts w:hint="default" w:ascii="Times New Roman" w:hAnsi="Times New Roman" w:eastAsia="宋体" w:cs="Times New Roman"/>
          <w:spacing w:val="5"/>
          <w:sz w:val="23"/>
          <w:szCs w:val="23"/>
          <w:highlight w:val="none"/>
        </w:rPr>
        <w:t>位深</w:t>
      </w:r>
      <w:r>
        <w:rPr>
          <w:rFonts w:hint="default" w:ascii="Times New Roman" w:hAnsi="Times New Roman" w:eastAsia="Times New Roman" w:cs="Times New Roman"/>
          <w:spacing w:val="5"/>
          <w:sz w:val="23"/>
          <w:szCs w:val="23"/>
          <w:highlight w:val="none"/>
        </w:rPr>
        <w:t>20-50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5"/>
          <w:sz w:val="23"/>
          <w:szCs w:val="23"/>
          <w:highlight w:val="none"/>
        </w:rPr>
        <w:t>。</w:t>
      </w:r>
    </w:p>
    <w:p>
      <w:pPr>
        <w:spacing w:before="16" w:line="406" w:lineRule="auto"/>
        <w:ind w:left="21"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其他小断层有西北、东南向的夏家峪南山和水峪，东北、西南向的平台至</w:t>
      </w:r>
      <w:r>
        <w:rPr>
          <w:rFonts w:hint="default" w:ascii="Times New Roman" w:hAnsi="Times New Roman" w:eastAsia="宋体" w:cs="Times New Roman"/>
          <w:spacing w:val="6"/>
          <w:sz w:val="23"/>
          <w:szCs w:val="23"/>
          <w:highlight w:val="none"/>
        </w:rPr>
        <w:t>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太</w:t>
      </w:r>
      <w:r>
        <w:rPr>
          <w:rFonts w:hint="default" w:ascii="Times New Roman" w:hAnsi="Times New Roman" w:eastAsia="宋体" w:cs="Times New Roman"/>
          <w:spacing w:val="7"/>
          <w:sz w:val="23"/>
          <w:szCs w:val="23"/>
          <w:highlight w:val="none"/>
        </w:rPr>
        <w:t>平。地下水由向斜构造形成的莫台寺经大虫峪到吊虎崖线；由背斜构造而成的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党</w:t>
      </w:r>
      <w:r>
        <w:rPr>
          <w:rFonts w:hint="default" w:ascii="Times New Roman" w:hAnsi="Times New Roman" w:eastAsia="宋体" w:cs="Times New Roman"/>
          <w:spacing w:val="7"/>
          <w:sz w:val="23"/>
          <w:szCs w:val="23"/>
          <w:highlight w:val="none"/>
        </w:rPr>
        <w:t>峪</w:t>
      </w:r>
      <w:r>
        <w:rPr>
          <w:rFonts w:hint="default" w:ascii="Times New Roman" w:hAnsi="Times New Roman" w:eastAsia="宋体" w:cs="Times New Roman"/>
          <w:spacing w:val="5"/>
          <w:sz w:val="23"/>
          <w:szCs w:val="23"/>
          <w:highlight w:val="none"/>
        </w:rPr>
        <w:t xml:space="preserve">经大官屯到刘庄线，一般单井出水量 </w:t>
      </w:r>
      <w:r>
        <w:rPr>
          <w:rFonts w:hint="default" w:ascii="Times New Roman" w:hAnsi="Times New Roman" w:eastAsia="Times New Roman" w:cs="Times New Roman"/>
          <w:spacing w:val="5"/>
          <w:sz w:val="23"/>
          <w:szCs w:val="23"/>
          <w:highlight w:val="none"/>
        </w:rPr>
        <w:t xml:space="preserve">40-67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position w:val="8"/>
          <w:sz w:val="15"/>
          <w:szCs w:val="15"/>
          <w:highlight w:val="none"/>
        </w:rPr>
        <w:t>3</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，水位因受地形的影响，埋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深</w:t>
      </w:r>
      <w:r>
        <w:rPr>
          <w:rFonts w:hint="default" w:ascii="Times New Roman" w:hAnsi="Times New Roman" w:eastAsia="宋体" w:cs="Times New Roman"/>
          <w:spacing w:val="7"/>
          <w:sz w:val="23"/>
          <w:szCs w:val="23"/>
          <w:highlight w:val="none"/>
        </w:rPr>
        <w:t>相差较大。在山间谷地及山前平原的地北头、东西枣林庄一带，含水层为冲洪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积沙砾卵石层，单井出水量小于 </w:t>
      </w:r>
      <w:r>
        <w:rPr>
          <w:rFonts w:hint="default" w:ascii="Times New Roman" w:hAnsi="Times New Roman" w:eastAsia="Times New Roman" w:cs="Times New Roman"/>
          <w:spacing w:val="-2"/>
          <w:sz w:val="23"/>
          <w:szCs w:val="23"/>
          <w:highlight w:val="none"/>
        </w:rPr>
        <w:t>50 m</w:t>
      </w:r>
      <w:r>
        <w:rPr>
          <w:rFonts w:hint="default" w:ascii="Times New Roman" w:hAnsi="Times New Roman" w:eastAsia="Times New Roman" w:cs="Times New Roman"/>
          <w:spacing w:val="-2"/>
          <w:position w:val="8"/>
          <w:sz w:val="15"/>
          <w:szCs w:val="15"/>
          <w:highlight w:val="none"/>
        </w:rPr>
        <w:t>3</w:t>
      </w:r>
      <w:r>
        <w:rPr>
          <w:rFonts w:hint="default" w:ascii="Times New Roman" w:hAnsi="Times New Roman" w:eastAsia="Times New Roman" w:cs="Times New Roman"/>
          <w:spacing w:val="-2"/>
          <w:sz w:val="23"/>
          <w:szCs w:val="23"/>
          <w:highlight w:val="none"/>
        </w:rPr>
        <w:t>/h</w:t>
      </w:r>
      <w:r>
        <w:rPr>
          <w:rFonts w:hint="default" w:ascii="Times New Roman" w:hAnsi="Times New Roman" w:eastAsia="宋体" w:cs="Times New Roman"/>
          <w:spacing w:val="-2"/>
          <w:sz w:val="23"/>
          <w:szCs w:val="23"/>
          <w:highlight w:val="none"/>
        </w:rPr>
        <w:t xml:space="preserve">，水位埋深一般在 </w:t>
      </w:r>
      <w:r>
        <w:rPr>
          <w:rFonts w:hint="default" w:ascii="Times New Roman" w:hAnsi="Times New Roman" w:eastAsia="Times New Roman" w:cs="Times New Roman"/>
          <w:spacing w:val="-2"/>
          <w:sz w:val="23"/>
          <w:szCs w:val="23"/>
          <w:highlight w:val="none"/>
        </w:rPr>
        <w:t>2-5m</w:t>
      </w:r>
      <w:r>
        <w:rPr>
          <w:rFonts w:hint="default" w:ascii="Times New Roman" w:hAnsi="Times New Roman" w:eastAsia="宋体" w:cs="Times New Roman"/>
          <w:spacing w:val="-2"/>
          <w:sz w:val="23"/>
          <w:szCs w:val="23"/>
          <w:highlight w:val="none"/>
        </w:rPr>
        <w:t xml:space="preserve">，个别在 </w:t>
      </w:r>
      <w:r>
        <w:rPr>
          <w:rFonts w:hint="default" w:ascii="Times New Roman" w:hAnsi="Times New Roman" w:eastAsia="Times New Roman" w:cs="Times New Roman"/>
          <w:spacing w:val="-2"/>
          <w:sz w:val="23"/>
          <w:szCs w:val="23"/>
          <w:highlight w:val="none"/>
        </w:rPr>
        <w:t>15-25m</w:t>
      </w:r>
      <w:r>
        <w:rPr>
          <w:rFonts w:hint="default" w:ascii="Times New Roman" w:hAnsi="Times New Roman" w:eastAsia="宋体" w:cs="Times New Roman"/>
          <w:spacing w:val="-2"/>
          <w:sz w:val="23"/>
          <w:szCs w:val="23"/>
          <w:highlight w:val="none"/>
        </w:rPr>
        <w:t>。</w:t>
      </w:r>
    </w:p>
    <w:p>
      <w:pPr>
        <w:spacing w:before="91" w:line="227" w:lineRule="auto"/>
        <w:ind w:left="17"/>
        <w:outlineLvl w:val="2"/>
        <w:rPr>
          <w:rFonts w:hint="default" w:ascii="Times New Roman" w:hAnsi="Times New Roman" w:eastAsia="宋体" w:cs="Times New Roman"/>
          <w:sz w:val="23"/>
          <w:szCs w:val="23"/>
          <w:highlight w:val="none"/>
        </w:rPr>
      </w:pPr>
      <w:bookmarkStart w:id="261" w:name="_Toc22547"/>
      <w:bookmarkStart w:id="262" w:name="_Toc16344"/>
      <w:bookmarkStart w:id="263" w:name="_Toc10456"/>
      <w:r>
        <w:rPr>
          <w:rFonts w:hint="default" w:ascii="Times New Roman" w:hAnsi="Times New Roman" w:eastAsia="Times New Roman" w:cs="Times New Roman"/>
          <w:b/>
          <w:bCs/>
          <w:spacing w:val="10"/>
          <w:sz w:val="23"/>
          <w:szCs w:val="23"/>
          <w:highlight w:val="none"/>
        </w:rPr>
        <w:t>4</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5"/>
          <w:sz w:val="23"/>
          <w:szCs w:val="23"/>
          <w:highlight w:val="none"/>
        </w:rPr>
        <w:t>1.6</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气候气象</w:t>
      </w:r>
      <w:bookmarkEnd w:id="261"/>
      <w:bookmarkEnd w:id="262"/>
      <w:bookmarkEnd w:id="263"/>
    </w:p>
    <w:p>
      <w:pPr>
        <w:spacing w:line="259" w:lineRule="auto"/>
        <w:rPr>
          <w:rFonts w:hint="default" w:ascii="Times New Roman" w:hAnsi="Times New Roman" w:cs="Times New Roman"/>
          <w:sz w:val="21"/>
          <w:highlight w:val="none"/>
        </w:rPr>
      </w:pPr>
    </w:p>
    <w:p>
      <w:pPr>
        <w:spacing w:before="76" w:line="405" w:lineRule="auto"/>
        <w:ind w:left="21" w:right="55"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遵</w:t>
      </w:r>
      <w:r>
        <w:rPr>
          <w:rFonts w:hint="default" w:ascii="Times New Roman" w:hAnsi="Times New Roman" w:eastAsia="宋体" w:cs="Times New Roman"/>
          <w:spacing w:val="7"/>
          <w:sz w:val="23"/>
          <w:szCs w:val="23"/>
          <w:highlight w:val="none"/>
        </w:rPr>
        <w:t>化市属半干旱、半湿润季风气候区，大陆性气候显著，四季分明，季风盛</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行</w:t>
      </w:r>
      <w:r>
        <w:rPr>
          <w:rFonts w:hint="default" w:ascii="Times New Roman" w:hAnsi="Times New Roman" w:eastAsia="宋体" w:cs="Times New Roman"/>
          <w:spacing w:val="7"/>
          <w:sz w:val="23"/>
          <w:szCs w:val="23"/>
          <w:highlight w:val="none"/>
        </w:rPr>
        <w:t>。春季干旱多风，夏季炎热多雨，秋季昼暖夜寒，冬季漫长寒冷。年平均气温</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6"/>
          <w:sz w:val="23"/>
          <w:szCs w:val="23"/>
          <w:highlight w:val="none"/>
        </w:rPr>
        <w:t>1</w:t>
      </w:r>
      <w:r>
        <w:rPr>
          <w:rFonts w:hint="default" w:ascii="Times New Roman" w:hAnsi="Times New Roman" w:eastAsia="Times New Roman" w:cs="Times New Roman"/>
          <w:spacing w:val="12"/>
          <w:sz w:val="23"/>
          <w:szCs w:val="23"/>
          <w:highlight w:val="none"/>
        </w:rPr>
        <w:t>0</w:t>
      </w:r>
      <w:r>
        <w:rPr>
          <w:rFonts w:hint="default" w:ascii="Times New Roman" w:hAnsi="Times New Roman" w:eastAsia="Times New Roman" w:cs="Times New Roman"/>
          <w:spacing w:val="8"/>
          <w:sz w:val="23"/>
          <w:szCs w:val="23"/>
          <w:highlight w:val="none"/>
        </w:rPr>
        <w:t>.5</w:t>
      </w:r>
      <w:r>
        <w:rPr>
          <w:rFonts w:hint="default" w:ascii="Times New Roman" w:hAnsi="Times New Roman" w:eastAsia="宋体" w:cs="Times New Roman"/>
          <w:spacing w:val="8"/>
          <w:sz w:val="23"/>
          <w:szCs w:val="23"/>
          <w:highlight w:val="none"/>
        </w:rPr>
        <w:t>℃，具有夏季炎热多雨湿润，冬季寒冷少雪干燥的特点，其中一月平均气温</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pacing w:val="-2"/>
          <w:sz w:val="23"/>
          <w:szCs w:val="23"/>
          <w:highlight w:val="none"/>
        </w:rPr>
        <w:t>7. 1</w:t>
      </w:r>
      <w:r>
        <w:rPr>
          <w:rFonts w:hint="default" w:ascii="Times New Roman" w:hAnsi="Times New Roman" w:eastAsia="宋体" w:cs="Times New Roman"/>
          <w:spacing w:val="-2"/>
          <w:sz w:val="23"/>
          <w:szCs w:val="23"/>
          <w:highlight w:val="none"/>
        </w:rPr>
        <w:t xml:space="preserve">℃，七月平均气温 </w:t>
      </w:r>
      <w:r>
        <w:rPr>
          <w:rFonts w:hint="default" w:ascii="Times New Roman" w:hAnsi="Times New Roman" w:eastAsia="Times New Roman" w:cs="Times New Roman"/>
          <w:spacing w:val="-2"/>
          <w:sz w:val="23"/>
          <w:szCs w:val="23"/>
          <w:highlight w:val="none"/>
        </w:rPr>
        <w:t>25.4</w:t>
      </w:r>
      <w:r>
        <w:rPr>
          <w:rFonts w:hint="default" w:ascii="Times New Roman" w:hAnsi="Times New Roman" w:eastAsia="宋体" w:cs="Times New Roman"/>
          <w:spacing w:val="-2"/>
          <w:sz w:val="23"/>
          <w:szCs w:val="23"/>
          <w:highlight w:val="none"/>
        </w:rPr>
        <w:t xml:space="preserve">℃ 。遵化市年平均降雨量 </w:t>
      </w:r>
      <w:r>
        <w:rPr>
          <w:rFonts w:hint="default" w:ascii="Times New Roman" w:hAnsi="Times New Roman" w:eastAsia="Times New Roman" w:cs="Times New Roman"/>
          <w:spacing w:val="-2"/>
          <w:sz w:val="23"/>
          <w:szCs w:val="23"/>
          <w:highlight w:val="none"/>
        </w:rPr>
        <w:t xml:space="preserve">830mm </w:t>
      </w:r>
      <w:r>
        <w:rPr>
          <w:rFonts w:hint="default" w:ascii="Times New Roman" w:hAnsi="Times New Roman" w:eastAsia="宋体" w:cs="Times New Roman"/>
          <w:spacing w:val="-2"/>
          <w:sz w:val="23"/>
          <w:szCs w:val="23"/>
          <w:highlight w:val="none"/>
        </w:rPr>
        <w:t xml:space="preserve">。无霜期约 </w:t>
      </w:r>
      <w:r>
        <w:rPr>
          <w:rFonts w:hint="default" w:ascii="Times New Roman" w:hAnsi="Times New Roman" w:eastAsia="Times New Roman" w:cs="Times New Roman"/>
          <w:spacing w:val="-2"/>
          <w:sz w:val="23"/>
          <w:szCs w:val="23"/>
          <w:highlight w:val="none"/>
        </w:rPr>
        <w:t xml:space="preserve">181 </w:t>
      </w:r>
      <w:r>
        <w:rPr>
          <w:rFonts w:hint="default" w:ascii="Times New Roman" w:hAnsi="Times New Roman" w:eastAsia="宋体" w:cs="Times New Roman"/>
          <w:spacing w:val="-2"/>
          <w:sz w:val="23"/>
          <w:szCs w:val="23"/>
          <w:highlight w:val="none"/>
        </w:rPr>
        <w:t>天。</w:t>
      </w:r>
    </w:p>
    <w:p>
      <w:pPr>
        <w:rPr>
          <w:rFonts w:hint="default" w:ascii="Times New Roman" w:hAnsi="Times New Roman" w:cs="Times New Roman"/>
          <w:highlight w:val="none"/>
        </w:rPr>
        <w:sectPr>
          <w:headerReference r:id="rId49" w:type="default"/>
          <w:footerReference r:id="rId50" w:type="default"/>
          <w:pgSz w:w="11906" w:h="16839"/>
          <w:pgMar w:top="1167" w:right="1716" w:bottom="1282" w:left="1785" w:header="897" w:footer="1015" w:gutter="0"/>
          <w:pgBorders>
            <w:top w:val="none" w:sz="0" w:space="0"/>
            <w:left w:val="none" w:sz="0" w:space="0"/>
            <w:bottom w:val="none" w:sz="0" w:space="0"/>
            <w:right w:val="none" w:sz="0" w:space="0"/>
          </w:pgBorders>
          <w:pgNumType w:fmt="decimal"/>
          <w:cols w:space="720" w:num="1"/>
        </w:sectPr>
      </w:pPr>
    </w:p>
    <w:p>
      <w:pPr>
        <w:spacing w:line="353"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150" o:spid="_x0000_s1150" style="position:absolute;left:0pt;margin-left:89.85pt;margin-top:59.05pt;height:0.75pt;width:415.65pt;mso-position-horizontal-relative:page;mso-position-vertical-relative:page;z-index:251711488;mso-width-relative:page;mso-height-relative:page;" fillcolor="#000000" filled="t" stroked="f" coordsize="8312,15" o:allowincell="f" path="m0,0l8312,0,8312,14,0,14,0,0xe">
            <v:path/>
            <v:fill on="t" focussize="0,0"/>
            <v:stroke on="f"/>
            <v:imagedata o:title=""/>
            <o:lock v:ext="edit"/>
          </v:shape>
        </w:pict>
      </w:r>
    </w:p>
    <w:p>
      <w:pPr>
        <w:spacing w:before="74" w:line="410" w:lineRule="auto"/>
        <w:ind w:left="47" w:right="78" w:hanging="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5"/>
          <w:sz w:val="23"/>
          <w:szCs w:val="23"/>
          <w:highlight w:val="none"/>
        </w:rPr>
        <w:t xml:space="preserve">全年主导风向为 </w:t>
      </w:r>
      <w:r>
        <w:rPr>
          <w:rFonts w:hint="default" w:ascii="Times New Roman" w:hAnsi="Times New Roman" w:eastAsia="Times New Roman" w:cs="Times New Roman"/>
          <w:sz w:val="23"/>
          <w:szCs w:val="23"/>
          <w:highlight w:val="none"/>
        </w:rPr>
        <w:t>NW</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 xml:space="preserve">风，次为 </w:t>
      </w:r>
      <w:r>
        <w:rPr>
          <w:rFonts w:hint="default" w:ascii="Times New Roman" w:hAnsi="Times New Roman" w:eastAsia="Times New Roman" w:cs="Times New Roman"/>
          <w:sz w:val="23"/>
          <w:szCs w:val="23"/>
          <w:highlight w:val="none"/>
        </w:rPr>
        <w:t>SE</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 xml:space="preserve">风，年平均风速 </w:t>
      </w:r>
      <w:r>
        <w:rPr>
          <w:rFonts w:hint="default" w:ascii="Times New Roman" w:hAnsi="Times New Roman" w:eastAsia="Times New Roman" w:cs="Times New Roman"/>
          <w:spacing w:val="5"/>
          <w:sz w:val="23"/>
          <w:szCs w:val="23"/>
          <w:highlight w:val="none"/>
        </w:rPr>
        <w:t>1.62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s</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。遵化市近年气候气</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象</w:t>
      </w:r>
      <w:r>
        <w:rPr>
          <w:rFonts w:hint="default" w:ascii="Times New Roman" w:hAnsi="Times New Roman" w:eastAsia="宋体" w:cs="Times New Roman"/>
          <w:spacing w:val="-8"/>
          <w:sz w:val="23"/>
          <w:szCs w:val="23"/>
          <w:highlight w:val="none"/>
        </w:rPr>
        <w:t xml:space="preserve">参数见表 </w:t>
      </w:r>
      <w:r>
        <w:rPr>
          <w:rFonts w:hint="default" w:ascii="Times New Roman" w:hAnsi="Times New Roman" w:eastAsia="Times New Roman" w:cs="Times New Roman"/>
          <w:spacing w:val="-8"/>
          <w:sz w:val="23"/>
          <w:szCs w:val="23"/>
          <w:highlight w:val="none"/>
        </w:rPr>
        <w:t>4. 1- 1</w:t>
      </w:r>
      <w:r>
        <w:rPr>
          <w:rFonts w:hint="default" w:ascii="Times New Roman" w:hAnsi="Times New Roman" w:eastAsia="宋体" w:cs="Times New Roman"/>
          <w:spacing w:val="-8"/>
          <w:sz w:val="23"/>
          <w:szCs w:val="23"/>
          <w:highlight w:val="none"/>
        </w:rPr>
        <w:t>。</w:t>
      </w:r>
    </w:p>
    <w:p>
      <w:pPr>
        <w:spacing w:before="15" w:line="227" w:lineRule="auto"/>
        <w:ind w:left="139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Times New Roman" w:cs="Times New Roman"/>
          <w:b/>
          <w:bCs/>
          <w:spacing w:val="4"/>
          <w:sz w:val="23"/>
          <w:szCs w:val="23"/>
          <w:highlight w:val="none"/>
        </w:rPr>
        <w:t>4.1-1</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遵化市近年气候气象参数一览表</w:t>
      </w:r>
    </w:p>
    <w:p>
      <w:pPr>
        <w:spacing w:line="22" w:lineRule="exact"/>
        <w:rPr>
          <w:rFonts w:hint="default" w:ascii="Times New Roman" w:hAnsi="Times New Roman" w:cs="Times New Roman"/>
          <w:highlight w:val="none"/>
        </w:rPr>
      </w:pPr>
    </w:p>
    <w:tbl>
      <w:tblPr>
        <w:tblStyle w:val="19"/>
        <w:tblW w:w="834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8"/>
        <w:gridCol w:w="930"/>
        <w:gridCol w:w="930"/>
        <w:gridCol w:w="2033"/>
        <w:gridCol w:w="930"/>
        <w:gridCol w:w="16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98" w:type="dxa"/>
            <w:tcBorders>
              <w:left w:val="single" w:color="000000" w:sz="10" w:space="0"/>
              <w:right w:val="single" w:color="000000" w:sz="4" w:space="0"/>
            </w:tcBorders>
            <w:vAlign w:val="top"/>
          </w:tcPr>
          <w:p>
            <w:pPr>
              <w:spacing w:before="119" w:line="228" w:lineRule="auto"/>
              <w:ind w:left="73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项目</w:t>
            </w:r>
          </w:p>
        </w:tc>
        <w:tc>
          <w:tcPr>
            <w:tcW w:w="930" w:type="dxa"/>
            <w:tcBorders>
              <w:left w:val="single" w:color="000000" w:sz="4" w:space="0"/>
              <w:right w:val="single" w:color="000000" w:sz="4" w:space="0"/>
            </w:tcBorders>
            <w:vAlign w:val="top"/>
          </w:tcPr>
          <w:p>
            <w:pPr>
              <w:spacing w:before="119" w:line="229" w:lineRule="auto"/>
              <w:ind w:left="25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单</w:t>
            </w:r>
            <w:r>
              <w:rPr>
                <w:rFonts w:hint="default" w:ascii="Times New Roman" w:hAnsi="Times New Roman" w:eastAsia="宋体" w:cs="Times New Roman"/>
                <w:spacing w:val="3"/>
                <w:sz w:val="20"/>
                <w:szCs w:val="20"/>
                <w:highlight w:val="none"/>
              </w:rPr>
              <w:t>位</w:t>
            </w:r>
          </w:p>
        </w:tc>
        <w:tc>
          <w:tcPr>
            <w:tcW w:w="930" w:type="dxa"/>
            <w:tcBorders>
              <w:left w:val="single" w:color="000000" w:sz="4" w:space="0"/>
              <w:right w:val="single" w:color="000000" w:sz="4" w:space="0"/>
            </w:tcBorders>
            <w:vAlign w:val="top"/>
          </w:tcPr>
          <w:p>
            <w:pPr>
              <w:spacing w:before="119" w:line="228" w:lineRule="auto"/>
              <w:ind w:left="2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数</w:t>
            </w:r>
            <w:r>
              <w:rPr>
                <w:rFonts w:hint="default" w:ascii="Times New Roman" w:hAnsi="Times New Roman" w:eastAsia="宋体" w:cs="Times New Roman"/>
                <w:spacing w:val="3"/>
                <w:sz w:val="20"/>
                <w:szCs w:val="20"/>
                <w:highlight w:val="none"/>
              </w:rPr>
              <w:t>据</w:t>
            </w:r>
          </w:p>
        </w:tc>
        <w:tc>
          <w:tcPr>
            <w:tcW w:w="2033" w:type="dxa"/>
            <w:tcBorders>
              <w:left w:val="single" w:color="000000" w:sz="4" w:space="0"/>
              <w:right w:val="single" w:color="000000" w:sz="4" w:space="0"/>
            </w:tcBorders>
            <w:vAlign w:val="top"/>
          </w:tcPr>
          <w:p>
            <w:pPr>
              <w:spacing w:before="119" w:line="228" w:lineRule="auto"/>
              <w:ind w:left="81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项目</w:t>
            </w:r>
          </w:p>
        </w:tc>
        <w:tc>
          <w:tcPr>
            <w:tcW w:w="930" w:type="dxa"/>
            <w:tcBorders>
              <w:left w:val="single" w:color="000000" w:sz="4" w:space="0"/>
              <w:right w:val="single" w:color="000000" w:sz="4" w:space="0"/>
            </w:tcBorders>
            <w:vAlign w:val="top"/>
          </w:tcPr>
          <w:p>
            <w:pPr>
              <w:spacing w:before="119" w:line="229" w:lineRule="auto"/>
              <w:ind w:left="26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单</w:t>
            </w:r>
            <w:r>
              <w:rPr>
                <w:rFonts w:hint="default" w:ascii="Times New Roman" w:hAnsi="Times New Roman" w:eastAsia="宋体" w:cs="Times New Roman"/>
                <w:spacing w:val="3"/>
                <w:sz w:val="20"/>
                <w:szCs w:val="20"/>
                <w:highlight w:val="none"/>
              </w:rPr>
              <w:t>位</w:t>
            </w:r>
          </w:p>
        </w:tc>
        <w:tc>
          <w:tcPr>
            <w:tcW w:w="1624" w:type="dxa"/>
            <w:tcBorders>
              <w:left w:val="single" w:color="000000" w:sz="4" w:space="0"/>
              <w:right w:val="single" w:color="000000" w:sz="10" w:space="0"/>
            </w:tcBorders>
            <w:vAlign w:val="top"/>
          </w:tcPr>
          <w:p>
            <w:pPr>
              <w:spacing w:before="119" w:line="228" w:lineRule="auto"/>
              <w:ind w:left="60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数</w:t>
            </w:r>
            <w:r>
              <w:rPr>
                <w:rFonts w:hint="default" w:ascii="Times New Roman" w:hAnsi="Times New Roman" w:eastAsia="宋体" w:cs="Times New Roman"/>
                <w:spacing w:val="3"/>
                <w:sz w:val="20"/>
                <w:szCs w:val="20"/>
                <w:highlight w:val="none"/>
              </w:rPr>
              <w:t>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898" w:type="dxa"/>
            <w:tcBorders>
              <w:left w:val="single" w:color="000000" w:sz="10" w:space="0"/>
              <w:right w:val="single" w:color="000000" w:sz="4" w:space="0"/>
            </w:tcBorders>
            <w:vAlign w:val="top"/>
          </w:tcPr>
          <w:p>
            <w:pPr>
              <w:spacing w:before="95" w:line="228" w:lineRule="auto"/>
              <w:ind w:left="42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年平均温</w:t>
            </w:r>
            <w:r>
              <w:rPr>
                <w:rFonts w:hint="default" w:ascii="Times New Roman" w:hAnsi="Times New Roman" w:eastAsia="宋体" w:cs="Times New Roman"/>
                <w:spacing w:val="7"/>
                <w:sz w:val="20"/>
                <w:szCs w:val="20"/>
                <w:highlight w:val="none"/>
              </w:rPr>
              <w:t>度</w:t>
            </w:r>
          </w:p>
        </w:tc>
        <w:tc>
          <w:tcPr>
            <w:tcW w:w="930" w:type="dxa"/>
            <w:tcBorders>
              <w:left w:val="single" w:color="000000" w:sz="4" w:space="0"/>
              <w:right w:val="single" w:color="000000" w:sz="4" w:space="0"/>
            </w:tcBorders>
            <w:vAlign w:val="top"/>
          </w:tcPr>
          <w:p>
            <w:pPr>
              <w:spacing w:before="95" w:line="267" w:lineRule="exact"/>
              <w:ind w:left="372"/>
              <w:rPr>
                <w:rFonts w:hint="default" w:ascii="Times New Roman" w:hAnsi="Times New Roman" w:eastAsia="宋体" w:cs="Times New Roman"/>
                <w:sz w:val="20"/>
                <w:szCs w:val="20"/>
                <w:highlight w:val="none"/>
              </w:rPr>
            </w:pPr>
            <w:r>
              <w:rPr>
                <w:rFonts w:hint="default" w:ascii="Times New Roman" w:hAnsi="Times New Roman" w:eastAsia="宋体" w:cs="Times New Roman"/>
                <w:position w:val="1"/>
                <w:sz w:val="20"/>
                <w:szCs w:val="20"/>
                <w:highlight w:val="none"/>
              </w:rPr>
              <w:t>℃</w:t>
            </w:r>
          </w:p>
        </w:tc>
        <w:tc>
          <w:tcPr>
            <w:tcW w:w="930" w:type="dxa"/>
            <w:tcBorders>
              <w:left w:val="single" w:color="000000" w:sz="4" w:space="0"/>
              <w:right w:val="single" w:color="000000" w:sz="4" w:space="0"/>
            </w:tcBorders>
            <w:vAlign w:val="top"/>
          </w:tcPr>
          <w:p>
            <w:pPr>
              <w:spacing w:before="131" w:line="195" w:lineRule="auto"/>
              <w:ind w:left="29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w:t>
            </w:r>
            <w:r>
              <w:rPr>
                <w:rFonts w:hint="default" w:ascii="Times New Roman" w:hAnsi="Times New Roman" w:eastAsia="Times New Roman" w:cs="Times New Roman"/>
                <w:sz w:val="20"/>
                <w:szCs w:val="20"/>
                <w:highlight w:val="none"/>
              </w:rPr>
              <w:t>0.5</w:t>
            </w:r>
          </w:p>
        </w:tc>
        <w:tc>
          <w:tcPr>
            <w:tcW w:w="2033" w:type="dxa"/>
            <w:tcBorders>
              <w:left w:val="single" w:color="000000" w:sz="4" w:space="0"/>
              <w:right w:val="single" w:color="000000" w:sz="4" w:space="0"/>
            </w:tcBorders>
            <w:vAlign w:val="top"/>
          </w:tcPr>
          <w:p>
            <w:pPr>
              <w:spacing w:before="95" w:line="228" w:lineRule="auto"/>
              <w:ind w:left="28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年</w:t>
            </w:r>
            <w:r>
              <w:rPr>
                <w:rFonts w:hint="default" w:ascii="Times New Roman" w:hAnsi="Times New Roman" w:eastAsia="宋体" w:cs="Times New Roman"/>
                <w:spacing w:val="8"/>
                <w:sz w:val="20"/>
                <w:szCs w:val="20"/>
                <w:highlight w:val="none"/>
              </w:rPr>
              <w:t>平均相对湿度</w:t>
            </w:r>
          </w:p>
        </w:tc>
        <w:tc>
          <w:tcPr>
            <w:tcW w:w="930" w:type="dxa"/>
            <w:tcBorders>
              <w:left w:val="single" w:color="000000" w:sz="4" w:space="0"/>
              <w:right w:val="single" w:color="000000" w:sz="4" w:space="0"/>
            </w:tcBorders>
            <w:vAlign w:val="top"/>
          </w:tcPr>
          <w:p>
            <w:pPr>
              <w:spacing w:before="64" w:line="274" w:lineRule="exact"/>
              <w:ind w:left="3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position w:val="2"/>
                <w:sz w:val="20"/>
                <w:szCs w:val="20"/>
                <w:highlight w:val="none"/>
              </w:rPr>
              <w:t>%</w:t>
            </w:r>
          </w:p>
        </w:tc>
        <w:tc>
          <w:tcPr>
            <w:tcW w:w="1624" w:type="dxa"/>
            <w:tcBorders>
              <w:left w:val="single" w:color="000000" w:sz="4" w:space="0"/>
              <w:right w:val="single" w:color="000000" w:sz="10" w:space="0"/>
            </w:tcBorders>
            <w:vAlign w:val="top"/>
          </w:tcPr>
          <w:p>
            <w:pPr>
              <w:spacing w:before="134" w:line="192" w:lineRule="auto"/>
              <w:ind w:left="71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898" w:type="dxa"/>
            <w:tcBorders>
              <w:left w:val="single" w:color="000000" w:sz="10" w:space="0"/>
              <w:right w:val="single" w:color="000000" w:sz="4" w:space="0"/>
            </w:tcBorders>
            <w:vAlign w:val="top"/>
          </w:tcPr>
          <w:p>
            <w:pPr>
              <w:spacing w:before="97" w:line="228" w:lineRule="auto"/>
              <w:ind w:left="3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年平均降雨量</w:t>
            </w:r>
          </w:p>
        </w:tc>
        <w:tc>
          <w:tcPr>
            <w:tcW w:w="930" w:type="dxa"/>
            <w:tcBorders>
              <w:left w:val="single" w:color="000000" w:sz="4" w:space="0"/>
              <w:right w:val="single" w:color="000000" w:sz="4" w:space="0"/>
            </w:tcBorders>
            <w:vAlign w:val="top"/>
          </w:tcPr>
          <w:p>
            <w:pPr>
              <w:spacing w:before="178" w:line="141" w:lineRule="exact"/>
              <w:ind w:left="2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mm</w:t>
            </w:r>
          </w:p>
        </w:tc>
        <w:tc>
          <w:tcPr>
            <w:tcW w:w="930" w:type="dxa"/>
            <w:tcBorders>
              <w:left w:val="single" w:color="000000" w:sz="4" w:space="0"/>
              <w:right w:val="single" w:color="000000" w:sz="4" w:space="0"/>
            </w:tcBorders>
            <w:vAlign w:val="top"/>
          </w:tcPr>
          <w:p>
            <w:pPr>
              <w:spacing w:before="132" w:line="195" w:lineRule="auto"/>
              <w:ind w:left="31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83</w:t>
            </w:r>
            <w:r>
              <w:rPr>
                <w:rFonts w:hint="default" w:ascii="Times New Roman" w:hAnsi="Times New Roman" w:eastAsia="Times New Roman" w:cs="Times New Roman"/>
                <w:sz w:val="20"/>
                <w:szCs w:val="20"/>
                <w:highlight w:val="none"/>
              </w:rPr>
              <w:t>0</w:t>
            </w:r>
          </w:p>
        </w:tc>
        <w:tc>
          <w:tcPr>
            <w:tcW w:w="2033" w:type="dxa"/>
            <w:tcBorders>
              <w:left w:val="single" w:color="000000" w:sz="4" w:space="0"/>
              <w:right w:val="single" w:color="000000" w:sz="4" w:space="0"/>
            </w:tcBorders>
            <w:vAlign w:val="top"/>
          </w:tcPr>
          <w:p>
            <w:pPr>
              <w:spacing w:before="97" w:line="228" w:lineRule="auto"/>
              <w:ind w:left="433"/>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4"/>
                <w:sz w:val="20"/>
                <w:szCs w:val="20"/>
                <w:highlight w:val="none"/>
              </w:rPr>
              <w:t xml:space="preserve"> </w:t>
            </w:r>
            <w:r>
              <w:rPr>
                <w:rFonts w:hint="default" w:ascii="Times New Roman" w:hAnsi="Times New Roman" w:eastAsia="宋体" w:cs="Times New Roman"/>
                <w:spacing w:val="4"/>
                <w:sz w:val="20"/>
                <w:szCs w:val="20"/>
                <w:highlight w:val="none"/>
              </w:rPr>
              <w:t>月平均温度</w:t>
            </w:r>
          </w:p>
        </w:tc>
        <w:tc>
          <w:tcPr>
            <w:tcW w:w="930" w:type="dxa"/>
            <w:tcBorders>
              <w:left w:val="single" w:color="000000" w:sz="4" w:space="0"/>
              <w:right w:val="single" w:color="000000" w:sz="4" w:space="0"/>
            </w:tcBorders>
            <w:vAlign w:val="top"/>
          </w:tcPr>
          <w:p>
            <w:pPr>
              <w:spacing w:before="97" w:line="267" w:lineRule="exact"/>
              <w:ind w:left="384"/>
              <w:rPr>
                <w:rFonts w:hint="default" w:ascii="Times New Roman" w:hAnsi="Times New Roman" w:eastAsia="宋体" w:cs="Times New Roman"/>
                <w:sz w:val="20"/>
                <w:szCs w:val="20"/>
                <w:highlight w:val="none"/>
              </w:rPr>
            </w:pPr>
            <w:r>
              <w:rPr>
                <w:rFonts w:hint="default" w:ascii="Times New Roman" w:hAnsi="Times New Roman" w:eastAsia="宋体" w:cs="Times New Roman"/>
                <w:position w:val="1"/>
                <w:sz w:val="20"/>
                <w:szCs w:val="20"/>
                <w:highlight w:val="none"/>
              </w:rPr>
              <w:t>℃</w:t>
            </w:r>
          </w:p>
        </w:tc>
        <w:tc>
          <w:tcPr>
            <w:tcW w:w="1624" w:type="dxa"/>
            <w:tcBorders>
              <w:left w:val="single" w:color="000000" w:sz="4" w:space="0"/>
              <w:right w:val="single" w:color="000000" w:sz="10" w:space="0"/>
            </w:tcBorders>
            <w:vAlign w:val="top"/>
          </w:tcPr>
          <w:p>
            <w:pPr>
              <w:spacing w:before="132" w:line="195" w:lineRule="auto"/>
              <w:ind w:left="64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w:t>
            </w:r>
            <w:r>
              <w:rPr>
                <w:rFonts w:hint="default" w:ascii="Times New Roman" w:hAnsi="Times New Roman" w:eastAsia="Times New Roman" w:cs="Times New Roman"/>
                <w:spacing w:val="-4"/>
                <w:sz w:val="20"/>
                <w:szCs w:val="20"/>
                <w:highlight w:val="none"/>
              </w:rPr>
              <w:t>7. 1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898" w:type="dxa"/>
            <w:tcBorders>
              <w:left w:val="single" w:color="000000" w:sz="10" w:space="0"/>
              <w:right w:val="single" w:color="000000" w:sz="4" w:space="0"/>
            </w:tcBorders>
            <w:vAlign w:val="top"/>
          </w:tcPr>
          <w:p>
            <w:pPr>
              <w:spacing w:before="99" w:line="228" w:lineRule="auto"/>
              <w:ind w:left="3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年最大降雨量</w:t>
            </w:r>
          </w:p>
        </w:tc>
        <w:tc>
          <w:tcPr>
            <w:tcW w:w="930" w:type="dxa"/>
            <w:tcBorders>
              <w:left w:val="single" w:color="000000" w:sz="4" w:space="0"/>
              <w:right w:val="single" w:color="000000" w:sz="4" w:space="0"/>
            </w:tcBorders>
            <w:vAlign w:val="top"/>
          </w:tcPr>
          <w:p>
            <w:pPr>
              <w:spacing w:before="180" w:line="141" w:lineRule="exact"/>
              <w:ind w:left="2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mm</w:t>
            </w:r>
          </w:p>
        </w:tc>
        <w:tc>
          <w:tcPr>
            <w:tcW w:w="930" w:type="dxa"/>
            <w:tcBorders>
              <w:left w:val="single" w:color="000000" w:sz="4" w:space="0"/>
              <w:right w:val="single" w:color="000000" w:sz="4" w:space="0"/>
            </w:tcBorders>
            <w:vAlign w:val="top"/>
          </w:tcPr>
          <w:p>
            <w:pPr>
              <w:spacing w:before="134" w:line="195" w:lineRule="auto"/>
              <w:ind w:left="27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1</w:t>
            </w:r>
            <w:r>
              <w:rPr>
                <w:rFonts w:hint="default" w:ascii="Times New Roman" w:hAnsi="Times New Roman" w:eastAsia="Times New Roman" w:cs="Times New Roman"/>
                <w:spacing w:val="-3"/>
                <w:sz w:val="20"/>
                <w:szCs w:val="20"/>
                <w:highlight w:val="none"/>
              </w:rPr>
              <w:t>166</w:t>
            </w:r>
          </w:p>
        </w:tc>
        <w:tc>
          <w:tcPr>
            <w:tcW w:w="2033" w:type="dxa"/>
            <w:tcBorders>
              <w:left w:val="single" w:color="000000" w:sz="4" w:space="0"/>
              <w:right w:val="single" w:color="000000" w:sz="4" w:space="0"/>
            </w:tcBorders>
            <w:vAlign w:val="top"/>
          </w:tcPr>
          <w:p>
            <w:pPr>
              <w:spacing w:before="99" w:line="228" w:lineRule="auto"/>
              <w:ind w:left="416"/>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7"/>
                <w:sz w:val="20"/>
                <w:szCs w:val="20"/>
                <w:highlight w:val="none"/>
              </w:rPr>
              <w:t xml:space="preserve">7 </w:t>
            </w:r>
            <w:r>
              <w:rPr>
                <w:rFonts w:hint="default" w:ascii="Times New Roman" w:hAnsi="Times New Roman" w:eastAsia="宋体" w:cs="Times New Roman"/>
                <w:spacing w:val="7"/>
                <w:sz w:val="20"/>
                <w:szCs w:val="20"/>
                <w:highlight w:val="none"/>
              </w:rPr>
              <w:t>月平均温度</w:t>
            </w:r>
          </w:p>
        </w:tc>
        <w:tc>
          <w:tcPr>
            <w:tcW w:w="930" w:type="dxa"/>
            <w:tcBorders>
              <w:left w:val="single" w:color="000000" w:sz="4" w:space="0"/>
              <w:right w:val="single" w:color="000000" w:sz="4" w:space="0"/>
            </w:tcBorders>
            <w:vAlign w:val="top"/>
          </w:tcPr>
          <w:p>
            <w:pPr>
              <w:spacing w:before="98" w:line="267" w:lineRule="exact"/>
              <w:ind w:left="384"/>
              <w:rPr>
                <w:rFonts w:hint="default" w:ascii="Times New Roman" w:hAnsi="Times New Roman" w:eastAsia="宋体" w:cs="Times New Roman"/>
                <w:sz w:val="20"/>
                <w:szCs w:val="20"/>
                <w:highlight w:val="none"/>
              </w:rPr>
            </w:pPr>
            <w:r>
              <w:rPr>
                <w:rFonts w:hint="default" w:ascii="Times New Roman" w:hAnsi="Times New Roman" w:eastAsia="宋体" w:cs="Times New Roman"/>
                <w:position w:val="1"/>
                <w:sz w:val="20"/>
                <w:szCs w:val="20"/>
                <w:highlight w:val="none"/>
              </w:rPr>
              <w:t>℃</w:t>
            </w:r>
          </w:p>
        </w:tc>
        <w:tc>
          <w:tcPr>
            <w:tcW w:w="1624" w:type="dxa"/>
            <w:tcBorders>
              <w:left w:val="single" w:color="000000" w:sz="4" w:space="0"/>
              <w:right w:val="single" w:color="000000" w:sz="10" w:space="0"/>
            </w:tcBorders>
            <w:vAlign w:val="top"/>
          </w:tcPr>
          <w:p>
            <w:pPr>
              <w:spacing w:before="135" w:line="195" w:lineRule="auto"/>
              <w:ind w:left="62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898" w:type="dxa"/>
            <w:tcBorders>
              <w:left w:val="single" w:color="000000" w:sz="10" w:space="0"/>
              <w:right w:val="single" w:color="000000" w:sz="4" w:space="0"/>
            </w:tcBorders>
            <w:vAlign w:val="top"/>
          </w:tcPr>
          <w:p>
            <w:pPr>
              <w:spacing w:before="98" w:line="228" w:lineRule="auto"/>
              <w:ind w:left="3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年最小降雨量</w:t>
            </w:r>
          </w:p>
        </w:tc>
        <w:tc>
          <w:tcPr>
            <w:tcW w:w="930" w:type="dxa"/>
            <w:tcBorders>
              <w:left w:val="single" w:color="000000" w:sz="4" w:space="0"/>
              <w:right w:val="single" w:color="000000" w:sz="4" w:space="0"/>
            </w:tcBorders>
            <w:vAlign w:val="top"/>
          </w:tcPr>
          <w:p>
            <w:pPr>
              <w:spacing w:before="180" w:line="141" w:lineRule="exact"/>
              <w:ind w:left="2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mm</w:t>
            </w:r>
          </w:p>
        </w:tc>
        <w:tc>
          <w:tcPr>
            <w:tcW w:w="930" w:type="dxa"/>
            <w:tcBorders>
              <w:left w:val="single" w:color="000000" w:sz="4" w:space="0"/>
              <w:right w:val="single" w:color="000000" w:sz="4" w:space="0"/>
            </w:tcBorders>
            <w:vAlign w:val="top"/>
          </w:tcPr>
          <w:p>
            <w:pPr>
              <w:spacing w:before="134" w:line="195" w:lineRule="auto"/>
              <w:ind w:left="22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4</w:t>
            </w:r>
            <w:r>
              <w:rPr>
                <w:rFonts w:hint="default" w:ascii="Times New Roman" w:hAnsi="Times New Roman" w:eastAsia="Times New Roman" w:cs="Times New Roman"/>
                <w:spacing w:val="5"/>
                <w:sz w:val="20"/>
                <w:szCs w:val="20"/>
                <w:highlight w:val="none"/>
              </w:rPr>
              <w:t>13.8</w:t>
            </w:r>
          </w:p>
        </w:tc>
        <w:tc>
          <w:tcPr>
            <w:tcW w:w="2033" w:type="dxa"/>
            <w:tcBorders>
              <w:left w:val="single" w:color="000000" w:sz="4" w:space="0"/>
              <w:right w:val="single" w:color="000000" w:sz="4" w:space="0"/>
            </w:tcBorders>
            <w:vAlign w:val="top"/>
          </w:tcPr>
          <w:p>
            <w:pPr>
              <w:spacing w:before="98" w:line="228" w:lineRule="auto"/>
              <w:ind w:left="28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年</w:t>
            </w:r>
            <w:r>
              <w:rPr>
                <w:rFonts w:hint="default" w:ascii="Times New Roman" w:hAnsi="Times New Roman" w:eastAsia="宋体" w:cs="Times New Roman"/>
                <w:spacing w:val="8"/>
                <w:sz w:val="20"/>
                <w:szCs w:val="20"/>
                <w:highlight w:val="none"/>
              </w:rPr>
              <w:t>极端最高温度</w:t>
            </w:r>
          </w:p>
        </w:tc>
        <w:tc>
          <w:tcPr>
            <w:tcW w:w="930" w:type="dxa"/>
            <w:tcBorders>
              <w:left w:val="single" w:color="000000" w:sz="4" w:space="0"/>
              <w:right w:val="single" w:color="000000" w:sz="4" w:space="0"/>
            </w:tcBorders>
            <w:vAlign w:val="top"/>
          </w:tcPr>
          <w:p>
            <w:pPr>
              <w:spacing w:before="98" w:line="267" w:lineRule="exact"/>
              <w:ind w:left="384"/>
              <w:rPr>
                <w:rFonts w:hint="default" w:ascii="Times New Roman" w:hAnsi="Times New Roman" w:eastAsia="宋体" w:cs="Times New Roman"/>
                <w:sz w:val="20"/>
                <w:szCs w:val="20"/>
                <w:highlight w:val="none"/>
              </w:rPr>
            </w:pPr>
            <w:r>
              <w:rPr>
                <w:rFonts w:hint="default" w:ascii="Times New Roman" w:hAnsi="Times New Roman" w:eastAsia="宋体" w:cs="Times New Roman"/>
                <w:position w:val="1"/>
                <w:sz w:val="20"/>
                <w:szCs w:val="20"/>
                <w:highlight w:val="none"/>
              </w:rPr>
              <w:t>℃</w:t>
            </w:r>
          </w:p>
        </w:tc>
        <w:tc>
          <w:tcPr>
            <w:tcW w:w="1624" w:type="dxa"/>
            <w:tcBorders>
              <w:left w:val="single" w:color="000000" w:sz="4" w:space="0"/>
              <w:right w:val="single" w:color="000000" w:sz="10" w:space="0"/>
            </w:tcBorders>
            <w:vAlign w:val="top"/>
          </w:tcPr>
          <w:p>
            <w:pPr>
              <w:spacing w:before="134" w:line="195" w:lineRule="auto"/>
              <w:ind w:left="6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3</w:t>
            </w:r>
            <w:r>
              <w:rPr>
                <w:rFonts w:hint="default" w:ascii="Times New Roman" w:hAnsi="Times New Roman" w:eastAsia="Times New Roman" w:cs="Times New Roman"/>
                <w:spacing w:val="3"/>
                <w:sz w:val="20"/>
                <w:szCs w:val="20"/>
                <w:highlight w:val="none"/>
              </w:rPr>
              <w:t>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898" w:type="dxa"/>
            <w:tcBorders>
              <w:left w:val="single" w:color="000000" w:sz="10" w:space="0"/>
              <w:right w:val="single" w:color="000000" w:sz="4" w:space="0"/>
            </w:tcBorders>
            <w:vAlign w:val="top"/>
          </w:tcPr>
          <w:p>
            <w:pPr>
              <w:spacing w:before="100" w:line="228" w:lineRule="auto"/>
              <w:ind w:left="35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日</w:t>
            </w:r>
            <w:r>
              <w:rPr>
                <w:rFonts w:hint="default" w:ascii="Times New Roman" w:hAnsi="Times New Roman" w:eastAsia="宋体" w:cs="Times New Roman"/>
                <w:spacing w:val="2"/>
                <w:sz w:val="20"/>
                <w:szCs w:val="20"/>
                <w:highlight w:val="none"/>
              </w:rPr>
              <w:t>最大降雨量</w:t>
            </w:r>
          </w:p>
        </w:tc>
        <w:tc>
          <w:tcPr>
            <w:tcW w:w="930" w:type="dxa"/>
            <w:tcBorders>
              <w:left w:val="single" w:color="000000" w:sz="4" w:space="0"/>
              <w:right w:val="single" w:color="000000" w:sz="4" w:space="0"/>
            </w:tcBorders>
            <w:vAlign w:val="top"/>
          </w:tcPr>
          <w:p>
            <w:pPr>
              <w:spacing w:before="181" w:line="141" w:lineRule="exact"/>
              <w:ind w:left="2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mm</w:t>
            </w:r>
          </w:p>
        </w:tc>
        <w:tc>
          <w:tcPr>
            <w:tcW w:w="930" w:type="dxa"/>
            <w:tcBorders>
              <w:left w:val="single" w:color="000000" w:sz="4" w:space="0"/>
              <w:right w:val="single" w:color="000000" w:sz="4" w:space="0"/>
            </w:tcBorders>
            <w:vAlign w:val="top"/>
          </w:tcPr>
          <w:p>
            <w:pPr>
              <w:spacing w:before="136" w:line="195" w:lineRule="auto"/>
              <w:ind w:left="22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2</w:t>
            </w:r>
            <w:r>
              <w:rPr>
                <w:rFonts w:hint="default" w:ascii="Times New Roman" w:hAnsi="Times New Roman" w:eastAsia="Times New Roman" w:cs="Times New Roman"/>
                <w:spacing w:val="5"/>
                <w:sz w:val="20"/>
                <w:szCs w:val="20"/>
                <w:highlight w:val="none"/>
              </w:rPr>
              <w:t>61.8</w:t>
            </w:r>
          </w:p>
        </w:tc>
        <w:tc>
          <w:tcPr>
            <w:tcW w:w="2033" w:type="dxa"/>
            <w:tcBorders>
              <w:left w:val="single" w:color="000000" w:sz="4" w:space="0"/>
              <w:right w:val="single" w:color="000000" w:sz="4" w:space="0"/>
            </w:tcBorders>
            <w:vAlign w:val="top"/>
          </w:tcPr>
          <w:p>
            <w:pPr>
              <w:spacing w:before="100" w:line="227" w:lineRule="auto"/>
              <w:ind w:left="28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年</w:t>
            </w:r>
            <w:r>
              <w:rPr>
                <w:rFonts w:hint="default" w:ascii="Times New Roman" w:hAnsi="Times New Roman" w:eastAsia="宋体" w:cs="Times New Roman"/>
                <w:spacing w:val="8"/>
                <w:sz w:val="20"/>
                <w:szCs w:val="20"/>
                <w:highlight w:val="none"/>
              </w:rPr>
              <w:t>极端最低温度</w:t>
            </w:r>
          </w:p>
        </w:tc>
        <w:tc>
          <w:tcPr>
            <w:tcW w:w="930" w:type="dxa"/>
            <w:tcBorders>
              <w:left w:val="single" w:color="000000" w:sz="4" w:space="0"/>
              <w:right w:val="single" w:color="000000" w:sz="4" w:space="0"/>
            </w:tcBorders>
            <w:vAlign w:val="top"/>
          </w:tcPr>
          <w:p>
            <w:pPr>
              <w:spacing w:before="100" w:line="267" w:lineRule="exact"/>
              <w:ind w:left="384"/>
              <w:rPr>
                <w:rFonts w:hint="default" w:ascii="Times New Roman" w:hAnsi="Times New Roman" w:eastAsia="宋体" w:cs="Times New Roman"/>
                <w:sz w:val="20"/>
                <w:szCs w:val="20"/>
                <w:highlight w:val="none"/>
              </w:rPr>
            </w:pPr>
            <w:r>
              <w:rPr>
                <w:rFonts w:hint="default" w:ascii="Times New Roman" w:hAnsi="Times New Roman" w:eastAsia="宋体" w:cs="Times New Roman"/>
                <w:position w:val="1"/>
                <w:sz w:val="20"/>
                <w:szCs w:val="20"/>
                <w:highlight w:val="none"/>
              </w:rPr>
              <w:t>℃</w:t>
            </w:r>
          </w:p>
        </w:tc>
        <w:tc>
          <w:tcPr>
            <w:tcW w:w="1624" w:type="dxa"/>
            <w:tcBorders>
              <w:left w:val="single" w:color="000000" w:sz="4" w:space="0"/>
              <w:right w:val="single" w:color="000000" w:sz="10" w:space="0"/>
            </w:tcBorders>
            <w:vAlign w:val="top"/>
          </w:tcPr>
          <w:p>
            <w:pPr>
              <w:spacing w:before="135" w:line="198" w:lineRule="auto"/>
              <w:ind w:left="5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w:t>
            </w:r>
            <w:r>
              <w:rPr>
                <w:rFonts w:hint="default" w:ascii="Times New Roman" w:hAnsi="Times New Roman" w:eastAsia="Times New Roman" w:cs="Times New Roman"/>
                <w:spacing w:val="2"/>
                <w:sz w:val="20"/>
                <w:szCs w:val="20"/>
                <w:highlight w:val="none"/>
              </w:rPr>
              <w:t>24.2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898" w:type="dxa"/>
            <w:tcBorders>
              <w:left w:val="single" w:color="000000" w:sz="10" w:space="0"/>
              <w:right w:val="single" w:color="000000" w:sz="4" w:space="0"/>
            </w:tcBorders>
            <w:vAlign w:val="top"/>
          </w:tcPr>
          <w:p>
            <w:pPr>
              <w:spacing w:before="101" w:line="228" w:lineRule="auto"/>
              <w:ind w:left="42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年平均风</w:t>
            </w:r>
            <w:r>
              <w:rPr>
                <w:rFonts w:hint="default" w:ascii="Times New Roman" w:hAnsi="Times New Roman" w:eastAsia="宋体" w:cs="Times New Roman"/>
                <w:spacing w:val="7"/>
                <w:sz w:val="20"/>
                <w:szCs w:val="20"/>
                <w:highlight w:val="none"/>
              </w:rPr>
              <w:t>速</w:t>
            </w:r>
          </w:p>
        </w:tc>
        <w:tc>
          <w:tcPr>
            <w:tcW w:w="930" w:type="dxa"/>
            <w:tcBorders>
              <w:left w:val="single" w:color="000000" w:sz="4" w:space="0"/>
              <w:right w:val="single" w:color="000000" w:sz="4" w:space="0"/>
            </w:tcBorders>
            <w:vAlign w:val="top"/>
          </w:tcPr>
          <w:p>
            <w:pPr>
              <w:spacing w:before="70" w:line="274" w:lineRule="exact"/>
              <w:ind w:left="30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18"/>
                <w:position w:val="1"/>
                <w:sz w:val="20"/>
                <w:szCs w:val="20"/>
                <w:highlight w:val="none"/>
              </w:rPr>
              <w:t>/</w:t>
            </w:r>
            <w:r>
              <w:rPr>
                <w:rFonts w:hint="default" w:ascii="Times New Roman" w:hAnsi="Times New Roman" w:eastAsia="Times New Roman" w:cs="Times New Roman"/>
                <w:position w:val="1"/>
                <w:sz w:val="20"/>
                <w:szCs w:val="20"/>
                <w:highlight w:val="none"/>
              </w:rPr>
              <w:t>s</w:t>
            </w:r>
          </w:p>
        </w:tc>
        <w:tc>
          <w:tcPr>
            <w:tcW w:w="930" w:type="dxa"/>
            <w:tcBorders>
              <w:left w:val="single" w:color="000000" w:sz="4" w:space="0"/>
              <w:right w:val="single" w:color="000000" w:sz="4" w:space="0"/>
            </w:tcBorders>
            <w:vAlign w:val="top"/>
          </w:tcPr>
          <w:p>
            <w:pPr>
              <w:spacing w:before="136" w:line="198" w:lineRule="auto"/>
              <w:ind w:left="29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1.</w:t>
            </w:r>
            <w:r>
              <w:rPr>
                <w:rFonts w:hint="default" w:ascii="Times New Roman" w:hAnsi="Times New Roman" w:eastAsia="Times New Roman" w:cs="Times New Roman"/>
                <w:spacing w:val="-1"/>
                <w:sz w:val="20"/>
                <w:szCs w:val="20"/>
                <w:highlight w:val="none"/>
              </w:rPr>
              <w:t>62</w:t>
            </w:r>
          </w:p>
        </w:tc>
        <w:tc>
          <w:tcPr>
            <w:tcW w:w="2033" w:type="dxa"/>
            <w:tcBorders>
              <w:left w:val="single" w:color="000000" w:sz="4" w:space="0"/>
              <w:right w:val="single" w:color="000000" w:sz="4" w:space="0"/>
            </w:tcBorders>
            <w:vAlign w:val="top"/>
          </w:tcPr>
          <w:p>
            <w:pPr>
              <w:spacing w:before="101" w:line="228" w:lineRule="auto"/>
              <w:ind w:left="28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年</w:t>
            </w:r>
            <w:r>
              <w:rPr>
                <w:rFonts w:hint="default" w:ascii="Times New Roman" w:hAnsi="Times New Roman" w:eastAsia="宋体" w:cs="Times New Roman"/>
                <w:spacing w:val="8"/>
                <w:sz w:val="20"/>
                <w:szCs w:val="20"/>
                <w:highlight w:val="none"/>
              </w:rPr>
              <w:t>平均日照时间</w:t>
            </w:r>
          </w:p>
        </w:tc>
        <w:tc>
          <w:tcPr>
            <w:tcW w:w="930" w:type="dxa"/>
            <w:tcBorders>
              <w:left w:val="single" w:color="000000" w:sz="4" w:space="0"/>
              <w:right w:val="single" w:color="000000" w:sz="4" w:space="0"/>
            </w:tcBorders>
            <w:vAlign w:val="top"/>
          </w:tcPr>
          <w:p>
            <w:pPr>
              <w:spacing w:before="70" w:line="274" w:lineRule="exact"/>
              <w:ind w:left="41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1"/>
                <w:sz w:val="20"/>
                <w:szCs w:val="20"/>
                <w:highlight w:val="none"/>
              </w:rPr>
              <w:t>h</w:t>
            </w:r>
          </w:p>
        </w:tc>
        <w:tc>
          <w:tcPr>
            <w:tcW w:w="1624" w:type="dxa"/>
            <w:tcBorders>
              <w:left w:val="single" w:color="000000" w:sz="4" w:space="0"/>
              <w:right w:val="single" w:color="000000" w:sz="10" w:space="0"/>
            </w:tcBorders>
            <w:vAlign w:val="top"/>
          </w:tcPr>
          <w:p>
            <w:pPr>
              <w:spacing w:before="136" w:line="195" w:lineRule="auto"/>
              <w:ind w:left="60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3018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898" w:type="dxa"/>
            <w:tcBorders>
              <w:left w:val="single" w:color="000000" w:sz="10" w:space="0"/>
              <w:right w:val="single" w:color="000000" w:sz="4" w:space="0"/>
            </w:tcBorders>
            <w:vAlign w:val="top"/>
          </w:tcPr>
          <w:p>
            <w:pPr>
              <w:spacing w:before="99" w:line="229" w:lineRule="auto"/>
              <w:ind w:left="5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主导风</w:t>
            </w:r>
            <w:r>
              <w:rPr>
                <w:rFonts w:hint="default" w:ascii="Times New Roman" w:hAnsi="Times New Roman" w:eastAsia="宋体" w:cs="Times New Roman"/>
                <w:spacing w:val="6"/>
                <w:sz w:val="20"/>
                <w:szCs w:val="20"/>
                <w:highlight w:val="none"/>
              </w:rPr>
              <w:t>向</w:t>
            </w:r>
          </w:p>
        </w:tc>
        <w:tc>
          <w:tcPr>
            <w:tcW w:w="930" w:type="dxa"/>
            <w:tcBorders>
              <w:left w:val="single" w:color="000000" w:sz="4" w:space="0"/>
              <w:right w:val="single" w:color="000000" w:sz="4" w:space="0"/>
            </w:tcBorders>
            <w:vAlign w:val="top"/>
          </w:tcPr>
          <w:p>
            <w:pPr>
              <w:spacing w:before="223" w:line="136" w:lineRule="exact"/>
              <w:ind w:left="39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w:t>
            </w:r>
            <w:r>
              <w:rPr>
                <w:rFonts w:hint="default" w:ascii="Times New Roman" w:hAnsi="Times New Roman" w:eastAsia="Times New Roman" w:cs="Times New Roman"/>
                <w:spacing w:val="-1"/>
                <w:sz w:val="20"/>
                <w:szCs w:val="20"/>
                <w:highlight w:val="none"/>
              </w:rPr>
              <w:t>-</w:t>
            </w:r>
          </w:p>
        </w:tc>
        <w:tc>
          <w:tcPr>
            <w:tcW w:w="930" w:type="dxa"/>
            <w:tcBorders>
              <w:left w:val="single" w:color="000000" w:sz="4" w:space="0"/>
              <w:right w:val="single" w:color="000000" w:sz="4" w:space="0"/>
            </w:tcBorders>
            <w:vAlign w:val="top"/>
          </w:tcPr>
          <w:p>
            <w:pPr>
              <w:spacing w:before="137" w:line="192" w:lineRule="auto"/>
              <w:ind w:left="28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9"/>
                <w:sz w:val="20"/>
                <w:szCs w:val="20"/>
                <w:highlight w:val="none"/>
              </w:rPr>
              <w:t>N</w:t>
            </w:r>
            <w:r>
              <w:rPr>
                <w:rFonts w:hint="default" w:ascii="Times New Roman" w:hAnsi="Times New Roman" w:eastAsia="Times New Roman" w:cs="Times New Roman"/>
                <w:spacing w:val="8"/>
                <w:sz w:val="20"/>
                <w:szCs w:val="20"/>
                <w:highlight w:val="none"/>
              </w:rPr>
              <w:t>W</w:t>
            </w:r>
          </w:p>
        </w:tc>
        <w:tc>
          <w:tcPr>
            <w:tcW w:w="2033" w:type="dxa"/>
            <w:tcBorders>
              <w:left w:val="single" w:color="000000" w:sz="4" w:space="0"/>
              <w:right w:val="single" w:color="000000" w:sz="4" w:space="0"/>
            </w:tcBorders>
            <w:vAlign w:val="top"/>
          </w:tcPr>
          <w:p>
            <w:pPr>
              <w:spacing w:before="99" w:line="229" w:lineRule="auto"/>
              <w:ind w:left="70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无</w:t>
            </w:r>
            <w:r>
              <w:rPr>
                <w:rFonts w:hint="default" w:ascii="Times New Roman" w:hAnsi="Times New Roman" w:eastAsia="宋体" w:cs="Times New Roman"/>
                <w:spacing w:val="6"/>
                <w:sz w:val="20"/>
                <w:szCs w:val="20"/>
                <w:highlight w:val="none"/>
              </w:rPr>
              <w:t>霜期</w:t>
            </w:r>
          </w:p>
        </w:tc>
        <w:tc>
          <w:tcPr>
            <w:tcW w:w="930" w:type="dxa"/>
            <w:tcBorders>
              <w:left w:val="single" w:color="000000" w:sz="4" w:space="0"/>
              <w:right w:val="single" w:color="000000" w:sz="4" w:space="0"/>
            </w:tcBorders>
            <w:vAlign w:val="top"/>
          </w:tcPr>
          <w:p>
            <w:pPr>
              <w:spacing w:before="99" w:line="229" w:lineRule="auto"/>
              <w:ind w:left="373"/>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天</w:t>
            </w:r>
          </w:p>
        </w:tc>
        <w:tc>
          <w:tcPr>
            <w:tcW w:w="1624" w:type="dxa"/>
            <w:tcBorders>
              <w:left w:val="single" w:color="000000" w:sz="4" w:space="0"/>
              <w:right w:val="single" w:color="000000" w:sz="10" w:space="0"/>
            </w:tcBorders>
            <w:vAlign w:val="top"/>
          </w:tcPr>
          <w:p>
            <w:pPr>
              <w:spacing w:before="135" w:line="195" w:lineRule="auto"/>
              <w:ind w:left="67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898" w:type="dxa"/>
            <w:tcBorders>
              <w:left w:val="single" w:color="000000" w:sz="10" w:space="0"/>
              <w:right w:val="single" w:color="000000" w:sz="4" w:space="0"/>
            </w:tcBorders>
            <w:vAlign w:val="top"/>
          </w:tcPr>
          <w:p>
            <w:pPr>
              <w:spacing w:before="101" w:line="228" w:lineRule="auto"/>
              <w:ind w:left="4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次主导风向</w:t>
            </w:r>
          </w:p>
        </w:tc>
        <w:tc>
          <w:tcPr>
            <w:tcW w:w="930" w:type="dxa"/>
            <w:tcBorders>
              <w:left w:val="single" w:color="000000" w:sz="4" w:space="0"/>
              <w:right w:val="single" w:color="000000" w:sz="4" w:space="0"/>
            </w:tcBorders>
            <w:vAlign w:val="top"/>
          </w:tcPr>
          <w:p>
            <w:pPr>
              <w:spacing w:before="225" w:line="136" w:lineRule="exact"/>
              <w:ind w:left="39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w:t>
            </w:r>
            <w:r>
              <w:rPr>
                <w:rFonts w:hint="default" w:ascii="Times New Roman" w:hAnsi="Times New Roman" w:eastAsia="Times New Roman" w:cs="Times New Roman"/>
                <w:spacing w:val="-1"/>
                <w:sz w:val="20"/>
                <w:szCs w:val="20"/>
                <w:highlight w:val="none"/>
              </w:rPr>
              <w:t>-</w:t>
            </w:r>
          </w:p>
        </w:tc>
        <w:tc>
          <w:tcPr>
            <w:tcW w:w="930" w:type="dxa"/>
            <w:tcBorders>
              <w:left w:val="single" w:color="000000" w:sz="4" w:space="0"/>
              <w:right w:val="single" w:color="000000" w:sz="4" w:space="0"/>
            </w:tcBorders>
            <w:vAlign w:val="top"/>
          </w:tcPr>
          <w:p>
            <w:pPr>
              <w:spacing w:before="136" w:line="195" w:lineRule="auto"/>
              <w:ind w:left="34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SE</w:t>
            </w:r>
          </w:p>
        </w:tc>
        <w:tc>
          <w:tcPr>
            <w:tcW w:w="2033" w:type="dxa"/>
            <w:tcBorders>
              <w:left w:val="single" w:color="000000" w:sz="4" w:space="0"/>
              <w:right w:val="single" w:color="000000" w:sz="4" w:space="0"/>
            </w:tcBorders>
            <w:vAlign w:val="top"/>
          </w:tcPr>
          <w:p>
            <w:pPr>
              <w:rPr>
                <w:rFonts w:hint="default" w:ascii="Times New Roman" w:hAnsi="Times New Roman" w:cs="Times New Roman"/>
                <w:sz w:val="21"/>
                <w:highlight w:val="none"/>
              </w:rPr>
            </w:pPr>
          </w:p>
        </w:tc>
        <w:tc>
          <w:tcPr>
            <w:tcW w:w="930" w:type="dxa"/>
            <w:tcBorders>
              <w:left w:val="single" w:color="000000" w:sz="4" w:space="0"/>
              <w:right w:val="single" w:color="000000" w:sz="4" w:space="0"/>
            </w:tcBorders>
            <w:vAlign w:val="top"/>
          </w:tcPr>
          <w:p>
            <w:pPr>
              <w:rPr>
                <w:rFonts w:hint="default" w:ascii="Times New Roman" w:hAnsi="Times New Roman" w:cs="Times New Roman"/>
                <w:sz w:val="21"/>
                <w:highlight w:val="none"/>
              </w:rPr>
            </w:pPr>
          </w:p>
        </w:tc>
        <w:tc>
          <w:tcPr>
            <w:tcW w:w="1624" w:type="dxa"/>
            <w:tcBorders>
              <w:left w:val="single" w:color="000000" w:sz="4" w:space="0"/>
              <w:right w:val="single" w:color="000000" w:sz="10" w:space="0"/>
            </w:tcBorders>
            <w:vAlign w:val="top"/>
          </w:tcPr>
          <w:p>
            <w:pPr>
              <w:rPr>
                <w:rFonts w:hint="default" w:ascii="Times New Roman" w:hAnsi="Times New Roman" w:cs="Times New Roman"/>
                <w:sz w:val="21"/>
                <w:highlight w:val="none"/>
              </w:rPr>
            </w:pPr>
          </w:p>
        </w:tc>
      </w:tr>
    </w:tbl>
    <w:p>
      <w:pPr>
        <w:spacing w:before="315" w:line="228" w:lineRule="auto"/>
        <w:ind w:left="36"/>
        <w:outlineLvl w:val="2"/>
        <w:rPr>
          <w:rFonts w:hint="default" w:ascii="Times New Roman" w:hAnsi="Times New Roman" w:eastAsia="宋体" w:cs="Times New Roman"/>
          <w:sz w:val="23"/>
          <w:szCs w:val="23"/>
          <w:highlight w:val="none"/>
        </w:rPr>
      </w:pPr>
      <w:bookmarkStart w:id="264" w:name="_Toc8130"/>
      <w:bookmarkStart w:id="265" w:name="_Toc23576"/>
      <w:bookmarkStart w:id="266" w:name="_Toc16232"/>
      <w:r>
        <w:rPr>
          <w:rFonts w:hint="default" w:ascii="Times New Roman" w:hAnsi="Times New Roman" w:eastAsia="Times New Roman" w:cs="Times New Roman"/>
          <w:b/>
          <w:bCs/>
          <w:spacing w:val="11"/>
          <w:sz w:val="23"/>
          <w:szCs w:val="23"/>
          <w:highlight w:val="none"/>
        </w:rPr>
        <w:t>4</w:t>
      </w:r>
      <w:r>
        <w:rPr>
          <w:rFonts w:hint="default" w:ascii="Times New Roman" w:hAnsi="Times New Roman" w:eastAsia="Times New Roman" w:cs="Times New Roman"/>
          <w:b/>
          <w:bCs/>
          <w:spacing w:val="6"/>
          <w:sz w:val="23"/>
          <w:szCs w:val="23"/>
          <w:highlight w:val="none"/>
        </w:rPr>
        <w:t>.1.7</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生态环境特征</w:t>
      </w:r>
      <w:bookmarkEnd w:id="264"/>
      <w:bookmarkEnd w:id="265"/>
      <w:bookmarkEnd w:id="266"/>
    </w:p>
    <w:p>
      <w:pPr>
        <w:spacing w:line="261" w:lineRule="auto"/>
        <w:rPr>
          <w:rFonts w:hint="default" w:ascii="Times New Roman" w:hAnsi="Times New Roman" w:cs="Times New Roman"/>
          <w:sz w:val="21"/>
          <w:highlight w:val="none"/>
        </w:rPr>
      </w:pPr>
    </w:p>
    <w:p>
      <w:pPr>
        <w:spacing w:before="75" w:line="394" w:lineRule="auto"/>
        <w:ind w:left="39"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
          <w:sz w:val="23"/>
          <w:szCs w:val="23"/>
          <w:highlight w:val="none"/>
        </w:rPr>
        <w:t xml:space="preserve">遵化市土壤有 </w:t>
      </w:r>
      <w:r>
        <w:rPr>
          <w:rFonts w:hint="default" w:ascii="Times New Roman" w:hAnsi="Times New Roman" w:eastAsia="Times New Roman" w:cs="Times New Roman"/>
          <w:spacing w:val="1"/>
          <w:sz w:val="23"/>
          <w:szCs w:val="23"/>
          <w:highlight w:val="none"/>
        </w:rPr>
        <w:t xml:space="preserve">3 </w:t>
      </w:r>
      <w:r>
        <w:rPr>
          <w:rFonts w:hint="default" w:ascii="Times New Roman" w:hAnsi="Times New Roman" w:eastAsia="宋体" w:cs="Times New Roman"/>
          <w:spacing w:val="1"/>
          <w:sz w:val="23"/>
          <w:szCs w:val="23"/>
          <w:highlight w:val="none"/>
        </w:rPr>
        <w:t>个土类，</w:t>
      </w:r>
      <w:r>
        <w:rPr>
          <w:rFonts w:hint="default" w:ascii="Times New Roman" w:hAnsi="Times New Roman" w:eastAsia="Times New Roman" w:cs="Times New Roman"/>
          <w:spacing w:val="1"/>
          <w:sz w:val="23"/>
          <w:szCs w:val="23"/>
          <w:highlight w:val="none"/>
        </w:rPr>
        <w:t xml:space="preserve">9 </w:t>
      </w:r>
      <w:r>
        <w:rPr>
          <w:rFonts w:hint="default" w:ascii="Times New Roman" w:hAnsi="Times New Roman" w:eastAsia="宋体" w:cs="Times New Roman"/>
          <w:spacing w:val="1"/>
          <w:sz w:val="23"/>
          <w:szCs w:val="23"/>
          <w:highlight w:val="none"/>
        </w:rPr>
        <w:t>个亚类，</w:t>
      </w:r>
      <w:r>
        <w:rPr>
          <w:rFonts w:hint="default" w:ascii="Times New Roman" w:hAnsi="Times New Roman" w:eastAsia="Times New Roman" w:cs="Times New Roman"/>
          <w:spacing w:val="1"/>
          <w:sz w:val="23"/>
          <w:szCs w:val="23"/>
          <w:highlight w:val="none"/>
        </w:rPr>
        <w:t xml:space="preserve">11 </w:t>
      </w:r>
      <w:r>
        <w:rPr>
          <w:rFonts w:hint="default" w:ascii="Times New Roman" w:hAnsi="Times New Roman" w:eastAsia="宋体" w:cs="Times New Roman"/>
          <w:spacing w:val="1"/>
          <w:sz w:val="23"/>
          <w:szCs w:val="23"/>
          <w:highlight w:val="none"/>
        </w:rPr>
        <w:t>个土属，</w:t>
      </w:r>
      <w:r>
        <w:rPr>
          <w:rFonts w:hint="default" w:ascii="Times New Roman" w:hAnsi="Times New Roman" w:eastAsia="Times New Roman" w:cs="Times New Roman"/>
          <w:sz w:val="23"/>
          <w:szCs w:val="23"/>
          <w:highlight w:val="none"/>
        </w:rPr>
        <w:t xml:space="preserve">41 </w:t>
      </w:r>
      <w:r>
        <w:rPr>
          <w:rFonts w:hint="default" w:ascii="Times New Roman" w:hAnsi="Times New Roman" w:eastAsia="宋体" w:cs="Times New Roman"/>
          <w:sz w:val="23"/>
          <w:szCs w:val="23"/>
          <w:highlight w:val="none"/>
        </w:rPr>
        <w:t>个土种。</w:t>
      </w:r>
      <w:r>
        <w:rPr>
          <w:rFonts w:hint="default" w:ascii="Times New Roman" w:hAnsi="Times New Roman" w:eastAsia="Times New Roman" w:cs="Times New Roman"/>
          <w:sz w:val="23"/>
          <w:szCs w:val="23"/>
          <w:highlight w:val="none"/>
        </w:rPr>
        <w:t xml:space="preserve">3 </w:t>
      </w:r>
      <w:r>
        <w:rPr>
          <w:rFonts w:hint="default" w:ascii="Times New Roman" w:hAnsi="Times New Roman" w:eastAsia="宋体" w:cs="Times New Roman"/>
          <w:sz w:val="23"/>
          <w:szCs w:val="23"/>
          <w:highlight w:val="none"/>
        </w:rPr>
        <w:t xml:space="preserve">大土类为棕壤、 </w:t>
      </w:r>
      <w:r>
        <w:rPr>
          <w:rFonts w:hint="default" w:ascii="Times New Roman" w:hAnsi="Times New Roman" w:eastAsia="宋体" w:cs="Times New Roman"/>
          <w:spacing w:val="4"/>
          <w:sz w:val="23"/>
          <w:szCs w:val="23"/>
          <w:highlight w:val="none"/>
        </w:rPr>
        <w:t>褐</w:t>
      </w:r>
      <w:r>
        <w:rPr>
          <w:rFonts w:hint="default" w:ascii="Times New Roman" w:hAnsi="Times New Roman" w:eastAsia="宋体" w:cs="Times New Roman"/>
          <w:spacing w:val="3"/>
          <w:sz w:val="23"/>
          <w:szCs w:val="23"/>
          <w:highlight w:val="none"/>
        </w:rPr>
        <w:t>土</w:t>
      </w:r>
      <w:r>
        <w:rPr>
          <w:rFonts w:hint="default" w:ascii="Times New Roman" w:hAnsi="Times New Roman" w:eastAsia="宋体" w:cs="Times New Roman"/>
          <w:spacing w:val="2"/>
          <w:sz w:val="23"/>
          <w:szCs w:val="23"/>
          <w:highlight w:val="none"/>
        </w:rPr>
        <w:t xml:space="preserve">和潮土。棕壤主要分布于市域北部 </w:t>
      </w:r>
      <w:r>
        <w:rPr>
          <w:rFonts w:hint="default" w:ascii="Times New Roman" w:hAnsi="Times New Roman" w:eastAsia="Times New Roman" w:cs="Times New Roman"/>
          <w:spacing w:val="2"/>
          <w:sz w:val="23"/>
          <w:szCs w:val="23"/>
          <w:highlight w:val="none"/>
        </w:rPr>
        <w:t xml:space="preserve">300 </w:t>
      </w:r>
      <w:r>
        <w:rPr>
          <w:rFonts w:hint="default" w:ascii="Times New Roman" w:hAnsi="Times New Roman" w:eastAsia="宋体" w:cs="Times New Roman"/>
          <w:spacing w:val="2"/>
          <w:sz w:val="23"/>
          <w:szCs w:val="23"/>
          <w:highlight w:val="none"/>
        </w:rPr>
        <w:t xml:space="preserve">米以上的山地，占全市总面积的 </w:t>
      </w:r>
      <w:r>
        <w:rPr>
          <w:rFonts w:hint="default" w:ascii="Times New Roman" w:hAnsi="Times New Roman" w:eastAsia="Times New Roman" w:cs="Times New Roman"/>
          <w:spacing w:val="2"/>
          <w:sz w:val="23"/>
          <w:szCs w:val="23"/>
          <w:highlight w:val="none"/>
        </w:rPr>
        <w:t>6%</w:t>
      </w:r>
      <w:r>
        <w:rPr>
          <w:rFonts w:hint="default" w:ascii="Times New Roman" w:hAnsi="Times New Roman" w:eastAsia="宋体" w:cs="Times New Roman"/>
          <w:spacing w:val="2"/>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褐土分布在海</w:t>
      </w:r>
      <w:r>
        <w:rPr>
          <w:rFonts w:hint="default" w:ascii="Times New Roman" w:hAnsi="Times New Roman" w:eastAsia="宋体" w:cs="Times New Roman"/>
          <w:spacing w:val="3"/>
          <w:sz w:val="23"/>
          <w:szCs w:val="23"/>
          <w:highlight w:val="none"/>
        </w:rPr>
        <w:t>拔</w:t>
      </w:r>
      <w:r>
        <w:rPr>
          <w:rFonts w:hint="default" w:ascii="Times New Roman" w:hAnsi="Times New Roman" w:eastAsia="宋体" w:cs="Times New Roman"/>
          <w:spacing w:val="2"/>
          <w:sz w:val="23"/>
          <w:szCs w:val="23"/>
          <w:highlight w:val="none"/>
        </w:rPr>
        <w:t xml:space="preserve"> </w:t>
      </w:r>
      <w:r>
        <w:rPr>
          <w:rFonts w:hint="default" w:ascii="Times New Roman" w:hAnsi="Times New Roman" w:eastAsia="Times New Roman" w:cs="Times New Roman"/>
          <w:spacing w:val="2"/>
          <w:sz w:val="23"/>
          <w:szCs w:val="23"/>
          <w:highlight w:val="none"/>
        </w:rPr>
        <w:t xml:space="preserve">20-300 </w:t>
      </w:r>
      <w:r>
        <w:rPr>
          <w:rFonts w:hint="default" w:ascii="Times New Roman" w:hAnsi="Times New Roman" w:eastAsia="宋体" w:cs="Times New Roman"/>
          <w:spacing w:val="2"/>
          <w:sz w:val="23"/>
          <w:szCs w:val="23"/>
          <w:highlight w:val="none"/>
        </w:rPr>
        <w:t xml:space="preserve">米的地方，几乎遍及全市， 占全市总面积的 </w:t>
      </w:r>
      <w:r>
        <w:rPr>
          <w:rFonts w:hint="default" w:ascii="Times New Roman" w:hAnsi="Times New Roman" w:eastAsia="Times New Roman" w:cs="Times New Roman"/>
          <w:spacing w:val="2"/>
          <w:sz w:val="23"/>
          <w:szCs w:val="23"/>
          <w:highlight w:val="none"/>
        </w:rPr>
        <w:t>92.63%</w:t>
      </w:r>
      <w:r>
        <w:rPr>
          <w:rFonts w:hint="default" w:ascii="Times New Roman" w:hAnsi="Times New Roman" w:eastAsia="宋体" w:cs="Times New Roman"/>
          <w:spacing w:val="2"/>
          <w:sz w:val="23"/>
          <w:szCs w:val="23"/>
          <w:highlight w:val="none"/>
        </w:rPr>
        <w:t>；潮</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土分布范围最窄，仅限于市域西南隅一小部分平原地带，占</w:t>
      </w:r>
      <w:r>
        <w:rPr>
          <w:rFonts w:hint="default" w:ascii="Times New Roman" w:hAnsi="Times New Roman" w:eastAsia="宋体" w:cs="Times New Roman"/>
          <w:sz w:val="23"/>
          <w:szCs w:val="23"/>
          <w:highlight w:val="none"/>
        </w:rPr>
        <w:t xml:space="preserve">全市总面积的 </w:t>
      </w:r>
      <w:r>
        <w:rPr>
          <w:rFonts w:hint="default" w:ascii="Times New Roman" w:hAnsi="Times New Roman" w:eastAsia="Times New Roman" w:cs="Times New Roman"/>
          <w:sz w:val="23"/>
          <w:szCs w:val="23"/>
          <w:highlight w:val="none"/>
        </w:rPr>
        <w:t>1. 18%</w:t>
      </w:r>
      <w:r>
        <w:rPr>
          <w:rFonts w:hint="default" w:ascii="Times New Roman" w:hAnsi="Times New Roman" w:eastAsia="宋体" w:cs="Times New Roman"/>
          <w:sz w:val="23"/>
          <w:szCs w:val="23"/>
          <w:highlight w:val="none"/>
        </w:rPr>
        <w:t>。</w:t>
      </w:r>
    </w:p>
    <w:p>
      <w:pPr>
        <w:spacing w:before="1" w:line="404" w:lineRule="auto"/>
        <w:ind w:left="38" w:right="15"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全市土壤养分属于中等</w:t>
      </w:r>
      <w:r>
        <w:rPr>
          <w:rFonts w:hint="default" w:ascii="Times New Roman" w:hAnsi="Times New Roman" w:eastAsia="宋体" w:cs="Times New Roman"/>
          <w:spacing w:val="3"/>
          <w:sz w:val="23"/>
          <w:szCs w:val="23"/>
          <w:highlight w:val="none"/>
        </w:rPr>
        <w:t>偏</w:t>
      </w:r>
      <w:r>
        <w:rPr>
          <w:rFonts w:hint="default" w:ascii="Times New Roman" w:hAnsi="Times New Roman" w:eastAsia="宋体" w:cs="Times New Roman"/>
          <w:spacing w:val="2"/>
          <w:sz w:val="23"/>
          <w:szCs w:val="23"/>
          <w:highlight w:val="none"/>
        </w:rPr>
        <w:t xml:space="preserve">下，土壤肥力较低，有机质含量平均为 </w:t>
      </w:r>
      <w:r>
        <w:rPr>
          <w:rFonts w:hint="default" w:ascii="Times New Roman" w:hAnsi="Times New Roman" w:eastAsia="Times New Roman" w:cs="Times New Roman"/>
          <w:spacing w:val="2"/>
          <w:sz w:val="23"/>
          <w:szCs w:val="23"/>
          <w:highlight w:val="none"/>
        </w:rPr>
        <w:t xml:space="preserve">1. 18% </w:t>
      </w:r>
      <w:r>
        <w:rPr>
          <w:rFonts w:hint="default" w:ascii="Times New Roman" w:hAnsi="Times New Roman" w:eastAsia="宋体" w:cs="Times New Roman"/>
          <w:spacing w:val="2"/>
          <w:sz w:val="23"/>
          <w:szCs w:val="23"/>
          <w:highlight w:val="none"/>
        </w:rPr>
        <w:t>，低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于</w:t>
      </w:r>
      <w:r>
        <w:rPr>
          <w:rFonts w:hint="default" w:ascii="Times New Roman" w:hAnsi="Times New Roman" w:eastAsia="宋体" w:cs="Times New Roman"/>
          <w:spacing w:val="8"/>
          <w:sz w:val="23"/>
          <w:szCs w:val="23"/>
          <w:highlight w:val="none"/>
        </w:rPr>
        <w:t xml:space="preserve">国家一级地有机质含量 </w:t>
      </w:r>
      <w:r>
        <w:rPr>
          <w:rFonts w:hint="default" w:ascii="Times New Roman" w:hAnsi="Times New Roman" w:eastAsia="Times New Roman" w:cs="Times New Roman"/>
          <w:spacing w:val="8"/>
          <w:sz w:val="23"/>
          <w:szCs w:val="23"/>
          <w:highlight w:val="none"/>
        </w:rPr>
        <w:t>2%</w:t>
      </w:r>
      <w:r>
        <w:rPr>
          <w:rFonts w:hint="default" w:ascii="Times New Roman" w:hAnsi="Times New Roman" w:eastAsia="宋体" w:cs="Times New Roman"/>
          <w:spacing w:val="8"/>
          <w:sz w:val="23"/>
          <w:szCs w:val="23"/>
          <w:highlight w:val="none"/>
        </w:rPr>
        <w:t>的标准，在全市土壤中，达到国家一级地有机质含</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 xml:space="preserve">量标准的只有 </w:t>
      </w:r>
      <w:r>
        <w:rPr>
          <w:rFonts w:hint="default" w:ascii="Times New Roman" w:hAnsi="Times New Roman" w:eastAsia="Times New Roman" w:cs="Times New Roman"/>
          <w:spacing w:val="-1"/>
          <w:sz w:val="23"/>
          <w:szCs w:val="23"/>
          <w:highlight w:val="none"/>
        </w:rPr>
        <w:t>1</w:t>
      </w:r>
      <w:r>
        <w:rPr>
          <w:rFonts w:hint="default" w:ascii="Times New Roman" w:hAnsi="Times New Roman" w:eastAsia="Times New Roman" w:cs="Times New Roman"/>
          <w:sz w:val="23"/>
          <w:szCs w:val="23"/>
          <w:highlight w:val="none"/>
        </w:rPr>
        <w:t xml:space="preserve">5.93 </w:t>
      </w:r>
      <w:r>
        <w:rPr>
          <w:rFonts w:hint="default" w:ascii="Times New Roman" w:hAnsi="Times New Roman" w:eastAsia="宋体" w:cs="Times New Roman"/>
          <w:sz w:val="23"/>
          <w:szCs w:val="23"/>
          <w:highlight w:val="none"/>
        </w:rPr>
        <w:t xml:space="preserve">平方公里，仅占全市总面积的 </w:t>
      </w:r>
      <w:r>
        <w:rPr>
          <w:rFonts w:hint="default" w:ascii="Times New Roman" w:hAnsi="Times New Roman" w:eastAsia="Times New Roman" w:cs="Times New Roman"/>
          <w:sz w:val="23"/>
          <w:szCs w:val="23"/>
          <w:highlight w:val="none"/>
        </w:rPr>
        <w:t>1%</w:t>
      </w:r>
      <w:r>
        <w:rPr>
          <w:rFonts w:hint="default" w:ascii="Times New Roman" w:hAnsi="Times New Roman" w:eastAsia="宋体" w:cs="Times New Roman"/>
          <w:sz w:val="23"/>
          <w:szCs w:val="23"/>
          <w:highlight w:val="none"/>
        </w:rPr>
        <w:t xml:space="preserve">。全氮平均含量为 </w:t>
      </w:r>
      <w:r>
        <w:rPr>
          <w:rFonts w:hint="default" w:ascii="Times New Roman" w:hAnsi="Times New Roman" w:eastAsia="Times New Roman" w:cs="Times New Roman"/>
          <w:sz w:val="23"/>
          <w:szCs w:val="23"/>
          <w:highlight w:val="none"/>
        </w:rPr>
        <w:t>0.074%</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 xml:space="preserve">速效氮平均含量为 </w:t>
      </w:r>
      <w:r>
        <w:rPr>
          <w:rFonts w:hint="default" w:ascii="Times New Roman" w:hAnsi="Times New Roman" w:eastAsia="Times New Roman" w:cs="Times New Roman"/>
          <w:spacing w:val="4"/>
          <w:sz w:val="23"/>
          <w:szCs w:val="23"/>
          <w:highlight w:val="none"/>
        </w:rPr>
        <w:t>68.74</w:t>
      </w:r>
      <w:r>
        <w:rPr>
          <w:rFonts w:hint="default" w:ascii="Times New Roman" w:hAnsi="Times New Roman" w:eastAsia="Times New Roman" w:cs="Times New Roman"/>
          <w:sz w:val="23"/>
          <w:szCs w:val="23"/>
          <w:highlight w:val="none"/>
        </w:rPr>
        <w:t>ppm</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 xml:space="preserve">，速效磷平均含量为 </w:t>
      </w:r>
      <w:r>
        <w:rPr>
          <w:rFonts w:hint="default" w:ascii="Times New Roman" w:hAnsi="Times New Roman" w:eastAsia="Times New Roman" w:cs="Times New Roman"/>
          <w:spacing w:val="2"/>
          <w:sz w:val="23"/>
          <w:szCs w:val="23"/>
          <w:highlight w:val="none"/>
        </w:rPr>
        <w:t>21.55</w:t>
      </w:r>
      <w:r>
        <w:rPr>
          <w:rFonts w:hint="default" w:ascii="Times New Roman" w:hAnsi="Times New Roman" w:eastAsia="Times New Roman" w:cs="Times New Roman"/>
          <w:sz w:val="23"/>
          <w:szCs w:val="23"/>
          <w:highlight w:val="none"/>
        </w:rPr>
        <w:t>ppm</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，速效钾平均含量为</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6"/>
          <w:sz w:val="23"/>
          <w:szCs w:val="23"/>
          <w:highlight w:val="none"/>
        </w:rPr>
        <w:t>8</w:t>
      </w:r>
      <w:r>
        <w:rPr>
          <w:rFonts w:hint="default" w:ascii="Times New Roman" w:hAnsi="Times New Roman" w:eastAsia="Times New Roman" w:cs="Times New Roman"/>
          <w:spacing w:val="15"/>
          <w:sz w:val="23"/>
          <w:szCs w:val="23"/>
          <w:highlight w:val="none"/>
        </w:rPr>
        <w:t>5</w:t>
      </w:r>
      <w:r>
        <w:rPr>
          <w:rFonts w:hint="default" w:ascii="Times New Roman" w:hAnsi="Times New Roman" w:eastAsia="Times New Roman" w:cs="Times New Roman"/>
          <w:spacing w:val="8"/>
          <w:sz w:val="23"/>
          <w:szCs w:val="23"/>
          <w:highlight w:val="none"/>
        </w:rPr>
        <w:t>.8</w:t>
      </w:r>
      <w:r>
        <w:rPr>
          <w:rFonts w:hint="default" w:ascii="Times New Roman" w:hAnsi="Times New Roman" w:eastAsia="Times New Roman" w:cs="Times New Roman"/>
          <w:sz w:val="23"/>
          <w:szCs w:val="23"/>
          <w:highlight w:val="none"/>
        </w:rPr>
        <w:t>ppm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，都低于国家要求的标准，处于缺磷、少氮、钾不足，有机质贫乏的状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态</w:t>
      </w:r>
      <w:r>
        <w:rPr>
          <w:rFonts w:hint="default" w:ascii="Times New Roman" w:hAnsi="Times New Roman" w:eastAsia="宋体" w:cs="Times New Roman"/>
          <w:sz w:val="23"/>
          <w:szCs w:val="23"/>
          <w:highlight w:val="none"/>
        </w:rPr>
        <w:t>。</w:t>
      </w:r>
    </w:p>
    <w:p>
      <w:pPr>
        <w:spacing w:before="15" w:line="404" w:lineRule="auto"/>
        <w:ind w:left="39"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遵化市地带性植</w:t>
      </w:r>
      <w:r>
        <w:rPr>
          <w:rFonts w:hint="default" w:ascii="Times New Roman" w:hAnsi="Times New Roman" w:eastAsia="宋体" w:cs="Times New Roman"/>
          <w:spacing w:val="3"/>
          <w:sz w:val="23"/>
          <w:szCs w:val="23"/>
          <w:highlight w:val="none"/>
        </w:rPr>
        <w:t>被</w:t>
      </w:r>
      <w:r>
        <w:rPr>
          <w:rFonts w:hint="default" w:ascii="Times New Roman" w:hAnsi="Times New Roman" w:eastAsia="宋体" w:cs="Times New Roman"/>
          <w:spacing w:val="2"/>
          <w:sz w:val="23"/>
          <w:szCs w:val="23"/>
          <w:highlight w:val="none"/>
        </w:rPr>
        <w:t>为落叶阔叶林，代表树种为落叶栎类，针叶树主要是油松。</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由</w:t>
      </w:r>
      <w:r>
        <w:rPr>
          <w:rFonts w:hint="default" w:ascii="Times New Roman" w:hAnsi="Times New Roman" w:eastAsia="宋体" w:cs="Times New Roman"/>
          <w:spacing w:val="5"/>
          <w:sz w:val="23"/>
          <w:szCs w:val="23"/>
          <w:highlight w:val="none"/>
        </w:rPr>
        <w:t xml:space="preserve">于长期垦植，海拔 </w:t>
      </w:r>
      <w:r>
        <w:rPr>
          <w:rFonts w:hint="default" w:ascii="Times New Roman" w:hAnsi="Times New Roman" w:eastAsia="Times New Roman" w:cs="Times New Roman"/>
          <w:spacing w:val="5"/>
          <w:sz w:val="23"/>
          <w:szCs w:val="23"/>
          <w:highlight w:val="none"/>
        </w:rPr>
        <w:t xml:space="preserve">300 </w:t>
      </w:r>
      <w:r>
        <w:rPr>
          <w:rFonts w:hint="default" w:ascii="Times New Roman" w:hAnsi="Times New Roman" w:eastAsia="宋体" w:cs="Times New Roman"/>
          <w:spacing w:val="5"/>
          <w:sz w:val="23"/>
          <w:szCs w:val="23"/>
          <w:highlight w:val="none"/>
        </w:rPr>
        <w:t>米以下地带，野生植物已不复存在，大部分为人工植被</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所代替，只有</w:t>
      </w:r>
      <w:r>
        <w:rPr>
          <w:rFonts w:hint="default" w:ascii="Times New Roman" w:hAnsi="Times New Roman" w:eastAsia="宋体" w:cs="Times New Roman"/>
          <w:spacing w:val="1"/>
          <w:sz w:val="23"/>
          <w:szCs w:val="23"/>
          <w:highlight w:val="none"/>
        </w:rPr>
        <w:t xml:space="preserve">在海拔 </w:t>
      </w:r>
      <w:r>
        <w:rPr>
          <w:rFonts w:hint="default" w:ascii="Times New Roman" w:hAnsi="Times New Roman" w:eastAsia="Times New Roman" w:cs="Times New Roman"/>
          <w:spacing w:val="1"/>
          <w:sz w:val="23"/>
          <w:szCs w:val="23"/>
          <w:highlight w:val="none"/>
        </w:rPr>
        <w:t xml:space="preserve">300 </w:t>
      </w:r>
      <w:r>
        <w:rPr>
          <w:rFonts w:hint="default" w:ascii="Times New Roman" w:hAnsi="Times New Roman" w:eastAsia="宋体" w:cs="Times New Roman"/>
          <w:spacing w:val="1"/>
          <w:sz w:val="23"/>
          <w:szCs w:val="23"/>
          <w:highlight w:val="none"/>
        </w:rPr>
        <w:t>米以上未被垦植的山地，才有野生植被的分布。据调查，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乔木树种有油</w:t>
      </w:r>
      <w:r>
        <w:rPr>
          <w:rFonts w:hint="default" w:ascii="Times New Roman" w:hAnsi="Times New Roman" w:eastAsia="宋体" w:cs="Times New Roman"/>
          <w:spacing w:val="4"/>
          <w:sz w:val="23"/>
          <w:szCs w:val="23"/>
          <w:highlight w:val="none"/>
        </w:rPr>
        <w:t>松</w:t>
      </w:r>
      <w:r>
        <w:rPr>
          <w:rFonts w:hint="default" w:ascii="Times New Roman" w:hAnsi="Times New Roman" w:eastAsia="宋体" w:cs="Times New Roman"/>
          <w:spacing w:val="3"/>
          <w:sz w:val="23"/>
          <w:szCs w:val="23"/>
          <w:highlight w:val="none"/>
        </w:rPr>
        <w:t xml:space="preserve">、白皮松、侧柏、槲、栎、山杨、椴等 </w:t>
      </w:r>
      <w:r>
        <w:rPr>
          <w:rFonts w:hint="default" w:ascii="Times New Roman" w:hAnsi="Times New Roman" w:eastAsia="Times New Roman" w:cs="Times New Roman"/>
          <w:spacing w:val="3"/>
          <w:sz w:val="23"/>
          <w:szCs w:val="23"/>
          <w:highlight w:val="none"/>
        </w:rPr>
        <w:t xml:space="preserve">30 </w:t>
      </w:r>
      <w:r>
        <w:rPr>
          <w:rFonts w:hint="default" w:ascii="Times New Roman" w:hAnsi="Times New Roman" w:eastAsia="宋体" w:cs="Times New Roman"/>
          <w:spacing w:val="3"/>
          <w:sz w:val="23"/>
          <w:szCs w:val="23"/>
          <w:highlight w:val="none"/>
        </w:rPr>
        <w:t xml:space="preserve">多种，果树约有 </w:t>
      </w:r>
      <w:r>
        <w:rPr>
          <w:rFonts w:hint="default" w:ascii="Times New Roman" w:hAnsi="Times New Roman" w:eastAsia="Times New Roman" w:cs="Times New Roman"/>
          <w:spacing w:val="3"/>
          <w:sz w:val="23"/>
          <w:szCs w:val="23"/>
          <w:highlight w:val="none"/>
        </w:rPr>
        <w:t xml:space="preserve">20 </w:t>
      </w:r>
      <w:r>
        <w:rPr>
          <w:rFonts w:hint="default" w:ascii="Times New Roman" w:hAnsi="Times New Roman" w:eastAsia="宋体" w:cs="Times New Roman"/>
          <w:spacing w:val="3"/>
          <w:sz w:val="23"/>
          <w:szCs w:val="23"/>
          <w:highlight w:val="none"/>
        </w:rPr>
        <w:t>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种</w:t>
      </w:r>
      <w:r>
        <w:rPr>
          <w:rFonts w:hint="default" w:ascii="Times New Roman" w:hAnsi="Times New Roman" w:eastAsia="宋体" w:cs="Times New Roman"/>
          <w:spacing w:val="7"/>
          <w:sz w:val="23"/>
          <w:szCs w:val="23"/>
          <w:highlight w:val="none"/>
        </w:rPr>
        <w:t>，以板栗、核桃、苹果、柿、枣、梨、桃、杏、山楂等为主，在灌木中人工培</w:t>
      </w:r>
    </w:p>
    <w:p>
      <w:pPr>
        <w:rPr>
          <w:rFonts w:hint="default" w:ascii="Times New Roman" w:hAnsi="Times New Roman" w:cs="Times New Roman"/>
          <w:highlight w:val="none"/>
        </w:rPr>
        <w:sectPr>
          <w:headerReference r:id="rId51" w:type="default"/>
          <w:footerReference r:id="rId52" w:type="default"/>
          <w:pgSz w:w="11906" w:h="16839"/>
          <w:pgMar w:top="1167" w:right="1716" w:bottom="1311" w:left="1767" w:header="897" w:footer="1015" w:gutter="0"/>
          <w:pgBorders>
            <w:top w:val="none" w:sz="0" w:space="0"/>
            <w:left w:val="none" w:sz="0" w:space="0"/>
            <w:bottom w:val="none" w:sz="0" w:space="0"/>
            <w:right w:val="none" w:sz="0" w:space="0"/>
          </w:pgBorders>
          <w:pgNumType w:fmt="decimal"/>
          <w:cols w:space="720" w:num="1"/>
        </w:sectPr>
      </w:pPr>
    </w:p>
    <w:p>
      <w:pPr>
        <w:spacing w:line="391"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151" o:spid="_x0000_s1151" style="position:absolute;left:0pt;margin-left:89.85pt;margin-top:59.05pt;height:0.75pt;width:415.65pt;mso-position-horizontal-relative:page;mso-position-vertical-relative:page;z-index:251713536;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cs="Times New Roman"/>
          <w:highlight w:val="none"/>
        </w:rPr>
        <w:pict>
          <v:shape id="_x0000_s1152" o:spid="_x0000_s1152" style="position:absolute;left:0pt;margin-left:89.85pt;margin-top:776.35pt;height:0.75pt;width:415.65pt;mso-position-horizontal-relative:page;mso-position-vertical-relative:page;z-index:251712512;mso-width-relative:page;mso-height-relative:page;" fillcolor="#FFFFFF" filled="t" stroked="f" coordsize="8312,15" o:allowincell="f" path="m0,0l8312,0,8312,14,0,14,0,0xe">
            <v:path/>
            <v:fill on="t" color2="#FFFFFF" focussize="0,0"/>
            <v:stroke on="f"/>
            <v:imagedata o:title=""/>
            <o:lock v:ext="edit" aspectratio="f"/>
          </v:shape>
        </w:pict>
      </w:r>
    </w:p>
    <w:p>
      <w:pPr>
        <w:spacing w:before="75" w:line="499" w:lineRule="exact"/>
        <w:ind w:left="2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position w:val="20"/>
          <w:sz w:val="23"/>
          <w:szCs w:val="23"/>
          <w:highlight w:val="none"/>
        </w:rPr>
        <w:t>植</w:t>
      </w:r>
      <w:r>
        <w:rPr>
          <w:rFonts w:hint="default" w:ascii="Times New Roman" w:hAnsi="Times New Roman" w:eastAsia="宋体" w:cs="Times New Roman"/>
          <w:spacing w:val="6"/>
          <w:position w:val="20"/>
          <w:sz w:val="23"/>
          <w:szCs w:val="23"/>
          <w:highlight w:val="none"/>
        </w:rPr>
        <w:t>的</w:t>
      </w:r>
      <w:r>
        <w:rPr>
          <w:rFonts w:hint="default" w:ascii="Times New Roman" w:hAnsi="Times New Roman" w:eastAsia="宋体" w:cs="Times New Roman"/>
          <w:spacing w:val="4"/>
          <w:position w:val="20"/>
          <w:sz w:val="23"/>
          <w:szCs w:val="23"/>
          <w:highlight w:val="none"/>
        </w:rPr>
        <w:t xml:space="preserve">紫穗槐分布普遍，野生灌木约 </w:t>
      </w:r>
      <w:r>
        <w:rPr>
          <w:rFonts w:hint="default" w:ascii="Times New Roman" w:hAnsi="Times New Roman" w:eastAsia="Times New Roman" w:cs="Times New Roman"/>
          <w:spacing w:val="4"/>
          <w:position w:val="20"/>
          <w:sz w:val="23"/>
          <w:szCs w:val="23"/>
          <w:highlight w:val="none"/>
        </w:rPr>
        <w:t xml:space="preserve">30 </w:t>
      </w:r>
      <w:r>
        <w:rPr>
          <w:rFonts w:hint="default" w:ascii="Times New Roman" w:hAnsi="Times New Roman" w:eastAsia="宋体" w:cs="Times New Roman"/>
          <w:spacing w:val="4"/>
          <w:position w:val="20"/>
          <w:sz w:val="23"/>
          <w:szCs w:val="23"/>
          <w:highlight w:val="none"/>
        </w:rPr>
        <w:t>多种，比较常见的有荆条、酸枣、胡枝子、</w:t>
      </w:r>
    </w:p>
    <w:p>
      <w:pPr>
        <w:spacing w:before="1" w:line="228" w:lineRule="auto"/>
        <w:ind w:left="5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鼠李、大花溲疏、三裂绣线菊、锦鸡儿、榛、苦参等</w:t>
      </w:r>
      <w:r>
        <w:rPr>
          <w:rFonts w:hint="default" w:ascii="Times New Roman" w:hAnsi="Times New Roman" w:eastAsia="宋体" w:cs="Times New Roman"/>
          <w:spacing w:val="7"/>
          <w:sz w:val="23"/>
          <w:szCs w:val="23"/>
          <w:highlight w:val="none"/>
        </w:rPr>
        <w:t>。</w:t>
      </w:r>
    </w:p>
    <w:p>
      <w:pPr>
        <w:spacing w:before="177" w:line="409" w:lineRule="auto"/>
        <w:ind w:left="21" w:right="14"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境内草本</w:t>
      </w:r>
      <w:r>
        <w:rPr>
          <w:rFonts w:hint="default" w:ascii="Times New Roman" w:hAnsi="Times New Roman" w:eastAsia="宋体" w:cs="Times New Roman"/>
          <w:spacing w:val="10"/>
          <w:sz w:val="23"/>
          <w:szCs w:val="23"/>
          <w:highlight w:val="none"/>
        </w:rPr>
        <w:t>植</w:t>
      </w:r>
      <w:r>
        <w:rPr>
          <w:rFonts w:hint="default" w:ascii="Times New Roman" w:hAnsi="Times New Roman" w:eastAsia="宋体" w:cs="Times New Roman"/>
          <w:spacing w:val="6"/>
          <w:sz w:val="23"/>
          <w:szCs w:val="23"/>
          <w:highlight w:val="none"/>
        </w:rPr>
        <w:t xml:space="preserve">物在低山丘陵到处可见，盖度常达 </w:t>
      </w:r>
      <w:r>
        <w:rPr>
          <w:rFonts w:hint="default" w:ascii="Times New Roman" w:hAnsi="Times New Roman" w:eastAsia="Times New Roman" w:cs="Times New Roman"/>
          <w:spacing w:val="6"/>
          <w:sz w:val="23"/>
          <w:szCs w:val="23"/>
          <w:highlight w:val="none"/>
        </w:rPr>
        <w:t xml:space="preserve">60-70% </w:t>
      </w:r>
      <w:r>
        <w:rPr>
          <w:rFonts w:hint="default" w:ascii="Times New Roman" w:hAnsi="Times New Roman" w:eastAsia="宋体" w:cs="Times New Roman"/>
          <w:spacing w:val="6"/>
          <w:sz w:val="23"/>
          <w:szCs w:val="23"/>
          <w:highlight w:val="none"/>
        </w:rPr>
        <w:t>，北山多于南山，阴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坡</w:t>
      </w:r>
      <w:r>
        <w:rPr>
          <w:rFonts w:hint="default" w:ascii="Times New Roman" w:hAnsi="Times New Roman" w:eastAsia="宋体" w:cs="Times New Roman"/>
          <w:spacing w:val="7"/>
          <w:sz w:val="23"/>
          <w:szCs w:val="23"/>
          <w:highlight w:val="none"/>
        </w:rPr>
        <w:t>多于阳坡，除疏花草等少数种类北山分布普遍，东南部山地少见外，一般草本</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植物在全市均有</w:t>
      </w:r>
      <w:r>
        <w:rPr>
          <w:rFonts w:hint="default" w:ascii="Times New Roman" w:hAnsi="Times New Roman" w:eastAsia="宋体" w:cs="Times New Roman"/>
          <w:spacing w:val="3"/>
          <w:sz w:val="23"/>
          <w:szCs w:val="23"/>
          <w:highlight w:val="none"/>
        </w:rPr>
        <w:t>广</w:t>
      </w:r>
      <w:r>
        <w:rPr>
          <w:rFonts w:hint="default" w:ascii="Times New Roman" w:hAnsi="Times New Roman" w:eastAsia="宋体" w:cs="Times New Roman"/>
          <w:spacing w:val="2"/>
          <w:sz w:val="23"/>
          <w:szCs w:val="23"/>
          <w:highlight w:val="none"/>
        </w:rPr>
        <w:t>泛分布，其中最多的是菊科、豆科、禾本科、蔷薇科、莎草科，</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占</w:t>
      </w:r>
      <w:r>
        <w:rPr>
          <w:rFonts w:hint="default" w:ascii="Times New Roman" w:hAnsi="Times New Roman" w:eastAsia="宋体" w:cs="Times New Roman"/>
          <w:spacing w:val="7"/>
          <w:sz w:val="23"/>
          <w:szCs w:val="23"/>
          <w:highlight w:val="none"/>
        </w:rPr>
        <w:t>绝对优势的是黄背草、白羊草等。藤本、蕨类、攀附植物仍可见到，寄生植物</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则</w:t>
      </w:r>
      <w:r>
        <w:rPr>
          <w:rFonts w:hint="default" w:ascii="Times New Roman" w:hAnsi="Times New Roman" w:eastAsia="宋体" w:cs="Times New Roman"/>
          <w:spacing w:val="6"/>
          <w:sz w:val="23"/>
          <w:szCs w:val="23"/>
          <w:highlight w:val="none"/>
        </w:rPr>
        <w:t>很少见到。</w:t>
      </w:r>
    </w:p>
    <w:p>
      <w:pPr>
        <w:spacing w:before="75" w:line="221" w:lineRule="auto"/>
        <w:ind w:left="18"/>
        <w:outlineLvl w:val="1"/>
        <w:rPr>
          <w:rFonts w:hint="default" w:ascii="Times New Roman" w:hAnsi="Times New Roman" w:eastAsia="宋体" w:cs="Times New Roman"/>
          <w:sz w:val="28"/>
          <w:szCs w:val="28"/>
          <w:highlight w:val="none"/>
        </w:rPr>
      </w:pPr>
      <w:bookmarkStart w:id="267" w:name="_Toc27550"/>
      <w:bookmarkStart w:id="268" w:name="_Toc2160"/>
      <w:bookmarkStart w:id="269" w:name="_Toc24669"/>
      <w:r>
        <w:rPr>
          <w:rFonts w:hint="default" w:ascii="Times New Roman" w:hAnsi="Times New Roman" w:eastAsia="Times New Roman" w:cs="Times New Roman"/>
          <w:b/>
          <w:bCs/>
          <w:spacing w:val="1"/>
          <w:sz w:val="28"/>
          <w:szCs w:val="28"/>
          <w:highlight w:val="none"/>
        </w:rPr>
        <w:t>4</w:t>
      </w:r>
      <w:r>
        <w:rPr>
          <w:rFonts w:hint="default" w:ascii="Times New Roman" w:hAnsi="Times New Roman" w:eastAsia="Times New Roman" w:cs="Times New Roman"/>
          <w:b/>
          <w:bCs/>
          <w:sz w:val="28"/>
          <w:szCs w:val="28"/>
          <w:highlight w:val="none"/>
        </w:rPr>
        <w:t>.2</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环境保护目标调查</w:t>
      </w:r>
      <w:bookmarkEnd w:id="267"/>
      <w:bookmarkEnd w:id="268"/>
      <w:bookmarkEnd w:id="269"/>
    </w:p>
    <w:p>
      <w:pPr>
        <w:spacing w:line="242" w:lineRule="auto"/>
        <w:rPr>
          <w:rFonts w:hint="default" w:ascii="Times New Roman" w:hAnsi="Times New Roman" w:cs="Times New Roman"/>
          <w:sz w:val="21"/>
          <w:highlight w:val="none"/>
        </w:rPr>
      </w:pPr>
    </w:p>
    <w:p>
      <w:pPr>
        <w:spacing w:before="75" w:line="406" w:lineRule="auto"/>
        <w:ind w:left="22" w:right="80"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项目评价区域内无集中式饮用水水源地、自然保护区、风景名胜区、珍稀</w:t>
      </w:r>
      <w:r>
        <w:rPr>
          <w:rFonts w:hint="default" w:ascii="Times New Roman" w:hAnsi="Times New Roman" w:eastAsia="宋体" w:cs="Times New Roman"/>
          <w:spacing w:val="3"/>
          <w:sz w:val="23"/>
          <w:szCs w:val="23"/>
          <w:highlight w:val="none"/>
        </w:rPr>
        <w:t>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植</w:t>
      </w:r>
      <w:r>
        <w:rPr>
          <w:rFonts w:hint="default" w:ascii="Times New Roman" w:hAnsi="Times New Roman" w:eastAsia="宋体" w:cs="Times New Roman"/>
          <w:spacing w:val="7"/>
          <w:sz w:val="23"/>
          <w:szCs w:val="23"/>
          <w:highlight w:val="none"/>
        </w:rPr>
        <w:t>物资源、景观及其他环境敏感点。根据工程特点及周围环境特征，确定项目大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气环境保护目标为</w:t>
      </w:r>
      <w:r>
        <w:rPr>
          <w:rFonts w:hint="default" w:ascii="Times New Roman" w:hAnsi="Times New Roman" w:eastAsia="宋体" w:cs="Times New Roman"/>
          <w:spacing w:val="3"/>
          <w:sz w:val="23"/>
          <w:szCs w:val="23"/>
          <w:highlight w:val="none"/>
        </w:rPr>
        <w:t>周</w:t>
      </w:r>
      <w:r>
        <w:rPr>
          <w:rFonts w:hint="default" w:ascii="Times New Roman" w:hAnsi="Times New Roman" w:eastAsia="宋体" w:cs="Times New Roman"/>
          <w:spacing w:val="2"/>
          <w:sz w:val="23"/>
          <w:szCs w:val="23"/>
          <w:highlight w:val="none"/>
        </w:rPr>
        <w:t xml:space="preserve">边居民区，详见表 </w:t>
      </w:r>
      <w:r>
        <w:rPr>
          <w:rFonts w:hint="default" w:ascii="Times New Roman" w:hAnsi="Times New Roman" w:eastAsia="Times New Roman" w:cs="Times New Roman"/>
          <w:spacing w:val="2"/>
          <w:sz w:val="23"/>
          <w:szCs w:val="23"/>
          <w:highlight w:val="none"/>
        </w:rPr>
        <w:t>2.5- 1</w:t>
      </w:r>
      <w:r>
        <w:rPr>
          <w:rFonts w:hint="default" w:ascii="Times New Roman" w:hAnsi="Times New Roman" w:eastAsia="宋体" w:cs="Times New Roman"/>
          <w:spacing w:val="2"/>
          <w:sz w:val="23"/>
          <w:szCs w:val="23"/>
          <w:highlight w:val="none"/>
        </w:rPr>
        <w:t>。</w:t>
      </w:r>
    </w:p>
    <w:p>
      <w:pPr>
        <w:spacing w:before="67" w:line="219" w:lineRule="auto"/>
        <w:ind w:left="18"/>
        <w:outlineLvl w:val="1"/>
        <w:rPr>
          <w:rFonts w:hint="default" w:ascii="Times New Roman" w:hAnsi="Times New Roman" w:eastAsia="宋体" w:cs="Times New Roman"/>
          <w:sz w:val="28"/>
          <w:szCs w:val="28"/>
          <w:highlight w:val="none"/>
        </w:rPr>
      </w:pPr>
      <w:bookmarkStart w:id="270" w:name="_Toc26638"/>
      <w:bookmarkStart w:id="271" w:name="_Toc14909"/>
      <w:bookmarkStart w:id="272" w:name="_Toc1086"/>
      <w:r>
        <w:rPr>
          <w:rFonts w:hint="default" w:ascii="Times New Roman" w:hAnsi="Times New Roman" w:eastAsia="Times New Roman" w:cs="Times New Roman"/>
          <w:b/>
          <w:bCs/>
          <w:spacing w:val="1"/>
          <w:sz w:val="28"/>
          <w:szCs w:val="28"/>
          <w:highlight w:val="none"/>
        </w:rPr>
        <w:t>4.3</w:t>
      </w:r>
      <w:r>
        <w:rPr>
          <w:rFonts w:hint="default" w:ascii="Times New Roman" w:hAnsi="Times New Roman" w:eastAsia="Times New Roman" w:cs="Times New Roman"/>
          <w:spacing w:val="1"/>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环境质量现状调查与评价</w:t>
      </w:r>
      <w:bookmarkEnd w:id="270"/>
      <w:bookmarkEnd w:id="271"/>
      <w:bookmarkEnd w:id="272"/>
    </w:p>
    <w:p>
      <w:pPr>
        <w:spacing w:before="100" w:line="227" w:lineRule="auto"/>
        <w:ind w:left="17"/>
        <w:outlineLvl w:val="2"/>
        <w:rPr>
          <w:rFonts w:hint="default" w:ascii="Times New Roman" w:hAnsi="Times New Roman" w:eastAsia="宋体" w:cs="Times New Roman"/>
          <w:sz w:val="23"/>
          <w:szCs w:val="23"/>
          <w:highlight w:val="none"/>
        </w:rPr>
      </w:pPr>
      <w:bookmarkStart w:id="273" w:name="_Toc9980"/>
      <w:bookmarkStart w:id="274" w:name="_Toc9079"/>
      <w:bookmarkStart w:id="275" w:name="_Toc9803"/>
      <w:r>
        <w:rPr>
          <w:rFonts w:hint="default" w:ascii="Times New Roman" w:hAnsi="Times New Roman" w:eastAsia="Times New Roman" w:cs="Times New Roman"/>
          <w:b/>
          <w:bCs/>
          <w:spacing w:val="8"/>
          <w:sz w:val="23"/>
          <w:szCs w:val="23"/>
          <w:highlight w:val="none"/>
        </w:rPr>
        <w:t>4.3.1</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环境空气质量现状监测与评价</w:t>
      </w:r>
      <w:bookmarkEnd w:id="273"/>
      <w:bookmarkEnd w:id="274"/>
      <w:bookmarkEnd w:id="275"/>
    </w:p>
    <w:p>
      <w:pPr>
        <w:pStyle w:val="3"/>
        <w:keepLines w:val="0"/>
        <w:widowControl w:val="0"/>
        <w:spacing w:before="0" w:after="0" w:line="480" w:lineRule="exact"/>
        <w:jc w:val="both"/>
        <w:rPr>
          <w:rFonts w:hint="default" w:ascii="Times New Roman" w:hAnsi="Times New Roman" w:cs="Times New Roman"/>
          <w:bCs w:val="0"/>
          <w:kern w:val="2"/>
          <w:sz w:val="23"/>
          <w:szCs w:val="23"/>
          <w:highlight w:val="none"/>
          <w:lang w:val="zh-CN"/>
        </w:rPr>
      </w:pPr>
      <w:r>
        <w:rPr>
          <w:rFonts w:hint="default" w:ascii="Times New Roman" w:hAnsi="Times New Roman" w:cs="Times New Roman"/>
          <w:bCs w:val="0"/>
          <w:kern w:val="2"/>
          <w:sz w:val="23"/>
          <w:szCs w:val="23"/>
          <w:highlight w:val="none"/>
          <w:lang w:val="zh-CN"/>
        </w:rPr>
        <w:t>4.3.1.1达标区判定</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eastAsia" w:ascii="Times New Roman" w:hAnsi="Times New Roman" w:eastAsia="宋体" w:cs="Times New Roman"/>
          <w:color w:val="auto"/>
          <w:sz w:val="23"/>
          <w:szCs w:val="23"/>
          <w:highlight w:val="none"/>
        </w:rPr>
      </w:pPr>
      <w:r>
        <w:rPr>
          <w:rFonts w:hint="default" w:ascii="Times New Roman" w:hAnsi="Times New Roman" w:eastAsia="宋体" w:cs="Times New Roman"/>
          <w:color w:val="auto"/>
          <w:sz w:val="23"/>
          <w:szCs w:val="23"/>
          <w:highlight w:val="none"/>
        </w:rPr>
        <w:t>根据20</w:t>
      </w:r>
      <w:r>
        <w:rPr>
          <w:rFonts w:hint="eastAsia" w:ascii="Times New Roman" w:hAnsi="Times New Roman" w:eastAsia="宋体" w:cs="Times New Roman"/>
          <w:color w:val="auto"/>
          <w:sz w:val="23"/>
          <w:szCs w:val="23"/>
          <w:highlight w:val="none"/>
          <w:lang w:val="en-US" w:eastAsia="zh-CN"/>
        </w:rPr>
        <w:t>23</w:t>
      </w:r>
      <w:r>
        <w:rPr>
          <w:rFonts w:hint="default" w:ascii="Times New Roman" w:hAnsi="Times New Roman" w:eastAsia="宋体" w:cs="Times New Roman"/>
          <w:color w:val="auto"/>
          <w:sz w:val="23"/>
          <w:szCs w:val="23"/>
          <w:highlight w:val="none"/>
        </w:rPr>
        <w:t>年6月年唐山市</w:t>
      </w:r>
      <w:r>
        <w:rPr>
          <w:rFonts w:hint="eastAsia" w:ascii="Times New Roman" w:hAnsi="Times New Roman" w:eastAsia="宋体" w:cs="Times New Roman"/>
          <w:color w:val="auto"/>
          <w:sz w:val="23"/>
          <w:szCs w:val="23"/>
          <w:highlight w:val="none"/>
          <w:lang w:val="en-US" w:eastAsia="zh-CN"/>
        </w:rPr>
        <w:t>生态环境</w:t>
      </w:r>
      <w:r>
        <w:rPr>
          <w:rFonts w:hint="default" w:ascii="Times New Roman" w:hAnsi="Times New Roman" w:eastAsia="宋体" w:cs="Times New Roman"/>
          <w:color w:val="auto"/>
          <w:sz w:val="23"/>
          <w:szCs w:val="23"/>
          <w:highlight w:val="none"/>
        </w:rPr>
        <w:t>局发布的《20</w:t>
      </w:r>
      <w:r>
        <w:rPr>
          <w:rFonts w:hint="eastAsia" w:ascii="Times New Roman" w:hAnsi="Times New Roman" w:eastAsia="宋体" w:cs="Times New Roman"/>
          <w:color w:val="auto"/>
          <w:sz w:val="23"/>
          <w:szCs w:val="23"/>
          <w:highlight w:val="none"/>
          <w:lang w:val="en-US" w:eastAsia="zh-CN"/>
        </w:rPr>
        <w:t>22</w:t>
      </w:r>
      <w:r>
        <w:rPr>
          <w:rFonts w:hint="default" w:ascii="Times New Roman" w:hAnsi="Times New Roman" w:eastAsia="宋体" w:cs="Times New Roman"/>
          <w:color w:val="auto"/>
          <w:sz w:val="23"/>
          <w:szCs w:val="23"/>
          <w:highlight w:val="none"/>
        </w:rPr>
        <w:t>年唐山市环境状况公报》显示，</w:t>
      </w:r>
      <w:r>
        <w:rPr>
          <w:rFonts w:hint="eastAsia" w:ascii="Times New Roman" w:hAnsi="Times New Roman" w:eastAsia="宋体" w:cs="Times New Roman"/>
          <w:color w:val="auto"/>
          <w:sz w:val="23"/>
          <w:szCs w:val="23"/>
          <w:highlight w:val="none"/>
        </w:rPr>
        <w:t>2022年全市优良天数275天，同比增加19天，优良天数比例为75.3%，同比提高5.2个百分点。重度污染以上天数3天，占比0.8%，同比减少5天。全市空气质量综合指数4.47，同比下降10.6%，排名全国168个重点监测城市倒38名，较2021年提升30个位次。</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color w:val="auto"/>
          <w:sz w:val="23"/>
          <w:szCs w:val="23"/>
          <w:highlight w:val="none"/>
        </w:rPr>
      </w:pPr>
      <w:r>
        <w:rPr>
          <w:rFonts w:hint="eastAsia" w:ascii="Times New Roman" w:hAnsi="Times New Roman" w:eastAsia="宋体" w:cs="Times New Roman"/>
          <w:color w:val="auto"/>
          <w:sz w:val="23"/>
          <w:szCs w:val="23"/>
          <w:highlight w:val="none"/>
        </w:rPr>
        <w:t>2022年，全市细颗粒物（PM</w:t>
      </w:r>
      <w:r>
        <w:rPr>
          <w:rFonts w:hint="eastAsia" w:ascii="Times New Roman" w:hAnsi="Times New Roman" w:eastAsia="宋体" w:cs="Times New Roman"/>
          <w:color w:val="auto"/>
          <w:sz w:val="23"/>
          <w:szCs w:val="23"/>
          <w:highlight w:val="none"/>
          <w:vertAlign w:val="subscript"/>
        </w:rPr>
        <w:t>2.5</w:t>
      </w:r>
      <w:r>
        <w:rPr>
          <w:rFonts w:hint="eastAsia" w:ascii="Times New Roman" w:hAnsi="Times New Roman" w:eastAsia="宋体" w:cs="Times New Roman"/>
          <w:color w:val="auto"/>
          <w:sz w:val="23"/>
          <w:szCs w:val="23"/>
          <w:highlight w:val="none"/>
        </w:rPr>
        <w:t>）年均浓度为37微克/立方米，可吸入颗粒物（PM</w:t>
      </w:r>
      <w:r>
        <w:rPr>
          <w:rFonts w:hint="eastAsia" w:ascii="Times New Roman" w:hAnsi="Times New Roman" w:eastAsia="宋体" w:cs="Times New Roman"/>
          <w:color w:val="auto"/>
          <w:sz w:val="23"/>
          <w:szCs w:val="23"/>
          <w:highlight w:val="none"/>
          <w:vertAlign w:val="subscript"/>
        </w:rPr>
        <w:t>10</w:t>
      </w:r>
      <w:r>
        <w:rPr>
          <w:rFonts w:hint="eastAsia" w:ascii="Times New Roman" w:hAnsi="Times New Roman" w:eastAsia="宋体" w:cs="Times New Roman"/>
          <w:color w:val="auto"/>
          <w:sz w:val="23"/>
          <w:szCs w:val="23"/>
          <w:highlight w:val="none"/>
        </w:rPr>
        <w:t>）年均浓度为67微克/立方米，二氧化硫（SO</w:t>
      </w:r>
      <w:r>
        <w:rPr>
          <w:rFonts w:hint="eastAsia" w:ascii="Times New Roman" w:hAnsi="Times New Roman" w:eastAsia="宋体" w:cs="Times New Roman"/>
          <w:color w:val="auto"/>
          <w:sz w:val="23"/>
          <w:szCs w:val="23"/>
          <w:highlight w:val="none"/>
          <w:vertAlign w:val="subscript"/>
        </w:rPr>
        <w:t>2</w:t>
      </w:r>
      <w:r>
        <w:rPr>
          <w:rFonts w:hint="eastAsia" w:ascii="Times New Roman" w:hAnsi="Times New Roman" w:eastAsia="宋体" w:cs="Times New Roman"/>
          <w:color w:val="auto"/>
          <w:sz w:val="23"/>
          <w:szCs w:val="23"/>
          <w:highlight w:val="none"/>
        </w:rPr>
        <w:t>）年均浓度为8微克/立方米，二氧化氮（NO</w:t>
      </w:r>
      <w:r>
        <w:rPr>
          <w:rFonts w:hint="eastAsia" w:ascii="Times New Roman" w:hAnsi="Times New Roman" w:eastAsia="宋体" w:cs="Times New Roman"/>
          <w:color w:val="auto"/>
          <w:sz w:val="23"/>
          <w:szCs w:val="23"/>
          <w:highlight w:val="none"/>
          <w:vertAlign w:val="subscript"/>
        </w:rPr>
        <w:t>2</w:t>
      </w:r>
      <w:r>
        <w:rPr>
          <w:rFonts w:hint="eastAsia" w:ascii="Times New Roman" w:hAnsi="Times New Roman" w:eastAsia="宋体" w:cs="Times New Roman"/>
          <w:color w:val="auto"/>
          <w:sz w:val="23"/>
          <w:szCs w:val="23"/>
          <w:highlight w:val="none"/>
        </w:rPr>
        <w:t>）年均浓度为32微克/立方米，一氧化碳（CO）日均值第95百分位浓度平均为1.5毫克/立方米，臭氧（O</w:t>
      </w:r>
      <w:r>
        <w:rPr>
          <w:rFonts w:hint="eastAsia" w:ascii="Times New Roman" w:hAnsi="Times New Roman" w:eastAsia="宋体" w:cs="Times New Roman"/>
          <w:color w:val="auto"/>
          <w:sz w:val="23"/>
          <w:szCs w:val="23"/>
          <w:highlight w:val="none"/>
          <w:vertAlign w:val="subscript"/>
        </w:rPr>
        <w:t>3</w:t>
      </w:r>
      <w:r>
        <w:rPr>
          <w:rFonts w:hint="eastAsia" w:ascii="Times New Roman" w:hAnsi="Times New Roman" w:eastAsia="宋体" w:cs="Times New Roman"/>
          <w:color w:val="auto"/>
          <w:sz w:val="23"/>
          <w:szCs w:val="23"/>
          <w:highlight w:val="none"/>
        </w:rPr>
        <w:t>）日最大8小时平均第90百分位浓度平均为182微克/立方米。</w:t>
      </w:r>
      <w:r>
        <w:rPr>
          <w:rFonts w:hint="default" w:ascii="Times New Roman" w:hAnsi="Times New Roman" w:cs="Times New Roman"/>
          <w:color w:val="auto"/>
          <w:sz w:val="23"/>
          <w:szCs w:val="23"/>
          <w:highlight w:val="none"/>
        </w:rPr>
        <w:t>项目所在区域（唐山市）属于非达标区。</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textAlignment w:val="baseline"/>
        <w:rPr>
          <w:rFonts w:hint="default" w:ascii="Times New Roman" w:hAnsi="Times New Roman" w:cs="Times New Roman"/>
          <w:color w:val="auto"/>
          <w:sz w:val="23"/>
          <w:szCs w:val="23"/>
          <w:highlight w:val="none"/>
        </w:rPr>
      </w:pPr>
      <w:r>
        <w:rPr>
          <w:rFonts w:hint="default" w:ascii="Times New Roman" w:hAnsi="Times New Roman" w:cs="Times New Roman"/>
          <w:color w:val="auto"/>
          <w:sz w:val="23"/>
          <w:szCs w:val="23"/>
          <w:highlight w:val="none"/>
        </w:rPr>
        <w:t>根据项目环境空气现状监测结果可知，各监测点位监测期间TSP 24时平均浓度均满足《环境空气质量标准》（GB3095-2012）中二级标准要求。</w:t>
      </w:r>
    </w:p>
    <w:p>
      <w:pPr>
        <w:pStyle w:val="3"/>
        <w:keepLines w:val="0"/>
        <w:widowControl w:val="0"/>
        <w:spacing w:before="0" w:after="0" w:line="480" w:lineRule="exact"/>
        <w:jc w:val="both"/>
        <w:rPr>
          <w:rFonts w:hint="default" w:ascii="Times New Roman" w:hAnsi="Times New Roman" w:cs="Times New Roman"/>
          <w:bCs w:val="0"/>
          <w:kern w:val="2"/>
          <w:sz w:val="23"/>
          <w:szCs w:val="23"/>
          <w:highlight w:val="none"/>
          <w:lang w:val="zh-CN"/>
        </w:rPr>
      </w:pPr>
      <w:r>
        <w:rPr>
          <w:rFonts w:hint="default" w:ascii="Times New Roman" w:hAnsi="Times New Roman" w:cs="Times New Roman"/>
          <w:bCs w:val="0"/>
          <w:kern w:val="2"/>
          <w:sz w:val="23"/>
          <w:szCs w:val="23"/>
          <w:highlight w:val="none"/>
          <w:lang w:val="zh-CN"/>
        </w:rPr>
        <w:t>4.3.1.2大气环境质量现状补充监测</w:t>
      </w:r>
    </w:p>
    <w:p>
      <w:pPr>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本项目对TSP现状补充预测得到以下监测数据：</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bookmarkStart w:id="276" w:name="_Toc18785"/>
      <w:bookmarkStart w:id="277" w:name="_Toc2531"/>
      <w:bookmarkStart w:id="278" w:name="_Toc28994"/>
      <w:r>
        <w:rPr>
          <w:rFonts w:hint="default" w:ascii="Times New Roman" w:hAnsi="Times New Roman" w:cs="Times New Roman"/>
          <w:sz w:val="23"/>
          <w:szCs w:val="23"/>
          <w:highlight w:val="none"/>
        </w:rPr>
        <w:t>1、监测点位置及监测因子</w:t>
      </w:r>
      <w:bookmarkEnd w:id="276"/>
      <w:bookmarkEnd w:id="277"/>
      <w:bookmarkEnd w:id="278"/>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b/>
          <w:bCs/>
          <w:sz w:val="23"/>
          <w:szCs w:val="23"/>
          <w:highlight w:val="none"/>
        </w:rPr>
      </w:pPr>
      <w:r>
        <w:rPr>
          <w:rFonts w:hint="default" w:ascii="Times New Roman" w:hAnsi="Times New Roman" w:cs="Times New Roman"/>
          <w:sz w:val="23"/>
          <w:szCs w:val="23"/>
          <w:highlight w:val="none"/>
        </w:rPr>
        <w:t>根据项目污染源排放特征和所确定的大气环境评价等级，结合项目厂址所在区域的地形特点及当地的气象特征，本次评价选取项目厂区作为监测点，项目采样日期为</w:t>
      </w:r>
      <w:r>
        <w:rPr>
          <w:rFonts w:hint="default" w:ascii="Times New Roman" w:hAnsi="Times New Roman" w:cs="Times New Roman"/>
          <w:kern w:val="2"/>
          <w:sz w:val="23"/>
          <w:szCs w:val="23"/>
          <w:highlight w:val="none"/>
        </w:rPr>
        <w:t>202</w:t>
      </w:r>
      <w:r>
        <w:rPr>
          <w:rFonts w:hint="eastAsia" w:ascii="Times New Roman" w:hAnsi="Times New Roman" w:cs="Times New Roman"/>
          <w:kern w:val="2"/>
          <w:sz w:val="23"/>
          <w:szCs w:val="23"/>
          <w:highlight w:val="none"/>
          <w:lang w:val="en-US" w:eastAsia="zh-CN"/>
        </w:rPr>
        <w:t>3</w:t>
      </w:r>
      <w:r>
        <w:rPr>
          <w:rFonts w:hint="default" w:ascii="Times New Roman" w:hAnsi="Times New Roman" w:cs="Times New Roman"/>
          <w:kern w:val="2"/>
          <w:sz w:val="23"/>
          <w:szCs w:val="23"/>
          <w:highlight w:val="none"/>
        </w:rPr>
        <w:t>年</w:t>
      </w:r>
      <w:r>
        <w:rPr>
          <w:rFonts w:hint="eastAsia" w:ascii="Times New Roman" w:hAnsi="Times New Roman" w:cs="Times New Roman"/>
          <w:kern w:val="2"/>
          <w:sz w:val="23"/>
          <w:szCs w:val="23"/>
          <w:highlight w:val="none"/>
          <w:lang w:val="en-US" w:eastAsia="zh-CN"/>
        </w:rPr>
        <w:t>04</w:t>
      </w:r>
      <w:r>
        <w:rPr>
          <w:rFonts w:hint="default" w:ascii="Times New Roman" w:hAnsi="Times New Roman" w:cs="Times New Roman"/>
          <w:kern w:val="2"/>
          <w:sz w:val="23"/>
          <w:szCs w:val="23"/>
          <w:highlight w:val="none"/>
        </w:rPr>
        <w:t>月</w:t>
      </w:r>
      <w:r>
        <w:rPr>
          <w:rFonts w:hint="eastAsia" w:ascii="Times New Roman" w:hAnsi="Times New Roman" w:cs="Times New Roman"/>
          <w:kern w:val="2"/>
          <w:sz w:val="23"/>
          <w:szCs w:val="23"/>
          <w:highlight w:val="none"/>
          <w:lang w:val="en-US" w:eastAsia="zh-CN"/>
        </w:rPr>
        <w:t>26</w:t>
      </w:r>
      <w:r>
        <w:rPr>
          <w:rFonts w:hint="default" w:ascii="Times New Roman" w:hAnsi="Times New Roman" w:cs="Times New Roman"/>
          <w:kern w:val="2"/>
          <w:sz w:val="23"/>
          <w:szCs w:val="23"/>
          <w:highlight w:val="none"/>
        </w:rPr>
        <w:t>日~0</w:t>
      </w:r>
      <w:r>
        <w:rPr>
          <w:rFonts w:hint="eastAsia" w:ascii="Times New Roman" w:hAnsi="Times New Roman" w:cs="Times New Roman"/>
          <w:kern w:val="2"/>
          <w:sz w:val="23"/>
          <w:szCs w:val="23"/>
          <w:highlight w:val="none"/>
          <w:lang w:val="en-US" w:eastAsia="zh-CN"/>
        </w:rPr>
        <w:t>5</w:t>
      </w:r>
      <w:r>
        <w:rPr>
          <w:rFonts w:hint="default" w:ascii="Times New Roman" w:hAnsi="Times New Roman" w:cs="Times New Roman"/>
          <w:kern w:val="2"/>
          <w:sz w:val="23"/>
          <w:szCs w:val="23"/>
          <w:highlight w:val="none"/>
        </w:rPr>
        <w:t>月</w:t>
      </w:r>
      <w:r>
        <w:rPr>
          <w:rFonts w:hint="eastAsia" w:ascii="Times New Roman" w:hAnsi="Times New Roman" w:cs="Times New Roman"/>
          <w:kern w:val="2"/>
          <w:sz w:val="23"/>
          <w:szCs w:val="23"/>
          <w:highlight w:val="none"/>
          <w:lang w:val="en-US" w:eastAsia="zh-CN"/>
        </w:rPr>
        <w:t>2</w:t>
      </w:r>
      <w:r>
        <w:rPr>
          <w:rFonts w:hint="default" w:ascii="Times New Roman" w:hAnsi="Times New Roman" w:cs="Times New Roman"/>
          <w:kern w:val="2"/>
          <w:sz w:val="23"/>
          <w:szCs w:val="23"/>
          <w:highlight w:val="none"/>
        </w:rPr>
        <w:t>日</w:t>
      </w:r>
      <w:r>
        <w:rPr>
          <w:rFonts w:hint="default" w:ascii="Times New Roman" w:hAnsi="Times New Roman" w:cs="Times New Roman"/>
          <w:sz w:val="23"/>
          <w:szCs w:val="23"/>
          <w:highlight w:val="none"/>
        </w:rPr>
        <w:t>，项目监测因子及相对厂址位置见表4.3-</w:t>
      </w:r>
      <w:r>
        <w:rPr>
          <w:rFonts w:hint="eastAsia" w:ascii="Times New Roman" w:hAnsi="Times New Roman" w:eastAsia="宋体" w:cs="Times New Roman"/>
          <w:sz w:val="23"/>
          <w:szCs w:val="23"/>
          <w:highlight w:val="none"/>
          <w:lang w:val="en-US" w:eastAsia="zh-CN"/>
        </w:rPr>
        <w:t>1</w:t>
      </w:r>
      <w:r>
        <w:rPr>
          <w:rFonts w:hint="default" w:ascii="Times New Roman" w:hAnsi="Times New Roman" w:cs="Times New Roman"/>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b/>
          <w:bCs/>
          <w:highlight w:val="none"/>
        </w:rPr>
      </w:pPr>
      <w:r>
        <w:rPr>
          <w:rFonts w:hint="default" w:ascii="Times New Roman" w:hAnsi="Times New Roman" w:cs="Times New Roman"/>
          <w:b/>
          <w:bCs/>
          <w:highlight w:val="none"/>
        </w:rPr>
        <w:t>表4.3-</w:t>
      </w:r>
      <w:r>
        <w:rPr>
          <w:rFonts w:hint="eastAsia" w:ascii="Times New Roman" w:hAnsi="Times New Roman" w:eastAsia="宋体" w:cs="Times New Roman"/>
          <w:b/>
          <w:bCs/>
          <w:highlight w:val="none"/>
          <w:lang w:val="en-US" w:eastAsia="zh-CN"/>
        </w:rPr>
        <w:t>1</w:t>
      </w:r>
      <w:r>
        <w:rPr>
          <w:rFonts w:hint="default" w:ascii="Times New Roman" w:hAnsi="Times New Roman" w:cs="Times New Roman"/>
          <w:b/>
          <w:bCs/>
          <w:highlight w:val="none"/>
        </w:rPr>
        <w:t xml:space="preserve">  环境空气现状监测点及监测因子一览表</w:t>
      </w:r>
    </w:p>
    <w:tbl>
      <w:tblPr>
        <w:tblStyle w:val="15"/>
        <w:tblW w:w="8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515"/>
        <w:gridCol w:w="1968"/>
        <w:gridCol w:w="1843"/>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r>
              <w:rPr>
                <w:rFonts w:hint="default" w:ascii="Times New Roman" w:hAnsi="Times New Roman" w:cs="Times New Roman"/>
                <w:highlight w:val="none"/>
              </w:rPr>
              <w:t>序号</w:t>
            </w:r>
          </w:p>
        </w:tc>
        <w:tc>
          <w:tcPr>
            <w:tcW w:w="1515"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r>
              <w:rPr>
                <w:rFonts w:hint="default" w:ascii="Times New Roman" w:hAnsi="Times New Roman" w:cs="Times New Roman"/>
                <w:highlight w:val="none"/>
              </w:rPr>
              <w:t>监测点名称</w:t>
            </w:r>
          </w:p>
        </w:tc>
        <w:tc>
          <w:tcPr>
            <w:tcW w:w="1968"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r>
              <w:rPr>
                <w:rFonts w:hint="default" w:ascii="Times New Roman" w:hAnsi="Times New Roman" w:cs="Times New Roman"/>
                <w:highlight w:val="none"/>
              </w:rPr>
              <w:t>相对于项目方位</w:t>
            </w:r>
          </w:p>
        </w:tc>
        <w:tc>
          <w:tcPr>
            <w:tcW w:w="1843"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r>
              <w:rPr>
                <w:rFonts w:hint="default" w:ascii="Times New Roman" w:hAnsi="Times New Roman" w:cs="Times New Roman"/>
                <w:highlight w:val="none"/>
              </w:rPr>
              <w:t>距本项目距离</w:t>
            </w:r>
          </w:p>
        </w:tc>
        <w:tc>
          <w:tcPr>
            <w:tcW w:w="241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r>
              <w:rPr>
                <w:rFonts w:hint="default" w:ascii="Times New Roman" w:hAnsi="Times New Roman" w:cs="Times New Roman"/>
                <w:highlight w:val="none"/>
              </w:rPr>
              <w:t>方案及监测因子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p>
        </w:tc>
        <w:tc>
          <w:tcPr>
            <w:tcW w:w="1515"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p>
        </w:tc>
        <w:tc>
          <w:tcPr>
            <w:tcW w:w="1968"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p>
        </w:tc>
        <w:tc>
          <w:tcPr>
            <w:tcW w:w="1843"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p>
        </w:tc>
        <w:tc>
          <w:tcPr>
            <w:tcW w:w="241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r>
              <w:rPr>
                <w:rFonts w:hint="default" w:ascii="Times New Roman" w:hAnsi="Times New Roman" w:cs="Times New Roman"/>
                <w:highlight w:val="none"/>
              </w:rPr>
              <w:t>24小时平均浓度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r>
              <w:rPr>
                <w:rFonts w:hint="default" w:ascii="Times New Roman" w:hAnsi="Times New Roman" w:cs="Times New Roman"/>
                <w:highlight w:val="none"/>
              </w:rPr>
              <w:t>1</w:t>
            </w:r>
          </w:p>
        </w:tc>
        <w:tc>
          <w:tcPr>
            <w:tcW w:w="151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r>
              <w:rPr>
                <w:rFonts w:hint="default" w:ascii="Times New Roman" w:hAnsi="Times New Roman" w:cs="Times New Roman"/>
                <w:highlight w:val="none"/>
              </w:rPr>
              <w:t>项目厂区</w:t>
            </w:r>
          </w:p>
        </w:tc>
        <w:tc>
          <w:tcPr>
            <w:tcW w:w="196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r>
              <w:rPr>
                <w:rFonts w:hint="default" w:ascii="Times New Roman" w:hAnsi="Times New Roman" w:cs="Times New Roman"/>
                <w:highlight w:val="none"/>
              </w:rPr>
              <w:t>/</w:t>
            </w:r>
          </w:p>
        </w:tc>
        <w:tc>
          <w:tcPr>
            <w:tcW w:w="184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r>
              <w:rPr>
                <w:rFonts w:hint="default" w:ascii="Times New Roman" w:hAnsi="Times New Roman" w:cs="Times New Roman"/>
                <w:highlight w:val="none"/>
              </w:rPr>
              <w:t>/</w:t>
            </w:r>
          </w:p>
        </w:tc>
        <w:tc>
          <w:tcPr>
            <w:tcW w:w="241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highlight w:val="none"/>
              </w:rPr>
            </w:pPr>
            <w:r>
              <w:rPr>
                <w:rFonts w:hint="default" w:ascii="Times New Roman" w:hAnsi="Times New Roman" w:cs="Times New Roman"/>
                <w:highlight w:val="none"/>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eastAsia"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2</w:t>
            </w:r>
          </w:p>
        </w:tc>
        <w:tc>
          <w:tcPr>
            <w:tcW w:w="1515"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eastAsia="宋体" w:cs="Times New Roman"/>
                <w:highlight w:val="none"/>
              </w:rPr>
            </w:pPr>
            <w:r>
              <w:rPr>
                <w:rFonts w:hint="eastAsia" w:ascii="Times New Roman" w:hAnsi="Times New Roman" w:eastAsia="宋体" w:cs="Times New Roman"/>
                <w:highlight w:val="none"/>
                <w:lang w:val="en-US" w:eastAsia="zh-CN"/>
              </w:rPr>
              <w:t>皮各庄村</w:t>
            </w:r>
          </w:p>
        </w:tc>
        <w:tc>
          <w:tcPr>
            <w:tcW w:w="1968"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eastAsia="宋体" w:cs="Times New Roman"/>
                <w:highlight w:val="none"/>
              </w:rPr>
            </w:pPr>
            <w:r>
              <w:rPr>
                <w:rFonts w:hint="eastAsia" w:ascii="Times New Roman" w:hAnsi="Times New Roman" w:eastAsia="宋体" w:cs="Times New Roman"/>
                <w:highlight w:val="none"/>
                <w:lang w:val="en-US" w:eastAsia="zh-CN"/>
              </w:rPr>
              <w:t>S</w:t>
            </w:r>
          </w:p>
        </w:tc>
        <w:tc>
          <w:tcPr>
            <w:tcW w:w="184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eastAsia="宋体" w:cs="Times New Roman"/>
                <w:highlight w:val="none"/>
              </w:rPr>
            </w:pPr>
            <w:r>
              <w:rPr>
                <w:rFonts w:hint="eastAsia" w:ascii="Times New Roman" w:hAnsi="Times New Roman" w:eastAsia="宋体" w:cs="Times New Roman"/>
                <w:highlight w:val="none"/>
                <w:lang w:val="en-US" w:eastAsia="zh-CN"/>
              </w:rPr>
              <w:t>156m</w:t>
            </w:r>
          </w:p>
        </w:tc>
        <w:tc>
          <w:tcPr>
            <w:tcW w:w="241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eastAsia="宋体" w:cs="Times New Roman"/>
                <w:highlight w:val="none"/>
              </w:rPr>
            </w:pPr>
            <w:r>
              <w:rPr>
                <w:rFonts w:hint="default" w:ascii="Times New Roman" w:hAnsi="Times New Roman" w:cs="Times New Roman"/>
                <w:highlight w:val="none"/>
              </w:rPr>
              <w:t>TSP</w:t>
            </w:r>
          </w:p>
        </w:tc>
      </w:tr>
    </w:tbl>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监测期间同步观测气温、湿度、气压、风向、风速、总云量、低云量等气象资料（24小时数据）。</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bookmarkStart w:id="279" w:name="_Toc4346"/>
      <w:bookmarkStart w:id="280" w:name="_Toc11894"/>
      <w:bookmarkStart w:id="281" w:name="_Toc22106"/>
      <w:r>
        <w:rPr>
          <w:rFonts w:hint="default" w:ascii="Times New Roman" w:hAnsi="Times New Roman" w:cs="Times New Roman"/>
          <w:sz w:val="23"/>
          <w:szCs w:val="23"/>
          <w:highlight w:val="none"/>
        </w:rPr>
        <w:t>2、监测周期及频率</w:t>
      </w:r>
      <w:bookmarkEnd w:id="279"/>
      <w:bookmarkEnd w:id="280"/>
      <w:bookmarkEnd w:id="281"/>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TSP的24小时平均浓度，每天连续采样24小时。</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bookmarkStart w:id="282" w:name="_Toc21681"/>
      <w:bookmarkStart w:id="283" w:name="_Toc13253"/>
      <w:bookmarkStart w:id="284" w:name="_Toc18500"/>
      <w:r>
        <w:rPr>
          <w:rFonts w:hint="default" w:ascii="Times New Roman" w:hAnsi="Times New Roman" w:cs="Times New Roman"/>
          <w:sz w:val="23"/>
          <w:szCs w:val="23"/>
          <w:highlight w:val="none"/>
        </w:rPr>
        <w:t>3、测定方法</w:t>
      </w:r>
      <w:bookmarkEnd w:id="282"/>
      <w:bookmarkEnd w:id="283"/>
      <w:bookmarkEnd w:id="284"/>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采样方法按《环境监测技术规范》（大气部分）进行，监测方法按《环境空气质量标准》（GB3095-2012）、《空气和废气监测分析方法》中有关规定进行。</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bookmarkStart w:id="285" w:name="_Toc17830"/>
      <w:bookmarkStart w:id="286" w:name="_Toc3283"/>
      <w:bookmarkStart w:id="287" w:name="_Toc17289"/>
      <w:r>
        <w:rPr>
          <w:rFonts w:hint="default" w:ascii="Times New Roman" w:hAnsi="Times New Roman" w:cs="Times New Roman"/>
          <w:sz w:val="23"/>
          <w:szCs w:val="23"/>
          <w:highlight w:val="none"/>
        </w:rPr>
        <w:t>4、评价标准</w:t>
      </w:r>
      <w:bookmarkEnd w:id="285"/>
      <w:bookmarkEnd w:id="286"/>
      <w:bookmarkEnd w:id="287"/>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常规因子采用《环境空气质量标准》（GB3095-2012）中的二级标准。</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bookmarkStart w:id="288" w:name="_Toc10564"/>
      <w:bookmarkStart w:id="289" w:name="_Toc216"/>
      <w:bookmarkStart w:id="290" w:name="_Toc29389"/>
      <w:r>
        <w:rPr>
          <w:rFonts w:hint="default" w:ascii="Times New Roman" w:hAnsi="Times New Roman" w:cs="Times New Roman"/>
          <w:sz w:val="23"/>
          <w:szCs w:val="23"/>
          <w:highlight w:val="none"/>
        </w:rPr>
        <w:t>5、评价方法</w:t>
      </w:r>
      <w:bookmarkEnd w:id="288"/>
      <w:bookmarkEnd w:id="289"/>
      <w:bookmarkEnd w:id="290"/>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评价方法采用单项标准指数法，评价模式如下：</w:t>
      </w:r>
    </w:p>
    <w:p>
      <w:pPr>
        <w:keepNext w:val="0"/>
        <w:keepLines w:val="0"/>
        <w:pageBreakBefore w:val="0"/>
        <w:widowControl/>
        <w:kinsoku w:val="0"/>
        <w:wordWrap/>
        <w:overflowPunct/>
        <w:topLinePunct w:val="0"/>
        <w:autoSpaceDE w:val="0"/>
        <w:autoSpaceDN w:val="0"/>
        <w:bidi w:val="0"/>
        <w:adjustRightInd w:val="0"/>
        <w:snapToGrid w:val="0"/>
        <w:spacing w:line="480" w:lineRule="exact"/>
        <w:jc w:val="center"/>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Pi＝Ci/C0i</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式中：Pi—i污染物标准指数；</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1150" w:firstLineChars="5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Ci—i污染物实测浓度，mg/m</w:t>
      </w:r>
      <w:r>
        <w:rPr>
          <w:rFonts w:hint="default" w:ascii="Times New Roman" w:hAnsi="Times New Roman" w:cs="Times New Roman"/>
          <w:sz w:val="23"/>
          <w:szCs w:val="23"/>
          <w:highlight w:val="none"/>
          <w:vertAlign w:val="superscript"/>
        </w:rPr>
        <w:t>3</w:t>
      </w:r>
      <w:r>
        <w:rPr>
          <w:rFonts w:hint="default" w:ascii="Times New Roman" w:hAnsi="Times New Roman" w:cs="Times New Roman"/>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1150" w:firstLineChars="5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C0i—i污染物评价标准值，mg/m</w:t>
      </w:r>
      <w:r>
        <w:rPr>
          <w:rFonts w:hint="default" w:ascii="Times New Roman" w:hAnsi="Times New Roman" w:cs="Times New Roman"/>
          <w:sz w:val="23"/>
          <w:szCs w:val="23"/>
          <w:highlight w:val="none"/>
          <w:vertAlign w:val="superscript"/>
        </w:rPr>
        <w:t>3</w:t>
      </w:r>
      <w:r>
        <w:rPr>
          <w:rFonts w:hint="default" w:ascii="Times New Roman" w:hAnsi="Times New Roman" w:cs="Times New Roman"/>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bookmarkStart w:id="291" w:name="_Toc24576"/>
      <w:bookmarkStart w:id="292" w:name="_Toc11173"/>
      <w:bookmarkStart w:id="293" w:name="_Toc3360"/>
      <w:r>
        <w:rPr>
          <w:rFonts w:hint="default" w:ascii="Times New Roman" w:hAnsi="Times New Roman" w:cs="Times New Roman"/>
          <w:sz w:val="23"/>
          <w:szCs w:val="23"/>
          <w:highlight w:val="none"/>
        </w:rPr>
        <w:t>6、评价结果</w:t>
      </w:r>
      <w:bookmarkEnd w:id="291"/>
      <w:bookmarkEnd w:id="292"/>
      <w:bookmarkEnd w:id="293"/>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监测点环境空气现状监测浓度评价结果见表4.3-</w:t>
      </w:r>
      <w:r>
        <w:rPr>
          <w:rFonts w:hint="eastAsia" w:ascii="Times New Roman" w:hAnsi="Times New Roman" w:eastAsia="宋体" w:cs="Times New Roman"/>
          <w:sz w:val="23"/>
          <w:szCs w:val="23"/>
          <w:highlight w:val="none"/>
          <w:lang w:val="en-US" w:eastAsia="zh-CN"/>
        </w:rPr>
        <w:t>2</w:t>
      </w:r>
      <w:r>
        <w:rPr>
          <w:rFonts w:hint="default" w:ascii="Times New Roman" w:hAnsi="Times New Roman" w:cs="Times New Roman"/>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b/>
          <w:bCs/>
          <w:highlight w:val="none"/>
        </w:rPr>
      </w:pPr>
      <w:r>
        <w:rPr>
          <w:rFonts w:hint="default" w:ascii="Times New Roman" w:hAnsi="Times New Roman" w:cs="Times New Roman"/>
          <w:b/>
          <w:bCs/>
          <w:highlight w:val="none"/>
        </w:rPr>
        <w:t>表4.3-</w:t>
      </w:r>
      <w:r>
        <w:rPr>
          <w:rFonts w:hint="eastAsia" w:ascii="Times New Roman" w:hAnsi="Times New Roman" w:eastAsia="宋体" w:cs="Times New Roman"/>
          <w:b/>
          <w:bCs/>
          <w:highlight w:val="none"/>
          <w:lang w:val="en-US" w:eastAsia="zh-CN"/>
        </w:rPr>
        <w:t>2</w:t>
      </w:r>
      <w:r>
        <w:rPr>
          <w:rFonts w:hint="default" w:ascii="Times New Roman" w:hAnsi="Times New Roman" w:cs="Times New Roman"/>
          <w:b/>
          <w:bCs/>
          <w:highlight w:val="none"/>
        </w:rPr>
        <w:t xml:space="preserve">  环境空气现状监测值评价结果一览表  单位：μg/m</w:t>
      </w:r>
      <w:r>
        <w:rPr>
          <w:rFonts w:hint="default" w:ascii="Times New Roman" w:hAnsi="Times New Roman" w:cs="Times New Roman"/>
          <w:b/>
          <w:bCs/>
          <w:highlight w:val="none"/>
          <w:vertAlign w:val="superscript"/>
        </w:rPr>
        <w:t>3</w:t>
      </w:r>
    </w:p>
    <w:tbl>
      <w:tblPr>
        <w:tblStyle w:val="15"/>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371"/>
        <w:gridCol w:w="1431"/>
        <w:gridCol w:w="1322"/>
        <w:gridCol w:w="1073"/>
        <w:gridCol w:w="1529"/>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9"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污染物名称</w:t>
            </w:r>
          </w:p>
        </w:tc>
        <w:tc>
          <w:tcPr>
            <w:tcW w:w="137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监测点名称</w:t>
            </w:r>
          </w:p>
        </w:tc>
        <w:tc>
          <w:tcPr>
            <w:tcW w:w="143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类别</w:t>
            </w:r>
          </w:p>
        </w:tc>
        <w:tc>
          <w:tcPr>
            <w:tcW w:w="1322"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监测值</w:t>
            </w:r>
          </w:p>
        </w:tc>
        <w:tc>
          <w:tcPr>
            <w:tcW w:w="107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标准值</w:t>
            </w:r>
          </w:p>
        </w:tc>
        <w:tc>
          <w:tcPr>
            <w:tcW w:w="1529"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标准指数</w:t>
            </w:r>
          </w:p>
        </w:tc>
        <w:tc>
          <w:tcPr>
            <w:tcW w:w="844"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9"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TSP</w:t>
            </w:r>
          </w:p>
        </w:tc>
        <w:tc>
          <w:tcPr>
            <w:tcW w:w="137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项目厂区</w:t>
            </w:r>
          </w:p>
        </w:tc>
        <w:tc>
          <w:tcPr>
            <w:tcW w:w="143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24小时平均</w:t>
            </w:r>
          </w:p>
        </w:tc>
        <w:tc>
          <w:tcPr>
            <w:tcW w:w="1322"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eastAsia="宋体" w:cs="Times New Roman"/>
                <w:kern w:val="2"/>
                <w:sz w:val="21"/>
                <w:szCs w:val="21"/>
                <w:highlight w:val="none"/>
                <w:lang w:val="en-US" w:eastAsia="zh-CN"/>
              </w:rPr>
            </w:pPr>
            <w:r>
              <w:rPr>
                <w:rFonts w:hint="eastAsia" w:ascii="Times New Roman" w:hAnsi="Times New Roman" w:cs="Times New Roman"/>
                <w:sz w:val="21"/>
                <w:szCs w:val="21"/>
                <w:highlight w:val="none"/>
                <w:lang w:val="en-US" w:eastAsia="zh-CN"/>
              </w:rPr>
              <w:t>94</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116</w:t>
            </w:r>
          </w:p>
        </w:tc>
        <w:tc>
          <w:tcPr>
            <w:tcW w:w="107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kern w:val="2"/>
                <w:sz w:val="21"/>
                <w:szCs w:val="21"/>
                <w:highlight w:val="none"/>
              </w:rPr>
            </w:pPr>
            <w:r>
              <w:rPr>
                <w:rFonts w:hint="default" w:ascii="Times New Roman" w:hAnsi="Times New Roman" w:cs="Times New Roman"/>
                <w:sz w:val="21"/>
                <w:szCs w:val="21"/>
                <w:highlight w:val="none"/>
              </w:rPr>
              <w:t>300</w:t>
            </w:r>
          </w:p>
        </w:tc>
        <w:tc>
          <w:tcPr>
            <w:tcW w:w="1529"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eastAsia="宋体" w:cs="Times New Roman"/>
                <w:kern w:val="2"/>
                <w:sz w:val="21"/>
                <w:szCs w:val="21"/>
                <w:highlight w:val="none"/>
                <w:lang w:val="en-US" w:eastAsia="zh-CN"/>
              </w:rPr>
            </w:pPr>
            <w:r>
              <w:rPr>
                <w:rFonts w:hint="default" w:ascii="Times New Roman" w:hAnsi="Times New Roman" w:cs="Times New Roman"/>
                <w:sz w:val="21"/>
                <w:szCs w:val="21"/>
                <w:highlight w:val="none"/>
              </w:rPr>
              <w:t>0.</w:t>
            </w:r>
            <w:r>
              <w:rPr>
                <w:rFonts w:hint="eastAsia" w:ascii="Times New Roman" w:hAnsi="Times New Roman" w:cs="Times New Roman"/>
                <w:sz w:val="21"/>
                <w:szCs w:val="21"/>
                <w:highlight w:val="none"/>
                <w:lang w:val="en-US" w:eastAsia="zh-CN"/>
              </w:rPr>
              <w:t>32</w:t>
            </w:r>
            <w:r>
              <w:rPr>
                <w:rFonts w:hint="default" w:ascii="Times New Roman" w:hAnsi="Times New Roman" w:cs="Times New Roman"/>
                <w:sz w:val="21"/>
                <w:szCs w:val="21"/>
                <w:highlight w:val="none"/>
              </w:rPr>
              <w:t>～0.</w:t>
            </w:r>
            <w:r>
              <w:rPr>
                <w:rFonts w:hint="eastAsia" w:ascii="Times New Roman" w:hAnsi="Times New Roman" w:cs="Times New Roman"/>
                <w:sz w:val="21"/>
                <w:szCs w:val="21"/>
                <w:highlight w:val="none"/>
                <w:lang w:val="en-US" w:eastAsia="zh-CN"/>
              </w:rPr>
              <w:t>39</w:t>
            </w:r>
          </w:p>
        </w:tc>
        <w:tc>
          <w:tcPr>
            <w:tcW w:w="844"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9" w:type="dxa"/>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p>
        </w:tc>
        <w:tc>
          <w:tcPr>
            <w:tcW w:w="137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皮各庄村</w:t>
            </w:r>
          </w:p>
        </w:tc>
        <w:tc>
          <w:tcPr>
            <w:tcW w:w="1431"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24小时平均</w:t>
            </w:r>
          </w:p>
        </w:tc>
        <w:tc>
          <w:tcPr>
            <w:tcW w:w="1322"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93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110</w:t>
            </w:r>
          </w:p>
        </w:tc>
        <w:tc>
          <w:tcPr>
            <w:tcW w:w="1073"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300</w:t>
            </w:r>
          </w:p>
        </w:tc>
        <w:tc>
          <w:tcPr>
            <w:tcW w:w="1529"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rPr>
              <w:t>0.</w:t>
            </w:r>
            <w:r>
              <w:rPr>
                <w:rFonts w:hint="eastAsia" w:ascii="Times New Roman" w:hAnsi="Times New Roman" w:cs="Times New Roman"/>
                <w:sz w:val="21"/>
                <w:szCs w:val="21"/>
                <w:highlight w:val="none"/>
                <w:lang w:val="en-US" w:eastAsia="zh-CN"/>
              </w:rPr>
              <w:t>31</w:t>
            </w:r>
            <w:r>
              <w:rPr>
                <w:rFonts w:hint="default" w:ascii="Times New Roman" w:hAnsi="Times New Roman" w:cs="Times New Roman"/>
                <w:sz w:val="21"/>
                <w:szCs w:val="21"/>
                <w:highlight w:val="none"/>
              </w:rPr>
              <w:t>～0.</w:t>
            </w:r>
            <w:r>
              <w:rPr>
                <w:rFonts w:hint="eastAsia" w:ascii="Times New Roman" w:hAnsi="Times New Roman" w:eastAsia="宋体" w:cs="Times New Roman"/>
                <w:sz w:val="21"/>
                <w:szCs w:val="21"/>
                <w:highlight w:val="none"/>
                <w:lang w:val="en-US" w:eastAsia="zh-CN"/>
              </w:rPr>
              <w:t>37</w:t>
            </w:r>
          </w:p>
        </w:tc>
        <w:tc>
          <w:tcPr>
            <w:tcW w:w="844"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9"/>
              <w:rPr>
                <w:rFonts w:hint="default" w:ascii="Times New Roman" w:hAnsi="Times New Roman" w:cs="Times New Roman"/>
                <w:sz w:val="21"/>
                <w:szCs w:val="21"/>
                <w:highlight w:val="none"/>
                <w:lang w:val="en-US" w:eastAsia="zh-CN" w:bidi="ar-SA"/>
              </w:rPr>
            </w:pPr>
            <w:r>
              <w:rPr>
                <w:rFonts w:hint="default" w:ascii="Times New Roman" w:hAnsi="Times New Roman" w:cs="Times New Roman"/>
                <w:sz w:val="21"/>
                <w:szCs w:val="21"/>
                <w:highlight w:val="none"/>
              </w:rPr>
              <w:t>达标</w:t>
            </w:r>
          </w:p>
        </w:tc>
      </w:tr>
    </w:tbl>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由上表分析可知，监测期间监测点TSP的24小时平均浓度标准指数为0.</w:t>
      </w:r>
      <w:r>
        <w:rPr>
          <w:rFonts w:hint="eastAsia" w:ascii="Times New Roman" w:hAnsi="Times New Roman" w:cs="Times New Roman"/>
          <w:sz w:val="23"/>
          <w:szCs w:val="23"/>
          <w:highlight w:val="none"/>
          <w:lang w:val="en-US" w:eastAsia="zh-CN"/>
        </w:rPr>
        <w:t>31</w:t>
      </w:r>
      <w:r>
        <w:rPr>
          <w:rFonts w:hint="default" w:ascii="Times New Roman" w:hAnsi="Times New Roman" w:cs="Times New Roman"/>
          <w:sz w:val="23"/>
          <w:szCs w:val="23"/>
          <w:highlight w:val="none"/>
        </w:rPr>
        <w:t>～0.</w:t>
      </w:r>
      <w:r>
        <w:rPr>
          <w:rFonts w:hint="eastAsia" w:ascii="Times New Roman" w:hAnsi="Times New Roman" w:eastAsia="宋体" w:cs="Times New Roman"/>
          <w:sz w:val="23"/>
          <w:szCs w:val="23"/>
          <w:highlight w:val="none"/>
          <w:lang w:val="en-US" w:eastAsia="zh-CN"/>
        </w:rPr>
        <w:t>39</w:t>
      </w:r>
      <w:r>
        <w:rPr>
          <w:rFonts w:hint="default" w:ascii="Times New Roman" w:hAnsi="Times New Roman" w:cs="Times New Roman"/>
          <w:sz w:val="23"/>
          <w:szCs w:val="23"/>
          <w:highlight w:val="none"/>
        </w:rPr>
        <w:t>，监测期间评价区域内TSP监测浓度满足《环境空气质量标准》（GB3095-2012）中的二级标准。</w:t>
      </w:r>
    </w:p>
    <w:p>
      <w:pPr>
        <w:spacing w:before="160" w:line="227" w:lineRule="auto"/>
        <w:ind w:left="49"/>
        <w:outlineLvl w:val="1"/>
        <w:rPr>
          <w:rFonts w:hint="default" w:ascii="Times New Roman" w:hAnsi="Times New Roman" w:eastAsia="宋体" w:cs="Times New Roman"/>
          <w:sz w:val="23"/>
          <w:szCs w:val="23"/>
          <w:highlight w:val="none"/>
        </w:rPr>
      </w:pPr>
      <w:bookmarkStart w:id="294" w:name="_Toc27332"/>
      <w:bookmarkStart w:id="295" w:name="_Toc14925"/>
      <w:bookmarkStart w:id="296" w:name="_Toc20474"/>
      <w:r>
        <w:rPr>
          <w:rFonts w:hint="default" w:ascii="Times New Roman" w:hAnsi="Times New Roman" w:eastAsia="Times New Roman" w:cs="Times New Roman"/>
          <w:b/>
          <w:bCs/>
          <w:spacing w:val="10"/>
          <w:sz w:val="23"/>
          <w:szCs w:val="23"/>
          <w:highlight w:val="none"/>
        </w:rPr>
        <w:t>4</w:t>
      </w:r>
      <w:r>
        <w:rPr>
          <w:rFonts w:hint="default" w:ascii="Times New Roman" w:hAnsi="Times New Roman" w:eastAsia="Times New Roman" w:cs="Times New Roman"/>
          <w:b/>
          <w:bCs/>
          <w:spacing w:val="8"/>
          <w:sz w:val="23"/>
          <w:szCs w:val="23"/>
          <w:highlight w:val="none"/>
        </w:rPr>
        <w:t>.3.2</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地下水环境质量现状监测与评价</w:t>
      </w:r>
      <w:bookmarkEnd w:id="294"/>
      <w:bookmarkEnd w:id="295"/>
      <w:bookmarkEnd w:id="296"/>
    </w:p>
    <w:p>
      <w:pPr>
        <w:keepNext w:val="0"/>
        <w:keepLines w:val="0"/>
        <w:pageBreakBefore w:val="0"/>
        <w:widowControl/>
        <w:kinsoku w:val="0"/>
        <w:wordWrap/>
        <w:overflowPunct/>
        <w:topLinePunct w:val="0"/>
        <w:autoSpaceDE w:val="0"/>
        <w:autoSpaceDN w:val="0"/>
        <w:bidi w:val="0"/>
        <w:adjustRightInd w:val="0"/>
        <w:snapToGrid w:val="0"/>
        <w:spacing w:line="460" w:lineRule="exact"/>
        <w:ind w:left="126"/>
        <w:textAlignment w:val="baseline"/>
        <w:outlineLvl w:val="2"/>
        <w:rPr>
          <w:rFonts w:hint="default" w:ascii="Times New Roman" w:hAnsi="Times New Roman" w:eastAsia="宋体" w:cs="Times New Roman"/>
          <w:sz w:val="23"/>
          <w:szCs w:val="23"/>
          <w:highlight w:val="none"/>
        </w:rPr>
      </w:pPr>
      <w:bookmarkStart w:id="297" w:name="_Toc12502"/>
      <w:bookmarkStart w:id="298" w:name="_Toc8105"/>
      <w:bookmarkStart w:id="299" w:name="_Toc23429"/>
      <w:r>
        <w:rPr>
          <w:rFonts w:hint="default" w:ascii="Times New Roman" w:hAnsi="Times New Roman" w:eastAsia="Times New Roman" w:cs="Times New Roman"/>
          <w:spacing w:val="12"/>
          <w:sz w:val="23"/>
          <w:szCs w:val="23"/>
          <w:highlight w:val="none"/>
        </w:rPr>
        <w:t>4</w:t>
      </w:r>
      <w:r>
        <w:rPr>
          <w:rFonts w:hint="default" w:ascii="Times New Roman" w:hAnsi="Times New Roman" w:eastAsia="Times New Roman" w:cs="Times New Roman"/>
          <w:spacing w:val="10"/>
          <w:sz w:val="23"/>
          <w:szCs w:val="23"/>
          <w:highlight w:val="none"/>
        </w:rPr>
        <w:t>.</w:t>
      </w:r>
      <w:r>
        <w:rPr>
          <w:rFonts w:hint="default" w:ascii="Times New Roman" w:hAnsi="Times New Roman" w:eastAsia="Times New Roman" w:cs="Times New Roman"/>
          <w:spacing w:val="6"/>
          <w:sz w:val="23"/>
          <w:szCs w:val="23"/>
          <w:highlight w:val="none"/>
        </w:rPr>
        <w:t xml:space="preserve">3.2.1  </w:t>
      </w:r>
      <w:r>
        <w:rPr>
          <w:rFonts w:hint="default" w:ascii="Times New Roman" w:hAnsi="Times New Roman" w:eastAsia="宋体" w:cs="Times New Roman"/>
          <w:spacing w:val="6"/>
          <w:sz w:val="23"/>
          <w:szCs w:val="23"/>
          <w:highlight w:val="none"/>
        </w:rPr>
        <w:t>监测布点及监测因子</w:t>
      </w:r>
      <w:bookmarkEnd w:id="297"/>
      <w:bookmarkEnd w:id="298"/>
      <w:bookmarkEnd w:id="299"/>
    </w:p>
    <w:p>
      <w:pPr>
        <w:keepNext w:val="0"/>
        <w:keepLines w:val="0"/>
        <w:pageBreakBefore w:val="0"/>
        <w:widowControl/>
        <w:kinsoku w:val="0"/>
        <w:wordWrap/>
        <w:overflowPunct/>
        <w:topLinePunct w:val="0"/>
        <w:autoSpaceDE w:val="0"/>
        <w:autoSpaceDN w:val="0"/>
        <w:bidi w:val="0"/>
        <w:adjustRightInd w:val="0"/>
        <w:snapToGrid w:val="0"/>
        <w:spacing w:line="460" w:lineRule="exact"/>
        <w:ind w:left="0" w:firstLine="540" w:firstLineChars="200"/>
        <w:textAlignment w:val="baseline"/>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20"/>
          <w:sz w:val="23"/>
          <w:szCs w:val="23"/>
          <w:highlight w:val="none"/>
          <w:lang w:eastAsia="zh-CN"/>
        </w:rPr>
        <w:t>（</w:t>
      </w:r>
      <w:r>
        <w:rPr>
          <w:rFonts w:hint="eastAsia" w:ascii="Times New Roman" w:hAnsi="Times New Roman" w:eastAsia="宋体" w:cs="Times New Roman"/>
          <w:spacing w:val="20"/>
          <w:sz w:val="23"/>
          <w:szCs w:val="23"/>
          <w:highlight w:val="none"/>
          <w:lang w:val="en-US" w:eastAsia="zh-CN"/>
        </w:rPr>
        <w:t>1</w:t>
      </w:r>
      <w:r>
        <w:rPr>
          <w:rFonts w:hint="eastAsia" w:ascii="Times New Roman" w:hAnsi="Times New Roman" w:eastAsia="宋体" w:cs="Times New Roman"/>
          <w:spacing w:val="20"/>
          <w:sz w:val="23"/>
          <w:szCs w:val="23"/>
          <w:highlight w:val="none"/>
          <w:lang w:eastAsia="zh-CN"/>
        </w:rPr>
        <w:t>）</w:t>
      </w:r>
      <w:r>
        <w:rPr>
          <w:rFonts w:hint="default" w:ascii="Times New Roman" w:hAnsi="Times New Roman" w:eastAsia="宋体" w:cs="Times New Roman"/>
          <w:spacing w:val="20"/>
          <w:sz w:val="23"/>
          <w:szCs w:val="23"/>
          <w:highlight w:val="none"/>
        </w:rPr>
        <w:t xml:space="preserve"> 监测布</w:t>
      </w:r>
      <w:r>
        <w:rPr>
          <w:rFonts w:hint="default" w:ascii="Times New Roman" w:hAnsi="Times New Roman" w:eastAsia="宋体" w:cs="Times New Roman"/>
          <w:spacing w:val="19"/>
          <w:sz w:val="23"/>
          <w:szCs w:val="23"/>
          <w:highlight w:val="none"/>
        </w:rPr>
        <w:t>点</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30" w:right="40" w:firstLine="488"/>
        <w:jc w:val="both"/>
        <w:textAlignment w:val="baseline"/>
        <w:rPr>
          <w:rFonts w:hint="default"/>
          <w:highlight w:val="none"/>
        </w:rPr>
      </w:pPr>
      <w:r>
        <w:rPr>
          <w:rFonts w:hint="default" w:ascii="Times New Roman" w:hAnsi="Times New Roman" w:eastAsia="宋体" w:cs="Times New Roman"/>
          <w:spacing w:val="8"/>
          <w:sz w:val="23"/>
          <w:szCs w:val="23"/>
          <w:highlight w:val="none"/>
        </w:rPr>
        <w:t>地</w:t>
      </w:r>
      <w:r>
        <w:rPr>
          <w:rFonts w:hint="default" w:ascii="Times New Roman" w:hAnsi="Times New Roman" w:eastAsia="宋体" w:cs="Times New Roman"/>
          <w:spacing w:val="5"/>
          <w:sz w:val="23"/>
          <w:szCs w:val="23"/>
          <w:highlight w:val="none"/>
        </w:rPr>
        <w:t>下</w:t>
      </w:r>
      <w:r>
        <w:rPr>
          <w:rFonts w:hint="default" w:ascii="Times New Roman" w:hAnsi="Times New Roman" w:eastAsia="宋体" w:cs="Times New Roman"/>
          <w:spacing w:val="4"/>
          <w:sz w:val="23"/>
          <w:szCs w:val="23"/>
          <w:highlight w:val="none"/>
        </w:rPr>
        <w:t xml:space="preserve">水监测点位见表 </w:t>
      </w:r>
      <w:r>
        <w:rPr>
          <w:rFonts w:hint="default" w:ascii="Times New Roman" w:hAnsi="Times New Roman" w:eastAsia="Times New Roman" w:cs="Times New Roman"/>
          <w:spacing w:val="4"/>
          <w:sz w:val="23"/>
          <w:szCs w:val="23"/>
          <w:highlight w:val="none"/>
        </w:rPr>
        <w:t>4.3-</w:t>
      </w:r>
      <w:r>
        <w:rPr>
          <w:rFonts w:hint="eastAsia" w:ascii="Times New Roman" w:hAnsi="Times New Roman" w:eastAsia="宋体" w:cs="Times New Roman"/>
          <w:spacing w:val="4"/>
          <w:sz w:val="23"/>
          <w:szCs w:val="23"/>
          <w:highlight w:val="none"/>
          <w:lang w:val="en-US" w:eastAsia="zh-CN"/>
        </w:rPr>
        <w:t>3</w:t>
      </w:r>
      <w:r>
        <w:rPr>
          <w:rFonts w:hint="default" w:ascii="Times New Roman" w:hAnsi="Times New Roman" w:eastAsia="宋体" w:cs="Times New Roman"/>
          <w:spacing w:val="4"/>
          <w:sz w:val="23"/>
          <w:szCs w:val="23"/>
          <w:highlight w:val="none"/>
        </w:rPr>
        <w:t>。</w:t>
      </w:r>
    </w:p>
    <w:p>
      <w:pPr>
        <w:spacing w:line="228" w:lineRule="auto"/>
        <w:ind w:left="142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5"/>
          <w:sz w:val="23"/>
          <w:szCs w:val="23"/>
          <w:highlight w:val="none"/>
        </w:rPr>
        <w:t xml:space="preserve"> </w:t>
      </w:r>
      <w:r>
        <w:rPr>
          <w:rFonts w:hint="default" w:ascii="Times New Roman" w:hAnsi="Times New Roman" w:eastAsia="Times New Roman" w:cs="Times New Roman"/>
          <w:b/>
          <w:bCs/>
          <w:spacing w:val="5"/>
          <w:sz w:val="23"/>
          <w:szCs w:val="23"/>
          <w:highlight w:val="none"/>
        </w:rPr>
        <w:t>4.3-</w:t>
      </w:r>
      <w:r>
        <w:rPr>
          <w:rFonts w:hint="eastAsia" w:ascii="Times New Roman" w:hAnsi="Times New Roman" w:eastAsia="宋体" w:cs="Times New Roman"/>
          <w:b/>
          <w:bCs/>
          <w:spacing w:val="5"/>
          <w:sz w:val="23"/>
          <w:szCs w:val="23"/>
          <w:highlight w:val="none"/>
          <w:lang w:val="en-US" w:eastAsia="zh-CN"/>
        </w:rPr>
        <w:t>3</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地下水质量现状监测点及监测因子一览表</w:t>
      </w:r>
    </w:p>
    <w:p>
      <w:pPr>
        <w:spacing w:line="20" w:lineRule="exact"/>
        <w:rPr>
          <w:rFonts w:hint="default" w:ascii="Times New Roman" w:hAnsi="Times New Roman" w:cs="Times New Roman"/>
          <w:highlight w:val="none"/>
        </w:rPr>
      </w:pPr>
    </w:p>
    <w:tbl>
      <w:tblPr>
        <w:tblStyle w:val="15"/>
        <w:tblW w:w="8878"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 w:type="dxa"/>
          <w:bottom w:w="0" w:type="dxa"/>
          <w:right w:w="1" w:type="dxa"/>
        </w:tblCellMar>
      </w:tblPr>
      <w:tblGrid>
        <w:gridCol w:w="305"/>
        <w:gridCol w:w="891"/>
        <w:gridCol w:w="1094"/>
        <w:gridCol w:w="1320"/>
        <w:gridCol w:w="2292"/>
        <w:gridCol w:w="1990"/>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375" w:hRule="atLeast"/>
        </w:trPr>
        <w:tc>
          <w:tcPr>
            <w:tcW w:w="305" w:type="dxa"/>
            <w:vMerge w:val="restart"/>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序</w:t>
            </w:r>
          </w:p>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号</w:t>
            </w:r>
          </w:p>
        </w:tc>
        <w:tc>
          <w:tcPr>
            <w:tcW w:w="891" w:type="dxa"/>
            <w:vMerge w:val="restart"/>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监测点</w:t>
            </w:r>
          </w:p>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名称</w:t>
            </w:r>
          </w:p>
        </w:tc>
        <w:tc>
          <w:tcPr>
            <w:tcW w:w="1094" w:type="dxa"/>
            <w:vMerge w:val="restart"/>
            <w:noWrap w:val="0"/>
            <w:vAlign w:val="center"/>
          </w:tcPr>
          <w:p>
            <w:pPr>
              <w:widowControl/>
              <w:jc w:val="left"/>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监测层位</w:t>
            </w:r>
          </w:p>
          <w:p>
            <w:pPr>
              <w:spacing w:line="0" w:lineRule="atLeast"/>
              <w:jc w:val="center"/>
              <w:rPr>
                <w:rFonts w:hint="default" w:ascii="Times New Roman" w:hAnsi="Times New Roman" w:eastAsia="宋体" w:cs="Times New Roman"/>
                <w:spacing w:val="-10"/>
                <w:sz w:val="21"/>
                <w:szCs w:val="21"/>
                <w:highlight w:val="none"/>
              </w:rPr>
            </w:pPr>
          </w:p>
        </w:tc>
        <w:tc>
          <w:tcPr>
            <w:tcW w:w="1320" w:type="dxa"/>
            <w:vMerge w:val="restart"/>
            <w:noWrap w:val="0"/>
            <w:vAlign w:val="center"/>
          </w:tcPr>
          <w:p>
            <w:pPr>
              <w:spacing w:line="0" w:lineRule="atLeast"/>
              <w:jc w:val="center"/>
              <w:rPr>
                <w:rFonts w:hint="default" w:ascii="Times New Roman" w:hAnsi="Times New Roman" w:eastAsia="宋体" w:cs="Times New Roman"/>
                <w:color w:val="000000"/>
                <w:spacing w:val="-10"/>
                <w:sz w:val="21"/>
                <w:szCs w:val="21"/>
                <w:highlight w:val="none"/>
              </w:rPr>
            </w:pPr>
            <w:r>
              <w:rPr>
                <w:rFonts w:hint="default" w:ascii="Times New Roman" w:hAnsi="Times New Roman" w:eastAsia="宋体" w:cs="Times New Roman"/>
                <w:color w:val="000000"/>
                <w:spacing w:val="-10"/>
                <w:sz w:val="21"/>
                <w:szCs w:val="21"/>
                <w:highlight w:val="none"/>
              </w:rPr>
              <w:t>监测点与</w:t>
            </w:r>
          </w:p>
          <w:p>
            <w:pPr>
              <w:spacing w:line="0" w:lineRule="atLeast"/>
              <w:jc w:val="center"/>
              <w:rPr>
                <w:rFonts w:hint="default" w:ascii="Times New Roman" w:hAnsi="Times New Roman" w:eastAsia="宋体" w:cs="Times New Roman"/>
                <w:color w:val="000000"/>
                <w:spacing w:val="-10"/>
                <w:sz w:val="21"/>
                <w:szCs w:val="21"/>
                <w:highlight w:val="none"/>
              </w:rPr>
            </w:pPr>
            <w:r>
              <w:rPr>
                <w:rFonts w:hint="default" w:ascii="Times New Roman" w:hAnsi="Times New Roman" w:eastAsia="宋体" w:cs="Times New Roman"/>
                <w:color w:val="000000"/>
                <w:spacing w:val="-10"/>
                <w:sz w:val="21"/>
                <w:szCs w:val="21"/>
                <w:highlight w:val="none"/>
              </w:rPr>
              <w:t>厂址的方位</w:t>
            </w:r>
          </w:p>
        </w:tc>
        <w:tc>
          <w:tcPr>
            <w:tcW w:w="5268" w:type="dxa"/>
            <w:gridSpan w:val="3"/>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监测与调查项目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240" w:hRule="atLeast"/>
        </w:trPr>
        <w:tc>
          <w:tcPr>
            <w:tcW w:w="305"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c>
          <w:tcPr>
            <w:tcW w:w="891"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c>
          <w:tcPr>
            <w:tcW w:w="1094"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c>
          <w:tcPr>
            <w:tcW w:w="1320" w:type="dxa"/>
            <w:vMerge w:val="continue"/>
            <w:noWrap w:val="0"/>
            <w:vAlign w:val="center"/>
          </w:tcPr>
          <w:p>
            <w:pPr>
              <w:spacing w:line="0" w:lineRule="atLeast"/>
              <w:jc w:val="center"/>
              <w:rPr>
                <w:rFonts w:hint="default" w:ascii="Times New Roman" w:hAnsi="Times New Roman" w:eastAsia="宋体" w:cs="Times New Roman"/>
                <w:color w:val="000000"/>
                <w:spacing w:val="-10"/>
                <w:sz w:val="21"/>
                <w:szCs w:val="21"/>
                <w:highlight w:val="none"/>
              </w:rPr>
            </w:pPr>
          </w:p>
        </w:tc>
        <w:tc>
          <w:tcPr>
            <w:tcW w:w="2292" w:type="dxa"/>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监测因子</w:t>
            </w:r>
          </w:p>
        </w:tc>
        <w:tc>
          <w:tcPr>
            <w:tcW w:w="1990" w:type="dxa"/>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检测因子</w:t>
            </w:r>
          </w:p>
        </w:tc>
        <w:tc>
          <w:tcPr>
            <w:tcW w:w="986" w:type="dxa"/>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调查项目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970" w:hRule="atLeast"/>
        </w:trPr>
        <w:tc>
          <w:tcPr>
            <w:tcW w:w="305" w:type="dxa"/>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1</w:t>
            </w:r>
          </w:p>
        </w:tc>
        <w:tc>
          <w:tcPr>
            <w:tcW w:w="891" w:type="dxa"/>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eastAsia" w:ascii="Times New Roman" w:hAnsi="Times New Roman" w:eastAsia="宋体" w:cs="Times New Roman"/>
                <w:spacing w:val="-10"/>
                <w:sz w:val="21"/>
                <w:szCs w:val="21"/>
                <w:highlight w:val="none"/>
                <w:lang w:val="en-US" w:eastAsia="zh-CN"/>
              </w:rPr>
              <w:t>张家坟</w:t>
            </w:r>
            <w:r>
              <w:rPr>
                <w:rFonts w:hint="default" w:ascii="Times New Roman" w:hAnsi="Times New Roman" w:eastAsia="宋体" w:cs="Times New Roman"/>
                <w:spacing w:val="-10"/>
                <w:sz w:val="21"/>
                <w:szCs w:val="21"/>
                <w:highlight w:val="none"/>
              </w:rPr>
              <w:t>村</w:t>
            </w:r>
          </w:p>
        </w:tc>
        <w:tc>
          <w:tcPr>
            <w:tcW w:w="1094" w:type="dxa"/>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潜水</w:t>
            </w:r>
          </w:p>
        </w:tc>
        <w:tc>
          <w:tcPr>
            <w:tcW w:w="1320" w:type="dxa"/>
            <w:noWrap w:val="0"/>
            <w:vAlign w:val="center"/>
          </w:tcPr>
          <w:p>
            <w:pPr>
              <w:spacing w:line="0" w:lineRule="atLeast"/>
              <w:jc w:val="center"/>
              <w:rPr>
                <w:rFonts w:hint="eastAsia" w:ascii="Times New Roman" w:hAnsi="Times New Roman" w:eastAsia="宋体" w:cs="Times New Roman"/>
                <w:spacing w:val="-10"/>
                <w:sz w:val="21"/>
                <w:szCs w:val="21"/>
                <w:highlight w:val="none"/>
                <w:lang w:eastAsia="zh-CN"/>
              </w:rPr>
            </w:pPr>
            <w:r>
              <w:rPr>
                <w:rFonts w:hint="default" w:ascii="Times New Roman" w:hAnsi="Times New Roman" w:eastAsia="宋体" w:cs="Times New Roman"/>
                <w:spacing w:val="-10"/>
                <w:sz w:val="21"/>
                <w:szCs w:val="21"/>
                <w:highlight w:val="none"/>
              </w:rPr>
              <w:t>N</w:t>
            </w:r>
          </w:p>
        </w:tc>
        <w:tc>
          <w:tcPr>
            <w:tcW w:w="2292" w:type="dxa"/>
            <w:vMerge w:val="restart"/>
            <w:noWrap w:val="0"/>
            <w:vAlign w:val="center"/>
          </w:tcPr>
          <w:p>
            <w:pPr>
              <w:spacing w:line="0" w:lineRule="atLeast"/>
              <w:jc w:val="center"/>
              <w:rPr>
                <w:rFonts w:hint="default" w:ascii="Times New Roman" w:hAnsi="Times New Roman" w:eastAsia="宋体" w:cs="Times New Roman"/>
                <w:spacing w:val="-10"/>
                <w:sz w:val="21"/>
                <w:szCs w:val="21"/>
                <w:highlight w:val="none"/>
                <w:lang w:eastAsia="zh-CN"/>
              </w:rPr>
            </w:pPr>
            <w:r>
              <w:rPr>
                <w:rFonts w:hint="default" w:ascii="Times New Roman" w:hAnsi="Times New Roman" w:eastAsia="宋体" w:cs="Times New Roman"/>
                <w:spacing w:val="-10"/>
                <w:sz w:val="21"/>
                <w:szCs w:val="21"/>
                <w:highlight w:val="none"/>
              </w:rPr>
              <w:t>pH、耗氧量、总硬度、溶解性总固体、氨氮、硝酸盐、亚硝酸盐、硫酸盐、氯化物、氰化物、挥发性酚类、氟、砷、汞、镉、六价铬、铅、铁、锰、总大肠菌群、细菌总数</w:t>
            </w:r>
            <w:r>
              <w:rPr>
                <w:rFonts w:hint="default" w:ascii="Times New Roman" w:hAnsi="Times New Roman" w:eastAsia="宋体" w:cs="Times New Roman"/>
                <w:spacing w:val="-10"/>
                <w:sz w:val="21"/>
                <w:szCs w:val="21"/>
                <w:highlight w:val="none"/>
                <w:lang w:eastAsia="zh-CN"/>
              </w:rPr>
              <w:t>、石油类</w:t>
            </w:r>
          </w:p>
        </w:tc>
        <w:tc>
          <w:tcPr>
            <w:tcW w:w="1990" w:type="dxa"/>
            <w:vMerge w:val="restart"/>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2"/>
                <w:sz w:val="21"/>
                <w:szCs w:val="21"/>
                <w:highlight w:val="none"/>
              </w:rPr>
              <w:t>K</w:t>
            </w:r>
            <w:r>
              <w:rPr>
                <w:rFonts w:hint="default" w:ascii="Times New Roman" w:hAnsi="Times New Roman" w:eastAsia="宋体" w:cs="Times New Roman"/>
                <w:spacing w:val="-2"/>
                <w:sz w:val="21"/>
                <w:szCs w:val="21"/>
                <w:highlight w:val="none"/>
                <w:vertAlign w:val="superscript"/>
              </w:rPr>
              <w:t>+</w:t>
            </w:r>
            <w:r>
              <w:rPr>
                <w:rFonts w:hint="default" w:ascii="Times New Roman" w:hAnsi="Times New Roman" w:eastAsia="宋体" w:cs="Times New Roman"/>
                <w:spacing w:val="-2"/>
                <w:sz w:val="21"/>
                <w:szCs w:val="21"/>
                <w:highlight w:val="none"/>
              </w:rPr>
              <w:t>+ Na</w:t>
            </w:r>
            <w:r>
              <w:rPr>
                <w:rFonts w:hint="default" w:ascii="Times New Roman" w:hAnsi="Times New Roman" w:eastAsia="宋体" w:cs="Times New Roman"/>
                <w:spacing w:val="-2"/>
                <w:sz w:val="21"/>
                <w:szCs w:val="21"/>
                <w:highlight w:val="none"/>
                <w:vertAlign w:val="superscript"/>
              </w:rPr>
              <w:t>+</w:t>
            </w:r>
            <w:r>
              <w:rPr>
                <w:rFonts w:hint="default" w:ascii="Times New Roman" w:hAnsi="Times New Roman" w:eastAsia="宋体" w:cs="Times New Roman"/>
                <w:spacing w:val="-2"/>
                <w:sz w:val="21"/>
                <w:szCs w:val="21"/>
                <w:highlight w:val="none"/>
              </w:rPr>
              <w:t>、Ca</w:t>
            </w:r>
            <w:r>
              <w:rPr>
                <w:rFonts w:hint="default" w:ascii="Times New Roman" w:hAnsi="Times New Roman" w:eastAsia="宋体" w:cs="Times New Roman"/>
                <w:spacing w:val="-2"/>
                <w:sz w:val="21"/>
                <w:szCs w:val="21"/>
                <w:highlight w:val="none"/>
                <w:vertAlign w:val="superscript"/>
              </w:rPr>
              <w:t>2+</w:t>
            </w:r>
            <w:r>
              <w:rPr>
                <w:rFonts w:hint="default" w:ascii="Times New Roman" w:hAnsi="Times New Roman" w:eastAsia="宋体" w:cs="Times New Roman"/>
                <w:spacing w:val="-2"/>
                <w:sz w:val="21"/>
                <w:szCs w:val="21"/>
                <w:highlight w:val="none"/>
              </w:rPr>
              <w:t>、Mg</w:t>
            </w:r>
            <w:r>
              <w:rPr>
                <w:rFonts w:hint="default" w:ascii="Times New Roman" w:hAnsi="Times New Roman" w:eastAsia="宋体" w:cs="Times New Roman"/>
                <w:spacing w:val="-2"/>
                <w:sz w:val="21"/>
                <w:szCs w:val="21"/>
                <w:highlight w:val="none"/>
                <w:vertAlign w:val="superscript"/>
              </w:rPr>
              <w:t>2+</w:t>
            </w:r>
            <w:r>
              <w:rPr>
                <w:rFonts w:hint="default" w:ascii="Times New Roman" w:hAnsi="Times New Roman" w:eastAsia="宋体" w:cs="Times New Roman"/>
                <w:spacing w:val="-2"/>
                <w:sz w:val="21"/>
                <w:szCs w:val="21"/>
                <w:highlight w:val="none"/>
              </w:rPr>
              <w:t>、CO</w:t>
            </w:r>
            <w:r>
              <w:rPr>
                <w:rFonts w:hint="default" w:ascii="Times New Roman" w:hAnsi="Times New Roman" w:eastAsia="宋体" w:cs="Times New Roman"/>
                <w:spacing w:val="-2"/>
                <w:sz w:val="21"/>
                <w:szCs w:val="21"/>
                <w:highlight w:val="none"/>
                <w:vertAlign w:val="subscript"/>
              </w:rPr>
              <w:t>3</w:t>
            </w:r>
            <w:r>
              <w:rPr>
                <w:rFonts w:hint="default" w:ascii="Times New Roman" w:hAnsi="Times New Roman" w:eastAsia="宋体" w:cs="Times New Roman"/>
                <w:spacing w:val="-2"/>
                <w:sz w:val="21"/>
                <w:szCs w:val="21"/>
                <w:highlight w:val="none"/>
                <w:vertAlign w:val="superscript"/>
              </w:rPr>
              <w:t>2-</w:t>
            </w:r>
            <w:r>
              <w:rPr>
                <w:rFonts w:hint="default" w:ascii="Times New Roman" w:hAnsi="Times New Roman" w:eastAsia="宋体" w:cs="Times New Roman"/>
                <w:spacing w:val="-2"/>
                <w:sz w:val="21"/>
                <w:szCs w:val="21"/>
                <w:highlight w:val="none"/>
              </w:rPr>
              <w:t>、HCO</w:t>
            </w:r>
            <w:r>
              <w:rPr>
                <w:rFonts w:hint="default" w:ascii="Times New Roman" w:hAnsi="Times New Roman" w:eastAsia="宋体" w:cs="Times New Roman"/>
                <w:spacing w:val="-2"/>
                <w:sz w:val="21"/>
                <w:szCs w:val="21"/>
                <w:highlight w:val="none"/>
                <w:vertAlign w:val="subscript"/>
              </w:rPr>
              <w:t>3</w:t>
            </w:r>
            <w:r>
              <w:rPr>
                <w:rFonts w:hint="default" w:ascii="Times New Roman" w:hAnsi="Times New Roman" w:eastAsia="宋体" w:cs="Times New Roman"/>
                <w:spacing w:val="-2"/>
                <w:sz w:val="21"/>
                <w:szCs w:val="21"/>
                <w:highlight w:val="none"/>
                <w:vertAlign w:val="superscript"/>
              </w:rPr>
              <w:t>-</w:t>
            </w:r>
            <w:r>
              <w:rPr>
                <w:rFonts w:hint="default" w:ascii="Times New Roman" w:hAnsi="Times New Roman" w:eastAsia="宋体" w:cs="Times New Roman"/>
                <w:spacing w:val="-2"/>
                <w:sz w:val="21"/>
                <w:szCs w:val="21"/>
                <w:highlight w:val="none"/>
              </w:rPr>
              <w:t>、SO</w:t>
            </w:r>
            <w:r>
              <w:rPr>
                <w:rFonts w:hint="default" w:ascii="Times New Roman" w:hAnsi="Times New Roman" w:eastAsia="宋体" w:cs="Times New Roman"/>
                <w:spacing w:val="-2"/>
                <w:sz w:val="21"/>
                <w:szCs w:val="21"/>
                <w:highlight w:val="none"/>
                <w:vertAlign w:val="subscript"/>
              </w:rPr>
              <w:t>4</w:t>
            </w:r>
            <w:r>
              <w:rPr>
                <w:rFonts w:hint="default" w:ascii="Times New Roman" w:hAnsi="Times New Roman" w:eastAsia="宋体" w:cs="Times New Roman"/>
                <w:spacing w:val="-2"/>
                <w:sz w:val="21"/>
                <w:szCs w:val="21"/>
                <w:highlight w:val="none"/>
                <w:vertAlign w:val="superscript"/>
              </w:rPr>
              <w:t>2-</w:t>
            </w:r>
            <w:r>
              <w:rPr>
                <w:rFonts w:hint="default" w:ascii="Times New Roman" w:hAnsi="Times New Roman" w:eastAsia="宋体" w:cs="Times New Roman"/>
                <w:spacing w:val="-2"/>
                <w:sz w:val="21"/>
                <w:szCs w:val="21"/>
                <w:highlight w:val="none"/>
              </w:rPr>
              <w:t>、Cl</w:t>
            </w:r>
            <w:r>
              <w:rPr>
                <w:rFonts w:hint="default" w:ascii="Times New Roman" w:hAnsi="Times New Roman" w:eastAsia="宋体" w:cs="Times New Roman"/>
                <w:spacing w:val="-2"/>
                <w:sz w:val="21"/>
                <w:szCs w:val="21"/>
                <w:highlight w:val="none"/>
                <w:vertAlign w:val="superscript"/>
              </w:rPr>
              <w:t>-</w:t>
            </w:r>
          </w:p>
        </w:tc>
        <w:tc>
          <w:tcPr>
            <w:tcW w:w="986" w:type="dxa"/>
            <w:vMerge w:val="restart"/>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水位标高(m)、</w:t>
            </w:r>
          </w:p>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井口标高(m)、</w:t>
            </w:r>
          </w:p>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井深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486" w:hRule="atLeast"/>
        </w:trPr>
        <w:tc>
          <w:tcPr>
            <w:tcW w:w="305" w:type="dxa"/>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2</w:t>
            </w:r>
          </w:p>
        </w:tc>
        <w:tc>
          <w:tcPr>
            <w:tcW w:w="891" w:type="dxa"/>
            <w:noWrap w:val="0"/>
            <w:vAlign w:val="center"/>
          </w:tcPr>
          <w:p>
            <w:pPr>
              <w:spacing w:line="0" w:lineRule="atLeast"/>
              <w:jc w:val="center"/>
              <w:rPr>
                <w:rFonts w:hint="default" w:ascii="Times New Roman" w:hAnsi="Times New Roman" w:eastAsia="宋体" w:cs="Times New Roman"/>
                <w:spacing w:val="-10"/>
                <w:sz w:val="21"/>
                <w:szCs w:val="21"/>
                <w:highlight w:val="none"/>
                <w:lang w:val="en-US"/>
              </w:rPr>
            </w:pPr>
            <w:r>
              <w:rPr>
                <w:rFonts w:hint="eastAsia" w:ascii="Times New Roman" w:hAnsi="Times New Roman" w:eastAsia="宋体" w:cs="Times New Roman"/>
                <w:spacing w:val="-10"/>
                <w:sz w:val="21"/>
                <w:szCs w:val="21"/>
                <w:highlight w:val="none"/>
                <w:lang w:val="en-US" w:eastAsia="zh-CN"/>
              </w:rPr>
              <w:t>皮各庄村</w:t>
            </w:r>
          </w:p>
        </w:tc>
        <w:tc>
          <w:tcPr>
            <w:tcW w:w="1094" w:type="dxa"/>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潜水</w:t>
            </w:r>
          </w:p>
        </w:tc>
        <w:tc>
          <w:tcPr>
            <w:tcW w:w="1320" w:type="dxa"/>
            <w:noWrap w:val="0"/>
            <w:vAlign w:val="center"/>
          </w:tcPr>
          <w:p>
            <w:pPr>
              <w:spacing w:line="0" w:lineRule="atLeast"/>
              <w:jc w:val="center"/>
              <w:rPr>
                <w:rFonts w:hint="default" w:ascii="Times New Roman" w:hAnsi="Times New Roman" w:eastAsia="宋体" w:cs="Times New Roman"/>
                <w:spacing w:val="-10"/>
                <w:sz w:val="21"/>
                <w:szCs w:val="21"/>
                <w:highlight w:val="none"/>
                <w:lang w:val="en-US" w:eastAsia="zh-CN"/>
              </w:rPr>
            </w:pPr>
            <w:r>
              <w:rPr>
                <w:rFonts w:hint="eastAsia" w:ascii="Times New Roman" w:hAnsi="Times New Roman" w:eastAsia="宋体" w:cs="Times New Roman"/>
                <w:spacing w:val="-10"/>
                <w:sz w:val="21"/>
                <w:szCs w:val="21"/>
                <w:highlight w:val="none"/>
                <w:lang w:val="en-US" w:eastAsia="zh-CN"/>
              </w:rPr>
              <w:t>S</w:t>
            </w:r>
          </w:p>
        </w:tc>
        <w:tc>
          <w:tcPr>
            <w:tcW w:w="2292"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c>
          <w:tcPr>
            <w:tcW w:w="1990"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c>
          <w:tcPr>
            <w:tcW w:w="986"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486" w:hRule="atLeast"/>
        </w:trPr>
        <w:tc>
          <w:tcPr>
            <w:tcW w:w="305" w:type="dxa"/>
            <w:noWrap w:val="0"/>
            <w:vAlign w:val="center"/>
          </w:tcPr>
          <w:p>
            <w:pPr>
              <w:spacing w:line="0" w:lineRule="atLeast"/>
              <w:jc w:val="center"/>
              <w:rPr>
                <w:rFonts w:hint="default" w:ascii="Times New Roman" w:hAnsi="Times New Roman" w:eastAsia="宋体" w:cs="Times New Roman"/>
                <w:spacing w:val="-10"/>
                <w:sz w:val="21"/>
                <w:szCs w:val="21"/>
                <w:highlight w:val="none"/>
                <w:lang w:val="en-US" w:eastAsia="zh-CN"/>
              </w:rPr>
            </w:pPr>
            <w:r>
              <w:rPr>
                <w:rFonts w:hint="default" w:ascii="Times New Roman" w:hAnsi="Times New Roman" w:eastAsia="宋体" w:cs="Times New Roman"/>
                <w:spacing w:val="-10"/>
                <w:sz w:val="21"/>
                <w:szCs w:val="21"/>
                <w:highlight w:val="none"/>
                <w:lang w:val="en-US" w:eastAsia="zh-CN"/>
              </w:rPr>
              <w:t>3</w:t>
            </w:r>
          </w:p>
        </w:tc>
        <w:tc>
          <w:tcPr>
            <w:tcW w:w="891" w:type="dxa"/>
            <w:noWrap w:val="0"/>
            <w:vAlign w:val="center"/>
          </w:tcPr>
          <w:p>
            <w:pPr>
              <w:spacing w:line="0" w:lineRule="atLeast"/>
              <w:jc w:val="center"/>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10"/>
                <w:sz w:val="21"/>
                <w:szCs w:val="21"/>
                <w:highlight w:val="none"/>
              </w:rPr>
              <w:t>项目</w:t>
            </w:r>
          </w:p>
          <w:p>
            <w:pPr>
              <w:spacing w:line="0" w:lineRule="atLeast"/>
              <w:jc w:val="center"/>
              <w:rPr>
                <w:rFonts w:hint="eastAsia" w:ascii="Times New Roman" w:hAnsi="Times New Roman" w:eastAsia="宋体" w:cs="Times New Roman"/>
                <w:spacing w:val="-10"/>
                <w:kern w:val="2"/>
                <w:sz w:val="21"/>
                <w:szCs w:val="21"/>
                <w:highlight w:val="none"/>
                <w:lang w:val="en-US" w:eastAsia="zh-CN" w:bidi="ar-SA"/>
              </w:rPr>
            </w:pPr>
            <w:r>
              <w:rPr>
                <w:rFonts w:hint="default" w:ascii="Times New Roman" w:hAnsi="Times New Roman" w:eastAsia="宋体" w:cs="Times New Roman"/>
                <w:spacing w:val="-10"/>
                <w:sz w:val="21"/>
                <w:szCs w:val="21"/>
                <w:highlight w:val="none"/>
              </w:rPr>
              <w:t>厂区内</w:t>
            </w:r>
          </w:p>
        </w:tc>
        <w:tc>
          <w:tcPr>
            <w:tcW w:w="1094" w:type="dxa"/>
            <w:noWrap w:val="0"/>
            <w:vAlign w:val="center"/>
          </w:tcPr>
          <w:p>
            <w:pPr>
              <w:spacing w:line="0" w:lineRule="atLeast"/>
              <w:jc w:val="center"/>
              <w:rPr>
                <w:rFonts w:hint="default" w:ascii="Times New Roman" w:hAnsi="Times New Roman" w:eastAsia="宋体" w:cs="Times New Roman"/>
                <w:spacing w:val="-10"/>
                <w:kern w:val="2"/>
                <w:sz w:val="21"/>
                <w:szCs w:val="21"/>
                <w:highlight w:val="none"/>
                <w:lang w:val="en-US" w:eastAsia="zh-CN" w:bidi="ar-SA"/>
              </w:rPr>
            </w:pPr>
            <w:r>
              <w:rPr>
                <w:rFonts w:hint="default" w:ascii="Times New Roman" w:hAnsi="Times New Roman" w:eastAsia="宋体" w:cs="Times New Roman"/>
                <w:spacing w:val="-10"/>
                <w:sz w:val="21"/>
                <w:szCs w:val="21"/>
                <w:highlight w:val="none"/>
              </w:rPr>
              <w:t>潜水</w:t>
            </w:r>
          </w:p>
        </w:tc>
        <w:tc>
          <w:tcPr>
            <w:tcW w:w="1320" w:type="dxa"/>
            <w:noWrap w:val="0"/>
            <w:vAlign w:val="center"/>
          </w:tcPr>
          <w:p>
            <w:pPr>
              <w:spacing w:line="0" w:lineRule="atLeast"/>
              <w:jc w:val="center"/>
              <w:rPr>
                <w:rFonts w:hint="default" w:ascii="Times New Roman" w:hAnsi="Times New Roman" w:eastAsia="宋体" w:cs="Times New Roman"/>
                <w:spacing w:val="-10"/>
                <w:kern w:val="2"/>
                <w:sz w:val="21"/>
                <w:szCs w:val="21"/>
                <w:highlight w:val="none"/>
                <w:lang w:val="en-US" w:eastAsia="zh-CN" w:bidi="ar-SA"/>
              </w:rPr>
            </w:pPr>
            <w:r>
              <w:rPr>
                <w:rFonts w:hint="default" w:ascii="Times New Roman" w:hAnsi="Times New Roman" w:eastAsia="宋体" w:cs="Times New Roman"/>
                <w:spacing w:val="-10"/>
                <w:sz w:val="21"/>
                <w:szCs w:val="21"/>
                <w:highlight w:val="none"/>
              </w:rPr>
              <w:t>—</w:t>
            </w:r>
          </w:p>
        </w:tc>
        <w:tc>
          <w:tcPr>
            <w:tcW w:w="2292"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c>
          <w:tcPr>
            <w:tcW w:w="1990"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c>
          <w:tcPr>
            <w:tcW w:w="986"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486" w:hRule="atLeast"/>
        </w:trPr>
        <w:tc>
          <w:tcPr>
            <w:tcW w:w="305" w:type="dxa"/>
            <w:noWrap w:val="0"/>
            <w:vAlign w:val="center"/>
          </w:tcPr>
          <w:p>
            <w:pPr>
              <w:spacing w:line="0" w:lineRule="atLeast"/>
              <w:jc w:val="center"/>
              <w:rPr>
                <w:rFonts w:hint="default" w:ascii="Times New Roman" w:hAnsi="Times New Roman" w:eastAsia="宋体" w:cs="Times New Roman"/>
                <w:spacing w:val="-10"/>
                <w:sz w:val="21"/>
                <w:szCs w:val="21"/>
                <w:highlight w:val="none"/>
                <w:lang w:val="en-US" w:eastAsia="zh-CN"/>
              </w:rPr>
            </w:pPr>
            <w:r>
              <w:rPr>
                <w:rFonts w:hint="default" w:ascii="Times New Roman" w:hAnsi="Times New Roman" w:eastAsia="宋体" w:cs="Times New Roman"/>
                <w:spacing w:val="-10"/>
                <w:sz w:val="21"/>
                <w:szCs w:val="21"/>
                <w:highlight w:val="none"/>
                <w:lang w:val="en-US" w:eastAsia="zh-CN"/>
              </w:rPr>
              <w:t>4</w:t>
            </w:r>
          </w:p>
        </w:tc>
        <w:tc>
          <w:tcPr>
            <w:tcW w:w="891" w:type="dxa"/>
            <w:noWrap w:val="0"/>
            <w:vAlign w:val="center"/>
          </w:tcPr>
          <w:p>
            <w:pPr>
              <w:spacing w:line="0" w:lineRule="atLeast"/>
              <w:jc w:val="center"/>
              <w:rPr>
                <w:rFonts w:hint="default" w:ascii="Times New Roman" w:hAnsi="Times New Roman" w:eastAsia="宋体" w:cs="Times New Roman"/>
                <w:spacing w:val="-10"/>
                <w:kern w:val="2"/>
                <w:sz w:val="21"/>
                <w:szCs w:val="21"/>
                <w:highlight w:val="none"/>
                <w:lang w:val="en-US" w:eastAsia="zh-CN" w:bidi="ar-SA"/>
              </w:rPr>
            </w:pPr>
            <w:r>
              <w:rPr>
                <w:rFonts w:hint="eastAsia" w:ascii="Times New Roman" w:hAnsi="Times New Roman" w:eastAsia="宋体" w:cs="Times New Roman"/>
                <w:spacing w:val="-10"/>
                <w:sz w:val="21"/>
                <w:szCs w:val="21"/>
                <w:highlight w:val="none"/>
                <w:lang w:val="en-US" w:eastAsia="zh-CN"/>
              </w:rPr>
              <w:t>山王庄村</w:t>
            </w:r>
          </w:p>
        </w:tc>
        <w:tc>
          <w:tcPr>
            <w:tcW w:w="1094" w:type="dxa"/>
            <w:noWrap w:val="0"/>
            <w:vAlign w:val="center"/>
          </w:tcPr>
          <w:p>
            <w:pPr>
              <w:spacing w:line="0" w:lineRule="atLeast"/>
              <w:jc w:val="center"/>
              <w:rPr>
                <w:rFonts w:hint="default" w:ascii="Times New Roman" w:hAnsi="Times New Roman" w:eastAsia="宋体" w:cs="Times New Roman"/>
                <w:spacing w:val="-10"/>
                <w:kern w:val="2"/>
                <w:sz w:val="21"/>
                <w:szCs w:val="21"/>
                <w:highlight w:val="none"/>
                <w:lang w:val="en-US" w:eastAsia="zh-CN" w:bidi="ar-SA"/>
              </w:rPr>
            </w:pPr>
            <w:r>
              <w:rPr>
                <w:rFonts w:hint="default" w:ascii="Times New Roman" w:hAnsi="Times New Roman" w:eastAsia="宋体" w:cs="Times New Roman"/>
                <w:spacing w:val="-10"/>
                <w:sz w:val="21"/>
                <w:szCs w:val="21"/>
                <w:highlight w:val="none"/>
              </w:rPr>
              <w:t>潜水</w:t>
            </w:r>
          </w:p>
        </w:tc>
        <w:tc>
          <w:tcPr>
            <w:tcW w:w="1320" w:type="dxa"/>
            <w:noWrap w:val="0"/>
            <w:vAlign w:val="center"/>
          </w:tcPr>
          <w:p>
            <w:pPr>
              <w:spacing w:line="0" w:lineRule="atLeast"/>
              <w:jc w:val="center"/>
              <w:rPr>
                <w:rFonts w:hint="default" w:ascii="Times New Roman" w:hAnsi="Times New Roman" w:eastAsia="宋体" w:cs="Times New Roman"/>
                <w:spacing w:val="-10"/>
                <w:kern w:val="2"/>
                <w:sz w:val="21"/>
                <w:szCs w:val="21"/>
                <w:highlight w:val="none"/>
                <w:lang w:val="en-US" w:eastAsia="zh-CN" w:bidi="ar-SA"/>
              </w:rPr>
            </w:pPr>
            <w:r>
              <w:rPr>
                <w:rFonts w:hint="eastAsia" w:ascii="Times New Roman" w:hAnsi="Times New Roman" w:eastAsia="宋体" w:cs="Times New Roman"/>
                <w:spacing w:val="-10"/>
                <w:sz w:val="21"/>
                <w:szCs w:val="21"/>
                <w:highlight w:val="none"/>
                <w:lang w:val="en-US" w:eastAsia="zh-CN"/>
              </w:rPr>
              <w:t>W</w:t>
            </w:r>
          </w:p>
        </w:tc>
        <w:tc>
          <w:tcPr>
            <w:tcW w:w="2292"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c>
          <w:tcPr>
            <w:tcW w:w="1990"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c>
          <w:tcPr>
            <w:tcW w:w="986"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 w:type="dxa"/>
            <w:bottom w:w="0" w:type="dxa"/>
            <w:right w:w="1" w:type="dxa"/>
          </w:tblCellMar>
        </w:tblPrEx>
        <w:trPr>
          <w:trHeight w:val="970" w:hRule="atLeast"/>
        </w:trPr>
        <w:tc>
          <w:tcPr>
            <w:tcW w:w="305" w:type="dxa"/>
            <w:noWrap w:val="0"/>
            <w:vAlign w:val="center"/>
          </w:tcPr>
          <w:p>
            <w:pPr>
              <w:spacing w:line="0" w:lineRule="atLeast"/>
              <w:jc w:val="center"/>
              <w:rPr>
                <w:rFonts w:hint="default" w:ascii="Times New Roman" w:hAnsi="Times New Roman" w:eastAsia="宋体" w:cs="Times New Roman"/>
                <w:spacing w:val="-10"/>
                <w:sz w:val="21"/>
                <w:szCs w:val="21"/>
                <w:highlight w:val="none"/>
                <w:lang w:val="en-US" w:eastAsia="zh-CN"/>
              </w:rPr>
            </w:pPr>
            <w:r>
              <w:rPr>
                <w:rFonts w:hint="default" w:ascii="Times New Roman" w:hAnsi="Times New Roman" w:eastAsia="宋体" w:cs="Times New Roman"/>
                <w:spacing w:val="-10"/>
                <w:sz w:val="21"/>
                <w:szCs w:val="21"/>
                <w:highlight w:val="none"/>
                <w:lang w:val="en-US" w:eastAsia="zh-CN"/>
              </w:rPr>
              <w:t>5</w:t>
            </w:r>
          </w:p>
        </w:tc>
        <w:tc>
          <w:tcPr>
            <w:tcW w:w="891" w:type="dxa"/>
            <w:noWrap w:val="0"/>
            <w:vAlign w:val="center"/>
          </w:tcPr>
          <w:p>
            <w:pPr>
              <w:spacing w:line="0" w:lineRule="atLeast"/>
              <w:jc w:val="center"/>
              <w:rPr>
                <w:rFonts w:hint="eastAsia" w:ascii="Times New Roman" w:hAnsi="Times New Roman" w:eastAsia="宋体" w:cs="Times New Roman"/>
                <w:spacing w:val="-10"/>
                <w:sz w:val="21"/>
                <w:szCs w:val="21"/>
                <w:highlight w:val="none"/>
                <w:lang w:eastAsia="zh-CN"/>
              </w:rPr>
            </w:pPr>
            <w:r>
              <w:rPr>
                <w:rFonts w:hint="eastAsia" w:ascii="Times New Roman" w:hAnsi="Times New Roman" w:eastAsia="宋体" w:cs="Times New Roman"/>
                <w:spacing w:val="-10"/>
                <w:sz w:val="21"/>
                <w:szCs w:val="21"/>
                <w:highlight w:val="none"/>
                <w:lang w:val="en-US" w:eastAsia="zh-CN"/>
              </w:rPr>
              <w:t>李家沟村</w:t>
            </w:r>
          </w:p>
        </w:tc>
        <w:tc>
          <w:tcPr>
            <w:tcW w:w="1094" w:type="dxa"/>
            <w:noWrap w:val="0"/>
            <w:vAlign w:val="center"/>
          </w:tcPr>
          <w:p>
            <w:pPr>
              <w:spacing w:line="0" w:lineRule="atLeast"/>
              <w:jc w:val="center"/>
              <w:rPr>
                <w:rFonts w:hint="default" w:ascii="Times New Roman" w:hAnsi="Times New Roman" w:eastAsia="宋体" w:cs="Times New Roman"/>
                <w:spacing w:val="-10"/>
                <w:kern w:val="2"/>
                <w:sz w:val="21"/>
                <w:szCs w:val="21"/>
                <w:highlight w:val="none"/>
                <w:lang w:val="en-US" w:eastAsia="zh-CN" w:bidi="ar-SA"/>
              </w:rPr>
            </w:pPr>
            <w:r>
              <w:rPr>
                <w:rFonts w:hint="default" w:ascii="Times New Roman" w:hAnsi="Times New Roman" w:eastAsia="宋体" w:cs="Times New Roman"/>
                <w:spacing w:val="-10"/>
                <w:sz w:val="21"/>
                <w:szCs w:val="21"/>
                <w:highlight w:val="none"/>
              </w:rPr>
              <w:t>潜水</w:t>
            </w:r>
          </w:p>
        </w:tc>
        <w:tc>
          <w:tcPr>
            <w:tcW w:w="1320" w:type="dxa"/>
            <w:noWrap w:val="0"/>
            <w:vAlign w:val="center"/>
          </w:tcPr>
          <w:p>
            <w:pPr>
              <w:spacing w:line="0" w:lineRule="atLeast"/>
              <w:jc w:val="center"/>
              <w:rPr>
                <w:rFonts w:hint="eastAsia" w:ascii="Times New Roman" w:hAnsi="Times New Roman" w:eastAsia="宋体" w:cs="Times New Roman"/>
                <w:spacing w:val="-10"/>
                <w:kern w:val="2"/>
                <w:sz w:val="21"/>
                <w:szCs w:val="21"/>
                <w:highlight w:val="none"/>
                <w:lang w:val="en-US" w:eastAsia="zh-CN" w:bidi="ar-SA"/>
              </w:rPr>
            </w:pPr>
            <w:r>
              <w:rPr>
                <w:rFonts w:hint="eastAsia" w:ascii="Times New Roman" w:hAnsi="Times New Roman" w:eastAsia="宋体" w:cs="Times New Roman"/>
                <w:spacing w:val="-10"/>
                <w:sz w:val="21"/>
                <w:szCs w:val="21"/>
                <w:highlight w:val="none"/>
                <w:lang w:val="en-US" w:eastAsia="zh-CN"/>
              </w:rPr>
              <w:t>E</w:t>
            </w:r>
          </w:p>
        </w:tc>
        <w:tc>
          <w:tcPr>
            <w:tcW w:w="2292"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c>
          <w:tcPr>
            <w:tcW w:w="1990"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c>
          <w:tcPr>
            <w:tcW w:w="986" w:type="dxa"/>
            <w:vMerge w:val="continue"/>
            <w:noWrap w:val="0"/>
            <w:vAlign w:val="center"/>
          </w:tcPr>
          <w:p>
            <w:pPr>
              <w:spacing w:line="0" w:lineRule="atLeast"/>
              <w:jc w:val="center"/>
              <w:rPr>
                <w:rFonts w:hint="default" w:ascii="Times New Roman" w:hAnsi="Times New Roman" w:eastAsia="宋体" w:cs="Times New Roman"/>
                <w:spacing w:val="-10"/>
                <w:sz w:val="21"/>
                <w:szCs w:val="21"/>
                <w:highlight w:val="none"/>
              </w:rPr>
            </w:pP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34" w:line="460" w:lineRule="exact"/>
        <w:ind w:right="119" w:rightChars="0" w:firstLine="456" w:firstLineChars="200"/>
        <w:textAlignment w:val="baseline"/>
        <w:rPr>
          <w:rFonts w:hint="default" w:ascii="Times New Roman" w:hAnsi="Times New Roman" w:eastAsia="宋体" w:cs="Times New Roman"/>
          <w:spacing w:val="-5"/>
          <w:sz w:val="23"/>
          <w:szCs w:val="23"/>
          <w:highlight w:val="none"/>
        </w:rPr>
      </w:pPr>
      <w:r>
        <w:rPr>
          <w:rFonts w:hint="eastAsia" w:ascii="Times New Roman" w:hAnsi="Times New Roman" w:eastAsia="宋体" w:cs="Times New Roman"/>
          <w:spacing w:val="-1"/>
          <w:sz w:val="23"/>
          <w:szCs w:val="23"/>
          <w:highlight w:val="none"/>
          <w:lang w:eastAsia="zh-CN"/>
        </w:rPr>
        <w:t>（</w:t>
      </w:r>
      <w:r>
        <w:rPr>
          <w:rFonts w:hint="eastAsia" w:ascii="Times New Roman" w:hAnsi="Times New Roman" w:eastAsia="宋体" w:cs="Times New Roman"/>
          <w:spacing w:val="-1"/>
          <w:sz w:val="23"/>
          <w:szCs w:val="23"/>
          <w:highlight w:val="none"/>
          <w:lang w:val="en-US" w:eastAsia="zh-CN"/>
        </w:rPr>
        <w:t>2</w:t>
      </w:r>
      <w:r>
        <w:rPr>
          <w:rFonts w:hint="eastAsia" w:ascii="Times New Roman" w:hAnsi="Times New Roman" w:eastAsia="宋体" w:cs="Times New Roman"/>
          <w:spacing w:val="-1"/>
          <w:sz w:val="23"/>
          <w:szCs w:val="23"/>
          <w:highlight w:val="none"/>
          <w:lang w:eastAsia="zh-CN"/>
        </w:rPr>
        <w:t>）</w:t>
      </w:r>
      <w:r>
        <w:rPr>
          <w:rFonts w:hint="default" w:ascii="Times New Roman" w:hAnsi="Times New Roman" w:eastAsia="宋体" w:cs="Times New Roman"/>
          <w:spacing w:val="-1"/>
          <w:sz w:val="23"/>
          <w:szCs w:val="23"/>
          <w:highlight w:val="none"/>
        </w:rPr>
        <w:t xml:space="preserve">监测时间及频次：监测时间 </w:t>
      </w:r>
      <w:r>
        <w:rPr>
          <w:rFonts w:hint="default" w:ascii="Times New Roman" w:hAnsi="Times New Roman" w:eastAsia="Times New Roman" w:cs="Times New Roman"/>
          <w:spacing w:val="-1"/>
          <w:sz w:val="23"/>
          <w:szCs w:val="23"/>
          <w:highlight w:val="none"/>
        </w:rPr>
        <w:t>20</w:t>
      </w:r>
      <w:r>
        <w:rPr>
          <w:rFonts w:hint="eastAsia" w:ascii="Times New Roman" w:hAnsi="Times New Roman" w:eastAsia="宋体" w:cs="Times New Roman"/>
          <w:spacing w:val="-1"/>
          <w:sz w:val="23"/>
          <w:szCs w:val="23"/>
          <w:highlight w:val="none"/>
          <w:lang w:val="en-US" w:eastAsia="zh-CN"/>
        </w:rPr>
        <w:t>23</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年 </w:t>
      </w:r>
      <w:r>
        <w:rPr>
          <w:rFonts w:hint="eastAsia" w:ascii="Times New Roman" w:hAnsi="Times New Roman" w:eastAsia="宋体" w:cs="Times New Roman"/>
          <w:spacing w:val="-1"/>
          <w:sz w:val="23"/>
          <w:szCs w:val="23"/>
          <w:highlight w:val="none"/>
          <w:lang w:val="en-US" w:eastAsia="zh-CN"/>
        </w:rPr>
        <w:t>4</w:t>
      </w:r>
      <w:r>
        <w:rPr>
          <w:rFonts w:hint="default" w:ascii="Times New Roman" w:hAnsi="Times New Roman" w:eastAsia="Times New Roman" w:cs="Times New Roman"/>
          <w:sz w:val="23"/>
          <w:szCs w:val="23"/>
          <w:highlight w:val="none"/>
        </w:rPr>
        <w:t xml:space="preserve"> </w:t>
      </w:r>
      <w:r>
        <w:rPr>
          <w:rFonts w:hint="default" w:ascii="Times New Roman" w:hAnsi="Times New Roman" w:eastAsia="宋体" w:cs="Times New Roman"/>
          <w:sz w:val="23"/>
          <w:szCs w:val="23"/>
          <w:highlight w:val="none"/>
        </w:rPr>
        <w:t xml:space="preserve">月 </w:t>
      </w:r>
      <w:r>
        <w:rPr>
          <w:rFonts w:hint="eastAsia" w:ascii="Times New Roman" w:hAnsi="Times New Roman" w:eastAsia="宋体" w:cs="Times New Roman"/>
          <w:sz w:val="23"/>
          <w:szCs w:val="23"/>
          <w:highlight w:val="none"/>
          <w:lang w:val="en-US" w:eastAsia="zh-CN"/>
        </w:rPr>
        <w:t>28</w:t>
      </w:r>
      <w:r>
        <w:rPr>
          <w:rFonts w:hint="default" w:ascii="Times New Roman" w:hAnsi="Times New Roman" w:eastAsia="宋体" w:cs="Times New Roman"/>
          <w:sz w:val="23"/>
          <w:szCs w:val="23"/>
          <w:highlight w:val="none"/>
        </w:rPr>
        <w:t>日</w:t>
      </w:r>
      <w:r>
        <w:rPr>
          <w:rFonts w:hint="default" w:ascii="Times New Roman" w:hAnsi="Times New Roman" w:eastAsia="宋体" w:cs="Times New Roman"/>
          <w:spacing w:val="-5"/>
          <w:sz w:val="23"/>
          <w:szCs w:val="23"/>
          <w:highlight w:val="none"/>
        </w:rPr>
        <w:t xml:space="preserve">采样 </w:t>
      </w:r>
      <w:r>
        <w:rPr>
          <w:rFonts w:hint="default" w:ascii="Times New Roman" w:hAnsi="Times New Roman" w:eastAsia="Times New Roman" w:cs="Times New Roman"/>
          <w:spacing w:val="-5"/>
          <w:sz w:val="23"/>
          <w:szCs w:val="23"/>
          <w:highlight w:val="none"/>
        </w:rPr>
        <w:t xml:space="preserve">1 </w:t>
      </w:r>
      <w:r>
        <w:rPr>
          <w:rFonts w:hint="default" w:ascii="Times New Roman" w:hAnsi="Times New Roman" w:eastAsia="宋体" w:cs="Times New Roman"/>
          <w:spacing w:val="-5"/>
          <w:sz w:val="23"/>
          <w:szCs w:val="23"/>
          <w:highlight w:val="none"/>
        </w:rPr>
        <w:t>次。</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textAlignment w:val="baseline"/>
        <w:rPr>
          <w:rFonts w:hint="default" w:ascii="Times New Roman" w:hAnsi="Times New Roman" w:cs="Times New Roman"/>
          <w:sz w:val="23"/>
          <w:szCs w:val="23"/>
          <w:highlight w:val="none"/>
        </w:rPr>
      </w:pPr>
      <w:r>
        <w:rPr>
          <w:rFonts w:hint="eastAsia" w:ascii="Times New Roman" w:hAnsi="Times New Roman" w:eastAsia="宋体" w:cs="Times New Roman"/>
          <w:sz w:val="23"/>
          <w:szCs w:val="23"/>
          <w:highlight w:val="none"/>
          <w:lang w:eastAsia="zh-CN"/>
        </w:rPr>
        <w:t>（</w:t>
      </w:r>
      <w:r>
        <w:rPr>
          <w:rFonts w:hint="eastAsia" w:ascii="Times New Roman" w:hAnsi="Times New Roman" w:eastAsia="宋体" w:cs="Times New Roman"/>
          <w:sz w:val="23"/>
          <w:szCs w:val="23"/>
          <w:highlight w:val="none"/>
          <w:lang w:val="en-US" w:eastAsia="zh-CN"/>
        </w:rPr>
        <w:t>3</w:t>
      </w:r>
      <w:r>
        <w:rPr>
          <w:rFonts w:hint="eastAsia" w:ascii="Times New Roman" w:hAnsi="Times New Roman" w:eastAsia="宋体" w:cs="Times New Roman"/>
          <w:sz w:val="23"/>
          <w:szCs w:val="23"/>
          <w:highlight w:val="none"/>
          <w:lang w:eastAsia="zh-CN"/>
        </w:rPr>
        <w:t>）</w:t>
      </w:r>
      <w:r>
        <w:rPr>
          <w:rFonts w:hint="default" w:ascii="Times New Roman" w:hAnsi="Times New Roman" w:cs="Times New Roman"/>
          <w:sz w:val="23"/>
          <w:szCs w:val="23"/>
          <w:highlight w:val="none"/>
        </w:rPr>
        <w:t>评价方法：采用单因子标准指数法，计算公式为：</w:t>
      </w:r>
    </w:p>
    <w:p>
      <w:pPr>
        <w:spacing w:line="480" w:lineRule="exact"/>
        <w:jc w:val="center"/>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P</w:t>
      </w:r>
      <w:r>
        <w:rPr>
          <w:rFonts w:hint="default" w:ascii="Times New Roman" w:hAnsi="Times New Roman" w:cs="Times New Roman"/>
          <w:sz w:val="23"/>
          <w:szCs w:val="23"/>
          <w:highlight w:val="none"/>
          <w:vertAlign w:val="subscript"/>
        </w:rPr>
        <w:t>i</w:t>
      </w:r>
      <w:r>
        <w:rPr>
          <w:rFonts w:hint="default" w:ascii="Times New Roman" w:hAnsi="Times New Roman" w:cs="Times New Roman"/>
          <w:sz w:val="23"/>
          <w:szCs w:val="23"/>
          <w:highlight w:val="none"/>
        </w:rPr>
        <w:t>=C</w:t>
      </w:r>
      <w:r>
        <w:rPr>
          <w:rFonts w:hint="default" w:ascii="Times New Roman" w:hAnsi="Times New Roman" w:cs="Times New Roman"/>
          <w:sz w:val="23"/>
          <w:szCs w:val="23"/>
          <w:highlight w:val="none"/>
          <w:vertAlign w:val="subscript"/>
        </w:rPr>
        <w:t>i</w:t>
      </w:r>
      <w:r>
        <w:rPr>
          <w:rFonts w:hint="default" w:ascii="Times New Roman" w:hAnsi="Times New Roman" w:cs="Times New Roman"/>
          <w:sz w:val="23"/>
          <w:szCs w:val="23"/>
          <w:highlight w:val="none"/>
        </w:rPr>
        <w:t>/C</w:t>
      </w:r>
      <w:r>
        <w:rPr>
          <w:rFonts w:hint="default" w:ascii="Times New Roman" w:hAnsi="Times New Roman" w:cs="Times New Roman"/>
          <w:sz w:val="23"/>
          <w:szCs w:val="23"/>
          <w:highlight w:val="none"/>
          <w:vertAlign w:val="subscript"/>
        </w:rPr>
        <w:t>oi</w:t>
      </w:r>
    </w:p>
    <w:p>
      <w:pPr>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式中：P</w:t>
      </w:r>
      <w:r>
        <w:rPr>
          <w:rFonts w:hint="default" w:ascii="Times New Roman" w:hAnsi="Times New Roman" w:cs="Times New Roman"/>
          <w:sz w:val="23"/>
          <w:szCs w:val="23"/>
          <w:highlight w:val="none"/>
          <w:vertAlign w:val="subscript"/>
        </w:rPr>
        <w:t>i</w:t>
      </w:r>
      <w:r>
        <w:rPr>
          <w:rFonts w:hint="default" w:ascii="Times New Roman" w:hAnsi="Times New Roman" w:cs="Times New Roman"/>
          <w:sz w:val="23"/>
          <w:szCs w:val="23"/>
          <w:highlight w:val="none"/>
        </w:rPr>
        <w:t>—i种污染物的标准指数，无量纲；</w:t>
      </w:r>
    </w:p>
    <w:p>
      <w:pPr>
        <w:spacing w:line="480" w:lineRule="exact"/>
        <w:ind w:firstLine="1150" w:firstLineChars="5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C</w:t>
      </w:r>
      <w:r>
        <w:rPr>
          <w:rFonts w:hint="default" w:ascii="Times New Roman" w:hAnsi="Times New Roman" w:cs="Times New Roman"/>
          <w:sz w:val="23"/>
          <w:szCs w:val="23"/>
          <w:highlight w:val="none"/>
          <w:vertAlign w:val="subscript"/>
        </w:rPr>
        <w:t>i</w:t>
      </w:r>
      <w:r>
        <w:rPr>
          <w:rFonts w:hint="default" w:ascii="Times New Roman" w:hAnsi="Times New Roman" w:cs="Times New Roman"/>
          <w:sz w:val="23"/>
          <w:szCs w:val="23"/>
          <w:highlight w:val="none"/>
        </w:rPr>
        <w:t>—i种污染物的实测浓度，mg/L；</w:t>
      </w:r>
    </w:p>
    <w:p>
      <w:pPr>
        <w:spacing w:line="480" w:lineRule="exact"/>
        <w:ind w:firstLine="1150" w:firstLineChars="5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C</w:t>
      </w:r>
      <w:r>
        <w:rPr>
          <w:rFonts w:hint="default" w:ascii="Times New Roman" w:hAnsi="Times New Roman" w:cs="Times New Roman"/>
          <w:sz w:val="23"/>
          <w:szCs w:val="23"/>
          <w:highlight w:val="none"/>
          <w:vertAlign w:val="subscript"/>
        </w:rPr>
        <w:t>o</w:t>
      </w:r>
      <w:r>
        <w:rPr>
          <w:rFonts w:hint="default" w:ascii="Times New Roman" w:hAnsi="Times New Roman" w:cs="Times New Roman"/>
          <w:sz w:val="23"/>
          <w:szCs w:val="23"/>
          <w:highlight w:val="none"/>
        </w:rPr>
        <w:t>—i种污染物的环境质量标准，mg/L；</w:t>
      </w:r>
    </w:p>
    <w:p>
      <w:pPr>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对于pH值，评价公式为：</w:t>
      </w:r>
    </w:p>
    <w:p>
      <w:pPr>
        <w:spacing w:line="480" w:lineRule="exact"/>
        <w:jc w:val="center"/>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P</w:t>
      </w:r>
      <w:r>
        <w:rPr>
          <w:rFonts w:hint="default" w:ascii="Times New Roman" w:hAnsi="Times New Roman" w:cs="Times New Roman"/>
          <w:sz w:val="23"/>
          <w:szCs w:val="23"/>
          <w:highlight w:val="none"/>
          <w:vertAlign w:val="subscript"/>
        </w:rPr>
        <w:t>PH</w:t>
      </w:r>
      <w:r>
        <w:rPr>
          <w:rFonts w:hint="default" w:ascii="Times New Roman" w:hAnsi="Times New Roman" w:cs="Times New Roman"/>
          <w:sz w:val="23"/>
          <w:szCs w:val="23"/>
          <w:highlight w:val="none"/>
        </w:rPr>
        <w:t>=(7.0-pH)/(7.0-pH</w:t>
      </w:r>
      <w:r>
        <w:rPr>
          <w:rFonts w:hint="default" w:ascii="Times New Roman" w:hAnsi="Times New Roman" w:cs="Times New Roman"/>
          <w:sz w:val="23"/>
          <w:szCs w:val="23"/>
          <w:highlight w:val="none"/>
          <w:vertAlign w:val="subscript"/>
        </w:rPr>
        <w:t>sd</w:t>
      </w:r>
      <w:r>
        <w:rPr>
          <w:rFonts w:hint="default" w:ascii="Times New Roman" w:hAnsi="Times New Roman" w:cs="Times New Roman"/>
          <w:sz w:val="23"/>
          <w:szCs w:val="23"/>
          <w:highlight w:val="none"/>
        </w:rPr>
        <w:t>)(pH≤7.0)</w:t>
      </w:r>
    </w:p>
    <w:p>
      <w:pPr>
        <w:spacing w:line="480" w:lineRule="exact"/>
        <w:jc w:val="center"/>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P</w:t>
      </w:r>
      <w:r>
        <w:rPr>
          <w:rFonts w:hint="default" w:ascii="Times New Roman" w:hAnsi="Times New Roman" w:cs="Times New Roman"/>
          <w:sz w:val="23"/>
          <w:szCs w:val="23"/>
          <w:highlight w:val="none"/>
          <w:vertAlign w:val="subscript"/>
        </w:rPr>
        <w:t>PH</w:t>
      </w:r>
      <w:r>
        <w:rPr>
          <w:rFonts w:hint="default" w:ascii="Times New Roman" w:hAnsi="Times New Roman" w:cs="Times New Roman"/>
          <w:sz w:val="23"/>
          <w:szCs w:val="23"/>
          <w:highlight w:val="none"/>
        </w:rPr>
        <w:t>=(pH-7.0)/(pH</w:t>
      </w:r>
      <w:r>
        <w:rPr>
          <w:rFonts w:hint="default" w:ascii="Times New Roman" w:hAnsi="Times New Roman" w:cs="Times New Roman"/>
          <w:sz w:val="23"/>
          <w:szCs w:val="23"/>
          <w:highlight w:val="none"/>
          <w:vertAlign w:val="subscript"/>
        </w:rPr>
        <w:t>su</w:t>
      </w:r>
      <w:r>
        <w:rPr>
          <w:rFonts w:hint="default" w:ascii="Times New Roman" w:hAnsi="Times New Roman" w:cs="Times New Roman"/>
          <w:sz w:val="23"/>
          <w:szCs w:val="23"/>
          <w:highlight w:val="none"/>
        </w:rPr>
        <w:t>-7.0)(pH</w:t>
      </w:r>
      <w:r>
        <w:rPr>
          <w:rFonts w:hint="default" w:ascii="Times New Roman" w:hAnsi="Times New Roman" w:cs="Times New Roman"/>
          <w:sz w:val="23"/>
          <w:szCs w:val="23"/>
          <w:highlight w:val="none"/>
          <w:vertAlign w:val="subscript"/>
        </w:rPr>
        <w:t>i</w:t>
      </w:r>
      <w:r>
        <w:rPr>
          <w:rFonts w:hint="default" w:ascii="Times New Roman" w:hAnsi="Times New Roman" w:cs="Times New Roman"/>
          <w:sz w:val="23"/>
          <w:szCs w:val="23"/>
          <w:highlight w:val="none"/>
        </w:rPr>
        <w:t>&gt;7.0)</w:t>
      </w:r>
    </w:p>
    <w:p>
      <w:pPr>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式中：P</w:t>
      </w:r>
      <w:r>
        <w:rPr>
          <w:rFonts w:hint="default" w:ascii="Times New Roman" w:hAnsi="Times New Roman" w:cs="Times New Roman"/>
          <w:sz w:val="23"/>
          <w:szCs w:val="23"/>
          <w:highlight w:val="none"/>
          <w:vertAlign w:val="subscript"/>
        </w:rPr>
        <w:t>PH</w:t>
      </w:r>
      <w:r>
        <w:rPr>
          <w:rFonts w:hint="default" w:ascii="Times New Roman" w:hAnsi="Times New Roman" w:cs="Times New Roman"/>
          <w:sz w:val="23"/>
          <w:szCs w:val="23"/>
          <w:highlight w:val="none"/>
        </w:rPr>
        <w:t>—pH的标准指数，无量纲；</w:t>
      </w:r>
    </w:p>
    <w:p>
      <w:pPr>
        <w:spacing w:line="480" w:lineRule="exact"/>
        <w:ind w:firstLine="1150" w:firstLineChars="5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pH—pH监测值；</w:t>
      </w:r>
    </w:p>
    <w:p>
      <w:pPr>
        <w:spacing w:line="480" w:lineRule="exact"/>
        <w:ind w:firstLine="1150" w:firstLineChars="5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pH</w:t>
      </w:r>
      <w:r>
        <w:rPr>
          <w:rFonts w:hint="default" w:ascii="Times New Roman" w:hAnsi="Times New Roman" w:cs="Times New Roman"/>
          <w:sz w:val="23"/>
          <w:szCs w:val="23"/>
          <w:highlight w:val="none"/>
          <w:vertAlign w:val="subscript"/>
        </w:rPr>
        <w:t>sd</w:t>
      </w:r>
      <w:r>
        <w:rPr>
          <w:rFonts w:hint="default" w:ascii="Times New Roman" w:hAnsi="Times New Roman" w:cs="Times New Roman"/>
          <w:sz w:val="23"/>
          <w:szCs w:val="23"/>
          <w:highlight w:val="none"/>
        </w:rPr>
        <w:t>—标准中pH的下限值；</w:t>
      </w:r>
    </w:p>
    <w:p>
      <w:pPr>
        <w:spacing w:line="480" w:lineRule="exact"/>
        <w:ind w:firstLine="1150" w:firstLineChars="5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pH</w:t>
      </w:r>
      <w:r>
        <w:rPr>
          <w:rFonts w:hint="default" w:ascii="Times New Roman" w:hAnsi="Times New Roman" w:cs="Times New Roman"/>
          <w:sz w:val="23"/>
          <w:szCs w:val="23"/>
          <w:highlight w:val="none"/>
          <w:vertAlign w:val="subscript"/>
        </w:rPr>
        <w:t>su</w:t>
      </w:r>
      <w:r>
        <w:rPr>
          <w:rFonts w:hint="default" w:ascii="Times New Roman" w:hAnsi="Times New Roman" w:cs="Times New Roman"/>
          <w:sz w:val="23"/>
          <w:szCs w:val="23"/>
          <w:highlight w:val="none"/>
        </w:rPr>
        <w:t>—标准中pH的上限值。</w:t>
      </w:r>
    </w:p>
    <w:p>
      <w:pPr>
        <w:spacing w:line="480" w:lineRule="exact"/>
        <w:ind w:firstLine="460" w:firstLineChars="200"/>
        <w:rPr>
          <w:rFonts w:hint="default" w:ascii="Times New Roman" w:hAnsi="Times New Roman" w:cs="Times New Roman"/>
          <w:sz w:val="23"/>
          <w:szCs w:val="23"/>
          <w:highlight w:val="none"/>
        </w:rPr>
      </w:pPr>
      <w:r>
        <w:rPr>
          <w:rFonts w:hint="eastAsia" w:ascii="Times New Roman" w:hAnsi="Times New Roman" w:eastAsia="宋体" w:cs="Times New Roman"/>
          <w:sz w:val="23"/>
          <w:szCs w:val="23"/>
          <w:highlight w:val="none"/>
          <w:lang w:eastAsia="zh-CN"/>
        </w:rPr>
        <w:t>（</w:t>
      </w:r>
      <w:r>
        <w:rPr>
          <w:rFonts w:hint="eastAsia" w:ascii="Times New Roman" w:hAnsi="Times New Roman" w:eastAsia="宋体" w:cs="Times New Roman"/>
          <w:sz w:val="23"/>
          <w:szCs w:val="23"/>
          <w:highlight w:val="none"/>
          <w:lang w:val="en-US" w:eastAsia="zh-CN"/>
        </w:rPr>
        <w:t>4</w:t>
      </w:r>
      <w:r>
        <w:rPr>
          <w:rFonts w:hint="eastAsia" w:ascii="Times New Roman" w:hAnsi="Times New Roman" w:eastAsia="宋体" w:cs="Times New Roman"/>
          <w:sz w:val="23"/>
          <w:szCs w:val="23"/>
          <w:highlight w:val="none"/>
          <w:lang w:eastAsia="zh-CN"/>
        </w:rPr>
        <w:t>）</w:t>
      </w:r>
      <w:r>
        <w:rPr>
          <w:rFonts w:hint="default" w:ascii="Times New Roman" w:hAnsi="Times New Roman" w:cs="Times New Roman"/>
          <w:sz w:val="23"/>
          <w:szCs w:val="23"/>
          <w:highlight w:val="none"/>
        </w:rPr>
        <w:t>评价标准</w:t>
      </w:r>
    </w:p>
    <w:p>
      <w:pPr>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采用《地下水质量标准》（GB/T14848-2017）中III类标准进行评价。</w:t>
      </w:r>
    </w:p>
    <w:p>
      <w:pPr>
        <w:pStyle w:val="2"/>
        <w:numPr>
          <w:ilvl w:val="0"/>
          <w:numId w:val="0"/>
        </w:numPr>
        <w:ind w:left="553" w:leftChars="0"/>
        <w:rPr>
          <w:rFonts w:hint="default"/>
          <w:highlight w:val="none"/>
        </w:rPr>
      </w:pPr>
    </w:p>
    <w:p>
      <w:pPr>
        <w:spacing w:before="1" w:line="228" w:lineRule="auto"/>
        <w:ind w:left="126"/>
        <w:outlineLvl w:val="2"/>
        <w:rPr>
          <w:rFonts w:hint="default" w:ascii="Times New Roman" w:hAnsi="Times New Roman" w:eastAsia="宋体" w:cs="Times New Roman"/>
          <w:sz w:val="23"/>
          <w:szCs w:val="23"/>
          <w:highlight w:val="none"/>
        </w:rPr>
      </w:pPr>
      <w:bookmarkStart w:id="300" w:name="_Toc26127"/>
      <w:bookmarkStart w:id="301" w:name="_Toc14839"/>
      <w:bookmarkStart w:id="302" w:name="_Toc4542"/>
      <w:r>
        <w:rPr>
          <w:rFonts w:hint="default" w:ascii="Times New Roman" w:hAnsi="Times New Roman" w:eastAsia="Times New Roman" w:cs="Times New Roman"/>
          <w:spacing w:val="8"/>
          <w:sz w:val="23"/>
          <w:szCs w:val="23"/>
          <w:highlight w:val="none"/>
        </w:rPr>
        <w:t>4</w:t>
      </w:r>
      <w:r>
        <w:rPr>
          <w:rFonts w:hint="default" w:ascii="Times New Roman" w:hAnsi="Times New Roman" w:eastAsia="Times New Roman" w:cs="Times New Roman"/>
          <w:spacing w:val="5"/>
          <w:sz w:val="23"/>
          <w:szCs w:val="23"/>
          <w:highlight w:val="none"/>
        </w:rPr>
        <w:t xml:space="preserve">.3.2.2  </w:t>
      </w:r>
      <w:r>
        <w:rPr>
          <w:rFonts w:hint="default" w:ascii="Times New Roman" w:hAnsi="Times New Roman" w:eastAsia="宋体" w:cs="Times New Roman"/>
          <w:spacing w:val="5"/>
          <w:sz w:val="23"/>
          <w:szCs w:val="23"/>
          <w:highlight w:val="none"/>
        </w:rPr>
        <w:t>监测结果</w:t>
      </w:r>
      <w:bookmarkEnd w:id="300"/>
      <w:bookmarkEnd w:id="301"/>
      <w:bookmarkEnd w:id="302"/>
    </w:p>
    <w:p>
      <w:pPr>
        <w:rPr>
          <w:rFonts w:hint="default" w:ascii="Times New Roman" w:hAnsi="Times New Roman" w:cs="Times New Roman"/>
          <w:highlight w:val="none"/>
        </w:rPr>
        <w:sectPr>
          <w:headerReference r:id="rId53" w:type="default"/>
          <w:footerReference r:id="rId54" w:type="default"/>
          <w:pgSz w:w="11906" w:h="16839"/>
          <w:pgMar w:top="1167" w:right="1674" w:bottom="1311" w:left="1674" w:header="897" w:footer="1015" w:gutter="0"/>
          <w:pgBorders>
            <w:top w:val="none" w:sz="0" w:space="0"/>
            <w:left w:val="none" w:sz="0" w:space="0"/>
            <w:bottom w:val="none" w:sz="0" w:space="0"/>
            <w:right w:val="none" w:sz="0" w:space="0"/>
          </w:pgBorders>
          <w:pgNumType w:fmt="decimal"/>
          <w:cols w:space="720" w:num="1"/>
        </w:sectPr>
      </w:pPr>
    </w:p>
    <w:p>
      <w:pPr>
        <w:spacing w:line="248"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159" o:spid="_x0000_s1159" o:spt="1" style="position:absolute;left:0pt;margin-left:72pt;margin-top:529.75pt;height:0.75pt;width:697.95pt;mso-position-horizontal-relative:page;mso-position-vertical-relative:page;z-index:251715584;mso-width-relative:page;mso-height-relative:page;" fillcolor="#FFFFFF" filled="t" stroked="f" coordsize="21600,21600" o:allowincell="f">
            <v:path/>
            <v:fill on="t" color2="#FFFFFF" focussize="0,0"/>
            <v:stroke on="f"/>
            <v:imagedata o:title=""/>
            <o:lock v:ext="edit" aspectratio="f"/>
          </v:rect>
        </w:pict>
      </w:r>
      <w:r>
        <w:rPr>
          <w:rFonts w:hint="default" w:ascii="Times New Roman" w:hAnsi="Times New Roman" w:cs="Times New Roman"/>
          <w:highlight w:val="none"/>
        </w:rPr>
        <w:pict>
          <v:shape id="_x0000_s1160" o:spid="_x0000_s1160" style="position:absolute;left:0pt;margin-left:72pt;margin-top:59.05pt;height:0.75pt;width:697.95pt;mso-position-horizontal-relative:page;mso-position-vertical-relative:page;z-index:251714560;mso-width-relative:page;mso-height-relative:page;" fillcolor="#000000" filled="t" stroked="f" coordsize="13959,15" o:allowincell="f" path="m0,0l13958,0,13958,14,0,14,0,0xe">
            <v:path/>
            <v:fill on="t" focussize="0,0"/>
            <v:stroke on="f"/>
            <v:imagedata o:title=""/>
            <o:lock v:ext="edit"/>
          </v:shape>
        </w:pict>
      </w:r>
    </w:p>
    <w:p>
      <w:pPr>
        <w:spacing w:line="248" w:lineRule="auto"/>
        <w:rPr>
          <w:rFonts w:hint="default" w:ascii="Times New Roman" w:hAnsi="Times New Roman" w:cs="Times New Roman"/>
          <w:sz w:val="21"/>
          <w:highlight w:val="none"/>
        </w:rPr>
      </w:pPr>
    </w:p>
    <w:p>
      <w:pPr>
        <w:spacing w:before="75" w:line="228" w:lineRule="auto"/>
        <w:ind w:left="13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地下水</w:t>
      </w:r>
      <w:r>
        <w:rPr>
          <w:rFonts w:hint="default" w:ascii="Times New Roman" w:hAnsi="Times New Roman" w:eastAsia="宋体" w:cs="Times New Roman"/>
          <w:spacing w:val="5"/>
          <w:sz w:val="23"/>
          <w:szCs w:val="23"/>
          <w:highlight w:val="none"/>
        </w:rPr>
        <w:t>现</w:t>
      </w:r>
      <w:r>
        <w:rPr>
          <w:rFonts w:hint="default" w:ascii="Times New Roman" w:hAnsi="Times New Roman" w:eastAsia="宋体" w:cs="Times New Roman"/>
          <w:spacing w:val="3"/>
          <w:sz w:val="23"/>
          <w:szCs w:val="23"/>
          <w:highlight w:val="none"/>
        </w:rPr>
        <w:t xml:space="preserve">状监测结果见表 </w:t>
      </w:r>
      <w:r>
        <w:rPr>
          <w:rFonts w:hint="default" w:ascii="Times New Roman" w:hAnsi="Times New Roman" w:eastAsia="Times New Roman" w:cs="Times New Roman"/>
          <w:spacing w:val="3"/>
          <w:sz w:val="23"/>
          <w:szCs w:val="23"/>
          <w:highlight w:val="none"/>
        </w:rPr>
        <w:t>4.3-</w:t>
      </w:r>
      <w:r>
        <w:rPr>
          <w:rFonts w:hint="eastAsia" w:ascii="Times New Roman" w:hAnsi="Times New Roman" w:eastAsia="宋体" w:cs="Times New Roman"/>
          <w:spacing w:val="3"/>
          <w:sz w:val="23"/>
          <w:szCs w:val="23"/>
          <w:highlight w:val="none"/>
          <w:lang w:val="en-US" w:eastAsia="zh-CN"/>
        </w:rPr>
        <w:t>4</w:t>
      </w:r>
      <w:r>
        <w:rPr>
          <w:rFonts w:hint="default" w:ascii="Times New Roman" w:hAnsi="Times New Roman" w:eastAsia="宋体" w:cs="Times New Roman"/>
          <w:spacing w:val="3"/>
          <w:sz w:val="23"/>
          <w:szCs w:val="23"/>
          <w:highlight w:val="none"/>
        </w:rPr>
        <w:t>。</w:t>
      </w:r>
    </w:p>
    <w:p>
      <w:pPr>
        <w:spacing w:before="175" w:line="319" w:lineRule="exact"/>
        <w:ind w:left="3169"/>
        <w:rPr>
          <w:rFonts w:hint="default" w:ascii="Times New Roman" w:hAnsi="Times New Roman" w:eastAsia="Times New Roman" w:cs="Times New Roman"/>
          <w:sz w:val="23"/>
          <w:szCs w:val="23"/>
          <w:highlight w:val="none"/>
        </w:rPr>
      </w:pPr>
      <w:r>
        <w:rPr>
          <w:rFonts w:hint="default" w:ascii="Times New Roman" w:hAnsi="Times New Roman" w:eastAsia="宋体" w:cs="Times New Roman"/>
          <w:spacing w:val="8"/>
          <w:position w:val="3"/>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8"/>
          <w:position w:val="3"/>
          <w:sz w:val="23"/>
          <w:szCs w:val="23"/>
          <w:highlight w:val="none"/>
        </w:rPr>
        <w:t xml:space="preserve"> </w:t>
      </w:r>
      <w:r>
        <w:rPr>
          <w:rFonts w:hint="default" w:ascii="Times New Roman" w:hAnsi="Times New Roman" w:eastAsia="Times New Roman" w:cs="Times New Roman"/>
          <w:b/>
          <w:bCs/>
          <w:spacing w:val="6"/>
          <w:position w:val="3"/>
          <w:sz w:val="23"/>
          <w:szCs w:val="23"/>
          <w:highlight w:val="none"/>
        </w:rPr>
        <w:t>4</w:t>
      </w:r>
      <w:r>
        <w:rPr>
          <w:rFonts w:hint="default" w:ascii="Times New Roman" w:hAnsi="Times New Roman" w:eastAsia="Times New Roman" w:cs="Times New Roman"/>
          <w:b/>
          <w:bCs/>
          <w:spacing w:val="4"/>
          <w:position w:val="3"/>
          <w:sz w:val="23"/>
          <w:szCs w:val="23"/>
          <w:highlight w:val="none"/>
        </w:rPr>
        <w:t>.3-</w:t>
      </w:r>
      <w:r>
        <w:rPr>
          <w:rFonts w:hint="eastAsia" w:ascii="Times New Roman" w:hAnsi="Times New Roman" w:eastAsia="宋体" w:cs="Times New Roman"/>
          <w:b/>
          <w:bCs/>
          <w:spacing w:val="4"/>
          <w:position w:val="3"/>
          <w:sz w:val="23"/>
          <w:szCs w:val="23"/>
          <w:highlight w:val="none"/>
          <w:lang w:val="en-US" w:eastAsia="zh-CN"/>
        </w:rPr>
        <w:t>4</w:t>
      </w:r>
      <w:r>
        <w:rPr>
          <w:rFonts w:hint="default" w:ascii="Times New Roman" w:hAnsi="Times New Roman" w:eastAsia="Times New Roman" w:cs="Times New Roman"/>
          <w:spacing w:val="4"/>
          <w:position w:val="3"/>
          <w:sz w:val="23"/>
          <w:szCs w:val="23"/>
          <w:highlight w:val="none"/>
        </w:rPr>
        <w:t xml:space="preserve">                  </w:t>
      </w:r>
      <w:r>
        <w:rPr>
          <w:rFonts w:hint="default" w:ascii="Times New Roman" w:hAnsi="Times New Roman" w:eastAsia="宋体" w:cs="Times New Roman"/>
          <w:spacing w:val="4"/>
          <w:position w:val="3"/>
          <w:sz w:val="23"/>
          <w:szCs w:val="23"/>
          <w:highlight w:val="none"/>
          <w14:textOutline w14:w="4358" w14:cap="sq" w14:cmpd="sng">
            <w14:solidFill>
              <w14:srgbClr w14:val="000000"/>
            </w14:solidFill>
            <w14:prstDash w14:val="solid"/>
            <w14:bevel/>
          </w14:textOutline>
        </w:rPr>
        <w:t>地下水现状监测结果一览表</w:t>
      </w:r>
      <w:r>
        <w:rPr>
          <w:rFonts w:hint="default" w:ascii="Times New Roman" w:hAnsi="Times New Roman" w:eastAsia="宋体" w:cs="Times New Roman"/>
          <w:spacing w:val="4"/>
          <w:position w:val="3"/>
          <w:sz w:val="23"/>
          <w:szCs w:val="23"/>
          <w:highlight w:val="none"/>
        </w:rPr>
        <w:t xml:space="preserve">     </w:t>
      </w:r>
      <w:r>
        <w:rPr>
          <w:rFonts w:hint="default" w:ascii="Times New Roman" w:hAnsi="Times New Roman" w:eastAsia="Times New Roman" w:cs="Times New Roman"/>
          <w:b/>
          <w:bCs/>
          <w:spacing w:val="4"/>
          <w:position w:val="3"/>
          <w:sz w:val="23"/>
          <w:szCs w:val="23"/>
          <w:highlight w:val="none"/>
        </w:rPr>
        <w:t>(</w:t>
      </w:r>
      <w:r>
        <w:rPr>
          <w:rFonts w:hint="default" w:ascii="Times New Roman" w:hAnsi="Times New Roman" w:eastAsia="宋体" w:cs="Times New Roman"/>
          <w:spacing w:val="4"/>
          <w:position w:val="3"/>
          <w:sz w:val="23"/>
          <w:szCs w:val="23"/>
          <w:highlight w:val="none"/>
          <w14:textOutline w14:w="4358" w14:cap="sq" w14:cmpd="sng">
            <w14:solidFill>
              <w14:srgbClr w14:val="000000"/>
            </w14:solidFill>
            <w14:prstDash w14:val="solid"/>
            <w14:bevel/>
          </w14:textOutline>
        </w:rPr>
        <w:t>单位：</w:t>
      </w:r>
      <w:r>
        <w:rPr>
          <w:rFonts w:hint="default" w:ascii="Times New Roman" w:hAnsi="Times New Roman" w:eastAsia="Times New Roman" w:cs="Times New Roman"/>
          <w:b/>
          <w:bCs/>
          <w:position w:val="3"/>
          <w:sz w:val="23"/>
          <w:szCs w:val="23"/>
          <w:highlight w:val="none"/>
        </w:rPr>
        <w:t>mg</w:t>
      </w:r>
      <w:r>
        <w:rPr>
          <w:rFonts w:hint="default" w:ascii="Times New Roman" w:hAnsi="Times New Roman" w:eastAsia="Times New Roman" w:cs="Times New Roman"/>
          <w:b/>
          <w:bCs/>
          <w:spacing w:val="4"/>
          <w:position w:val="3"/>
          <w:sz w:val="23"/>
          <w:szCs w:val="23"/>
          <w:highlight w:val="none"/>
        </w:rPr>
        <w:t>/</w:t>
      </w:r>
      <w:r>
        <w:rPr>
          <w:rFonts w:hint="default" w:ascii="Times New Roman" w:hAnsi="Times New Roman" w:eastAsia="Times New Roman" w:cs="Times New Roman"/>
          <w:b/>
          <w:bCs/>
          <w:position w:val="3"/>
          <w:sz w:val="23"/>
          <w:szCs w:val="23"/>
          <w:highlight w:val="none"/>
        </w:rPr>
        <w:t>L</w:t>
      </w:r>
      <w:r>
        <w:rPr>
          <w:rFonts w:hint="default" w:ascii="Times New Roman" w:hAnsi="Times New Roman" w:eastAsia="Times New Roman" w:cs="Times New Roman"/>
          <w:spacing w:val="4"/>
          <w:position w:val="3"/>
          <w:sz w:val="23"/>
          <w:szCs w:val="23"/>
          <w:highlight w:val="none"/>
        </w:rPr>
        <w:t xml:space="preserve"> </w:t>
      </w:r>
      <w:r>
        <w:rPr>
          <w:rFonts w:hint="default" w:ascii="Times New Roman" w:hAnsi="Times New Roman" w:eastAsia="宋体" w:cs="Times New Roman"/>
          <w:spacing w:val="4"/>
          <w:position w:val="3"/>
          <w:sz w:val="23"/>
          <w:szCs w:val="23"/>
          <w:highlight w:val="none"/>
          <w14:textOutline w14:w="4358" w14:cap="sq" w14:cmpd="sng">
            <w14:solidFill>
              <w14:srgbClr w14:val="000000"/>
            </w14:solidFill>
            <w14:prstDash w14:val="solid"/>
            <w14:bevel/>
          </w14:textOutline>
        </w:rPr>
        <w:t>，</w:t>
      </w:r>
      <w:r>
        <w:rPr>
          <w:rFonts w:hint="default" w:ascii="Times New Roman" w:hAnsi="Times New Roman" w:eastAsia="Times New Roman" w:cs="Times New Roman"/>
          <w:b/>
          <w:bCs/>
          <w:position w:val="3"/>
          <w:sz w:val="23"/>
          <w:szCs w:val="23"/>
          <w:highlight w:val="none"/>
        </w:rPr>
        <w:t>pH</w:t>
      </w:r>
      <w:r>
        <w:rPr>
          <w:rFonts w:hint="default" w:ascii="Times New Roman" w:hAnsi="Times New Roman" w:eastAsia="Times New Roman" w:cs="Times New Roman"/>
          <w:spacing w:val="4"/>
          <w:position w:val="3"/>
          <w:sz w:val="23"/>
          <w:szCs w:val="23"/>
          <w:highlight w:val="none"/>
        </w:rPr>
        <w:t xml:space="preserve"> </w:t>
      </w:r>
      <w:r>
        <w:rPr>
          <w:rFonts w:hint="default" w:ascii="Times New Roman" w:hAnsi="Times New Roman" w:eastAsia="宋体" w:cs="Times New Roman"/>
          <w:spacing w:val="4"/>
          <w:position w:val="3"/>
          <w:sz w:val="23"/>
          <w:szCs w:val="23"/>
          <w:highlight w:val="none"/>
          <w14:textOutline w14:w="4358" w14:cap="sq" w14:cmpd="sng">
            <w14:solidFill>
              <w14:srgbClr w14:val="000000"/>
            </w14:solidFill>
            <w14:prstDash w14:val="solid"/>
            <w14:bevel/>
          </w14:textOutline>
        </w:rPr>
        <w:t>除外</w:t>
      </w:r>
      <w:r>
        <w:rPr>
          <w:rFonts w:hint="default" w:ascii="Times New Roman" w:hAnsi="Times New Roman" w:eastAsia="Times New Roman" w:cs="Times New Roman"/>
          <w:b/>
          <w:bCs/>
          <w:spacing w:val="4"/>
          <w:position w:val="3"/>
          <w:sz w:val="23"/>
          <w:szCs w:val="23"/>
          <w:highlight w:val="none"/>
        </w:rPr>
        <w:t>)</w:t>
      </w:r>
    </w:p>
    <w:p>
      <w:pPr>
        <w:spacing w:line="27" w:lineRule="exact"/>
        <w:rPr>
          <w:rFonts w:hint="default" w:ascii="Times New Roman" w:hAnsi="Times New Roman" w:cs="Times New Roman"/>
          <w:highlight w:val="none"/>
        </w:rPr>
      </w:pPr>
    </w:p>
    <w:tbl>
      <w:tblPr>
        <w:tblStyle w:val="15"/>
        <w:tblW w:w="14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2024"/>
        <w:gridCol w:w="2602"/>
        <w:gridCol w:w="2602"/>
        <w:gridCol w:w="2602"/>
        <w:gridCol w:w="1367"/>
        <w:gridCol w:w="1237"/>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2618" w:type="dxa"/>
            <w:gridSpan w:val="2"/>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mc:AlternateContent>
                <mc:Choice Requires="wps">
                  <w:drawing>
                    <wp:anchor distT="0" distB="0" distL="114300" distR="114300" simplePos="0" relativeHeight="251880448" behindDoc="0" locked="0" layoutInCell="1" allowOverlap="1">
                      <wp:simplePos x="0" y="0"/>
                      <wp:positionH relativeFrom="column">
                        <wp:posOffset>659130</wp:posOffset>
                      </wp:positionH>
                      <wp:positionV relativeFrom="paragraph">
                        <wp:posOffset>25400</wp:posOffset>
                      </wp:positionV>
                      <wp:extent cx="732155" cy="49276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732155" cy="492760"/>
                              </a:xfrm>
                              <a:prstGeom prst="rect">
                                <a:avLst/>
                              </a:prstGeom>
                              <a:noFill/>
                              <a:ln>
                                <a:noFill/>
                              </a:ln>
                            </wps:spPr>
                            <wps:txbx>
                              <w:txbxContent>
                                <w:p>
                                  <w:pPr>
                                    <w:rPr>
                                      <w:sz w:val="21"/>
                                      <w:szCs w:val="21"/>
                                    </w:rPr>
                                  </w:pPr>
                                  <w:r>
                                    <w:rPr>
                                      <w:rFonts w:hint="eastAsia"/>
                                      <w:sz w:val="21"/>
                                      <w:szCs w:val="21"/>
                                    </w:rPr>
                                    <w:t>样品名称</w:t>
                                  </w:r>
                                </w:p>
                              </w:txbxContent>
                            </wps:txbx>
                            <wps:bodyPr upright="1"/>
                          </wps:wsp>
                        </a:graphicData>
                      </a:graphic>
                    </wp:anchor>
                  </w:drawing>
                </mc:Choice>
                <mc:Fallback>
                  <w:pict>
                    <v:shape id="_x0000_s1026" o:spid="_x0000_s1026" o:spt="202" type="#_x0000_t202" style="position:absolute;left:0pt;margin-left:51.9pt;margin-top:2pt;height:38.8pt;width:57.65pt;z-index:251880448;mso-width-relative:page;mso-height-relative:page;" filled="f" stroked="f" coordsize="21600,21600" o:gfxdata="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OT2r1QAA&#10;AAgBAAAPAAAAAAAAAAEAIAAAACIAAABkcnMvZG93bnJldi54bWxQSwECFAAUAAAACACHTuJAjK1O&#10;Qa8BAABRAwAADgAAAAAAAAABACAAAAAkAQAAZHJzL2Uyb0RvYy54bWxQSwUGAAAAAAYABgBZAQAA&#10;RQUAAAAA&#10;">
                      <v:fill on="f" focussize="0,0"/>
                      <v:stroke on="f"/>
                      <v:imagedata o:title=""/>
                      <o:lock v:ext="edit" aspectratio="f"/>
                      <v:textbox>
                        <w:txbxContent>
                          <w:p>
                            <w:pPr>
                              <w:rPr>
                                <w:sz w:val="21"/>
                                <w:szCs w:val="21"/>
                              </w:rPr>
                            </w:pPr>
                            <w:r>
                              <w:rPr>
                                <w:rFonts w:hint="eastAsia"/>
                                <w:sz w:val="21"/>
                                <w:szCs w:val="21"/>
                              </w:rPr>
                              <w:t>样品名称</w:t>
                            </w:r>
                          </w:p>
                        </w:txbxContent>
                      </v:textbox>
                    </v:shape>
                  </w:pict>
                </mc:Fallback>
              </mc:AlternateContent>
            </w:r>
            <w:r>
              <w:rPr>
                <w:rFonts w:hint="default" w:ascii="Times New Roman" w:hAnsi="Times New Roman" w:eastAsia="宋体" w:cs="Times New Roman"/>
                <w:sz w:val="21"/>
                <w:szCs w:val="21"/>
                <w:highlight w:val="none"/>
              </w:rPr>
              <mc:AlternateContent>
                <mc:Choice Requires="wps">
                  <w:drawing>
                    <wp:anchor distT="0" distB="0" distL="114300" distR="114300" simplePos="0" relativeHeight="251879424" behindDoc="0" locked="0" layoutInCell="1" allowOverlap="1">
                      <wp:simplePos x="0" y="0"/>
                      <wp:positionH relativeFrom="column">
                        <wp:posOffset>-41275</wp:posOffset>
                      </wp:positionH>
                      <wp:positionV relativeFrom="paragraph">
                        <wp:posOffset>34925</wp:posOffset>
                      </wp:positionV>
                      <wp:extent cx="333375" cy="880110"/>
                      <wp:effectExtent l="4445" t="1905" r="5080" b="13335"/>
                      <wp:wrapNone/>
                      <wp:docPr id="146" name="直接连接符 146"/>
                      <wp:cNvGraphicFramePr/>
                      <a:graphic xmlns:a="http://schemas.openxmlformats.org/drawingml/2006/main">
                        <a:graphicData uri="http://schemas.microsoft.com/office/word/2010/wordprocessingShape">
                          <wps:wsp>
                            <wps:cNvCnPr/>
                            <wps:spPr>
                              <a:xfrm>
                                <a:off x="0" y="0"/>
                                <a:ext cx="333375" cy="8801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5pt;margin-top:2.75pt;height:69.3pt;width:26.25pt;z-index:251879424;mso-width-relative:page;mso-height-relative:page;" filled="f" stroked="t" coordsize="21600,21600" o:gfxdata="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8FrYtYAAAAHAQAADwAAAAAAAAABACAAAAAiAAAAZHJzL2Rvd25yZXYueG1s&#10;UEsBAhQAFAAAAAgAh07iQHxoElr6AQAA7AMAAA4AAAAAAAAAAQAgAAAAJQEAAGRycy9lMm9Eb2Mu&#10;eG1sUEsFBgAAAAAGAAYAWQEAAJEFAAAAAA==&#10;">
                      <v:fill on="f" focussize="0,0"/>
                      <v:stroke color="#000000" joinstyle="round"/>
                      <v:imagedata o:title=""/>
                      <o:lock v:ext="edit" aspectratio="f"/>
                    </v:line>
                  </w:pict>
                </mc:Fallback>
              </mc:AlternateContent>
            </w:r>
            <w:r>
              <w:rPr>
                <w:rFonts w:hint="default" w:ascii="Times New Roman" w:hAnsi="Times New Roman" w:eastAsia="宋体" w:cs="Times New Roman"/>
                <w:sz w:val="21"/>
                <w:szCs w:val="21"/>
                <w:highlight w:val="none"/>
              </w:rPr>
              <mc:AlternateContent>
                <mc:Choice Requires="wps">
                  <w:drawing>
                    <wp:anchor distT="0" distB="0" distL="114300" distR="114300" simplePos="0" relativeHeight="251878400" behindDoc="0" locked="0" layoutInCell="1" allowOverlap="1">
                      <wp:simplePos x="0" y="0"/>
                      <wp:positionH relativeFrom="column">
                        <wp:posOffset>-60325</wp:posOffset>
                      </wp:positionH>
                      <wp:positionV relativeFrom="paragraph">
                        <wp:posOffset>2540</wp:posOffset>
                      </wp:positionV>
                      <wp:extent cx="1598295" cy="932180"/>
                      <wp:effectExtent l="2540" t="3810" r="18415" b="16510"/>
                      <wp:wrapNone/>
                      <wp:docPr id="164" name="直接连接符 164"/>
                      <wp:cNvGraphicFramePr/>
                      <a:graphic xmlns:a="http://schemas.openxmlformats.org/drawingml/2006/main">
                        <a:graphicData uri="http://schemas.microsoft.com/office/word/2010/wordprocessingShape">
                          <wps:wsp>
                            <wps:cNvCnPr/>
                            <wps:spPr>
                              <a:xfrm>
                                <a:off x="0" y="0"/>
                                <a:ext cx="1598295" cy="932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75pt;margin-top:0.2pt;height:73.4pt;width:125.85pt;z-index:251878400;mso-width-relative:page;mso-height-relative:page;" filled="f" stroked="t" coordsize="21600,21600" o:gfxdata="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roD3DVAAAABwEAAA8AAAAAAAAAAQAgAAAAIgAAAGRycy9kb3ducmV2Lnht&#10;bFBLAQIUABQAAAAIAIdO4kAvYo7k/AEAAO0DAAAOAAAAAAAAAAEAIAAAACQBAABkcnMvZTJvRG9j&#10;LnhtbFBLBQYAAAAABgAGAFkBAACSBQAAAAA=&#10;">
                      <v:fill on="f" focussize="0,0"/>
                      <v:stroke color="#000000" joinstyle="round"/>
                      <v:imagedata o:title=""/>
                      <o:lock v:ext="edit" aspectratio="f"/>
                    </v:line>
                  </w:pict>
                </mc:Fallback>
              </mc:AlternateContent>
            </w:r>
          </w:p>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mc:AlternateContent>
                <mc:Choice Requires="wps">
                  <w:drawing>
                    <wp:anchor distT="0" distB="0" distL="114300" distR="114300" simplePos="0" relativeHeight="251882496" behindDoc="0" locked="0" layoutInCell="1" allowOverlap="1">
                      <wp:simplePos x="0" y="0"/>
                      <wp:positionH relativeFrom="column">
                        <wp:posOffset>-157480</wp:posOffset>
                      </wp:positionH>
                      <wp:positionV relativeFrom="paragraph">
                        <wp:posOffset>62865</wp:posOffset>
                      </wp:positionV>
                      <wp:extent cx="252730" cy="72771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252730" cy="727710"/>
                              </a:xfrm>
                              <a:prstGeom prst="rect">
                                <a:avLst/>
                              </a:prstGeom>
                              <a:noFill/>
                              <a:ln>
                                <a:noFill/>
                              </a:ln>
                            </wps:spPr>
                            <wps:txbx>
                              <w:txbxContent>
                                <w:p>
                                  <w:pPr>
                                    <w:rPr>
                                      <w:sz w:val="21"/>
                                      <w:szCs w:val="21"/>
                                    </w:rPr>
                                  </w:pPr>
                                  <w:r>
                                    <w:rPr>
                                      <w:rFonts w:hint="eastAsia"/>
                                      <w:sz w:val="21"/>
                                      <w:szCs w:val="21"/>
                                    </w:rPr>
                                    <w:t>序号</w:t>
                                  </w:r>
                                </w:p>
                              </w:txbxContent>
                            </wps:txbx>
                            <wps:bodyPr upright="1"/>
                          </wps:wsp>
                        </a:graphicData>
                      </a:graphic>
                    </wp:anchor>
                  </w:drawing>
                </mc:Choice>
                <mc:Fallback>
                  <w:pict>
                    <v:shape id="_x0000_s1026" o:spid="_x0000_s1026" o:spt="202" type="#_x0000_t202" style="position:absolute;left:0pt;margin-left:-12.4pt;margin-top:4.95pt;height:57.3pt;width:19.9pt;z-index:251882496;mso-width-relative:page;mso-height-relative:page;" filled="f" stroked="f" coordsize="21600,21600" o:gfxdata="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IH0gT1gAA&#10;AAgBAAAPAAAAAAAAAAEAIAAAACIAAABkcnMvZG93bnJldi54bWxQSwECFAAUAAAACACHTuJAfEXN&#10;IK4BAABRAwAADgAAAAAAAAABACAAAAAlAQAAZHJzL2Uyb0RvYy54bWxQSwUGAAAAAAYABgBZAQAA&#10;RQUAAAAA&#10;">
                      <v:fill on="f" focussize="0,0"/>
                      <v:stroke on="f"/>
                      <v:imagedata o:title=""/>
                      <o:lock v:ext="edit" aspectratio="f"/>
                      <v:textbox>
                        <w:txbxContent>
                          <w:p>
                            <w:pPr>
                              <w:rPr>
                                <w:sz w:val="21"/>
                                <w:szCs w:val="21"/>
                              </w:rPr>
                            </w:pPr>
                            <w:r>
                              <w:rPr>
                                <w:rFonts w:hint="eastAsia"/>
                                <w:sz w:val="21"/>
                                <w:szCs w:val="21"/>
                              </w:rPr>
                              <w:t>序号</w:t>
                            </w:r>
                          </w:p>
                        </w:txbxContent>
                      </v:textbox>
                    </v:shape>
                  </w:pict>
                </mc:Fallback>
              </mc:AlternateContent>
            </w:r>
          </w:p>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mc:AlternateContent>
                <mc:Choice Requires="wps">
                  <w:drawing>
                    <wp:anchor distT="0" distB="0" distL="114300" distR="114300" simplePos="0" relativeHeight="251881472" behindDoc="0" locked="0" layoutInCell="1" allowOverlap="1">
                      <wp:simplePos x="0" y="0"/>
                      <wp:positionH relativeFrom="column">
                        <wp:posOffset>128905</wp:posOffset>
                      </wp:positionH>
                      <wp:positionV relativeFrom="paragraph">
                        <wp:posOffset>145415</wp:posOffset>
                      </wp:positionV>
                      <wp:extent cx="790575" cy="42926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790575" cy="429260"/>
                              </a:xfrm>
                              <a:prstGeom prst="rect">
                                <a:avLst/>
                              </a:prstGeom>
                              <a:noFill/>
                              <a:ln>
                                <a:noFill/>
                              </a:ln>
                            </wps:spPr>
                            <wps:txbx>
                              <w:txbxContent>
                                <w:p>
                                  <w:pPr>
                                    <w:rPr>
                                      <w:sz w:val="21"/>
                                      <w:szCs w:val="21"/>
                                    </w:rPr>
                                  </w:pPr>
                                  <w:r>
                                    <w:rPr>
                                      <w:rFonts w:hint="eastAsia"/>
                                      <w:sz w:val="21"/>
                                      <w:szCs w:val="21"/>
                                    </w:rPr>
                                    <w:t>检测项目</w:t>
                                  </w:r>
                                </w:p>
                              </w:txbxContent>
                            </wps:txbx>
                            <wps:bodyPr upright="1"/>
                          </wps:wsp>
                        </a:graphicData>
                      </a:graphic>
                    </wp:anchor>
                  </w:drawing>
                </mc:Choice>
                <mc:Fallback>
                  <w:pict>
                    <v:shape id="_x0000_s1026" o:spid="_x0000_s1026" o:spt="202" type="#_x0000_t202" style="position:absolute;left:0pt;margin-left:10.15pt;margin-top:11.45pt;height:33.8pt;width:62.25pt;z-index:251881472;mso-width-relative:page;mso-height-relative:page;" filled="f" stroked="f" coordsize="21600,21600" o:gfxdata="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yYBfzW&#10;AAAACAEAAA8AAAAAAAAAAQAgAAAAIgAAAGRycy9kb3ducmV2LnhtbFBLAQIUABQAAAAIAIdO4kCc&#10;7k4LsAEAAFEDAAAOAAAAAAAAAAEAIAAAACUBAABkcnMvZTJvRG9jLnhtbFBLBQYAAAAABgAGAFkB&#10;AABHBQAAAAA=&#10;">
                      <v:fill on="f" focussize="0,0"/>
                      <v:stroke on="f"/>
                      <v:imagedata o:title=""/>
                      <o:lock v:ext="edit" aspectratio="f"/>
                      <v:textbox>
                        <w:txbxContent>
                          <w:p>
                            <w:pPr>
                              <w:rPr>
                                <w:sz w:val="21"/>
                                <w:szCs w:val="21"/>
                              </w:rPr>
                            </w:pPr>
                            <w:r>
                              <w:rPr>
                                <w:rFonts w:hint="eastAsia"/>
                                <w:sz w:val="21"/>
                                <w:szCs w:val="21"/>
                              </w:rPr>
                              <w:t>检测项目</w:t>
                            </w:r>
                          </w:p>
                        </w:txbxContent>
                      </v:textbox>
                    </v:shape>
                  </w:pict>
                </mc:Fallback>
              </mc:AlternateContent>
            </w:r>
          </w:p>
          <w:p>
            <w:pPr>
              <w:spacing w:line="240" w:lineRule="auto"/>
              <w:jc w:val="center"/>
              <w:rPr>
                <w:rFonts w:hint="default" w:ascii="Times New Roman" w:hAnsi="Times New Roman" w:eastAsia="宋体" w:cs="Times New Roman"/>
                <w:sz w:val="21"/>
                <w:szCs w:val="21"/>
                <w:highlight w:val="none"/>
              </w:rPr>
            </w:pPr>
          </w:p>
          <w:p>
            <w:pPr>
              <w:spacing w:line="240" w:lineRule="auto"/>
              <w:jc w:val="center"/>
              <w:rPr>
                <w:rFonts w:hint="default" w:ascii="Times New Roman" w:hAnsi="Times New Roman" w:eastAsia="宋体" w:cs="Times New Roman"/>
                <w:sz w:val="21"/>
                <w:szCs w:val="21"/>
                <w:highlight w:val="none"/>
              </w:rPr>
            </w:pP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eastAsia="宋体"/>
                <w:szCs w:val="21"/>
                <w:highlight w:val="none"/>
                <w:lang w:val="en-US" w:eastAsia="zh-CN"/>
              </w:rPr>
              <w:t>张家坟村</w:t>
            </w:r>
          </w:p>
        </w:tc>
        <w:tc>
          <w:tcPr>
            <w:tcW w:w="2602" w:type="dxa"/>
            <w:noWrap w:val="0"/>
            <w:vAlign w:val="center"/>
          </w:tcPr>
          <w:p>
            <w:pPr>
              <w:jc w:val="center"/>
              <w:rPr>
                <w:rFonts w:hint="default" w:ascii="Times New Roman" w:hAnsi="Times New Roman" w:eastAsia="宋体" w:cs="Times New Roman"/>
                <w:sz w:val="21"/>
                <w:szCs w:val="21"/>
                <w:highlight w:val="none"/>
              </w:rPr>
            </w:pPr>
            <w:r>
              <w:rPr>
                <w:rFonts w:hint="eastAsia"/>
                <w:kern w:val="2"/>
                <w:sz w:val="21"/>
                <w:szCs w:val="21"/>
                <w:highlight w:val="none"/>
                <w:lang w:val="en-US" w:eastAsia="zh-CN" w:bidi="ar-SA"/>
              </w:rPr>
              <w:t>皮各庄村</w:t>
            </w:r>
          </w:p>
        </w:tc>
        <w:tc>
          <w:tcPr>
            <w:tcW w:w="2602" w:type="dxa"/>
            <w:noWrap w:val="0"/>
            <w:vAlign w:val="center"/>
          </w:tcPr>
          <w:p>
            <w:pPr>
              <w:jc w:val="center"/>
              <w:rPr>
                <w:rFonts w:hint="eastAsia" w:ascii="Times New Roman" w:hAnsi="Times New Roman" w:eastAsia="宋体" w:cs="Times New Roman"/>
                <w:sz w:val="21"/>
                <w:szCs w:val="21"/>
                <w:highlight w:val="none"/>
              </w:rPr>
            </w:pPr>
            <w:r>
              <w:rPr>
                <w:rFonts w:hint="eastAsia"/>
                <w:szCs w:val="21"/>
                <w:highlight w:val="none"/>
              </w:rPr>
              <w:t>项目厂区内</w:t>
            </w:r>
          </w:p>
        </w:tc>
        <w:tc>
          <w:tcPr>
            <w:tcW w:w="1367" w:type="dxa"/>
            <w:noWrap w:val="0"/>
            <w:vAlign w:val="center"/>
          </w:tcPr>
          <w:p>
            <w:pPr>
              <w:jc w:val="center"/>
              <w:rPr>
                <w:rFonts w:hint="default" w:ascii="Times New Roman" w:hAnsi="Times New Roman" w:eastAsia="宋体" w:cs="Times New Roman"/>
                <w:sz w:val="21"/>
                <w:szCs w:val="21"/>
                <w:highlight w:val="none"/>
              </w:rPr>
            </w:pPr>
            <w:r>
              <w:rPr>
                <w:rFonts w:hint="eastAsia"/>
                <w:szCs w:val="21"/>
                <w:highlight w:val="none"/>
                <w:lang w:val="en-US" w:eastAsia="zh-CN"/>
              </w:rPr>
              <w:t>山王庄村</w:t>
            </w:r>
          </w:p>
        </w:tc>
        <w:tc>
          <w:tcPr>
            <w:tcW w:w="1237" w:type="dxa"/>
            <w:noWrap w:val="0"/>
            <w:vAlign w:val="center"/>
          </w:tcPr>
          <w:p>
            <w:pPr>
              <w:jc w:val="center"/>
              <w:rPr>
                <w:rFonts w:hint="eastAsia"/>
                <w:szCs w:val="21"/>
                <w:highlight w:val="none"/>
                <w:lang w:val="en-US" w:eastAsia="zh-CN"/>
              </w:rPr>
            </w:pPr>
            <w:r>
              <w:rPr>
                <w:rFonts w:hint="eastAsia"/>
                <w:szCs w:val="21"/>
                <w:highlight w:val="none"/>
                <w:lang w:val="en-US" w:eastAsia="zh-CN"/>
              </w:rPr>
              <w:t>李家沟村</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pH</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kern w:val="2"/>
                <w:sz w:val="21"/>
                <w:szCs w:val="24"/>
                <w:highlight w:val="none"/>
                <w:lang w:val="en-US" w:eastAsia="zh-CN" w:bidi="ar-SA"/>
              </w:rPr>
              <w:t>7.4</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7.5</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7.4</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7.3</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7.4</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总硬度</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kern w:val="2"/>
                <w:sz w:val="21"/>
                <w:szCs w:val="21"/>
                <w:highlight w:val="none"/>
                <w:lang w:val="en-US" w:eastAsia="zh-CN" w:bidi="ar-SA"/>
              </w:rPr>
              <w:t>398</w:t>
            </w:r>
          </w:p>
        </w:tc>
        <w:tc>
          <w:tcPr>
            <w:tcW w:w="2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390</w:t>
            </w:r>
          </w:p>
        </w:tc>
        <w:tc>
          <w:tcPr>
            <w:tcW w:w="2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436</w:t>
            </w:r>
          </w:p>
        </w:tc>
        <w:tc>
          <w:tcPr>
            <w:tcW w:w="13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284</w:t>
            </w:r>
          </w:p>
        </w:tc>
        <w:tc>
          <w:tcPr>
            <w:tcW w:w="12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409</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溶解性总固体</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kern w:val="2"/>
                <w:sz w:val="21"/>
                <w:szCs w:val="21"/>
                <w:highlight w:val="none"/>
                <w:lang w:val="en-US" w:eastAsia="zh-CN" w:bidi="ar-SA"/>
              </w:rPr>
              <w:t>452</w:t>
            </w:r>
          </w:p>
        </w:tc>
        <w:tc>
          <w:tcPr>
            <w:tcW w:w="2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453</w:t>
            </w:r>
          </w:p>
        </w:tc>
        <w:tc>
          <w:tcPr>
            <w:tcW w:w="2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537</w:t>
            </w:r>
          </w:p>
        </w:tc>
        <w:tc>
          <w:tcPr>
            <w:tcW w:w="13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346</w:t>
            </w:r>
          </w:p>
        </w:tc>
        <w:tc>
          <w:tcPr>
            <w:tcW w:w="12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452</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硫酸盐</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kern w:val="2"/>
                <w:sz w:val="21"/>
                <w:szCs w:val="21"/>
                <w:highlight w:val="none"/>
                <w:lang w:val="en-US" w:eastAsia="zh-CN" w:bidi="ar-SA"/>
              </w:rPr>
              <w:t>85</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74</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185</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72</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149</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氯化物</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14.7</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8.19</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17.2</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5.40</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10.6</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铁</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0.03L</w:t>
            </w:r>
          </w:p>
        </w:tc>
        <w:tc>
          <w:tcPr>
            <w:tcW w:w="2602"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0.03L</w:t>
            </w:r>
          </w:p>
        </w:tc>
        <w:tc>
          <w:tcPr>
            <w:tcW w:w="2602"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0.03L</w:t>
            </w:r>
          </w:p>
        </w:tc>
        <w:tc>
          <w:tcPr>
            <w:tcW w:w="1367"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0.03L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0.03L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锰</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0.01L</w:t>
            </w:r>
          </w:p>
        </w:tc>
        <w:tc>
          <w:tcPr>
            <w:tcW w:w="2602"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0.01L</w:t>
            </w:r>
          </w:p>
        </w:tc>
        <w:tc>
          <w:tcPr>
            <w:tcW w:w="2602"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0.01L</w:t>
            </w:r>
          </w:p>
        </w:tc>
        <w:tc>
          <w:tcPr>
            <w:tcW w:w="1367"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0.01L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0.01L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钾</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1.90</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1.86</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2.52</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2.37</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2.10</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钙</w:t>
            </w:r>
          </w:p>
        </w:tc>
        <w:tc>
          <w:tcPr>
            <w:tcW w:w="2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124</w:t>
            </w:r>
          </w:p>
        </w:tc>
        <w:tc>
          <w:tcPr>
            <w:tcW w:w="2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116</w:t>
            </w:r>
          </w:p>
        </w:tc>
        <w:tc>
          <w:tcPr>
            <w:tcW w:w="2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131</w:t>
            </w:r>
          </w:p>
        </w:tc>
        <w:tc>
          <w:tcPr>
            <w:tcW w:w="13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color w:val="auto"/>
                <w:szCs w:val="21"/>
                <w:highlight w:val="none"/>
                <w:lang w:val="en-US" w:eastAsia="zh-CN"/>
              </w:rPr>
              <w:t>81.4</w:t>
            </w:r>
          </w:p>
        </w:tc>
        <w:tc>
          <w:tcPr>
            <w:tcW w:w="12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127</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镁</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28.5</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28.7</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33.8</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14.7</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27.9</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钠</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13.3</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20.6</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29.0</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8.06</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10.6</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w:t>
            </w:r>
          </w:p>
        </w:tc>
        <w:tc>
          <w:tcPr>
            <w:tcW w:w="2024" w:type="dxa"/>
            <w:noWrap w:val="0"/>
            <w:vAlign w:val="center"/>
          </w:tcPr>
          <w:p>
            <w:pPr>
              <w:spacing w:line="240" w:lineRule="auto"/>
              <w:jc w:val="center"/>
              <w:rPr>
                <w:rFonts w:hint="eastAsia"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碳酸盐</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5L</w:t>
            </w:r>
          </w:p>
        </w:tc>
        <w:tc>
          <w:tcPr>
            <w:tcW w:w="2602"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5L</w:t>
            </w:r>
          </w:p>
        </w:tc>
        <w:tc>
          <w:tcPr>
            <w:tcW w:w="2602"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5L</w:t>
            </w:r>
          </w:p>
        </w:tc>
        <w:tc>
          <w:tcPr>
            <w:tcW w:w="1367"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5L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5L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w:t>
            </w:r>
          </w:p>
        </w:tc>
        <w:tc>
          <w:tcPr>
            <w:tcW w:w="2024" w:type="dxa"/>
            <w:noWrap w:val="0"/>
            <w:vAlign w:val="center"/>
          </w:tcPr>
          <w:p>
            <w:pPr>
              <w:spacing w:line="240" w:lineRule="auto"/>
              <w:jc w:val="center"/>
              <w:rPr>
                <w:rFonts w:hint="eastAsia"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重碳酸盐</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283</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323</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254</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Cs w:val="21"/>
                <w:highlight w:val="none"/>
                <w:lang w:val="en-US" w:eastAsia="zh-CN"/>
              </w:rPr>
              <w:t>250</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282</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w:t>
            </w:r>
          </w:p>
        </w:tc>
        <w:tc>
          <w:tcPr>
            <w:tcW w:w="2024" w:type="dxa"/>
            <w:noWrap w:val="0"/>
            <w:vAlign w:val="center"/>
          </w:tcPr>
          <w:p>
            <w:pPr>
              <w:spacing w:line="240" w:lineRule="auto"/>
              <w:jc w:val="center"/>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挥发性酚类</w:t>
            </w:r>
            <w:r>
              <w:rPr>
                <w:rFonts w:hint="eastAsia" w:ascii="Times New Roman" w:hAnsi="Times New Roman" w:eastAsia="宋体" w:cs="Times New Roman"/>
                <w:sz w:val="21"/>
                <w:szCs w:val="21"/>
                <w:highlight w:val="none"/>
                <w:lang w:eastAsia="zh-CN"/>
              </w:rPr>
              <w:t>（以苯酚计）</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0.0003L</w:t>
            </w:r>
          </w:p>
        </w:tc>
        <w:tc>
          <w:tcPr>
            <w:tcW w:w="2602"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0.0003L</w:t>
            </w:r>
          </w:p>
        </w:tc>
        <w:tc>
          <w:tcPr>
            <w:tcW w:w="2602"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0.0003L</w:t>
            </w:r>
          </w:p>
        </w:tc>
        <w:tc>
          <w:tcPr>
            <w:tcW w:w="1367" w:type="dxa"/>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szCs w:val="21"/>
                <w:highlight w:val="none"/>
                <w:lang w:val="en-US" w:eastAsia="zh-CN"/>
              </w:rPr>
              <w:t>0.0003L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0.0003L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耗氧量</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2.06</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1.80</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1.93</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1.77</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1.74</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16</w:t>
            </w:r>
          </w:p>
        </w:tc>
        <w:tc>
          <w:tcPr>
            <w:tcW w:w="2024" w:type="dxa"/>
            <w:noWrap w:val="0"/>
            <w:vAlign w:val="center"/>
          </w:tcPr>
          <w:p>
            <w:pPr>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氨氮</w:t>
            </w:r>
          </w:p>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（以N计）</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0.025L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0.025L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0.025L</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0.025L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0.025L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17</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总大肠菌群</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未检出</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未检出</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未检出</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未检出</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未检出</w:t>
            </w:r>
          </w:p>
        </w:tc>
        <w:tc>
          <w:tcPr>
            <w:tcW w:w="1381" w:type="dxa"/>
            <w:noWrap w:val="0"/>
            <w:vAlign w:val="center"/>
          </w:tcPr>
          <w:p>
            <w:pPr>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MPN/</w:t>
            </w:r>
          </w:p>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18</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菌落总数</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59</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79</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69</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44</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63</w:t>
            </w:r>
          </w:p>
        </w:tc>
        <w:tc>
          <w:tcPr>
            <w:tcW w:w="1381" w:type="dxa"/>
            <w:noWrap w:val="0"/>
            <w:vAlign w:val="center"/>
          </w:tcPr>
          <w:p>
            <w:pPr>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CFU/</w:t>
            </w:r>
          </w:p>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19</w:t>
            </w:r>
          </w:p>
        </w:tc>
        <w:tc>
          <w:tcPr>
            <w:tcW w:w="2024" w:type="dxa"/>
            <w:noWrap w:val="0"/>
            <w:vAlign w:val="center"/>
          </w:tcPr>
          <w:p>
            <w:pPr>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硝酸盐</w:t>
            </w:r>
          </w:p>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（以N计）</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12.4</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8.06</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6.27</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8.64</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19.0</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w:t>
            </w:r>
          </w:p>
        </w:tc>
        <w:tc>
          <w:tcPr>
            <w:tcW w:w="2024" w:type="dxa"/>
            <w:noWrap w:val="0"/>
            <w:vAlign w:val="center"/>
          </w:tcPr>
          <w:p>
            <w:pPr>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亚硝酸盐</w:t>
            </w:r>
          </w:p>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（以N计）</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0.003L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0.003L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0.003L</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0.003L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0.003L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21</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氰化物</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0.002L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0.002L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0.002L</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0.002L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0.002L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22</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氟化物</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0.16</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0.14</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0.18</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0.15</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0.11</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23</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汞</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0.04L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0.04L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0.04L</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0.04L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0.04L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24</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砷</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0.3L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0.3L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0.3L</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0.3L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0.3L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25</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镉</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0.5L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0.5L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0.5L</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0.5L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0.5L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26</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铬（六价）</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0.004L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0.004L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0.004L</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0.004L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0.004L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27</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铅</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2.5L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2.5L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2.5L</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2.5L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2.5L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28</w:t>
            </w:r>
          </w:p>
        </w:tc>
        <w:tc>
          <w:tcPr>
            <w:tcW w:w="2024"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石油类</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0.01L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0.01L</w:t>
            </w:r>
          </w:p>
        </w:tc>
        <w:tc>
          <w:tcPr>
            <w:tcW w:w="260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0.01L</w:t>
            </w:r>
          </w:p>
        </w:tc>
        <w:tc>
          <w:tcPr>
            <w:tcW w:w="136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0.01L</w:t>
            </w:r>
          </w:p>
        </w:tc>
        <w:tc>
          <w:tcPr>
            <w:tcW w:w="1237"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Cs w:val="21"/>
                <w:highlight w:val="none"/>
                <w:lang w:val="en-US" w:eastAsia="zh-CN"/>
              </w:rPr>
              <w:t>0.01L</w:t>
            </w:r>
          </w:p>
        </w:tc>
        <w:tc>
          <w:tcPr>
            <w:tcW w:w="138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mg/L</w:t>
            </w:r>
          </w:p>
        </w:tc>
      </w:tr>
    </w:tbl>
    <w:p>
      <w:pPr>
        <w:rPr>
          <w:rFonts w:hint="default" w:ascii="Times New Roman" w:hAnsi="Times New Roman" w:cs="Times New Roman"/>
          <w:sz w:val="21"/>
          <w:highlight w:val="none"/>
        </w:rPr>
      </w:pPr>
    </w:p>
    <w:p>
      <w:pPr>
        <w:jc w:val="center"/>
        <w:rPr>
          <w:rFonts w:hint="default" w:ascii="Times New Roman" w:hAnsi="Times New Roman" w:cs="Times New Roman"/>
          <w:b/>
          <w:highlight w:val="none"/>
        </w:rPr>
      </w:pPr>
      <w:r>
        <w:rPr>
          <w:rFonts w:hint="default" w:ascii="Times New Roman" w:hAnsi="Times New Roman" w:cs="Times New Roman"/>
          <w:b/>
          <w:highlight w:val="none"/>
        </w:rPr>
        <w:t>表4.3-</w:t>
      </w:r>
      <w:r>
        <w:rPr>
          <w:rFonts w:hint="eastAsia" w:ascii="Times New Roman" w:hAnsi="Times New Roman" w:eastAsia="宋体" w:cs="Times New Roman"/>
          <w:b/>
          <w:highlight w:val="none"/>
          <w:lang w:val="en-US" w:eastAsia="zh-CN"/>
        </w:rPr>
        <w:t>5</w:t>
      </w:r>
      <w:r>
        <w:rPr>
          <w:rFonts w:hint="default" w:ascii="Times New Roman" w:hAnsi="Times New Roman" w:cs="Times New Roman"/>
          <w:b/>
          <w:highlight w:val="none"/>
        </w:rPr>
        <w:t xml:space="preserve">        地下水现状评价结果一览表</w:t>
      </w:r>
    </w:p>
    <w:tbl>
      <w:tblPr>
        <w:tblStyle w:val="15"/>
        <w:tblW w:w="14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2065"/>
        <w:gridCol w:w="2039"/>
        <w:gridCol w:w="2022"/>
        <w:gridCol w:w="2224"/>
        <w:gridCol w:w="2172"/>
        <w:gridCol w:w="2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监测因子</w:t>
            </w:r>
          </w:p>
        </w:tc>
        <w:tc>
          <w:tcPr>
            <w:tcW w:w="2065"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标准值</w:t>
            </w:r>
          </w:p>
        </w:tc>
        <w:tc>
          <w:tcPr>
            <w:tcW w:w="10591" w:type="dxa"/>
            <w:gridSpan w:val="5"/>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监测点达标情况分析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2065"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2039"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eastAsia="宋体"/>
                <w:szCs w:val="21"/>
                <w:highlight w:val="none"/>
                <w:lang w:val="en-US" w:eastAsia="zh-CN"/>
              </w:rPr>
              <w:t>张家坟村</w:t>
            </w:r>
          </w:p>
        </w:tc>
        <w:tc>
          <w:tcPr>
            <w:tcW w:w="202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kern w:val="2"/>
                <w:sz w:val="21"/>
                <w:szCs w:val="21"/>
                <w:highlight w:val="none"/>
                <w:lang w:val="en-US" w:eastAsia="zh-CN" w:bidi="ar-SA"/>
              </w:rPr>
              <w:t>皮各庄村</w:t>
            </w:r>
          </w:p>
        </w:tc>
        <w:tc>
          <w:tcPr>
            <w:tcW w:w="2224"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szCs w:val="21"/>
                <w:highlight w:val="none"/>
              </w:rPr>
              <w:t>项目厂区内</w:t>
            </w:r>
          </w:p>
        </w:tc>
        <w:tc>
          <w:tcPr>
            <w:tcW w:w="217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szCs w:val="21"/>
                <w:highlight w:val="none"/>
                <w:lang w:val="en-US" w:eastAsia="zh-CN"/>
              </w:rPr>
              <w:t>山王庄村</w:t>
            </w:r>
          </w:p>
        </w:tc>
        <w:tc>
          <w:tcPr>
            <w:tcW w:w="2134" w:type="dxa"/>
            <w:noWrap w:val="0"/>
            <w:vAlign w:val="center"/>
          </w:tcPr>
          <w:p>
            <w:pPr>
              <w:jc w:val="center"/>
              <w:rPr>
                <w:rFonts w:hint="default" w:ascii="Times New Roman" w:hAnsi="Times New Roman" w:cs="Times New Roman"/>
                <w:bCs/>
                <w:snapToGrid w:val="0"/>
                <w:sz w:val="21"/>
                <w:szCs w:val="21"/>
                <w:highlight w:val="none"/>
              </w:rPr>
            </w:pPr>
            <w:r>
              <w:rPr>
                <w:rFonts w:hint="eastAsia"/>
                <w:szCs w:val="21"/>
                <w:highlight w:val="none"/>
                <w:lang w:val="en-US" w:eastAsia="zh-CN"/>
              </w:rPr>
              <w:t>李家沟村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2" w:type="dxa"/>
            <w:noWrap w:val="0"/>
            <w:vAlign w:val="center"/>
          </w:tcPr>
          <w:p>
            <w:pPr>
              <w:spacing w:line="240" w:lineRule="auto"/>
              <w:jc w:val="center"/>
              <w:textAlignment w:val="top"/>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石油类</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0.05mg/L</w:t>
            </w:r>
          </w:p>
        </w:tc>
        <w:tc>
          <w:tcPr>
            <w:tcW w:w="2039" w:type="dxa"/>
            <w:tcBorders>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0.10</w:t>
            </w:r>
          </w:p>
        </w:tc>
        <w:tc>
          <w:tcPr>
            <w:tcW w:w="2022" w:type="dxa"/>
            <w:tcBorders>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0.10</w:t>
            </w:r>
          </w:p>
        </w:tc>
        <w:tc>
          <w:tcPr>
            <w:tcW w:w="2224" w:type="dxa"/>
            <w:tcBorders>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0.10</w:t>
            </w:r>
          </w:p>
        </w:tc>
        <w:tc>
          <w:tcPr>
            <w:tcW w:w="2172" w:type="dxa"/>
            <w:tcBorders>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0.10</w:t>
            </w:r>
          </w:p>
        </w:tc>
        <w:tc>
          <w:tcPr>
            <w:tcW w:w="2134" w:type="dxa"/>
            <w:tcBorders>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762" w:type="dxa"/>
            <w:noWrap w:val="0"/>
            <w:vAlign w:val="center"/>
          </w:tcPr>
          <w:p>
            <w:pPr>
              <w:spacing w:line="240" w:lineRule="auto"/>
              <w:jc w:val="center"/>
              <w:textAlignment w:val="top"/>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pH</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6.5～8.5</w:t>
            </w:r>
          </w:p>
        </w:tc>
        <w:tc>
          <w:tcPr>
            <w:tcW w:w="2039"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0.27</w:t>
            </w:r>
          </w:p>
        </w:tc>
        <w:tc>
          <w:tcPr>
            <w:tcW w:w="2022"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0.33</w:t>
            </w:r>
          </w:p>
        </w:tc>
        <w:tc>
          <w:tcPr>
            <w:tcW w:w="2224"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lang w:val="en-US"/>
              </w:rPr>
            </w:pPr>
            <w:r>
              <w:rPr>
                <w:rFonts w:hint="eastAsia" w:ascii="Times New Roman" w:hAnsi="Times New Roman" w:cs="Times New Roman"/>
                <w:sz w:val="21"/>
                <w:szCs w:val="21"/>
                <w:highlight w:val="none"/>
                <w:lang w:val="en-US" w:eastAsia="zh-CN"/>
              </w:rPr>
              <w:t>0.27</w:t>
            </w:r>
          </w:p>
        </w:tc>
        <w:tc>
          <w:tcPr>
            <w:tcW w:w="2172"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lang w:val="en-US"/>
              </w:rPr>
            </w:pPr>
            <w:r>
              <w:rPr>
                <w:rFonts w:hint="eastAsia" w:ascii="Times New Roman" w:hAnsi="Times New Roman" w:cs="Times New Roman"/>
                <w:sz w:val="21"/>
                <w:szCs w:val="21"/>
                <w:highlight w:val="none"/>
                <w:lang w:val="en-US" w:eastAsia="zh-CN"/>
              </w:rPr>
              <w:t>0.20</w:t>
            </w:r>
          </w:p>
        </w:tc>
        <w:tc>
          <w:tcPr>
            <w:tcW w:w="2134"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耗氧量</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 mg/L</w:t>
            </w:r>
          </w:p>
        </w:tc>
        <w:tc>
          <w:tcPr>
            <w:tcW w:w="2039"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0.69</w:t>
            </w:r>
          </w:p>
        </w:tc>
        <w:tc>
          <w:tcPr>
            <w:tcW w:w="2022"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0.6</w:t>
            </w:r>
          </w:p>
        </w:tc>
        <w:tc>
          <w:tcPr>
            <w:tcW w:w="2224"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0.64</w:t>
            </w:r>
          </w:p>
        </w:tc>
        <w:tc>
          <w:tcPr>
            <w:tcW w:w="2172"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0.59</w:t>
            </w:r>
          </w:p>
        </w:tc>
        <w:tc>
          <w:tcPr>
            <w:tcW w:w="2134"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bidi="ar"/>
              </w:rPr>
              <w:t>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textAlignment w:val="top"/>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总硬度</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450 mg/L</w:t>
            </w:r>
          </w:p>
        </w:tc>
        <w:tc>
          <w:tcPr>
            <w:tcW w:w="2039"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0.88</w:t>
            </w:r>
          </w:p>
        </w:tc>
        <w:tc>
          <w:tcPr>
            <w:tcW w:w="2022"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0.87</w:t>
            </w:r>
          </w:p>
        </w:tc>
        <w:tc>
          <w:tcPr>
            <w:tcW w:w="2224"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0.96</w:t>
            </w:r>
          </w:p>
        </w:tc>
        <w:tc>
          <w:tcPr>
            <w:tcW w:w="2172"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0.63</w:t>
            </w:r>
          </w:p>
        </w:tc>
        <w:tc>
          <w:tcPr>
            <w:tcW w:w="2134"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bidi="ar"/>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textAlignment w:val="top"/>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溶解性总固体</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1000mg/L</w:t>
            </w:r>
          </w:p>
        </w:tc>
        <w:tc>
          <w:tcPr>
            <w:tcW w:w="2039"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kern w:val="2"/>
                <w:sz w:val="21"/>
                <w:szCs w:val="21"/>
                <w:highlight w:val="none"/>
                <w:lang w:val="en-US" w:eastAsia="zh-CN" w:bidi="ar-SA"/>
              </w:rPr>
              <w:t>0.45</w:t>
            </w:r>
          </w:p>
        </w:tc>
        <w:tc>
          <w:tcPr>
            <w:tcW w:w="202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Cs w:val="21"/>
                <w:highlight w:val="none"/>
                <w:lang w:val="en-US" w:eastAsia="zh-CN"/>
              </w:rPr>
              <w:t>0.45</w:t>
            </w:r>
          </w:p>
        </w:tc>
        <w:tc>
          <w:tcPr>
            <w:tcW w:w="2224"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Cs w:val="21"/>
                <w:highlight w:val="none"/>
                <w:lang w:val="en-US" w:eastAsia="zh-CN"/>
              </w:rPr>
              <w:t>0.54</w:t>
            </w:r>
          </w:p>
        </w:tc>
        <w:tc>
          <w:tcPr>
            <w:tcW w:w="217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Cs w:val="21"/>
                <w:highlight w:val="none"/>
                <w:lang w:val="en-US" w:eastAsia="zh-CN"/>
              </w:rPr>
              <w:t>0.35</w:t>
            </w:r>
          </w:p>
        </w:tc>
        <w:tc>
          <w:tcPr>
            <w:tcW w:w="2134"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highlight w:val="none"/>
                <w:lang w:val="en-US"/>
              </w:rPr>
            </w:pPr>
            <w:r>
              <w:rPr>
                <w:rFonts w:hint="eastAsia" w:ascii="Times New Roman" w:hAnsi="Times New Roman" w:eastAsia="宋体" w:cs="Times New Roman"/>
                <w:color w:val="auto"/>
                <w:szCs w:val="21"/>
                <w:highlight w:val="none"/>
                <w:lang w:val="en-US" w:eastAsia="zh-CN"/>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textAlignment w:val="top"/>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氨氮</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 mg/L</w:t>
            </w:r>
          </w:p>
        </w:tc>
        <w:tc>
          <w:tcPr>
            <w:tcW w:w="2039"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25</w:t>
            </w:r>
          </w:p>
        </w:tc>
        <w:tc>
          <w:tcPr>
            <w:tcW w:w="2022"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25</w:t>
            </w:r>
          </w:p>
        </w:tc>
        <w:tc>
          <w:tcPr>
            <w:tcW w:w="2224"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25</w:t>
            </w:r>
          </w:p>
        </w:tc>
        <w:tc>
          <w:tcPr>
            <w:tcW w:w="2172"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25</w:t>
            </w:r>
          </w:p>
        </w:tc>
        <w:tc>
          <w:tcPr>
            <w:tcW w:w="2134"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textAlignment w:val="top"/>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硝酸盐</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 mg/L</w:t>
            </w:r>
          </w:p>
        </w:tc>
        <w:tc>
          <w:tcPr>
            <w:tcW w:w="2039"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Cs w:val="21"/>
                <w:highlight w:val="none"/>
                <w:lang w:val="en-US" w:eastAsia="zh-CN"/>
              </w:rPr>
              <w:t>0.62</w:t>
            </w:r>
          </w:p>
        </w:tc>
        <w:tc>
          <w:tcPr>
            <w:tcW w:w="202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Cs w:val="21"/>
                <w:highlight w:val="none"/>
                <w:lang w:val="en-US" w:eastAsia="zh-CN"/>
              </w:rPr>
              <w:t>0.40</w:t>
            </w:r>
          </w:p>
        </w:tc>
        <w:tc>
          <w:tcPr>
            <w:tcW w:w="2224"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Cs w:val="21"/>
                <w:highlight w:val="none"/>
                <w:lang w:val="en-US" w:eastAsia="zh-CN"/>
              </w:rPr>
              <w:t>0.31</w:t>
            </w:r>
          </w:p>
        </w:tc>
        <w:tc>
          <w:tcPr>
            <w:tcW w:w="217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Cs w:val="21"/>
                <w:highlight w:val="none"/>
                <w:lang w:val="en-US" w:eastAsia="zh-CN"/>
              </w:rPr>
              <w:t>0.43</w:t>
            </w:r>
          </w:p>
        </w:tc>
        <w:tc>
          <w:tcPr>
            <w:tcW w:w="2134" w:type="dxa"/>
            <w:tcBorders>
              <w:top w:val="single" w:color="auto" w:sz="4" w:space="0"/>
              <w:bottom w:val="single" w:color="auto" w:sz="4" w:space="0"/>
            </w:tcBorders>
            <w:noWrap w:val="0"/>
            <w:vAlign w:val="center"/>
          </w:tcPr>
          <w:p>
            <w:pPr>
              <w:jc w:val="center"/>
              <w:rPr>
                <w:rFonts w:hint="default" w:ascii="Times New Roman" w:hAnsi="Times New Roman" w:cs="Times New Roman"/>
                <w:sz w:val="21"/>
                <w:szCs w:val="21"/>
                <w:highlight w:val="none"/>
                <w:lang w:val="en-US"/>
              </w:rPr>
            </w:pPr>
            <w:r>
              <w:rPr>
                <w:rFonts w:hint="eastAsia" w:ascii="Times New Roman" w:hAnsi="Times New Roman" w:eastAsia="宋体" w:cs="Times New Roman"/>
                <w:kern w:val="2"/>
                <w:sz w:val="21"/>
                <w:szCs w:val="21"/>
                <w:highlight w:val="none"/>
                <w:lang w:val="en-US" w:eastAsia="zh-CN" w:bidi="ar-SA"/>
              </w:rPr>
              <w:t>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textAlignment w:val="top"/>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亚硝酸盐</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1.0mg/L</w:t>
            </w:r>
          </w:p>
        </w:tc>
        <w:tc>
          <w:tcPr>
            <w:tcW w:w="2039" w:type="dxa"/>
            <w:tcBorders>
              <w:top w:val="single" w:color="auto" w:sz="4" w:space="0"/>
              <w:bottom w:val="single" w:color="auto" w:sz="4" w:space="0"/>
            </w:tcBorders>
            <w:noWrap w:val="0"/>
            <w:vAlign w:val="center"/>
          </w:tcPr>
          <w:p>
            <w:pPr>
              <w:jc w:val="center"/>
              <w:textAlignment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0</w:t>
            </w:r>
            <w:r>
              <w:rPr>
                <w:rFonts w:hint="default" w:ascii="Times New Roman" w:hAnsi="Times New Roman" w:cs="Times New Roman"/>
                <w:sz w:val="21"/>
                <w:szCs w:val="21"/>
                <w:highlight w:val="none"/>
                <w:lang w:bidi="ar"/>
              </w:rPr>
              <w:t>1</w:t>
            </w:r>
            <w:r>
              <w:rPr>
                <w:rFonts w:hint="eastAsia" w:ascii="Times New Roman" w:hAnsi="Times New Roman" w:eastAsia="宋体" w:cs="Times New Roman"/>
                <w:sz w:val="21"/>
                <w:szCs w:val="21"/>
                <w:highlight w:val="none"/>
                <w:lang w:val="en-US" w:eastAsia="zh-CN" w:bidi="ar"/>
              </w:rPr>
              <w:t>5</w:t>
            </w:r>
          </w:p>
        </w:tc>
        <w:tc>
          <w:tcPr>
            <w:tcW w:w="2022" w:type="dxa"/>
            <w:tcBorders>
              <w:top w:val="single" w:color="auto" w:sz="4" w:space="0"/>
              <w:bottom w:val="single" w:color="auto" w:sz="4" w:space="0"/>
            </w:tcBorders>
            <w:noWrap w:val="0"/>
            <w:vAlign w:val="center"/>
          </w:tcPr>
          <w:p>
            <w:pPr>
              <w:jc w:val="center"/>
              <w:textAlignment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0</w:t>
            </w:r>
            <w:r>
              <w:rPr>
                <w:rFonts w:hint="default" w:ascii="Times New Roman" w:hAnsi="Times New Roman" w:cs="Times New Roman"/>
                <w:sz w:val="21"/>
                <w:szCs w:val="21"/>
                <w:highlight w:val="none"/>
                <w:lang w:bidi="ar"/>
              </w:rPr>
              <w:t>1</w:t>
            </w:r>
            <w:r>
              <w:rPr>
                <w:rFonts w:hint="eastAsia" w:ascii="Times New Roman" w:hAnsi="Times New Roman" w:eastAsia="宋体" w:cs="Times New Roman"/>
                <w:sz w:val="21"/>
                <w:szCs w:val="21"/>
                <w:highlight w:val="none"/>
                <w:lang w:val="en-US" w:eastAsia="zh-CN" w:bidi="ar"/>
              </w:rPr>
              <w:t>5</w:t>
            </w:r>
          </w:p>
        </w:tc>
        <w:tc>
          <w:tcPr>
            <w:tcW w:w="2224" w:type="dxa"/>
            <w:tcBorders>
              <w:top w:val="single" w:color="auto" w:sz="4" w:space="0"/>
              <w:bottom w:val="single" w:color="auto" w:sz="4" w:space="0"/>
            </w:tcBorders>
            <w:noWrap w:val="0"/>
            <w:vAlign w:val="center"/>
          </w:tcPr>
          <w:p>
            <w:pPr>
              <w:jc w:val="center"/>
              <w:textAlignment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0</w:t>
            </w:r>
            <w:r>
              <w:rPr>
                <w:rFonts w:hint="default" w:ascii="Times New Roman" w:hAnsi="Times New Roman" w:cs="Times New Roman"/>
                <w:sz w:val="21"/>
                <w:szCs w:val="21"/>
                <w:highlight w:val="none"/>
                <w:lang w:bidi="ar"/>
              </w:rPr>
              <w:t>1</w:t>
            </w:r>
            <w:r>
              <w:rPr>
                <w:rFonts w:hint="eastAsia" w:ascii="Times New Roman" w:hAnsi="Times New Roman" w:eastAsia="宋体" w:cs="Times New Roman"/>
                <w:sz w:val="21"/>
                <w:szCs w:val="21"/>
                <w:highlight w:val="none"/>
                <w:lang w:val="en-US" w:eastAsia="zh-CN" w:bidi="ar"/>
              </w:rPr>
              <w:t>5</w:t>
            </w:r>
          </w:p>
        </w:tc>
        <w:tc>
          <w:tcPr>
            <w:tcW w:w="2172" w:type="dxa"/>
            <w:tcBorders>
              <w:top w:val="single" w:color="auto" w:sz="4" w:space="0"/>
              <w:bottom w:val="single" w:color="auto" w:sz="4" w:space="0"/>
            </w:tcBorders>
            <w:noWrap w:val="0"/>
            <w:vAlign w:val="center"/>
          </w:tcPr>
          <w:p>
            <w:pPr>
              <w:jc w:val="center"/>
              <w:textAlignment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0</w:t>
            </w:r>
            <w:r>
              <w:rPr>
                <w:rFonts w:hint="default" w:ascii="Times New Roman" w:hAnsi="Times New Roman" w:cs="Times New Roman"/>
                <w:sz w:val="21"/>
                <w:szCs w:val="21"/>
                <w:highlight w:val="none"/>
                <w:lang w:bidi="ar"/>
              </w:rPr>
              <w:t>1</w:t>
            </w:r>
            <w:r>
              <w:rPr>
                <w:rFonts w:hint="eastAsia" w:ascii="Times New Roman" w:hAnsi="Times New Roman" w:eastAsia="宋体" w:cs="Times New Roman"/>
                <w:sz w:val="21"/>
                <w:szCs w:val="21"/>
                <w:highlight w:val="none"/>
                <w:lang w:val="en-US" w:eastAsia="zh-CN" w:bidi="ar"/>
              </w:rPr>
              <w:t>5</w:t>
            </w:r>
          </w:p>
        </w:tc>
        <w:tc>
          <w:tcPr>
            <w:tcW w:w="2134" w:type="dxa"/>
            <w:tcBorders>
              <w:top w:val="single" w:color="auto" w:sz="4" w:space="0"/>
              <w:bottom w:val="single" w:color="auto" w:sz="4" w:space="0"/>
            </w:tcBorders>
            <w:noWrap w:val="0"/>
            <w:vAlign w:val="center"/>
          </w:tcPr>
          <w:p>
            <w:pPr>
              <w:jc w:val="center"/>
              <w:textAlignment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0</w:t>
            </w:r>
            <w:r>
              <w:rPr>
                <w:rFonts w:hint="default" w:ascii="Times New Roman" w:hAnsi="Times New Roman" w:cs="Times New Roman"/>
                <w:sz w:val="21"/>
                <w:szCs w:val="21"/>
                <w:highlight w:val="none"/>
                <w:lang w:bidi="ar"/>
              </w:rPr>
              <w:t>1</w:t>
            </w:r>
            <w:r>
              <w:rPr>
                <w:rFonts w:hint="eastAsia" w:ascii="Times New Roman" w:hAnsi="Times New Roman" w:eastAsia="宋体" w:cs="Times New Roman"/>
                <w:sz w:val="21"/>
                <w:szCs w:val="21"/>
                <w:highlight w:val="none"/>
                <w:lang w:val="en-US" w:eastAsia="zh-CN" w:bidi="ar"/>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textAlignment w:val="top"/>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硫酸盐</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250 mg/L</w:t>
            </w:r>
          </w:p>
        </w:tc>
        <w:tc>
          <w:tcPr>
            <w:tcW w:w="2039"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kern w:val="2"/>
                <w:sz w:val="21"/>
                <w:szCs w:val="21"/>
                <w:highlight w:val="none"/>
                <w:lang w:val="en-US" w:eastAsia="zh-CN" w:bidi="ar-SA"/>
              </w:rPr>
              <w:t>0.34</w:t>
            </w:r>
          </w:p>
        </w:tc>
        <w:tc>
          <w:tcPr>
            <w:tcW w:w="202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Cs w:val="21"/>
                <w:highlight w:val="none"/>
                <w:lang w:val="en-US" w:eastAsia="zh-CN"/>
              </w:rPr>
              <w:t>0.30</w:t>
            </w:r>
          </w:p>
        </w:tc>
        <w:tc>
          <w:tcPr>
            <w:tcW w:w="2224"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Cs w:val="21"/>
                <w:highlight w:val="none"/>
                <w:lang w:val="en-US" w:eastAsia="zh-CN"/>
              </w:rPr>
              <w:t>0.74</w:t>
            </w:r>
          </w:p>
        </w:tc>
        <w:tc>
          <w:tcPr>
            <w:tcW w:w="217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Cs w:val="21"/>
                <w:highlight w:val="none"/>
                <w:lang w:val="en-US" w:eastAsia="zh-CN"/>
              </w:rPr>
              <w:t>0.29</w:t>
            </w:r>
          </w:p>
        </w:tc>
        <w:tc>
          <w:tcPr>
            <w:tcW w:w="2134" w:type="dxa"/>
            <w:tcBorders>
              <w:top w:val="single" w:color="auto" w:sz="4" w:space="0"/>
              <w:bottom w:val="single" w:color="auto" w:sz="4" w:space="0"/>
            </w:tcBorders>
            <w:noWrap w:val="0"/>
            <w:vAlign w:val="center"/>
          </w:tcPr>
          <w:p>
            <w:pPr>
              <w:jc w:val="center"/>
              <w:rPr>
                <w:rFonts w:hint="default" w:ascii="Times New Roman" w:hAnsi="Times New Roman" w:cs="Times New Roman"/>
                <w:sz w:val="21"/>
                <w:szCs w:val="21"/>
                <w:highlight w:val="none"/>
                <w:lang w:val="en-US"/>
              </w:rPr>
            </w:pPr>
            <w:r>
              <w:rPr>
                <w:rFonts w:hint="eastAsia" w:ascii="Times New Roman" w:hAnsi="Times New Roman" w:eastAsia="宋体" w:cs="Times New Roman"/>
                <w:color w:val="auto"/>
                <w:szCs w:val="21"/>
                <w:highlight w:val="none"/>
                <w:lang w:val="en-US" w:eastAsia="zh-CN"/>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氯化物</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250 mg/L</w:t>
            </w:r>
          </w:p>
        </w:tc>
        <w:tc>
          <w:tcPr>
            <w:tcW w:w="2039"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Cs w:val="21"/>
                <w:highlight w:val="none"/>
                <w:lang w:val="en-US" w:eastAsia="zh-CN"/>
              </w:rPr>
              <w:t>0.06</w:t>
            </w:r>
          </w:p>
        </w:tc>
        <w:tc>
          <w:tcPr>
            <w:tcW w:w="202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Cs w:val="21"/>
                <w:highlight w:val="none"/>
                <w:lang w:val="en-US" w:eastAsia="zh-CN"/>
              </w:rPr>
              <w:t>0.03</w:t>
            </w:r>
          </w:p>
        </w:tc>
        <w:tc>
          <w:tcPr>
            <w:tcW w:w="2224"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Cs w:val="21"/>
                <w:highlight w:val="none"/>
                <w:lang w:val="en-US" w:eastAsia="zh-CN"/>
              </w:rPr>
              <w:t>0.07</w:t>
            </w:r>
          </w:p>
        </w:tc>
        <w:tc>
          <w:tcPr>
            <w:tcW w:w="217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Cs w:val="21"/>
                <w:highlight w:val="none"/>
                <w:lang w:val="en-US" w:eastAsia="zh-CN"/>
              </w:rPr>
              <w:t>0.02</w:t>
            </w:r>
          </w:p>
        </w:tc>
        <w:tc>
          <w:tcPr>
            <w:tcW w:w="2134" w:type="dxa"/>
            <w:tcBorders>
              <w:top w:val="single" w:color="auto" w:sz="4" w:space="0"/>
              <w:bottom w:val="single" w:color="auto" w:sz="4" w:space="0"/>
            </w:tcBorders>
            <w:noWrap w:val="0"/>
            <w:vAlign w:val="center"/>
          </w:tcPr>
          <w:p>
            <w:pPr>
              <w:jc w:val="center"/>
              <w:rPr>
                <w:rFonts w:hint="default" w:ascii="Times New Roman" w:hAnsi="Times New Roman" w:cs="Times New Roman"/>
                <w:sz w:val="21"/>
                <w:szCs w:val="21"/>
                <w:highlight w:val="none"/>
                <w:lang w:val="en-US"/>
              </w:rPr>
            </w:pPr>
            <w:r>
              <w:rPr>
                <w:rFonts w:hint="eastAsia" w:ascii="Times New Roman" w:hAnsi="Times New Roman" w:eastAsia="宋体" w:cs="Times New Roman"/>
                <w:color w:val="auto"/>
                <w:szCs w:val="21"/>
                <w:highlight w:val="none"/>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氰化物</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 mg/L</w:t>
            </w:r>
          </w:p>
        </w:tc>
        <w:tc>
          <w:tcPr>
            <w:tcW w:w="2039"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0.02</w:t>
            </w:r>
          </w:p>
        </w:tc>
        <w:tc>
          <w:tcPr>
            <w:tcW w:w="2022"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0.02</w:t>
            </w:r>
          </w:p>
        </w:tc>
        <w:tc>
          <w:tcPr>
            <w:tcW w:w="2224"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0.02</w:t>
            </w:r>
          </w:p>
        </w:tc>
        <w:tc>
          <w:tcPr>
            <w:tcW w:w="2172"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0.02</w:t>
            </w:r>
          </w:p>
        </w:tc>
        <w:tc>
          <w:tcPr>
            <w:tcW w:w="2134"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挥发性酚类</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0.002 mg/L</w:t>
            </w:r>
          </w:p>
        </w:tc>
        <w:tc>
          <w:tcPr>
            <w:tcW w:w="2039" w:type="dxa"/>
            <w:tcBorders>
              <w:top w:val="single" w:color="auto" w:sz="4" w:space="0"/>
              <w:bottom w:val="single" w:color="auto" w:sz="4" w:space="0"/>
            </w:tcBorders>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0.075</w:t>
            </w:r>
          </w:p>
        </w:tc>
        <w:tc>
          <w:tcPr>
            <w:tcW w:w="2022"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0.075</w:t>
            </w:r>
          </w:p>
        </w:tc>
        <w:tc>
          <w:tcPr>
            <w:tcW w:w="2224"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0.075</w:t>
            </w:r>
          </w:p>
        </w:tc>
        <w:tc>
          <w:tcPr>
            <w:tcW w:w="2172"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0.075</w:t>
            </w:r>
          </w:p>
        </w:tc>
        <w:tc>
          <w:tcPr>
            <w:tcW w:w="2134"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氟</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 mg/L</w:t>
            </w:r>
          </w:p>
        </w:tc>
        <w:tc>
          <w:tcPr>
            <w:tcW w:w="2039"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Cs w:val="21"/>
                <w:highlight w:val="none"/>
                <w:lang w:val="en-US" w:eastAsia="zh-CN"/>
              </w:rPr>
              <w:t>0.16</w:t>
            </w:r>
          </w:p>
        </w:tc>
        <w:tc>
          <w:tcPr>
            <w:tcW w:w="202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Cs w:val="21"/>
                <w:highlight w:val="none"/>
                <w:lang w:val="en-US" w:eastAsia="zh-CN"/>
              </w:rPr>
              <w:t>0.14</w:t>
            </w:r>
          </w:p>
        </w:tc>
        <w:tc>
          <w:tcPr>
            <w:tcW w:w="2224"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Cs w:val="21"/>
                <w:highlight w:val="none"/>
                <w:lang w:val="en-US" w:eastAsia="zh-CN"/>
              </w:rPr>
              <w:t>0.18</w:t>
            </w:r>
          </w:p>
        </w:tc>
        <w:tc>
          <w:tcPr>
            <w:tcW w:w="217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Cs w:val="21"/>
                <w:highlight w:val="none"/>
                <w:lang w:val="en-US" w:eastAsia="zh-CN"/>
              </w:rPr>
              <w:t>0.15</w:t>
            </w:r>
          </w:p>
        </w:tc>
        <w:tc>
          <w:tcPr>
            <w:tcW w:w="2134" w:type="dxa"/>
            <w:tcBorders>
              <w:top w:val="single" w:color="auto" w:sz="4" w:space="0"/>
              <w:bottom w:val="single" w:color="auto" w:sz="4" w:space="0"/>
            </w:tcBorders>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eastAsia="宋体" w:cs="Times New Roman"/>
                <w:kern w:val="2"/>
                <w:sz w:val="21"/>
                <w:szCs w:val="21"/>
                <w:highlight w:val="none"/>
                <w:lang w:val="en-US" w:eastAsia="zh-CN" w:bidi="ar-SA"/>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砷</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0.01mg/L</w:t>
            </w:r>
          </w:p>
        </w:tc>
        <w:tc>
          <w:tcPr>
            <w:tcW w:w="2039"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1</w:t>
            </w:r>
            <w:r>
              <w:rPr>
                <w:rFonts w:hint="default" w:ascii="Times New Roman" w:hAnsi="Times New Roman" w:cs="Times New Roman"/>
                <w:sz w:val="21"/>
                <w:szCs w:val="21"/>
                <w:highlight w:val="none"/>
                <w:lang w:bidi="ar"/>
              </w:rPr>
              <w:t>5</w:t>
            </w:r>
          </w:p>
        </w:tc>
        <w:tc>
          <w:tcPr>
            <w:tcW w:w="2022"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1</w:t>
            </w:r>
            <w:r>
              <w:rPr>
                <w:rFonts w:hint="default" w:ascii="Times New Roman" w:hAnsi="Times New Roman" w:cs="Times New Roman"/>
                <w:sz w:val="21"/>
                <w:szCs w:val="21"/>
                <w:highlight w:val="none"/>
                <w:lang w:bidi="ar"/>
              </w:rPr>
              <w:t>5</w:t>
            </w:r>
          </w:p>
        </w:tc>
        <w:tc>
          <w:tcPr>
            <w:tcW w:w="2224"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1</w:t>
            </w:r>
            <w:r>
              <w:rPr>
                <w:rFonts w:hint="default" w:ascii="Times New Roman" w:hAnsi="Times New Roman" w:cs="Times New Roman"/>
                <w:sz w:val="21"/>
                <w:szCs w:val="21"/>
                <w:highlight w:val="none"/>
                <w:lang w:bidi="ar"/>
              </w:rPr>
              <w:t>5</w:t>
            </w:r>
          </w:p>
        </w:tc>
        <w:tc>
          <w:tcPr>
            <w:tcW w:w="2172"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w:t>
            </w:r>
            <w:r>
              <w:rPr>
                <w:rFonts w:hint="eastAsia" w:ascii="Times New Roman" w:hAnsi="Times New Roman" w:cs="Times New Roman"/>
                <w:sz w:val="21"/>
                <w:szCs w:val="21"/>
                <w:highlight w:val="none"/>
                <w:lang w:val="en-US" w:eastAsia="zh-CN" w:bidi="ar"/>
              </w:rPr>
              <w:t>1</w:t>
            </w:r>
            <w:r>
              <w:rPr>
                <w:rFonts w:hint="default" w:ascii="Times New Roman" w:hAnsi="Times New Roman" w:cs="Times New Roman"/>
                <w:sz w:val="21"/>
                <w:szCs w:val="21"/>
                <w:highlight w:val="none"/>
                <w:lang w:bidi="ar"/>
              </w:rPr>
              <w:t>5</w:t>
            </w:r>
          </w:p>
        </w:tc>
        <w:tc>
          <w:tcPr>
            <w:tcW w:w="2134" w:type="dxa"/>
            <w:tcBorders>
              <w:top w:val="single" w:color="auto" w:sz="4" w:space="0"/>
              <w:bottom w:val="single" w:color="auto" w:sz="4" w:space="0"/>
            </w:tcBorders>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汞</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0.001 mg/L</w:t>
            </w:r>
          </w:p>
        </w:tc>
        <w:tc>
          <w:tcPr>
            <w:tcW w:w="2039"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0.02</w:t>
            </w:r>
          </w:p>
        </w:tc>
        <w:tc>
          <w:tcPr>
            <w:tcW w:w="2022"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0.02</w:t>
            </w:r>
          </w:p>
        </w:tc>
        <w:tc>
          <w:tcPr>
            <w:tcW w:w="2224"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0.02</w:t>
            </w:r>
          </w:p>
        </w:tc>
        <w:tc>
          <w:tcPr>
            <w:tcW w:w="2172"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0.02</w:t>
            </w:r>
          </w:p>
        </w:tc>
        <w:tc>
          <w:tcPr>
            <w:tcW w:w="2134"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镉</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0.005mg/L</w:t>
            </w:r>
          </w:p>
        </w:tc>
        <w:tc>
          <w:tcPr>
            <w:tcW w:w="2039" w:type="dxa"/>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0.05</w:t>
            </w:r>
          </w:p>
        </w:tc>
        <w:tc>
          <w:tcPr>
            <w:tcW w:w="2022" w:type="dxa"/>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0.05</w:t>
            </w:r>
          </w:p>
        </w:tc>
        <w:tc>
          <w:tcPr>
            <w:tcW w:w="2224" w:type="dxa"/>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0.05</w:t>
            </w:r>
          </w:p>
        </w:tc>
        <w:tc>
          <w:tcPr>
            <w:tcW w:w="2172" w:type="dxa"/>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0.05</w:t>
            </w:r>
          </w:p>
        </w:tc>
        <w:tc>
          <w:tcPr>
            <w:tcW w:w="2134"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六价铬</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0.05 mg/L</w:t>
            </w:r>
          </w:p>
        </w:tc>
        <w:tc>
          <w:tcPr>
            <w:tcW w:w="2039" w:type="dxa"/>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0.40</w:t>
            </w:r>
          </w:p>
        </w:tc>
        <w:tc>
          <w:tcPr>
            <w:tcW w:w="2022" w:type="dxa"/>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0.40</w:t>
            </w:r>
          </w:p>
        </w:tc>
        <w:tc>
          <w:tcPr>
            <w:tcW w:w="2224" w:type="dxa"/>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0.40</w:t>
            </w:r>
          </w:p>
        </w:tc>
        <w:tc>
          <w:tcPr>
            <w:tcW w:w="2172" w:type="dxa"/>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0.40</w:t>
            </w:r>
          </w:p>
        </w:tc>
        <w:tc>
          <w:tcPr>
            <w:tcW w:w="2134"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铅</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0.01mg/L</w:t>
            </w:r>
          </w:p>
        </w:tc>
        <w:tc>
          <w:tcPr>
            <w:tcW w:w="2039" w:type="dxa"/>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bidi="ar"/>
              </w:rPr>
              <w:t>0.125</w:t>
            </w:r>
          </w:p>
        </w:tc>
        <w:tc>
          <w:tcPr>
            <w:tcW w:w="2022" w:type="dxa"/>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0.125</w:t>
            </w:r>
          </w:p>
        </w:tc>
        <w:tc>
          <w:tcPr>
            <w:tcW w:w="2224" w:type="dxa"/>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0.125</w:t>
            </w:r>
          </w:p>
        </w:tc>
        <w:tc>
          <w:tcPr>
            <w:tcW w:w="2172" w:type="dxa"/>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0.125</w:t>
            </w:r>
          </w:p>
        </w:tc>
        <w:tc>
          <w:tcPr>
            <w:tcW w:w="2134" w:type="dxa"/>
            <w:noWrap w:val="0"/>
            <w:vAlign w:val="center"/>
          </w:tcPr>
          <w:p>
            <w:pPr>
              <w:jc w:val="center"/>
              <w:textAlignment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bidi="ar"/>
              </w:rPr>
              <w:t>0.125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铁</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 mg/L</w:t>
            </w:r>
          </w:p>
        </w:tc>
        <w:tc>
          <w:tcPr>
            <w:tcW w:w="2039"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0.05</w:t>
            </w:r>
          </w:p>
        </w:tc>
        <w:tc>
          <w:tcPr>
            <w:tcW w:w="2022"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0.05</w:t>
            </w:r>
          </w:p>
        </w:tc>
        <w:tc>
          <w:tcPr>
            <w:tcW w:w="2224"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0.05</w:t>
            </w:r>
          </w:p>
        </w:tc>
        <w:tc>
          <w:tcPr>
            <w:tcW w:w="2172"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0.05</w:t>
            </w:r>
          </w:p>
        </w:tc>
        <w:tc>
          <w:tcPr>
            <w:tcW w:w="2134"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62"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锰</w:t>
            </w:r>
          </w:p>
        </w:tc>
        <w:tc>
          <w:tcPr>
            <w:tcW w:w="206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 mg/L</w:t>
            </w:r>
          </w:p>
        </w:tc>
        <w:tc>
          <w:tcPr>
            <w:tcW w:w="2039"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0.05</w:t>
            </w:r>
          </w:p>
        </w:tc>
        <w:tc>
          <w:tcPr>
            <w:tcW w:w="2022"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0.05</w:t>
            </w:r>
          </w:p>
        </w:tc>
        <w:tc>
          <w:tcPr>
            <w:tcW w:w="2224"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0.05</w:t>
            </w:r>
          </w:p>
        </w:tc>
        <w:tc>
          <w:tcPr>
            <w:tcW w:w="2172"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0.05</w:t>
            </w:r>
          </w:p>
        </w:tc>
        <w:tc>
          <w:tcPr>
            <w:tcW w:w="2134" w:type="dxa"/>
            <w:noWrap w:val="0"/>
            <w:vAlign w:val="center"/>
          </w:tcPr>
          <w:p>
            <w:pPr>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0.05</w:t>
            </w:r>
          </w:p>
        </w:tc>
      </w:tr>
    </w:tbl>
    <w:p>
      <w:pPr>
        <w:rPr>
          <w:rFonts w:hint="default" w:ascii="Times New Roman" w:hAnsi="Times New Roman" w:cs="Times New Roman"/>
          <w:highlight w:val="none"/>
        </w:rPr>
      </w:pPr>
      <w:r>
        <w:rPr>
          <w:rFonts w:hint="default" w:ascii="Times New Roman" w:hAnsi="Times New Roman" w:cs="Times New Roman"/>
          <w:highlight w:val="none"/>
        </w:rPr>
        <w:pict>
          <v:rect id="_x0000_s1161" o:spid="_x0000_s1161" o:spt="1" style="position:absolute;left:0pt;margin-left:72pt;margin-top:529.75pt;height:0.75pt;width:697.95pt;mso-position-horizontal-relative:page;mso-position-vertical-relative:page;z-index:251717632;mso-width-relative:page;mso-height-relative:page;" fillcolor="#FFFFFF" filled="t" stroked="f" coordsize="21600,21600" o:allowincell="f">
            <v:path/>
            <v:fill on="t" color2="#FFFFFF" focussize="0,0"/>
            <v:stroke on="f"/>
            <v:imagedata o:title=""/>
            <o:lock v:ext="edit" aspectratio="f"/>
          </v:rect>
        </w:pict>
      </w:r>
      <w:r>
        <w:rPr>
          <w:rFonts w:hint="default" w:ascii="Times New Roman" w:hAnsi="Times New Roman" w:cs="Times New Roman"/>
          <w:highlight w:val="none"/>
        </w:rPr>
        <w:pict>
          <v:rect id="_x0000_s1162" o:spid="_x0000_s1162" o:spt="1" style="position:absolute;left:0pt;margin-left:72pt;margin-top:59.05pt;height:0.75pt;width:697.95pt;mso-position-horizontal-relative:page;mso-position-vertical-relative:page;z-index:251716608;mso-width-relative:page;mso-height-relative:page;" fillcolor="#000000" filled="t" stroked="f" coordsize="21600,21600" o:allowincell="f">
            <v:path/>
            <v:fill on="t" focussize="0,0"/>
            <v:stroke on="f"/>
            <v:imagedata o:title=""/>
            <o:lock v:ext="edit"/>
          </v:rect>
        </w:pict>
      </w:r>
    </w:p>
    <w:p>
      <w:pPr>
        <w:spacing w:before="75" w:line="402" w:lineRule="auto"/>
        <w:ind w:left="310" w:right="290" w:firstLine="437"/>
        <w:rPr>
          <w:rFonts w:hint="default" w:ascii="Times New Roman" w:hAnsi="Times New Roman" w:eastAsia="宋体" w:cs="Times New Roman"/>
          <w:spacing w:val="1"/>
          <w:sz w:val="23"/>
          <w:szCs w:val="23"/>
          <w:highlight w:val="none"/>
        </w:rPr>
      </w:pPr>
      <w:r>
        <w:rPr>
          <w:rFonts w:hint="default" w:ascii="Times New Roman" w:hAnsi="Times New Roman" w:eastAsia="宋体" w:cs="Times New Roman"/>
          <w:spacing w:val="1"/>
          <w:sz w:val="23"/>
          <w:szCs w:val="23"/>
          <w:highlight w:val="none"/>
        </w:rPr>
        <w:t>由上述结果可知，项目所在区域地下水中所有监测因子均满足《地下水质量标准》（GB/T14848-2017）中III类标准限值要求，其中石油类满足《地表水环境质量标准》（GB3838-2002）中表1 III类标准限值要求。</w:t>
      </w:r>
    </w:p>
    <w:p>
      <w:pPr>
        <w:rPr>
          <w:rFonts w:hint="default" w:ascii="Times New Roman" w:hAnsi="Times New Roman" w:cs="Times New Roman"/>
          <w:highlight w:val="none"/>
        </w:rPr>
        <w:sectPr>
          <w:headerReference r:id="rId55" w:type="default"/>
          <w:footerReference r:id="rId56" w:type="default"/>
          <w:pgSz w:w="16839" w:h="11906"/>
          <w:pgMar w:top="1167" w:right="1317" w:bottom="1282" w:left="1317" w:header="897" w:footer="1015" w:gutter="0"/>
          <w:pgBorders>
            <w:top w:val="none" w:sz="0" w:space="0"/>
            <w:left w:val="none" w:sz="0" w:space="0"/>
            <w:bottom w:val="none" w:sz="0" w:space="0"/>
            <w:right w:val="none" w:sz="0" w:space="0"/>
          </w:pgBorders>
          <w:pgNumType w:fmt="decimal"/>
          <w:cols w:space="720" w:num="1"/>
        </w:sectPr>
      </w:pPr>
    </w:p>
    <w:p>
      <w:pPr>
        <w:spacing w:line="439" w:lineRule="auto"/>
        <w:rPr>
          <w:rFonts w:hint="default" w:ascii="Times New Roman" w:hAnsi="Times New Roman" w:cs="Times New Roman"/>
          <w:sz w:val="21"/>
          <w:highlight w:val="none"/>
        </w:rPr>
      </w:pPr>
    </w:p>
    <w:p>
      <w:pPr>
        <w:spacing w:before="55" w:line="230" w:lineRule="auto"/>
        <w:ind w:left="1226"/>
        <w:rPr>
          <w:rFonts w:hint="default" w:ascii="Times New Roman" w:hAnsi="Times New Roman" w:eastAsia="宋体" w:cs="Times New Roman"/>
          <w:sz w:val="17"/>
          <w:szCs w:val="17"/>
          <w:highlight w:val="none"/>
        </w:rPr>
      </w:pPr>
      <w:r>
        <w:rPr>
          <w:rFonts w:hint="default" w:ascii="Times New Roman" w:hAnsi="Times New Roman" w:eastAsia="宋体" w:cs="Times New Roman"/>
          <w:spacing w:val="7"/>
          <w:sz w:val="17"/>
          <w:szCs w:val="17"/>
          <w:highlight w:val="none"/>
        </w:rPr>
        <w:t>遵化市势竹矿业有限公司</w:t>
      </w:r>
      <w:r>
        <w:rPr>
          <w:rFonts w:hint="default" w:ascii="Times New Roman" w:hAnsi="Times New Roman" w:eastAsia="宋体" w:cs="Times New Roman"/>
          <w:spacing w:val="7"/>
          <w:sz w:val="17"/>
          <w:szCs w:val="17"/>
          <w:highlight w:val="none"/>
          <w:lang w:eastAsia="zh-CN"/>
        </w:rPr>
        <w:t>年处理110万吨铁矿石破碎改扩建项目</w:t>
      </w:r>
      <w:r>
        <w:rPr>
          <w:rFonts w:hint="default" w:ascii="Times New Roman" w:hAnsi="Times New Roman" w:eastAsia="宋体" w:cs="Times New Roman"/>
          <w:spacing w:val="7"/>
          <w:sz w:val="17"/>
          <w:szCs w:val="17"/>
          <w:highlight w:val="none"/>
        </w:rPr>
        <w:t>项目环境影响报告</w:t>
      </w:r>
      <w:r>
        <w:rPr>
          <w:rFonts w:hint="default" w:ascii="Times New Roman" w:hAnsi="Times New Roman" w:eastAsia="宋体" w:cs="Times New Roman"/>
          <w:spacing w:val="5"/>
          <w:sz w:val="17"/>
          <w:szCs w:val="17"/>
          <w:highlight w:val="none"/>
        </w:rPr>
        <w:t>书</w:t>
      </w:r>
    </w:p>
    <w:p>
      <w:pPr>
        <w:spacing w:before="15" w:line="72" w:lineRule="exact"/>
        <w:ind w:firstLine="259"/>
        <w:textAlignment w:val="center"/>
        <w:rPr>
          <w:rFonts w:hint="default" w:ascii="Times New Roman" w:hAnsi="Times New Roman" w:cs="Times New Roman"/>
          <w:highlight w:val="none"/>
        </w:rPr>
      </w:pPr>
      <w:r>
        <w:rPr>
          <w:rFonts w:hint="default" w:ascii="Times New Roman" w:hAnsi="Times New Roman" w:cs="Times New Roman"/>
          <w:highlight w:val="none"/>
        </w:rPr>
        <w:pict>
          <v:shape id="_x0000_s1168" o:spid="_x0000_s1168" style="height:3.6pt;width:415.65pt;" fillcolor="#000000" filled="t" stroked="f" coordsize="8312,71" path="m0,0l8312,0,8312,43,0,43,0,0xem0,57l8312,57,8312,71,0,71,0,57xe">
            <v:path/>
            <v:fill on="t" focussize="0,0"/>
            <v:stroke on="f"/>
            <v:imagedata o:title=""/>
            <o:lock v:ext="edit"/>
            <w10:wrap type="none"/>
            <w10:anchorlock/>
          </v:shape>
        </w:pict>
      </w:r>
    </w:p>
    <w:p>
      <w:pPr>
        <w:spacing w:line="241" w:lineRule="auto"/>
        <w:rPr>
          <w:rFonts w:hint="default" w:ascii="Times New Roman" w:hAnsi="Times New Roman" w:cs="Times New Roman"/>
          <w:sz w:val="21"/>
          <w:highlight w:val="none"/>
        </w:rPr>
      </w:pPr>
    </w:p>
    <w:p>
      <w:pPr>
        <w:spacing w:before="75" w:line="227" w:lineRule="auto"/>
        <w:ind w:left="266"/>
        <w:outlineLvl w:val="1"/>
        <w:rPr>
          <w:rFonts w:hint="default" w:ascii="Times New Roman" w:hAnsi="Times New Roman" w:eastAsia="宋体" w:cs="Times New Roman"/>
          <w:sz w:val="23"/>
          <w:szCs w:val="23"/>
          <w:highlight w:val="none"/>
        </w:rPr>
      </w:pPr>
      <w:bookmarkStart w:id="303" w:name="_Toc22124"/>
      <w:bookmarkStart w:id="304" w:name="_Toc653"/>
      <w:bookmarkStart w:id="305" w:name="_Toc23899"/>
      <w:r>
        <w:rPr>
          <w:rFonts w:hint="default" w:ascii="Times New Roman" w:hAnsi="Times New Roman" w:eastAsia="Times New Roman" w:cs="Times New Roman"/>
          <w:b/>
          <w:bCs/>
          <w:spacing w:val="8"/>
          <w:sz w:val="23"/>
          <w:szCs w:val="23"/>
          <w:highlight w:val="none"/>
        </w:rPr>
        <w:t>4.3.3</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声环境质量现状监测与评</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价</w:t>
      </w:r>
      <w:bookmarkEnd w:id="303"/>
      <w:bookmarkEnd w:id="304"/>
      <w:bookmarkEnd w:id="305"/>
    </w:p>
    <w:p>
      <w:pPr>
        <w:spacing w:line="259" w:lineRule="auto"/>
        <w:rPr>
          <w:rFonts w:hint="default" w:ascii="Times New Roman" w:hAnsi="Times New Roman" w:cs="Times New Roman"/>
          <w:sz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227" w:lineRule="auto"/>
        <w:ind w:left="760"/>
        <w:textAlignment w:val="baseline"/>
        <w:outlineLvl w:val="9"/>
        <w:rPr>
          <w:rFonts w:hint="default" w:ascii="Times New Roman" w:hAnsi="Times New Roman" w:eastAsia="宋体" w:cs="Times New Roman"/>
          <w:sz w:val="23"/>
          <w:szCs w:val="23"/>
          <w:highlight w:val="none"/>
        </w:rPr>
      </w:pPr>
      <w:bookmarkStart w:id="306" w:name="_Toc9396"/>
      <w:bookmarkStart w:id="307" w:name="_Toc22644"/>
      <w:bookmarkStart w:id="308" w:name="_Toc26786"/>
      <w:r>
        <w:rPr>
          <w:rFonts w:hint="default" w:ascii="Times New Roman" w:hAnsi="Times New Roman" w:eastAsia="宋体" w:cs="Times New Roman"/>
          <w:spacing w:val="25"/>
          <w:sz w:val="23"/>
          <w:szCs w:val="23"/>
          <w:highlight w:val="none"/>
        </w:rPr>
        <w:t>(</w:t>
      </w:r>
      <w:r>
        <w:rPr>
          <w:rFonts w:hint="default" w:ascii="Times New Roman" w:hAnsi="Times New Roman" w:eastAsia="Times New Roman" w:cs="Times New Roman"/>
          <w:spacing w:val="18"/>
          <w:sz w:val="23"/>
          <w:szCs w:val="23"/>
          <w:highlight w:val="none"/>
        </w:rPr>
        <w:t>1</w:t>
      </w:r>
      <w:r>
        <w:rPr>
          <w:rFonts w:hint="default" w:ascii="Times New Roman" w:hAnsi="Times New Roman" w:eastAsia="宋体" w:cs="Times New Roman"/>
          <w:spacing w:val="18"/>
          <w:sz w:val="23"/>
          <w:szCs w:val="23"/>
          <w:highlight w:val="none"/>
        </w:rPr>
        <w:t>) 监测点布设</w:t>
      </w:r>
      <w:bookmarkEnd w:id="306"/>
      <w:bookmarkEnd w:id="307"/>
      <w:bookmarkEnd w:id="308"/>
    </w:p>
    <w:p>
      <w:pPr>
        <w:keepNext w:val="0"/>
        <w:keepLines w:val="0"/>
        <w:pageBreakBefore w:val="0"/>
        <w:widowControl/>
        <w:kinsoku w:val="0"/>
        <w:wordWrap/>
        <w:overflowPunct/>
        <w:topLinePunct w:val="0"/>
        <w:autoSpaceDE w:val="0"/>
        <w:autoSpaceDN w:val="0"/>
        <w:bidi w:val="0"/>
        <w:adjustRightInd w:val="0"/>
        <w:snapToGrid w:val="0"/>
        <w:spacing w:before="216" w:line="401" w:lineRule="auto"/>
        <w:ind w:left="269" w:right="179" w:firstLine="480"/>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根据本项目声环</w:t>
      </w:r>
      <w:r>
        <w:rPr>
          <w:rFonts w:hint="default" w:ascii="Times New Roman" w:hAnsi="Times New Roman" w:eastAsia="宋体" w:cs="Times New Roman"/>
          <w:spacing w:val="2"/>
          <w:sz w:val="23"/>
          <w:szCs w:val="23"/>
          <w:highlight w:val="none"/>
        </w:rPr>
        <w:t>境影响评价等级及厂区的周边情况，在项目厂区东侧、南侧、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西</w:t>
      </w:r>
      <w:r>
        <w:rPr>
          <w:rFonts w:hint="default" w:ascii="Times New Roman" w:hAnsi="Times New Roman" w:eastAsia="宋体" w:cs="Times New Roman"/>
          <w:spacing w:val="9"/>
          <w:sz w:val="23"/>
          <w:szCs w:val="23"/>
          <w:highlight w:val="none"/>
        </w:rPr>
        <w:t>侧</w:t>
      </w:r>
      <w:r>
        <w:rPr>
          <w:rFonts w:hint="default" w:ascii="Times New Roman" w:hAnsi="Times New Roman" w:eastAsia="宋体" w:cs="Times New Roman"/>
          <w:spacing w:val="5"/>
          <w:sz w:val="23"/>
          <w:szCs w:val="23"/>
          <w:highlight w:val="none"/>
        </w:rPr>
        <w:t xml:space="preserve">、北侧四个厂界各设置 </w:t>
      </w:r>
      <w:r>
        <w:rPr>
          <w:rFonts w:hint="default" w:ascii="Times New Roman" w:hAnsi="Times New Roman" w:eastAsia="Times New Roman" w:cs="Times New Roman"/>
          <w:spacing w:val="5"/>
          <w:sz w:val="23"/>
          <w:szCs w:val="23"/>
          <w:highlight w:val="none"/>
        </w:rPr>
        <w:t xml:space="preserve">1 </w:t>
      </w:r>
      <w:r>
        <w:rPr>
          <w:rFonts w:hint="default" w:ascii="Times New Roman" w:hAnsi="Times New Roman" w:eastAsia="宋体" w:cs="Times New Roman"/>
          <w:spacing w:val="5"/>
          <w:sz w:val="23"/>
          <w:szCs w:val="23"/>
          <w:highlight w:val="none"/>
        </w:rPr>
        <w:t>个监测点，监测本项目厂界噪声情况</w:t>
      </w:r>
      <w:r>
        <w:rPr>
          <w:rFonts w:hint="default" w:ascii="Times New Roman" w:hAnsi="Times New Roman" w:eastAsia="宋体" w:cs="Times New Roman"/>
          <w:spacing w:val="6"/>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1" w:line="228" w:lineRule="auto"/>
        <w:ind w:left="760"/>
        <w:textAlignment w:val="baseline"/>
        <w:outlineLvl w:val="9"/>
        <w:rPr>
          <w:rFonts w:hint="default" w:ascii="Times New Roman" w:hAnsi="Times New Roman" w:eastAsia="宋体" w:cs="Times New Roman"/>
          <w:sz w:val="23"/>
          <w:szCs w:val="23"/>
          <w:highlight w:val="none"/>
        </w:rPr>
      </w:pPr>
      <w:bookmarkStart w:id="309" w:name="_Toc4746"/>
      <w:bookmarkStart w:id="310" w:name="_Toc5002"/>
      <w:bookmarkStart w:id="311" w:name="_Toc15923"/>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2</w:t>
      </w:r>
      <w:r>
        <w:rPr>
          <w:rFonts w:hint="default" w:ascii="Times New Roman" w:hAnsi="Times New Roman" w:eastAsia="宋体" w:cs="Times New Roman"/>
          <w:spacing w:val="20"/>
          <w:sz w:val="23"/>
          <w:szCs w:val="23"/>
          <w:highlight w:val="none"/>
        </w:rPr>
        <w:t>) 监测因</w:t>
      </w:r>
      <w:r>
        <w:rPr>
          <w:rFonts w:hint="default" w:ascii="Times New Roman" w:hAnsi="Times New Roman" w:eastAsia="宋体" w:cs="Times New Roman"/>
          <w:spacing w:val="19"/>
          <w:sz w:val="23"/>
          <w:szCs w:val="23"/>
          <w:highlight w:val="none"/>
        </w:rPr>
        <w:t>子</w:t>
      </w:r>
      <w:bookmarkEnd w:id="309"/>
      <w:bookmarkEnd w:id="310"/>
      <w:bookmarkEnd w:id="311"/>
    </w:p>
    <w:p>
      <w:pPr>
        <w:keepNext w:val="0"/>
        <w:keepLines w:val="0"/>
        <w:pageBreakBefore w:val="0"/>
        <w:widowControl/>
        <w:kinsoku w:val="0"/>
        <w:wordWrap/>
        <w:overflowPunct/>
        <w:topLinePunct w:val="0"/>
        <w:autoSpaceDE w:val="0"/>
        <w:autoSpaceDN w:val="0"/>
        <w:bidi w:val="0"/>
        <w:adjustRightInd w:val="0"/>
        <w:snapToGrid w:val="0"/>
        <w:spacing w:before="179" w:line="315" w:lineRule="exact"/>
        <w:ind w:left="751"/>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position w:val="2"/>
          <w:sz w:val="23"/>
          <w:szCs w:val="23"/>
          <w:highlight w:val="none"/>
        </w:rPr>
        <w:t>等</w:t>
      </w:r>
      <w:r>
        <w:rPr>
          <w:rFonts w:hint="default" w:ascii="Times New Roman" w:hAnsi="Times New Roman" w:eastAsia="宋体" w:cs="Times New Roman"/>
          <w:spacing w:val="2"/>
          <w:position w:val="2"/>
          <w:sz w:val="23"/>
          <w:szCs w:val="23"/>
          <w:highlight w:val="none"/>
        </w:rPr>
        <w:t xml:space="preserve">效连续 </w:t>
      </w:r>
      <w:r>
        <w:rPr>
          <w:rFonts w:hint="default" w:ascii="Times New Roman" w:hAnsi="Times New Roman" w:eastAsia="Times New Roman" w:cs="Times New Roman"/>
          <w:position w:val="2"/>
          <w:sz w:val="23"/>
          <w:szCs w:val="23"/>
          <w:highlight w:val="none"/>
        </w:rPr>
        <w:t>A</w:t>
      </w:r>
      <w:r>
        <w:rPr>
          <w:rFonts w:hint="default" w:ascii="Times New Roman" w:hAnsi="Times New Roman" w:eastAsia="Times New Roman" w:cs="Times New Roman"/>
          <w:spacing w:val="2"/>
          <w:position w:val="2"/>
          <w:sz w:val="23"/>
          <w:szCs w:val="23"/>
          <w:highlight w:val="none"/>
        </w:rPr>
        <w:t xml:space="preserve"> </w:t>
      </w:r>
      <w:r>
        <w:rPr>
          <w:rFonts w:hint="default" w:ascii="Times New Roman" w:hAnsi="Times New Roman" w:eastAsia="宋体" w:cs="Times New Roman"/>
          <w:spacing w:val="2"/>
          <w:position w:val="2"/>
          <w:sz w:val="23"/>
          <w:szCs w:val="23"/>
          <w:highlight w:val="none"/>
        </w:rPr>
        <w:t>声级</w:t>
      </w:r>
      <w:r>
        <w:rPr>
          <w:rFonts w:hint="default" w:ascii="Times New Roman" w:hAnsi="Times New Roman" w:eastAsia="Times New Roman" w:cs="Times New Roman"/>
          <w:spacing w:val="2"/>
          <w:position w:val="2"/>
          <w:sz w:val="23"/>
          <w:szCs w:val="23"/>
          <w:highlight w:val="none"/>
        </w:rPr>
        <w:t>(</w:t>
      </w:r>
      <w:r>
        <w:rPr>
          <w:rFonts w:hint="default" w:ascii="Times New Roman" w:hAnsi="Times New Roman" w:eastAsia="Times New Roman" w:cs="Times New Roman"/>
          <w:position w:val="2"/>
          <w:sz w:val="23"/>
          <w:szCs w:val="23"/>
          <w:highlight w:val="none"/>
        </w:rPr>
        <w:t>L</w:t>
      </w:r>
      <w:r>
        <w:rPr>
          <w:rFonts w:hint="default" w:ascii="Times New Roman" w:hAnsi="Times New Roman" w:eastAsia="Times New Roman" w:cs="Times New Roman"/>
          <w:position w:val="1"/>
          <w:sz w:val="15"/>
          <w:szCs w:val="15"/>
          <w:highlight w:val="none"/>
        </w:rPr>
        <w:t>Aeq</w:t>
      </w:r>
      <w:r>
        <w:rPr>
          <w:rFonts w:hint="default" w:ascii="Times New Roman" w:hAnsi="Times New Roman" w:eastAsia="Times New Roman" w:cs="Times New Roman"/>
          <w:spacing w:val="2"/>
          <w:position w:val="2"/>
          <w:sz w:val="23"/>
          <w:szCs w:val="23"/>
          <w:highlight w:val="none"/>
        </w:rPr>
        <w:t>)</w:t>
      </w:r>
      <w:r>
        <w:rPr>
          <w:rFonts w:hint="default" w:ascii="Times New Roman" w:hAnsi="Times New Roman" w:eastAsia="宋体" w:cs="Times New Roman"/>
          <w:spacing w:val="2"/>
          <w:position w:val="2"/>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222" w:line="228" w:lineRule="auto"/>
        <w:ind w:left="760"/>
        <w:textAlignment w:val="baseline"/>
        <w:outlineLvl w:val="9"/>
        <w:rPr>
          <w:rFonts w:hint="default" w:ascii="Times New Roman" w:hAnsi="Times New Roman" w:eastAsia="宋体" w:cs="Times New Roman"/>
          <w:sz w:val="23"/>
          <w:szCs w:val="23"/>
          <w:highlight w:val="none"/>
        </w:rPr>
      </w:pPr>
      <w:bookmarkStart w:id="312" w:name="_Toc4117"/>
      <w:bookmarkStart w:id="313" w:name="_Toc21139"/>
      <w:bookmarkStart w:id="314" w:name="_Toc21141"/>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7"/>
          <w:sz w:val="23"/>
          <w:szCs w:val="23"/>
          <w:highlight w:val="none"/>
        </w:rPr>
        <w:t>3</w:t>
      </w:r>
      <w:r>
        <w:rPr>
          <w:rFonts w:hint="default" w:ascii="Times New Roman" w:hAnsi="Times New Roman" w:eastAsia="宋体" w:cs="Times New Roman"/>
          <w:spacing w:val="17"/>
          <w:sz w:val="23"/>
          <w:szCs w:val="23"/>
          <w:highlight w:val="none"/>
        </w:rPr>
        <w:t>) 监测时间及频率</w:t>
      </w:r>
      <w:bookmarkEnd w:id="312"/>
      <w:bookmarkEnd w:id="313"/>
      <w:bookmarkEnd w:id="314"/>
    </w:p>
    <w:p>
      <w:pPr>
        <w:keepNext w:val="0"/>
        <w:keepLines w:val="0"/>
        <w:pageBreakBefore w:val="0"/>
        <w:widowControl/>
        <w:kinsoku w:val="0"/>
        <w:wordWrap/>
        <w:overflowPunct/>
        <w:topLinePunct w:val="0"/>
        <w:autoSpaceDE w:val="0"/>
        <w:autoSpaceDN w:val="0"/>
        <w:bidi w:val="0"/>
        <w:adjustRightInd w:val="0"/>
        <w:snapToGrid w:val="0"/>
        <w:spacing w:before="214" w:line="402" w:lineRule="auto"/>
        <w:ind w:left="270" w:right="262" w:firstLine="481"/>
        <w:textAlignment w:val="baseline"/>
        <w:outlineLvl w:val="9"/>
        <w:rPr>
          <w:rFonts w:hint="eastAsia" w:ascii="Times New Roman" w:hAnsi="Times New Roman" w:eastAsia="宋体" w:cs="Times New Roman"/>
          <w:sz w:val="23"/>
          <w:szCs w:val="23"/>
          <w:highlight w:val="none"/>
          <w:lang w:eastAsia="zh-CN"/>
        </w:rPr>
      </w:pPr>
      <w:r>
        <w:rPr>
          <w:rFonts w:hint="default" w:ascii="Times New Roman" w:hAnsi="Times New Roman" w:eastAsia="宋体" w:cs="Times New Roman"/>
          <w:spacing w:val="4"/>
          <w:sz w:val="23"/>
          <w:szCs w:val="23"/>
          <w:highlight w:val="none"/>
        </w:rPr>
        <w:t xml:space="preserve">监测时间为 </w:t>
      </w:r>
      <w:r>
        <w:rPr>
          <w:rFonts w:hint="default" w:ascii="Times New Roman" w:hAnsi="Times New Roman" w:eastAsia="Times New Roman" w:cs="Times New Roman"/>
          <w:spacing w:val="4"/>
          <w:sz w:val="23"/>
          <w:szCs w:val="23"/>
          <w:highlight w:val="none"/>
        </w:rPr>
        <w:t>20</w:t>
      </w:r>
      <w:r>
        <w:rPr>
          <w:rFonts w:hint="eastAsia" w:ascii="Times New Roman" w:hAnsi="Times New Roman" w:eastAsia="宋体" w:cs="Times New Roman"/>
          <w:spacing w:val="4"/>
          <w:sz w:val="23"/>
          <w:szCs w:val="23"/>
          <w:highlight w:val="none"/>
          <w:lang w:val="en-US" w:eastAsia="zh-CN"/>
        </w:rPr>
        <w:t>23</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 xml:space="preserve">年 </w:t>
      </w:r>
      <w:r>
        <w:rPr>
          <w:rFonts w:hint="eastAsia" w:ascii="Times New Roman" w:hAnsi="Times New Roman" w:eastAsia="宋体" w:cs="Times New Roman"/>
          <w:spacing w:val="2"/>
          <w:sz w:val="23"/>
          <w:szCs w:val="23"/>
          <w:highlight w:val="none"/>
          <w:lang w:val="en-US" w:eastAsia="zh-CN"/>
        </w:rPr>
        <w:t>4</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 xml:space="preserve">月 </w:t>
      </w:r>
      <w:r>
        <w:rPr>
          <w:rFonts w:hint="eastAsia" w:ascii="Times New Roman" w:hAnsi="Times New Roman" w:eastAsia="宋体" w:cs="Times New Roman"/>
          <w:spacing w:val="2"/>
          <w:sz w:val="23"/>
          <w:szCs w:val="23"/>
          <w:highlight w:val="none"/>
          <w:lang w:val="en-US" w:eastAsia="zh-CN"/>
        </w:rPr>
        <w:t>26</w:t>
      </w:r>
      <w:r>
        <w:rPr>
          <w:rFonts w:hint="default" w:ascii="Times New Roman" w:hAnsi="Times New Roman" w:eastAsia="宋体" w:cs="Times New Roman"/>
          <w:spacing w:val="2"/>
          <w:sz w:val="23"/>
          <w:szCs w:val="23"/>
          <w:highlight w:val="none"/>
        </w:rPr>
        <w:t xml:space="preserve">日，监测 </w:t>
      </w:r>
      <w:r>
        <w:rPr>
          <w:rFonts w:hint="default" w:ascii="Times New Roman" w:hAnsi="Times New Roman" w:eastAsia="Times New Roman" w:cs="Times New Roman"/>
          <w:spacing w:val="2"/>
          <w:sz w:val="23"/>
          <w:szCs w:val="23"/>
          <w:highlight w:val="none"/>
        </w:rPr>
        <w:t xml:space="preserve">1 </w:t>
      </w:r>
      <w:r>
        <w:rPr>
          <w:rFonts w:hint="default" w:ascii="Times New Roman" w:hAnsi="Times New Roman" w:eastAsia="宋体" w:cs="Times New Roman"/>
          <w:spacing w:val="2"/>
          <w:sz w:val="23"/>
          <w:szCs w:val="23"/>
          <w:highlight w:val="none"/>
        </w:rPr>
        <w:t>天，昼间、夜间各一次</w:t>
      </w:r>
      <w:r>
        <w:rPr>
          <w:rFonts w:hint="eastAsia" w:ascii="Times New Roman" w:hAnsi="Times New Roman" w:eastAsia="宋体" w:cs="Times New Roman"/>
          <w:spacing w:val="2"/>
          <w:sz w:val="23"/>
          <w:szCs w:val="23"/>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 w:line="226" w:lineRule="auto"/>
        <w:ind w:left="760"/>
        <w:textAlignment w:val="baseline"/>
        <w:outlineLvl w:val="9"/>
        <w:rPr>
          <w:rFonts w:hint="default" w:ascii="Times New Roman" w:hAnsi="Times New Roman" w:eastAsia="宋体" w:cs="Times New Roman"/>
          <w:sz w:val="23"/>
          <w:szCs w:val="23"/>
          <w:highlight w:val="none"/>
        </w:rPr>
      </w:pPr>
      <w:bookmarkStart w:id="315" w:name="_Toc32034"/>
      <w:bookmarkStart w:id="316" w:name="_Toc13887"/>
      <w:bookmarkStart w:id="317" w:name="_Toc4229"/>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7"/>
          <w:sz w:val="23"/>
          <w:szCs w:val="23"/>
          <w:highlight w:val="none"/>
        </w:rPr>
        <w:t>4</w:t>
      </w:r>
      <w:r>
        <w:rPr>
          <w:rFonts w:hint="default" w:ascii="Times New Roman" w:hAnsi="Times New Roman" w:eastAsia="宋体" w:cs="Times New Roman"/>
          <w:spacing w:val="17"/>
          <w:sz w:val="23"/>
          <w:szCs w:val="23"/>
          <w:highlight w:val="none"/>
        </w:rPr>
        <w:t>) 监测与评价方法</w:t>
      </w:r>
      <w:bookmarkEnd w:id="315"/>
      <w:bookmarkEnd w:id="316"/>
      <w:bookmarkEnd w:id="317"/>
    </w:p>
    <w:p>
      <w:pPr>
        <w:keepNext w:val="0"/>
        <w:keepLines w:val="0"/>
        <w:pageBreakBefore w:val="0"/>
        <w:widowControl/>
        <w:kinsoku w:val="0"/>
        <w:wordWrap/>
        <w:overflowPunct/>
        <w:topLinePunct w:val="0"/>
        <w:autoSpaceDE w:val="0"/>
        <w:autoSpaceDN w:val="0"/>
        <w:bidi w:val="0"/>
        <w:adjustRightInd w:val="0"/>
        <w:snapToGrid w:val="0"/>
        <w:spacing w:before="181" w:line="410" w:lineRule="auto"/>
        <w:ind w:left="269" w:right="257" w:firstLine="481"/>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按照《声环境质量标准》</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6"/>
          <w:sz w:val="23"/>
          <w:szCs w:val="23"/>
          <w:highlight w:val="none"/>
        </w:rPr>
        <w:t>3096</w:t>
      </w:r>
      <w:r>
        <w:rPr>
          <w:rFonts w:hint="eastAsia" w:ascii="Times New Roman" w:hAnsi="Times New Roman" w:eastAsia="宋体" w:cs="Times New Roman"/>
          <w:spacing w:val="6"/>
          <w:sz w:val="23"/>
          <w:szCs w:val="23"/>
          <w:highlight w:val="none"/>
          <w:lang w:val="en-US" w:eastAsia="zh-CN"/>
        </w:rPr>
        <w:t>-</w:t>
      </w:r>
      <w:r>
        <w:rPr>
          <w:rFonts w:hint="default" w:ascii="Times New Roman" w:hAnsi="Times New Roman" w:eastAsia="Times New Roman" w:cs="Times New Roman"/>
          <w:spacing w:val="6"/>
          <w:sz w:val="23"/>
          <w:szCs w:val="23"/>
          <w:highlight w:val="none"/>
        </w:rPr>
        <w:t>2008)</w:t>
      </w:r>
      <w:r>
        <w:rPr>
          <w:rFonts w:hint="default" w:ascii="Times New Roman" w:hAnsi="Times New Roman" w:eastAsia="宋体" w:cs="Times New Roman"/>
          <w:spacing w:val="6"/>
          <w:sz w:val="23"/>
          <w:szCs w:val="23"/>
          <w:highlight w:val="none"/>
        </w:rPr>
        <w:t>中的规定进行。采用等效声级与</w:t>
      </w:r>
      <w:r>
        <w:rPr>
          <w:rFonts w:hint="default" w:ascii="Times New Roman" w:hAnsi="Times New Roman" w:eastAsia="宋体" w:cs="Times New Roman"/>
          <w:spacing w:val="3"/>
          <w:sz w:val="23"/>
          <w:szCs w:val="23"/>
          <w:highlight w:val="none"/>
        </w:rPr>
        <w:t>相</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应</w:t>
      </w:r>
      <w:r>
        <w:rPr>
          <w:rFonts w:hint="default" w:ascii="Times New Roman" w:hAnsi="Times New Roman" w:eastAsia="宋体" w:cs="Times New Roman"/>
          <w:spacing w:val="8"/>
          <w:sz w:val="23"/>
          <w:szCs w:val="23"/>
          <w:highlight w:val="none"/>
        </w:rPr>
        <w:t>标准值比较的方法进行。</w:t>
      </w:r>
    </w:p>
    <w:p>
      <w:pPr>
        <w:keepNext w:val="0"/>
        <w:keepLines w:val="0"/>
        <w:pageBreakBefore w:val="0"/>
        <w:widowControl/>
        <w:kinsoku w:val="0"/>
        <w:wordWrap/>
        <w:overflowPunct/>
        <w:topLinePunct w:val="0"/>
        <w:autoSpaceDE w:val="0"/>
        <w:autoSpaceDN w:val="0"/>
        <w:bidi w:val="0"/>
        <w:adjustRightInd w:val="0"/>
        <w:snapToGrid w:val="0"/>
        <w:spacing w:before="14" w:line="227" w:lineRule="auto"/>
        <w:ind w:left="760"/>
        <w:textAlignment w:val="baseline"/>
        <w:outlineLvl w:val="9"/>
        <w:rPr>
          <w:rFonts w:hint="default" w:ascii="Times New Roman" w:hAnsi="Times New Roman" w:eastAsia="宋体" w:cs="Times New Roman"/>
          <w:sz w:val="23"/>
          <w:szCs w:val="23"/>
          <w:highlight w:val="none"/>
        </w:rPr>
      </w:pPr>
      <w:bookmarkStart w:id="318" w:name="_Toc19577"/>
      <w:bookmarkStart w:id="319" w:name="_Toc5070"/>
      <w:bookmarkStart w:id="320" w:name="_Toc16013"/>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5</w:t>
      </w:r>
      <w:r>
        <w:rPr>
          <w:rFonts w:hint="default" w:ascii="Times New Roman" w:hAnsi="Times New Roman" w:eastAsia="宋体" w:cs="Times New Roman"/>
          <w:spacing w:val="20"/>
          <w:sz w:val="23"/>
          <w:szCs w:val="23"/>
          <w:highlight w:val="none"/>
        </w:rPr>
        <w:t>) 评价标</w:t>
      </w:r>
      <w:r>
        <w:rPr>
          <w:rFonts w:hint="default" w:ascii="Times New Roman" w:hAnsi="Times New Roman" w:eastAsia="宋体" w:cs="Times New Roman"/>
          <w:spacing w:val="19"/>
          <w:sz w:val="23"/>
          <w:szCs w:val="23"/>
          <w:highlight w:val="none"/>
        </w:rPr>
        <w:t>准</w:t>
      </w:r>
      <w:bookmarkEnd w:id="318"/>
      <w:bookmarkEnd w:id="319"/>
      <w:bookmarkEnd w:id="320"/>
    </w:p>
    <w:p>
      <w:pPr>
        <w:keepNext w:val="0"/>
        <w:keepLines w:val="0"/>
        <w:pageBreakBefore w:val="0"/>
        <w:widowControl/>
        <w:kinsoku w:val="0"/>
        <w:wordWrap/>
        <w:overflowPunct/>
        <w:topLinePunct w:val="0"/>
        <w:autoSpaceDE w:val="0"/>
        <w:autoSpaceDN w:val="0"/>
        <w:bidi w:val="0"/>
        <w:adjustRightInd w:val="0"/>
        <w:snapToGrid w:val="0"/>
        <w:spacing w:before="183" w:line="400" w:lineRule="auto"/>
        <w:ind w:left="271" w:right="257" w:firstLine="477"/>
        <w:textAlignment w:val="baseline"/>
        <w:outlineLvl w:val="9"/>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1"/>
          <w:sz w:val="23"/>
          <w:szCs w:val="23"/>
          <w:highlight w:val="none"/>
          <w:lang w:val="en-US" w:eastAsia="zh-CN"/>
        </w:rPr>
        <w:t>厂界执行</w:t>
      </w:r>
      <w:r>
        <w:rPr>
          <w:rFonts w:hint="default" w:ascii="Times New Roman" w:hAnsi="Times New Roman" w:eastAsia="Times New Roman" w:cs="Times New Roman"/>
          <w:spacing w:val="-1"/>
          <w:sz w:val="23"/>
          <w:szCs w:val="23"/>
          <w:highlight w:val="none"/>
        </w:rPr>
        <w:t xml:space="preserve">2 </w:t>
      </w:r>
      <w:r>
        <w:rPr>
          <w:rFonts w:hint="default" w:ascii="Times New Roman" w:hAnsi="Times New Roman" w:eastAsia="宋体" w:cs="Times New Roman"/>
          <w:spacing w:val="-1"/>
          <w:sz w:val="23"/>
          <w:szCs w:val="23"/>
          <w:highlight w:val="none"/>
        </w:rPr>
        <w:t>类</w:t>
      </w:r>
      <w:r>
        <w:rPr>
          <w:rFonts w:hint="eastAsia" w:ascii="Times New Roman" w:hAnsi="Times New Roman" w:eastAsia="宋体" w:cs="Times New Roman"/>
          <w:spacing w:val="-1"/>
          <w:sz w:val="23"/>
          <w:szCs w:val="23"/>
          <w:highlight w:val="none"/>
          <w:lang w:val="en-US" w:eastAsia="zh-CN"/>
        </w:rPr>
        <w:t>区标准</w:t>
      </w:r>
      <w:r>
        <w:rPr>
          <w:rFonts w:hint="default" w:ascii="Times New Roman" w:hAnsi="Times New Roman" w:eastAsia="Times New Roman" w:cs="Times New Roman"/>
          <w:spacing w:val="-1"/>
          <w:sz w:val="23"/>
          <w:szCs w:val="23"/>
          <w:highlight w:val="none"/>
        </w:rPr>
        <w:t>—</w:t>
      </w:r>
      <w:r>
        <w:rPr>
          <w:rFonts w:hint="default" w:ascii="Times New Roman" w:hAnsi="Times New Roman" w:eastAsia="宋体" w:cs="Times New Roman"/>
          <w:spacing w:val="-1"/>
          <w:sz w:val="23"/>
          <w:szCs w:val="23"/>
          <w:highlight w:val="none"/>
        </w:rPr>
        <w:t xml:space="preserve">昼间 </w:t>
      </w:r>
      <w:r>
        <w:rPr>
          <w:rFonts w:hint="default" w:ascii="Times New Roman" w:hAnsi="Times New Roman" w:eastAsia="Times New Roman" w:cs="Times New Roman"/>
          <w:spacing w:val="-1"/>
          <w:sz w:val="23"/>
          <w:szCs w:val="23"/>
          <w:highlight w:val="none"/>
        </w:rPr>
        <w:t>60</w:t>
      </w:r>
      <w:r>
        <w:rPr>
          <w:rFonts w:hint="default" w:ascii="Times New Roman" w:hAnsi="Times New Roman" w:eastAsia="Times New Roman" w:cs="Times New Roman"/>
          <w:sz w:val="23"/>
          <w:szCs w:val="23"/>
          <w:highlight w:val="none"/>
        </w:rPr>
        <w:t xml:space="preserve">dB(A) </w:t>
      </w:r>
      <w:r>
        <w:rPr>
          <w:rFonts w:hint="default" w:ascii="Times New Roman" w:hAnsi="Times New Roman" w:eastAsia="宋体" w:cs="Times New Roman"/>
          <w:sz w:val="23"/>
          <w:szCs w:val="23"/>
          <w:highlight w:val="none"/>
        </w:rPr>
        <w:t xml:space="preserve">、夜间 </w:t>
      </w:r>
      <w:r>
        <w:rPr>
          <w:rFonts w:hint="default" w:ascii="Times New Roman" w:hAnsi="Times New Roman" w:eastAsia="Times New Roman" w:cs="Times New Roman"/>
          <w:sz w:val="23"/>
          <w:szCs w:val="23"/>
          <w:highlight w:val="none"/>
        </w:rPr>
        <w:t>50dB(A)</w:t>
      </w:r>
      <w:r>
        <w:rPr>
          <w:rFonts w:hint="default" w:ascii="Times New Roman" w:hAnsi="Times New Roman" w:eastAsia="宋体" w:cs="Times New Roman"/>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38" w:line="227" w:lineRule="auto"/>
        <w:ind w:left="760"/>
        <w:textAlignment w:val="baseline"/>
        <w:outlineLvl w:val="9"/>
        <w:rPr>
          <w:rFonts w:hint="default" w:ascii="Times New Roman" w:hAnsi="Times New Roman" w:eastAsia="宋体" w:cs="Times New Roman"/>
          <w:sz w:val="23"/>
          <w:szCs w:val="23"/>
          <w:highlight w:val="none"/>
        </w:rPr>
      </w:pPr>
      <w:bookmarkStart w:id="321" w:name="_Toc17011"/>
      <w:bookmarkStart w:id="322" w:name="_Toc17837"/>
      <w:bookmarkStart w:id="323" w:name="_Toc3716"/>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7"/>
          <w:sz w:val="23"/>
          <w:szCs w:val="23"/>
          <w:highlight w:val="none"/>
        </w:rPr>
        <w:t>6</w:t>
      </w:r>
      <w:r>
        <w:rPr>
          <w:rFonts w:hint="default" w:ascii="Times New Roman" w:hAnsi="Times New Roman" w:eastAsia="宋体" w:cs="Times New Roman"/>
          <w:spacing w:val="17"/>
          <w:sz w:val="23"/>
          <w:szCs w:val="23"/>
          <w:highlight w:val="none"/>
        </w:rPr>
        <w:t>) 监测与评价结果</w:t>
      </w:r>
      <w:bookmarkEnd w:id="321"/>
      <w:bookmarkEnd w:id="322"/>
      <w:bookmarkEnd w:id="323"/>
    </w:p>
    <w:p>
      <w:pPr>
        <w:keepNext w:val="0"/>
        <w:keepLines w:val="0"/>
        <w:pageBreakBefore w:val="0"/>
        <w:widowControl/>
        <w:kinsoku w:val="0"/>
        <w:wordWrap/>
        <w:overflowPunct/>
        <w:topLinePunct w:val="0"/>
        <w:autoSpaceDE w:val="0"/>
        <w:autoSpaceDN w:val="0"/>
        <w:bidi w:val="0"/>
        <w:adjustRightInd w:val="0"/>
        <w:snapToGrid w:val="0"/>
        <w:spacing w:before="216" w:line="227" w:lineRule="auto"/>
        <w:ind w:left="753"/>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项目所</w:t>
      </w:r>
      <w:r>
        <w:rPr>
          <w:rFonts w:hint="default" w:ascii="Times New Roman" w:hAnsi="Times New Roman" w:eastAsia="宋体" w:cs="Times New Roman"/>
          <w:spacing w:val="6"/>
          <w:sz w:val="23"/>
          <w:szCs w:val="23"/>
          <w:highlight w:val="none"/>
        </w:rPr>
        <w:t>在</w:t>
      </w:r>
      <w:r>
        <w:rPr>
          <w:rFonts w:hint="default" w:ascii="Times New Roman" w:hAnsi="Times New Roman" w:eastAsia="宋体" w:cs="Times New Roman"/>
          <w:spacing w:val="5"/>
          <w:sz w:val="23"/>
          <w:szCs w:val="23"/>
          <w:highlight w:val="none"/>
        </w:rPr>
        <w:t xml:space="preserve">区域声环境现状监测及评价结果见表 </w:t>
      </w:r>
      <w:r>
        <w:rPr>
          <w:rFonts w:hint="default" w:ascii="Times New Roman" w:hAnsi="Times New Roman" w:eastAsia="Times New Roman" w:cs="Times New Roman"/>
          <w:spacing w:val="5"/>
          <w:sz w:val="23"/>
          <w:szCs w:val="23"/>
          <w:highlight w:val="none"/>
        </w:rPr>
        <w:t>4.3-6</w:t>
      </w:r>
      <w:r>
        <w:rPr>
          <w:rFonts w:hint="default" w:ascii="Times New Roman" w:hAnsi="Times New Roman" w:eastAsia="宋体" w:cs="Times New Roman"/>
          <w:spacing w:val="5"/>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177" w:line="320" w:lineRule="exact"/>
        <w:ind w:left="592"/>
        <w:textAlignment w:val="baseline"/>
        <w:outlineLvl w:val="9"/>
        <w:rPr>
          <w:rFonts w:hint="default" w:ascii="Times New Roman" w:hAnsi="Times New Roman" w:eastAsia="Times New Roman" w:cs="Times New Roman"/>
          <w:sz w:val="23"/>
          <w:szCs w:val="23"/>
          <w:highlight w:val="none"/>
        </w:rPr>
      </w:pPr>
      <w:r>
        <w:rPr>
          <w:rFonts w:hint="default" w:ascii="Times New Roman" w:hAnsi="Times New Roman" w:eastAsia="宋体" w:cs="Times New Roman"/>
          <w:spacing w:val="10"/>
          <w:position w:val="1"/>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10"/>
          <w:position w:val="1"/>
          <w:sz w:val="23"/>
          <w:szCs w:val="23"/>
          <w:highlight w:val="none"/>
        </w:rPr>
        <w:t xml:space="preserve"> </w:t>
      </w:r>
      <w:r>
        <w:rPr>
          <w:rFonts w:hint="default" w:ascii="Times New Roman" w:hAnsi="Times New Roman" w:eastAsia="Times New Roman" w:cs="Times New Roman"/>
          <w:b/>
          <w:bCs/>
          <w:spacing w:val="10"/>
          <w:position w:val="1"/>
          <w:sz w:val="23"/>
          <w:szCs w:val="23"/>
          <w:highlight w:val="none"/>
        </w:rPr>
        <w:t>4</w:t>
      </w:r>
      <w:r>
        <w:rPr>
          <w:rFonts w:hint="default" w:ascii="Times New Roman" w:hAnsi="Times New Roman" w:eastAsia="Times New Roman" w:cs="Times New Roman"/>
          <w:b/>
          <w:bCs/>
          <w:spacing w:val="9"/>
          <w:position w:val="1"/>
          <w:sz w:val="23"/>
          <w:szCs w:val="23"/>
          <w:highlight w:val="none"/>
        </w:rPr>
        <w:t>.</w:t>
      </w:r>
      <w:r>
        <w:rPr>
          <w:rFonts w:hint="default" w:ascii="Times New Roman" w:hAnsi="Times New Roman" w:eastAsia="Times New Roman" w:cs="Times New Roman"/>
          <w:b/>
          <w:bCs/>
          <w:spacing w:val="5"/>
          <w:position w:val="1"/>
          <w:sz w:val="23"/>
          <w:szCs w:val="23"/>
          <w:highlight w:val="none"/>
        </w:rPr>
        <w:t>3-6</w:t>
      </w:r>
      <w:r>
        <w:rPr>
          <w:rFonts w:hint="default" w:ascii="Times New Roman" w:hAnsi="Times New Roman" w:eastAsia="Times New Roman" w:cs="Times New Roman"/>
          <w:spacing w:val="5"/>
          <w:position w:val="1"/>
          <w:sz w:val="23"/>
          <w:szCs w:val="23"/>
          <w:highlight w:val="none"/>
        </w:rPr>
        <w:t xml:space="preserve">              </w:t>
      </w:r>
      <w:r>
        <w:rPr>
          <w:rFonts w:hint="default" w:ascii="Times New Roman" w:hAnsi="Times New Roman" w:eastAsia="宋体" w:cs="Times New Roman"/>
          <w:spacing w:val="5"/>
          <w:position w:val="1"/>
          <w:sz w:val="23"/>
          <w:szCs w:val="23"/>
          <w:highlight w:val="none"/>
          <w14:textOutline w14:w="4358" w14:cap="sq" w14:cmpd="sng">
            <w14:solidFill>
              <w14:srgbClr w14:val="000000"/>
            </w14:solidFill>
            <w14:prstDash w14:val="solid"/>
            <w14:bevel/>
          </w14:textOutline>
        </w:rPr>
        <w:t>声环境现状监测及评价结果一览表</w:t>
      </w:r>
      <w:r>
        <w:rPr>
          <w:rFonts w:hint="default" w:ascii="Times New Roman" w:hAnsi="Times New Roman" w:eastAsia="宋体" w:cs="Times New Roman"/>
          <w:spacing w:val="5"/>
          <w:position w:val="1"/>
          <w:sz w:val="23"/>
          <w:szCs w:val="23"/>
          <w:highlight w:val="none"/>
        </w:rPr>
        <w:t xml:space="preserve">         </w:t>
      </w:r>
      <w:r>
        <w:rPr>
          <w:rFonts w:hint="default" w:ascii="Times New Roman" w:hAnsi="Times New Roman" w:eastAsia="宋体" w:cs="Times New Roman"/>
          <w:spacing w:val="5"/>
          <w:position w:val="1"/>
          <w:sz w:val="23"/>
          <w:szCs w:val="23"/>
          <w:highlight w:val="none"/>
          <w14:textOutline w14:w="4358" w14:cap="sq" w14:cmpd="sng">
            <w14:solidFill>
              <w14:srgbClr w14:val="000000"/>
            </w14:solidFill>
            <w14:prstDash w14:val="solid"/>
            <w14:bevel/>
          </w14:textOutline>
        </w:rPr>
        <w:t>单位：</w:t>
      </w:r>
      <w:r>
        <w:rPr>
          <w:rFonts w:hint="default" w:ascii="Times New Roman" w:hAnsi="Times New Roman" w:eastAsia="Times New Roman" w:cs="Times New Roman"/>
          <w:b/>
          <w:bCs/>
          <w:position w:val="1"/>
          <w:sz w:val="23"/>
          <w:szCs w:val="23"/>
          <w:highlight w:val="none"/>
        </w:rPr>
        <w:t>dB</w:t>
      </w:r>
      <w:r>
        <w:rPr>
          <w:rFonts w:hint="default" w:ascii="Times New Roman" w:hAnsi="Times New Roman" w:eastAsia="Times New Roman" w:cs="Times New Roman"/>
          <w:b/>
          <w:bCs/>
          <w:spacing w:val="5"/>
          <w:position w:val="1"/>
          <w:sz w:val="23"/>
          <w:szCs w:val="23"/>
          <w:highlight w:val="none"/>
        </w:rPr>
        <w:t>(</w:t>
      </w:r>
      <w:r>
        <w:rPr>
          <w:rFonts w:hint="default" w:ascii="Times New Roman" w:hAnsi="Times New Roman" w:eastAsia="Times New Roman" w:cs="Times New Roman"/>
          <w:b/>
          <w:bCs/>
          <w:position w:val="1"/>
          <w:sz w:val="23"/>
          <w:szCs w:val="23"/>
          <w:highlight w:val="none"/>
        </w:rPr>
        <w:t>A</w:t>
      </w:r>
      <w:r>
        <w:rPr>
          <w:rFonts w:hint="default" w:ascii="Times New Roman" w:hAnsi="Times New Roman" w:eastAsia="Times New Roman" w:cs="Times New Roman"/>
          <w:b/>
          <w:bCs/>
          <w:spacing w:val="5"/>
          <w:position w:val="1"/>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27" w:lineRule="exact"/>
        <w:textAlignment w:val="baseline"/>
        <w:outlineLvl w:val="9"/>
        <w:rPr>
          <w:rFonts w:hint="default" w:ascii="Times New Roman" w:hAnsi="Times New Roman" w:cs="Times New Roman"/>
          <w:highlight w:val="none"/>
        </w:rPr>
      </w:pPr>
    </w:p>
    <w:tbl>
      <w:tblPr>
        <w:tblStyle w:val="19"/>
        <w:tblW w:w="880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0"/>
        <w:gridCol w:w="1230"/>
        <w:gridCol w:w="1087"/>
        <w:gridCol w:w="1246"/>
        <w:gridCol w:w="1196"/>
        <w:gridCol w:w="1178"/>
        <w:gridCol w:w="13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500" w:type="dxa"/>
            <w:vMerge w:val="restart"/>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55" w:lineRule="auto"/>
              <w:textAlignment w:val="baseline"/>
              <w:outlineLvl w:val="9"/>
              <w:rPr>
                <w:rFonts w:hint="default" w:ascii="Times New Roman" w:hAnsi="Times New Roman" w:cs="Times New Roman"/>
                <w:sz w:val="21"/>
                <w:highlight w:val="none"/>
              </w:rPr>
            </w:pPr>
          </w:p>
          <w:p>
            <w:pPr>
              <w:keepNext w:val="0"/>
              <w:keepLines w:val="0"/>
              <w:pageBreakBefore w:val="0"/>
              <w:widowControl/>
              <w:kinsoku w:val="0"/>
              <w:wordWrap/>
              <w:overflowPunct/>
              <w:topLinePunct w:val="0"/>
              <w:autoSpaceDE w:val="0"/>
              <w:autoSpaceDN w:val="0"/>
              <w:bidi w:val="0"/>
              <w:adjustRightInd w:val="0"/>
              <w:snapToGrid w:val="0"/>
              <w:spacing w:before="65" w:line="230" w:lineRule="auto"/>
              <w:ind w:left="533"/>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位</w:t>
            </w:r>
            <w:r>
              <w:rPr>
                <w:rFonts w:hint="default" w:ascii="Times New Roman" w:hAnsi="Times New Roman" w:eastAsia="宋体" w:cs="Times New Roman"/>
                <w:spacing w:val="4"/>
                <w:sz w:val="20"/>
                <w:szCs w:val="20"/>
                <w:highlight w:val="none"/>
              </w:rPr>
              <w:t>置</w:t>
            </w:r>
          </w:p>
        </w:tc>
        <w:tc>
          <w:tcPr>
            <w:tcW w:w="3563"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18" w:line="231" w:lineRule="auto"/>
              <w:ind w:left="1574"/>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昼间</w:t>
            </w:r>
          </w:p>
        </w:tc>
        <w:tc>
          <w:tcPr>
            <w:tcW w:w="3742"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118" w:line="228" w:lineRule="auto"/>
              <w:ind w:left="1671"/>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00" w:type="dxa"/>
            <w:vMerge w:val="continue"/>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textAlignment w:val="baseline"/>
              <w:outlineLvl w:val="9"/>
              <w:rPr>
                <w:rFonts w:hint="default" w:ascii="Times New Roman" w:hAnsi="Times New Roman" w:cs="Times New Roman"/>
                <w:sz w:val="21"/>
                <w:highlight w:val="none"/>
              </w:rPr>
            </w:pPr>
          </w:p>
        </w:tc>
        <w:tc>
          <w:tcPr>
            <w:tcW w:w="123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5" w:line="228" w:lineRule="auto"/>
              <w:ind w:left="299"/>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监</w:t>
            </w:r>
            <w:r>
              <w:rPr>
                <w:rFonts w:hint="default" w:ascii="Times New Roman" w:hAnsi="Times New Roman" w:eastAsia="宋体" w:cs="Times New Roman"/>
                <w:spacing w:val="6"/>
                <w:sz w:val="20"/>
                <w:szCs w:val="20"/>
                <w:highlight w:val="none"/>
              </w:rPr>
              <w:t>测值</w:t>
            </w:r>
          </w:p>
        </w:tc>
        <w:tc>
          <w:tcPr>
            <w:tcW w:w="1087"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5" w:line="228" w:lineRule="auto"/>
              <w:ind w:left="231"/>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标</w:t>
            </w:r>
            <w:r>
              <w:rPr>
                <w:rFonts w:hint="default" w:ascii="Times New Roman" w:hAnsi="Times New Roman" w:eastAsia="宋体" w:cs="Times New Roman"/>
                <w:spacing w:val="6"/>
                <w:sz w:val="20"/>
                <w:szCs w:val="20"/>
                <w:highlight w:val="none"/>
              </w:rPr>
              <w:t>准值</w:t>
            </w:r>
          </w:p>
        </w:tc>
        <w:tc>
          <w:tcPr>
            <w:tcW w:w="124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5" w:line="227" w:lineRule="auto"/>
              <w:ind w:left="208"/>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评</w:t>
            </w:r>
            <w:r>
              <w:rPr>
                <w:rFonts w:hint="default" w:ascii="Times New Roman" w:hAnsi="Times New Roman" w:eastAsia="宋体" w:cs="Times New Roman"/>
                <w:spacing w:val="7"/>
                <w:sz w:val="20"/>
                <w:szCs w:val="20"/>
                <w:highlight w:val="none"/>
              </w:rPr>
              <w:t>价结果</w:t>
            </w:r>
          </w:p>
        </w:tc>
        <w:tc>
          <w:tcPr>
            <w:tcW w:w="119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5" w:line="228" w:lineRule="auto"/>
              <w:ind w:left="293"/>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监</w:t>
            </w:r>
            <w:r>
              <w:rPr>
                <w:rFonts w:hint="default" w:ascii="Times New Roman" w:hAnsi="Times New Roman" w:eastAsia="宋体" w:cs="Times New Roman"/>
                <w:spacing w:val="6"/>
                <w:sz w:val="20"/>
                <w:szCs w:val="20"/>
                <w:highlight w:val="none"/>
              </w:rPr>
              <w:t>测值</w:t>
            </w:r>
          </w:p>
        </w:tc>
        <w:tc>
          <w:tcPr>
            <w:tcW w:w="1178"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5" w:line="228" w:lineRule="auto"/>
              <w:ind w:left="287"/>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标</w:t>
            </w:r>
            <w:r>
              <w:rPr>
                <w:rFonts w:hint="default" w:ascii="Times New Roman" w:hAnsi="Times New Roman" w:eastAsia="宋体" w:cs="Times New Roman"/>
                <w:spacing w:val="6"/>
                <w:sz w:val="20"/>
                <w:szCs w:val="20"/>
                <w:highlight w:val="none"/>
              </w:rPr>
              <w:t>准值</w:t>
            </w:r>
          </w:p>
        </w:tc>
        <w:tc>
          <w:tcPr>
            <w:tcW w:w="1368"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5" w:line="227" w:lineRule="auto"/>
              <w:ind w:left="272"/>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评</w:t>
            </w:r>
            <w:r>
              <w:rPr>
                <w:rFonts w:hint="default" w:ascii="Times New Roman" w:hAnsi="Times New Roman" w:eastAsia="宋体" w:cs="Times New Roman"/>
                <w:spacing w:val="7"/>
                <w:sz w:val="20"/>
                <w:szCs w:val="20"/>
                <w:highlight w:val="none"/>
              </w:rPr>
              <w:t>价结果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5" w:line="228" w:lineRule="auto"/>
              <w:ind w:left="435"/>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东</w:t>
            </w:r>
            <w:r>
              <w:rPr>
                <w:rFonts w:hint="default" w:ascii="Times New Roman" w:hAnsi="Times New Roman" w:eastAsia="宋体" w:cs="Times New Roman"/>
                <w:spacing w:val="4"/>
                <w:sz w:val="20"/>
                <w:szCs w:val="20"/>
                <w:highlight w:val="none"/>
              </w:rPr>
              <w:t>厂界</w:t>
            </w:r>
          </w:p>
        </w:tc>
        <w:tc>
          <w:tcPr>
            <w:tcW w:w="123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lang w:val="en-US" w:eastAsia="zh-CN"/>
              </w:rPr>
            </w:pPr>
            <w:r>
              <w:rPr>
                <w:rFonts w:hint="eastAsia" w:ascii="Times New Roman" w:hAnsi="Times New Roman" w:eastAsia="Times New Roman" w:cs="Times New Roman"/>
                <w:sz w:val="20"/>
                <w:szCs w:val="20"/>
                <w:highlight w:val="none"/>
                <w:lang w:val="en-US" w:eastAsia="zh-CN"/>
              </w:rPr>
              <w:t>57</w:t>
            </w:r>
          </w:p>
        </w:tc>
        <w:tc>
          <w:tcPr>
            <w:tcW w:w="1087" w:type="dxa"/>
            <w:vMerge w:val="restart"/>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p>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p>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60</w:t>
            </w:r>
          </w:p>
        </w:tc>
        <w:tc>
          <w:tcPr>
            <w:tcW w:w="124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达标</w:t>
            </w:r>
          </w:p>
        </w:tc>
        <w:tc>
          <w:tcPr>
            <w:tcW w:w="11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r>
              <w:rPr>
                <w:rFonts w:hint="eastAsia" w:ascii="Times New Roman" w:hAnsi="Times New Roman" w:eastAsia="Times New Roman" w:cs="Times New Roman"/>
                <w:sz w:val="20"/>
                <w:szCs w:val="20"/>
                <w:highlight w:val="none"/>
                <w:lang w:val="en-US" w:eastAsia="zh-CN"/>
              </w:rPr>
              <w:t>50</w:t>
            </w:r>
          </w:p>
        </w:tc>
        <w:tc>
          <w:tcPr>
            <w:tcW w:w="1178" w:type="dxa"/>
            <w:vMerge w:val="restart"/>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40" w:lineRule="auto"/>
              <w:textAlignment w:val="baseline"/>
              <w:outlineLvl w:val="9"/>
              <w:rPr>
                <w:rFonts w:hint="default" w:ascii="Times New Roman" w:hAnsi="Times New Roman" w:cs="Times New Roman"/>
                <w:sz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340" w:lineRule="auto"/>
              <w:textAlignment w:val="baseline"/>
              <w:outlineLvl w:val="9"/>
              <w:rPr>
                <w:rFonts w:hint="default" w:ascii="Times New Roman" w:hAnsi="Times New Roman" w:cs="Times New Roman"/>
                <w:sz w:val="21"/>
                <w:highlight w:val="none"/>
              </w:rPr>
            </w:pPr>
          </w:p>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50</w:t>
            </w:r>
          </w:p>
        </w:tc>
        <w:tc>
          <w:tcPr>
            <w:tcW w:w="1368"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4" w:line="229" w:lineRule="auto"/>
              <w:ind w:left="483"/>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6" w:line="229" w:lineRule="auto"/>
              <w:ind w:left="430"/>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南厂界</w:t>
            </w:r>
          </w:p>
        </w:tc>
        <w:tc>
          <w:tcPr>
            <w:tcW w:w="123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lang w:val="en-US" w:eastAsia="zh-CN"/>
              </w:rPr>
            </w:pPr>
            <w:r>
              <w:rPr>
                <w:rFonts w:hint="eastAsia" w:ascii="Times New Roman" w:hAnsi="Times New Roman" w:eastAsia="Times New Roman" w:cs="Times New Roman"/>
                <w:sz w:val="20"/>
                <w:szCs w:val="20"/>
                <w:highlight w:val="none"/>
                <w:lang w:val="en-US" w:eastAsia="zh-CN"/>
              </w:rPr>
              <w:t>58</w:t>
            </w:r>
          </w:p>
        </w:tc>
        <w:tc>
          <w:tcPr>
            <w:tcW w:w="1087" w:type="dxa"/>
            <w:vMerge w:val="continue"/>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p>
        </w:tc>
        <w:tc>
          <w:tcPr>
            <w:tcW w:w="124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达标</w:t>
            </w:r>
          </w:p>
        </w:tc>
        <w:tc>
          <w:tcPr>
            <w:tcW w:w="11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r>
              <w:rPr>
                <w:rFonts w:hint="eastAsia" w:ascii="Times New Roman" w:hAnsi="Times New Roman" w:eastAsia="Times New Roman" w:cs="Times New Roman"/>
                <w:sz w:val="20"/>
                <w:szCs w:val="20"/>
                <w:highlight w:val="none"/>
                <w:lang w:val="en-US" w:eastAsia="zh-CN"/>
              </w:rPr>
              <w:t>46</w:t>
            </w:r>
          </w:p>
        </w:tc>
        <w:tc>
          <w:tcPr>
            <w:tcW w:w="1178" w:type="dxa"/>
            <w:vMerge w:val="continue"/>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textAlignment w:val="baseline"/>
              <w:outlineLvl w:val="9"/>
              <w:rPr>
                <w:rFonts w:hint="default" w:ascii="Times New Roman" w:hAnsi="Times New Roman" w:cs="Times New Roman"/>
                <w:sz w:val="21"/>
                <w:highlight w:val="none"/>
              </w:rPr>
            </w:pPr>
          </w:p>
        </w:tc>
        <w:tc>
          <w:tcPr>
            <w:tcW w:w="1368"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6" w:line="229" w:lineRule="auto"/>
              <w:ind w:left="483"/>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6" w:line="229" w:lineRule="auto"/>
              <w:ind w:left="432"/>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西厂界</w:t>
            </w:r>
          </w:p>
        </w:tc>
        <w:tc>
          <w:tcPr>
            <w:tcW w:w="123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lang w:val="en-US" w:eastAsia="zh-CN"/>
              </w:rPr>
            </w:pPr>
            <w:r>
              <w:rPr>
                <w:rFonts w:hint="eastAsia" w:ascii="Times New Roman" w:hAnsi="Times New Roman" w:eastAsia="Times New Roman" w:cs="Times New Roman"/>
                <w:sz w:val="20"/>
                <w:szCs w:val="20"/>
                <w:highlight w:val="none"/>
                <w:lang w:val="en-US" w:eastAsia="zh-CN"/>
              </w:rPr>
              <w:t>58</w:t>
            </w:r>
          </w:p>
        </w:tc>
        <w:tc>
          <w:tcPr>
            <w:tcW w:w="1087" w:type="dxa"/>
            <w:vMerge w:val="continue"/>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p>
        </w:tc>
        <w:tc>
          <w:tcPr>
            <w:tcW w:w="124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达标</w:t>
            </w:r>
          </w:p>
        </w:tc>
        <w:tc>
          <w:tcPr>
            <w:tcW w:w="11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r>
              <w:rPr>
                <w:rFonts w:hint="eastAsia" w:ascii="Times New Roman" w:hAnsi="Times New Roman" w:eastAsia="Times New Roman" w:cs="Times New Roman"/>
                <w:sz w:val="20"/>
                <w:szCs w:val="20"/>
                <w:highlight w:val="none"/>
                <w:lang w:val="en-US" w:eastAsia="zh-CN"/>
              </w:rPr>
              <w:t>48</w:t>
            </w:r>
          </w:p>
        </w:tc>
        <w:tc>
          <w:tcPr>
            <w:tcW w:w="1178" w:type="dxa"/>
            <w:vMerge w:val="continue"/>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textAlignment w:val="baseline"/>
              <w:outlineLvl w:val="9"/>
              <w:rPr>
                <w:rFonts w:hint="default" w:ascii="Times New Roman" w:hAnsi="Times New Roman" w:cs="Times New Roman"/>
                <w:sz w:val="21"/>
                <w:highlight w:val="none"/>
              </w:rPr>
            </w:pPr>
          </w:p>
        </w:tc>
        <w:tc>
          <w:tcPr>
            <w:tcW w:w="1368"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6" w:line="229" w:lineRule="auto"/>
              <w:ind w:left="483"/>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500"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8" w:line="229" w:lineRule="auto"/>
              <w:ind w:left="431"/>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北厂</w:t>
            </w:r>
            <w:r>
              <w:rPr>
                <w:rFonts w:hint="default" w:ascii="Times New Roman" w:hAnsi="Times New Roman" w:eastAsia="宋体" w:cs="Times New Roman"/>
                <w:spacing w:val="5"/>
                <w:sz w:val="20"/>
                <w:szCs w:val="20"/>
                <w:highlight w:val="none"/>
              </w:rPr>
              <w:t>界</w:t>
            </w:r>
          </w:p>
        </w:tc>
        <w:tc>
          <w:tcPr>
            <w:tcW w:w="123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lang w:val="en-US" w:eastAsia="zh-CN"/>
              </w:rPr>
            </w:pPr>
            <w:r>
              <w:rPr>
                <w:rFonts w:hint="eastAsia" w:ascii="Times New Roman" w:hAnsi="Times New Roman" w:eastAsia="Times New Roman" w:cs="Times New Roman"/>
                <w:sz w:val="20"/>
                <w:szCs w:val="20"/>
                <w:highlight w:val="none"/>
                <w:lang w:val="en-US" w:eastAsia="zh-CN"/>
              </w:rPr>
              <w:t>58</w:t>
            </w:r>
          </w:p>
        </w:tc>
        <w:tc>
          <w:tcPr>
            <w:tcW w:w="1087" w:type="dxa"/>
            <w:vMerge w:val="continue"/>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p>
        </w:tc>
        <w:tc>
          <w:tcPr>
            <w:tcW w:w="1246"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达标</w:t>
            </w:r>
          </w:p>
        </w:tc>
        <w:tc>
          <w:tcPr>
            <w:tcW w:w="119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58" w:line="195" w:lineRule="auto"/>
              <w:ind w:left="497"/>
              <w:textAlignment w:val="baseline"/>
              <w:outlineLvl w:val="9"/>
              <w:rPr>
                <w:rFonts w:hint="default" w:ascii="Times New Roman" w:hAnsi="Times New Roman" w:eastAsia="Times New Roman" w:cs="Times New Roman"/>
                <w:sz w:val="20"/>
                <w:szCs w:val="20"/>
                <w:highlight w:val="none"/>
              </w:rPr>
            </w:pPr>
            <w:r>
              <w:rPr>
                <w:rFonts w:hint="eastAsia" w:ascii="Times New Roman" w:hAnsi="Times New Roman" w:eastAsia="Times New Roman" w:cs="Times New Roman"/>
                <w:sz w:val="20"/>
                <w:szCs w:val="20"/>
                <w:highlight w:val="none"/>
                <w:lang w:val="en-US" w:eastAsia="zh-CN"/>
              </w:rPr>
              <w:t>48</w:t>
            </w:r>
          </w:p>
        </w:tc>
        <w:tc>
          <w:tcPr>
            <w:tcW w:w="1178" w:type="dxa"/>
            <w:vMerge w:val="continue"/>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textAlignment w:val="baseline"/>
              <w:outlineLvl w:val="9"/>
              <w:rPr>
                <w:rFonts w:hint="default" w:ascii="Times New Roman" w:hAnsi="Times New Roman" w:cs="Times New Roman"/>
                <w:sz w:val="21"/>
                <w:highlight w:val="none"/>
              </w:rPr>
            </w:pPr>
          </w:p>
        </w:tc>
        <w:tc>
          <w:tcPr>
            <w:tcW w:w="1368"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before="98" w:line="229" w:lineRule="auto"/>
              <w:ind w:left="483"/>
              <w:textAlignment w:val="baseline"/>
              <w:outlineLvl w:val="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达标</w:t>
            </w:r>
          </w:p>
        </w:tc>
      </w:tr>
    </w:tbl>
    <w:p>
      <w:pPr>
        <w:keepNext w:val="0"/>
        <w:keepLines w:val="0"/>
        <w:pageBreakBefore w:val="0"/>
        <w:widowControl/>
        <w:kinsoku w:val="0"/>
        <w:wordWrap/>
        <w:overflowPunct/>
        <w:topLinePunct w:val="0"/>
        <w:autoSpaceDE w:val="0"/>
        <w:autoSpaceDN w:val="0"/>
        <w:bidi w:val="0"/>
        <w:adjustRightInd w:val="0"/>
        <w:snapToGrid w:val="0"/>
        <w:spacing w:before="194" w:line="397" w:lineRule="auto"/>
        <w:ind w:right="259" w:firstLine="508" w:firstLineChars="200"/>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 xml:space="preserve">由表 </w:t>
      </w:r>
      <w:r>
        <w:rPr>
          <w:rFonts w:hint="default" w:ascii="Times New Roman" w:hAnsi="Times New Roman" w:eastAsia="Times New Roman" w:cs="Times New Roman"/>
          <w:spacing w:val="7"/>
          <w:sz w:val="23"/>
          <w:szCs w:val="23"/>
          <w:highlight w:val="none"/>
        </w:rPr>
        <w:t>4</w:t>
      </w:r>
      <w:r>
        <w:rPr>
          <w:rFonts w:hint="default" w:ascii="Times New Roman" w:hAnsi="Times New Roman" w:eastAsia="Times New Roman" w:cs="Times New Roman"/>
          <w:spacing w:val="6"/>
          <w:sz w:val="23"/>
          <w:szCs w:val="23"/>
          <w:highlight w:val="none"/>
        </w:rPr>
        <w:t xml:space="preserve">.3-6 </w:t>
      </w:r>
      <w:r>
        <w:rPr>
          <w:rFonts w:hint="default" w:ascii="Times New Roman" w:hAnsi="Times New Roman" w:eastAsia="宋体" w:cs="Times New Roman"/>
          <w:spacing w:val="6"/>
          <w:sz w:val="23"/>
          <w:szCs w:val="23"/>
          <w:highlight w:val="none"/>
        </w:rPr>
        <w:t>可知，本项目四周厂界的昼、夜噪声监测值均满足《声环境质量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标准》</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6"/>
          <w:sz w:val="23"/>
          <w:szCs w:val="23"/>
          <w:highlight w:val="none"/>
        </w:rPr>
        <w:t>309</w:t>
      </w:r>
      <w:r>
        <w:rPr>
          <w:rFonts w:hint="default" w:ascii="Times New Roman" w:hAnsi="Times New Roman" w:eastAsia="Times New Roman" w:cs="Times New Roman"/>
          <w:spacing w:val="5"/>
          <w:sz w:val="23"/>
          <w:szCs w:val="23"/>
          <w:highlight w:val="none"/>
        </w:rPr>
        <w:t>6</w:t>
      </w:r>
      <w:r>
        <w:rPr>
          <w:rFonts w:hint="default" w:ascii="Times New Roman" w:hAnsi="Times New Roman" w:eastAsia="Times New Roman" w:cs="Times New Roman"/>
          <w:spacing w:val="3"/>
          <w:sz w:val="23"/>
          <w:szCs w:val="23"/>
          <w:highlight w:val="none"/>
        </w:rPr>
        <w:t xml:space="preserve">-2008) 2 </w:t>
      </w:r>
      <w:r>
        <w:rPr>
          <w:rFonts w:hint="default" w:ascii="Times New Roman" w:hAnsi="Times New Roman" w:eastAsia="宋体" w:cs="Times New Roman"/>
          <w:spacing w:val="3"/>
          <w:sz w:val="23"/>
          <w:szCs w:val="23"/>
          <w:highlight w:val="none"/>
        </w:rPr>
        <w:t>类区标准限值要求</w:t>
      </w:r>
      <w:r>
        <w:rPr>
          <w:rFonts w:hint="default" w:ascii="Times New Roman" w:hAnsi="Times New Roman" w:eastAsia="宋体" w:cs="Times New Roman"/>
          <w:spacing w:val="2"/>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textAlignment w:val="baseline"/>
        <w:outlineLvl w:val="9"/>
        <w:rPr>
          <w:rFonts w:hint="default" w:ascii="Times New Roman" w:hAnsi="Times New Roman" w:cs="Times New Roman"/>
          <w:highlight w:val="none"/>
        </w:rPr>
        <w:sectPr>
          <w:headerReference r:id="rId57" w:type="default"/>
          <w:footerReference r:id="rId58" w:type="default"/>
          <w:pgSz w:w="11906" w:h="16839"/>
          <w:pgMar w:top="400" w:right="1537" w:bottom="1311" w:left="1537" w:header="0" w:footer="1015" w:gutter="0"/>
          <w:pgBorders>
            <w:top w:val="none" w:sz="0" w:space="0"/>
            <w:left w:val="none" w:sz="0" w:space="0"/>
            <w:bottom w:val="none" w:sz="0" w:space="0"/>
            <w:right w:val="none" w:sz="0" w:space="0"/>
          </w:pgBorders>
          <w:pgNumType w:fmt="decimal"/>
          <w:cols w:space="720" w:num="1"/>
        </w:sectPr>
      </w:pPr>
    </w:p>
    <w:p>
      <w:pPr>
        <w:spacing w:line="439"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169" o:spid="_x0000_s1169" o:spt="1" style="position:absolute;left:0pt;margin-left:89.85pt;margin-top:56.2pt;height:3.6pt;width:415.65pt;mso-position-horizontal-relative:page;mso-position-vertical-relative:page;z-index:251718656;mso-width-relative:page;mso-height-relative:page;" fillcolor="#000000" filled="t" stroked="f" coordsize="21600,21600" o:allowincell="f">
            <v:path/>
            <v:fill on="t" focussize="0,0"/>
            <v:stroke on="f"/>
            <v:imagedata o:title=""/>
            <o:lock v:ext="edit"/>
          </v:rect>
        </w:pict>
      </w:r>
    </w:p>
    <w:p>
      <w:pPr>
        <w:spacing w:before="55" w:line="230" w:lineRule="auto"/>
        <w:ind w:left="1226"/>
        <w:rPr>
          <w:rFonts w:hint="default" w:ascii="Times New Roman" w:hAnsi="Times New Roman" w:eastAsia="宋体" w:cs="Times New Roman"/>
          <w:sz w:val="17"/>
          <w:szCs w:val="17"/>
          <w:highlight w:val="none"/>
        </w:rPr>
      </w:pPr>
      <w:r>
        <w:rPr>
          <w:rFonts w:hint="default" w:ascii="Times New Roman" w:hAnsi="Times New Roman" w:eastAsia="宋体" w:cs="Times New Roman"/>
          <w:spacing w:val="7"/>
          <w:sz w:val="17"/>
          <w:szCs w:val="17"/>
          <w:highlight w:val="none"/>
        </w:rPr>
        <w:t>遵化市势竹矿业有限公司</w:t>
      </w:r>
      <w:r>
        <w:rPr>
          <w:rFonts w:hint="default" w:ascii="Times New Roman" w:hAnsi="Times New Roman" w:eastAsia="宋体" w:cs="Times New Roman"/>
          <w:spacing w:val="7"/>
          <w:sz w:val="17"/>
          <w:szCs w:val="17"/>
          <w:highlight w:val="none"/>
          <w:lang w:eastAsia="zh-CN"/>
        </w:rPr>
        <w:t>年处理110万吨铁矿石破碎改扩建项目</w:t>
      </w:r>
      <w:r>
        <w:rPr>
          <w:rFonts w:hint="default" w:ascii="Times New Roman" w:hAnsi="Times New Roman" w:eastAsia="宋体" w:cs="Times New Roman"/>
          <w:spacing w:val="7"/>
          <w:sz w:val="17"/>
          <w:szCs w:val="17"/>
          <w:highlight w:val="none"/>
        </w:rPr>
        <w:t>项目环境影响报告</w:t>
      </w:r>
      <w:r>
        <w:rPr>
          <w:rFonts w:hint="default" w:ascii="Times New Roman" w:hAnsi="Times New Roman" w:eastAsia="宋体" w:cs="Times New Roman"/>
          <w:spacing w:val="5"/>
          <w:sz w:val="17"/>
          <w:szCs w:val="17"/>
          <w:highlight w:val="none"/>
        </w:rPr>
        <w:t>书</w:t>
      </w:r>
    </w:p>
    <w:p>
      <w:pPr>
        <w:rPr>
          <w:rFonts w:hint="default" w:ascii="Times New Roman" w:hAnsi="Times New Roman" w:cs="Times New Roman"/>
          <w:highlight w:val="none"/>
        </w:rPr>
      </w:pPr>
    </w:p>
    <w:p>
      <w:pPr>
        <w:spacing w:line="89" w:lineRule="exact"/>
        <w:rPr>
          <w:rFonts w:hint="default" w:ascii="Times New Roman" w:hAnsi="Times New Roman" w:cs="Times New Roman"/>
          <w:highlight w:val="none"/>
        </w:rPr>
      </w:pPr>
    </w:p>
    <w:p>
      <w:pPr>
        <w:spacing w:before="136" w:line="227" w:lineRule="auto"/>
        <w:ind w:left="266"/>
        <w:outlineLvl w:val="1"/>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pPr>
      <w:bookmarkStart w:id="324" w:name="_Toc25558"/>
      <w:bookmarkStart w:id="325" w:name="_Toc372"/>
      <w:bookmarkStart w:id="326" w:name="_Toc6186"/>
      <w:r>
        <w:rPr>
          <w:rFonts w:hint="default" w:ascii="Times New Roman" w:hAnsi="Times New Roman" w:eastAsia="Times New Roman" w:cs="Times New Roman"/>
          <w:b/>
          <w:bCs/>
          <w:spacing w:val="14"/>
          <w:sz w:val="23"/>
          <w:szCs w:val="23"/>
          <w:highlight w:val="none"/>
        </w:rPr>
        <w:t>4</w:t>
      </w:r>
      <w:r>
        <w:rPr>
          <w:rFonts w:hint="default" w:ascii="Times New Roman" w:hAnsi="Times New Roman" w:eastAsia="Times New Roman" w:cs="Times New Roman"/>
          <w:b/>
          <w:bCs/>
          <w:spacing w:val="7"/>
          <w:sz w:val="23"/>
          <w:szCs w:val="23"/>
          <w:highlight w:val="none"/>
        </w:rPr>
        <w:t>.3.4</w:t>
      </w:r>
      <w:r>
        <w:rPr>
          <w:rFonts w:hint="default" w:ascii="Times New Roman" w:hAnsi="Times New Roman" w:eastAsia="Times New Roman" w:cs="Times New Roman"/>
          <w:spacing w:val="7"/>
          <w:sz w:val="23"/>
          <w:szCs w:val="23"/>
          <w:highlight w:val="none"/>
        </w:rPr>
        <w:t xml:space="preserve">  </w:t>
      </w:r>
      <w:r>
        <w:rPr>
          <w:rFonts w:hint="eastAsia" w:ascii="Times New Roman" w:hAnsi="Times New Roman" w:eastAsia="宋体" w:cs="Times New Roman"/>
          <w:spacing w:val="7"/>
          <w:sz w:val="23"/>
          <w:szCs w:val="23"/>
          <w:highlight w:val="none"/>
          <w:lang w:val="en-US" w:eastAsia="zh-CN"/>
          <w14:textOutline w14:w="4358" w14:cap="sq" w14:cmpd="sng">
            <w14:solidFill>
              <w14:srgbClr w14:val="000000"/>
            </w14:solidFill>
            <w14:prstDash w14:val="solid"/>
            <w14:bevel/>
          </w14:textOutline>
        </w:rPr>
        <w:t>土壤环境质量</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现状监测与评价</w:t>
      </w:r>
      <w:bookmarkEnd w:id="324"/>
      <w:bookmarkEnd w:id="325"/>
      <w:bookmarkEnd w:id="326"/>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按照《环境影响评价技术导则 土壤环境（试行）》（HJ964-2018）规范要求，</w:t>
      </w:r>
      <w:r>
        <w:rPr>
          <w:rFonts w:hint="eastAsia" w:ascii="Times New Roman" w:hAnsi="Times New Roman" w:cs="Times New Roman"/>
          <w:sz w:val="23"/>
          <w:szCs w:val="23"/>
          <w:highlight w:val="none"/>
          <w:lang w:val="en-US" w:eastAsia="zh-CN"/>
        </w:rPr>
        <w:t>委托监测单位</w:t>
      </w:r>
      <w:r>
        <w:rPr>
          <w:rFonts w:hint="default" w:ascii="Times New Roman" w:hAnsi="Times New Roman" w:cs="Times New Roman"/>
          <w:sz w:val="23"/>
          <w:szCs w:val="23"/>
          <w:highlight w:val="none"/>
        </w:rPr>
        <w:t>于20</w:t>
      </w:r>
      <w:r>
        <w:rPr>
          <w:rFonts w:hint="eastAsia" w:ascii="Times New Roman" w:hAnsi="Times New Roman" w:cs="Times New Roman"/>
          <w:sz w:val="23"/>
          <w:szCs w:val="23"/>
          <w:highlight w:val="none"/>
          <w:lang w:val="en-US" w:eastAsia="zh-CN"/>
        </w:rPr>
        <w:t>23</w:t>
      </w:r>
      <w:r>
        <w:rPr>
          <w:rFonts w:hint="default" w:ascii="Times New Roman" w:hAnsi="Times New Roman" w:cs="Times New Roman"/>
          <w:sz w:val="23"/>
          <w:szCs w:val="23"/>
          <w:highlight w:val="none"/>
        </w:rPr>
        <w:t>年</w:t>
      </w:r>
      <w:r>
        <w:rPr>
          <w:rFonts w:hint="eastAsia" w:ascii="Times New Roman" w:hAnsi="Times New Roman" w:cs="Times New Roman"/>
          <w:sz w:val="23"/>
          <w:szCs w:val="23"/>
          <w:highlight w:val="none"/>
          <w:lang w:val="en-US" w:eastAsia="zh-CN"/>
        </w:rPr>
        <w:t>04</w:t>
      </w:r>
      <w:r>
        <w:rPr>
          <w:rFonts w:hint="default" w:ascii="Times New Roman" w:hAnsi="Times New Roman" w:cs="Times New Roman"/>
          <w:sz w:val="23"/>
          <w:szCs w:val="23"/>
          <w:highlight w:val="none"/>
        </w:rPr>
        <w:t>月</w:t>
      </w:r>
      <w:r>
        <w:rPr>
          <w:rFonts w:hint="eastAsia" w:ascii="Times New Roman" w:hAnsi="Times New Roman" w:cs="Times New Roman"/>
          <w:sz w:val="23"/>
          <w:szCs w:val="23"/>
          <w:highlight w:val="none"/>
          <w:lang w:val="en-US" w:eastAsia="zh-CN"/>
        </w:rPr>
        <w:t>27</w:t>
      </w:r>
      <w:r>
        <w:rPr>
          <w:rFonts w:hint="default" w:ascii="Times New Roman" w:hAnsi="Times New Roman" w:cs="Times New Roman"/>
          <w:sz w:val="23"/>
          <w:szCs w:val="23"/>
          <w:highlight w:val="none"/>
        </w:rPr>
        <w:t>日对本项目厂区土壤环境现状监测。在本厂</w:t>
      </w:r>
      <w:r>
        <w:rPr>
          <w:rFonts w:hint="eastAsia" w:ascii="Times New Roman" w:hAnsi="Times New Roman" w:cs="Times New Roman"/>
          <w:sz w:val="23"/>
          <w:szCs w:val="23"/>
          <w:highlight w:val="none"/>
          <w:lang w:val="en-US" w:eastAsia="zh-CN"/>
        </w:rPr>
        <w:t>北侧</w:t>
      </w:r>
      <w:r>
        <w:rPr>
          <w:rFonts w:hint="default" w:ascii="Times New Roman" w:hAnsi="Times New Roman" w:cs="Times New Roman"/>
          <w:sz w:val="23"/>
          <w:szCs w:val="23"/>
          <w:highlight w:val="none"/>
        </w:rPr>
        <w:t>未受扰动区、</w:t>
      </w:r>
      <w:r>
        <w:rPr>
          <w:rFonts w:hint="eastAsia" w:ascii="Times New Roman" w:hAnsi="Times New Roman" w:cs="Times New Roman"/>
          <w:sz w:val="23"/>
          <w:szCs w:val="23"/>
          <w:highlight w:val="none"/>
          <w:lang w:val="en-US" w:eastAsia="zh-CN"/>
        </w:rPr>
        <w:t>球磨车间西</w:t>
      </w:r>
      <w:r>
        <w:rPr>
          <w:rFonts w:hint="default" w:ascii="Times New Roman" w:hAnsi="Times New Roman" w:cs="Times New Roman"/>
          <w:sz w:val="23"/>
          <w:szCs w:val="23"/>
          <w:highlight w:val="none"/>
        </w:rPr>
        <w:t>侧、</w:t>
      </w:r>
      <w:r>
        <w:rPr>
          <w:rFonts w:hint="eastAsia" w:ascii="Times New Roman" w:hAnsi="Times New Roman" w:cs="Times New Roman"/>
          <w:sz w:val="23"/>
          <w:szCs w:val="23"/>
          <w:highlight w:val="none"/>
          <w:lang w:val="en-US" w:eastAsia="zh-CN"/>
        </w:rPr>
        <w:t>浓密池南</w:t>
      </w:r>
      <w:r>
        <w:rPr>
          <w:rFonts w:hint="default" w:ascii="Times New Roman" w:hAnsi="Times New Roman" w:cs="Times New Roman"/>
          <w:sz w:val="23"/>
          <w:szCs w:val="23"/>
          <w:highlight w:val="none"/>
        </w:rPr>
        <w:t>侧共布设3个土壤表层监测点，表层监测点取样深度为0-0.2m。</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jc w:val="both"/>
        <w:textAlignment w:val="baseline"/>
        <w:outlineLvl w:val="9"/>
        <w:rPr>
          <w:rFonts w:hint="default" w:ascii="Times New Roman" w:hAnsi="Times New Roman" w:cs="Times New Roman"/>
          <w:sz w:val="23"/>
          <w:szCs w:val="23"/>
          <w:highlight w:val="none"/>
        </w:rPr>
      </w:pPr>
      <w:bookmarkStart w:id="327" w:name="_Toc17997"/>
      <w:bookmarkStart w:id="328" w:name="_Toc29627"/>
      <w:bookmarkStart w:id="329" w:name="_Toc11278"/>
      <w:r>
        <w:rPr>
          <w:rFonts w:hint="default" w:ascii="Times New Roman" w:hAnsi="Times New Roman" w:cs="Times New Roman"/>
          <w:sz w:val="23"/>
          <w:szCs w:val="23"/>
          <w:highlight w:val="none"/>
        </w:rPr>
        <w:t>（1）监测因子</w:t>
      </w:r>
      <w:bookmarkEnd w:id="327"/>
      <w:bookmarkEnd w:id="328"/>
      <w:bookmarkEnd w:id="329"/>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基本因子为《土壤环境质量建设用地土壤污染风险管控标准》（GB36600-2018）表1所列出的45项污染物。</w:t>
      </w:r>
    </w:p>
    <w:p>
      <w:pPr>
        <w:keepNext w:val="0"/>
        <w:keepLines w:val="0"/>
        <w:pageBreakBefore w:val="0"/>
        <w:widowControl/>
        <w:kinsoku w:val="0"/>
        <w:wordWrap/>
        <w:overflowPunct/>
        <w:topLinePunct w:val="0"/>
        <w:autoSpaceDE w:val="0"/>
        <w:autoSpaceDN w:val="0"/>
        <w:bidi w:val="0"/>
        <w:adjustRightInd w:val="0"/>
        <w:snapToGrid w:val="0"/>
        <w:spacing w:line="480" w:lineRule="exact"/>
        <w:ind w:firstLine="460" w:firstLineChars="20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 xml:space="preserve">特征因子为pH、石油类、铁。 </w:t>
      </w:r>
    </w:p>
    <w:p>
      <w:pPr>
        <w:pStyle w:val="14"/>
        <w:keepNext w:val="0"/>
        <w:keepLines w:val="0"/>
        <w:pageBreakBefore w:val="0"/>
        <w:widowControl/>
        <w:kinsoku w:val="0"/>
        <w:wordWrap/>
        <w:overflowPunct/>
        <w:topLinePunct w:val="0"/>
        <w:autoSpaceDE w:val="0"/>
        <w:autoSpaceDN w:val="0"/>
        <w:bidi w:val="0"/>
        <w:adjustRightInd w:val="0"/>
        <w:snapToGrid w:val="0"/>
        <w:spacing w:line="480" w:lineRule="exact"/>
        <w:ind w:left="0" w:leftChars="0" w:firstLine="480"/>
        <w:jc w:val="both"/>
        <w:textAlignment w:val="baseline"/>
        <w:outlineLvl w:val="9"/>
        <w:rPr>
          <w:rFonts w:hint="default" w:ascii="Times New Roman" w:hAnsi="Times New Roman" w:cs="Times New Roman"/>
          <w:sz w:val="23"/>
          <w:szCs w:val="23"/>
          <w:highlight w:val="none"/>
        </w:rPr>
      </w:pPr>
      <w:bookmarkStart w:id="330" w:name="_Toc1055"/>
      <w:bookmarkStart w:id="331" w:name="_Toc13279"/>
      <w:bookmarkStart w:id="332" w:name="_Toc17807"/>
      <w:r>
        <w:rPr>
          <w:rFonts w:hint="default" w:ascii="Times New Roman" w:hAnsi="Times New Roman" w:cs="Times New Roman"/>
          <w:sz w:val="23"/>
          <w:szCs w:val="23"/>
          <w:highlight w:val="none"/>
        </w:rPr>
        <w:t>（2）监测点位</w:t>
      </w:r>
      <w:bookmarkEnd w:id="330"/>
      <w:bookmarkEnd w:id="331"/>
      <w:bookmarkEnd w:id="332"/>
    </w:p>
    <w:p>
      <w:pPr>
        <w:pStyle w:val="14"/>
        <w:keepNext w:val="0"/>
        <w:keepLines w:val="0"/>
        <w:pageBreakBefore w:val="0"/>
        <w:widowControl/>
        <w:kinsoku w:val="0"/>
        <w:wordWrap/>
        <w:overflowPunct/>
        <w:topLinePunct w:val="0"/>
        <w:autoSpaceDE w:val="0"/>
        <w:autoSpaceDN w:val="0"/>
        <w:bidi w:val="0"/>
        <w:adjustRightInd w:val="0"/>
        <w:snapToGrid w:val="0"/>
        <w:spacing w:line="480" w:lineRule="exact"/>
        <w:ind w:left="0" w:leftChars="0" w:firstLine="48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共布设3个土壤表层监测点，表层监测点取样深度为0-0.2m。</w:t>
      </w:r>
    </w:p>
    <w:p>
      <w:pPr>
        <w:keepNext w:val="0"/>
        <w:keepLines w:val="0"/>
        <w:pageBreakBefore w:val="0"/>
        <w:widowControl/>
        <w:tabs>
          <w:tab w:val="left" w:pos="2837"/>
          <w:tab w:val="center" w:pos="4820"/>
        </w:tabs>
        <w:kinsoku w:val="0"/>
        <w:wordWrap/>
        <w:overflowPunct/>
        <w:topLinePunct w:val="0"/>
        <w:autoSpaceDE w:val="0"/>
        <w:autoSpaceDN w:val="0"/>
        <w:bidi w:val="0"/>
        <w:adjustRightInd w:val="0"/>
        <w:snapToGrid w:val="0"/>
        <w:spacing w:line="480" w:lineRule="exact"/>
        <w:jc w:val="center"/>
        <w:textAlignment w:val="baseline"/>
        <w:outlineLvl w:val="9"/>
        <w:rPr>
          <w:rFonts w:hint="default" w:ascii="Times New Roman" w:hAnsi="Times New Roman" w:cs="Times New Roman"/>
          <w:b/>
          <w:highlight w:val="none"/>
        </w:rPr>
      </w:pPr>
      <w:r>
        <w:rPr>
          <w:rFonts w:hint="default" w:ascii="Times New Roman" w:hAnsi="Times New Roman" w:cs="Times New Roman"/>
          <w:b/>
          <w:highlight w:val="none"/>
        </w:rPr>
        <w:t>表4.3-9 土壤监测点布置</w:t>
      </w:r>
    </w:p>
    <w:tbl>
      <w:tblPr>
        <w:tblStyle w:val="15"/>
        <w:tblW w:w="8676"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90"/>
        <w:gridCol w:w="3673"/>
        <w:gridCol w:w="1656"/>
        <w:gridCol w:w="245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890"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33" w:name="_Toc627"/>
            <w:bookmarkStart w:id="334" w:name="_Toc22313"/>
            <w:bookmarkStart w:id="335" w:name="_Toc8230"/>
            <w:bookmarkStart w:id="336" w:name="_Toc12227"/>
            <w:r>
              <w:rPr>
                <w:rFonts w:hint="default" w:ascii="Times New Roman" w:hAnsi="Times New Roman" w:cs="Times New Roman"/>
                <w:sz w:val="21"/>
                <w:szCs w:val="21"/>
                <w:highlight w:val="none"/>
              </w:rPr>
              <w:t>序号</w:t>
            </w:r>
            <w:bookmarkEnd w:id="333"/>
            <w:bookmarkEnd w:id="334"/>
            <w:bookmarkEnd w:id="335"/>
            <w:bookmarkEnd w:id="336"/>
          </w:p>
        </w:tc>
        <w:tc>
          <w:tcPr>
            <w:tcW w:w="3673"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37" w:name="_Toc21697"/>
            <w:bookmarkStart w:id="338" w:name="_Toc8689"/>
            <w:bookmarkStart w:id="339" w:name="_Toc26775"/>
            <w:bookmarkStart w:id="340" w:name="_Toc7931"/>
            <w:r>
              <w:rPr>
                <w:rFonts w:hint="default" w:ascii="Times New Roman" w:hAnsi="Times New Roman" w:cs="Times New Roman"/>
                <w:sz w:val="21"/>
                <w:szCs w:val="21"/>
                <w:highlight w:val="none"/>
              </w:rPr>
              <w:t>点位</w:t>
            </w:r>
            <w:bookmarkEnd w:id="337"/>
            <w:bookmarkEnd w:id="338"/>
            <w:bookmarkEnd w:id="339"/>
            <w:bookmarkEnd w:id="340"/>
          </w:p>
        </w:tc>
        <w:tc>
          <w:tcPr>
            <w:tcW w:w="1656"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41" w:name="_Toc3866"/>
            <w:bookmarkStart w:id="342" w:name="_Toc22171"/>
            <w:bookmarkStart w:id="343" w:name="_Toc4955"/>
            <w:bookmarkStart w:id="344" w:name="_Toc733"/>
            <w:r>
              <w:rPr>
                <w:rFonts w:hint="default" w:ascii="Times New Roman" w:hAnsi="Times New Roman" w:cs="Times New Roman"/>
                <w:sz w:val="21"/>
                <w:szCs w:val="21"/>
                <w:highlight w:val="none"/>
              </w:rPr>
              <w:t>监测点类型</w:t>
            </w:r>
            <w:bookmarkEnd w:id="341"/>
            <w:bookmarkEnd w:id="342"/>
            <w:bookmarkEnd w:id="343"/>
            <w:bookmarkEnd w:id="344"/>
          </w:p>
        </w:tc>
        <w:tc>
          <w:tcPr>
            <w:tcW w:w="2457"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45" w:name="_Toc5153"/>
            <w:bookmarkStart w:id="346" w:name="_Toc25882"/>
            <w:bookmarkStart w:id="347" w:name="_Toc19670"/>
            <w:bookmarkStart w:id="348" w:name="_Toc1456"/>
            <w:r>
              <w:rPr>
                <w:rFonts w:hint="default" w:ascii="Times New Roman" w:hAnsi="Times New Roman" w:cs="Times New Roman"/>
                <w:sz w:val="21"/>
                <w:szCs w:val="21"/>
                <w:highlight w:val="none"/>
              </w:rPr>
              <w:t>监测因子</w:t>
            </w:r>
            <w:bookmarkEnd w:id="345"/>
            <w:bookmarkEnd w:id="346"/>
            <w:bookmarkEnd w:id="347"/>
            <w:bookmarkEnd w:id="348"/>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0"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49" w:name="_Toc19456"/>
            <w:bookmarkStart w:id="350" w:name="_Toc20331"/>
            <w:bookmarkStart w:id="351" w:name="_Toc14517"/>
            <w:bookmarkStart w:id="352" w:name="_Toc30772"/>
            <w:r>
              <w:rPr>
                <w:rFonts w:hint="default" w:ascii="Times New Roman" w:hAnsi="Times New Roman" w:cs="Times New Roman"/>
                <w:sz w:val="21"/>
                <w:szCs w:val="21"/>
                <w:highlight w:val="none"/>
              </w:rPr>
              <w:t>1#</w:t>
            </w:r>
            <w:bookmarkEnd w:id="349"/>
            <w:bookmarkEnd w:id="350"/>
            <w:bookmarkEnd w:id="351"/>
            <w:bookmarkEnd w:id="352"/>
          </w:p>
        </w:tc>
        <w:tc>
          <w:tcPr>
            <w:tcW w:w="3673"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eastAsia="宋体" w:cs="Times New Roman"/>
                <w:sz w:val="21"/>
                <w:szCs w:val="21"/>
                <w:highlight w:val="none"/>
              </w:rPr>
            </w:pPr>
            <w:bookmarkStart w:id="353" w:name="_Toc15714"/>
            <w:bookmarkStart w:id="354" w:name="_Toc26240"/>
            <w:bookmarkStart w:id="355" w:name="_Toc2126"/>
            <w:r>
              <w:rPr>
                <w:rFonts w:hint="eastAsia" w:ascii="Times New Roman" w:hAnsi="Times New Roman" w:eastAsia="宋体" w:cs="Times New Roman"/>
                <w:sz w:val="21"/>
                <w:szCs w:val="21"/>
                <w:highlight w:val="none"/>
                <w:lang w:val="en-US" w:eastAsia="zh-CN"/>
              </w:rPr>
              <w:t>厂区北侧</w:t>
            </w:r>
            <w:r>
              <w:rPr>
                <w:rFonts w:hint="eastAsia" w:ascii="Times New Roman" w:hAnsi="Times New Roman" w:eastAsia="宋体" w:cs="Times New Roman"/>
                <w:sz w:val="21"/>
                <w:szCs w:val="21"/>
                <w:highlight w:val="none"/>
                <w:lang w:eastAsia="zh-CN"/>
              </w:rPr>
              <w:t>未受扰动区</w:t>
            </w:r>
            <w:bookmarkEnd w:id="353"/>
            <w:bookmarkEnd w:id="354"/>
            <w:bookmarkEnd w:id="355"/>
          </w:p>
        </w:tc>
        <w:tc>
          <w:tcPr>
            <w:tcW w:w="1656"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56" w:name="_Toc9975"/>
            <w:bookmarkStart w:id="357" w:name="_Toc8011"/>
            <w:bookmarkStart w:id="358" w:name="_Toc479"/>
            <w:bookmarkStart w:id="359" w:name="_Toc5246"/>
            <w:r>
              <w:rPr>
                <w:rFonts w:hint="default" w:ascii="Times New Roman" w:hAnsi="Times New Roman" w:cs="Times New Roman"/>
                <w:sz w:val="21"/>
                <w:szCs w:val="21"/>
                <w:highlight w:val="none"/>
              </w:rPr>
              <w:t>表层样</w:t>
            </w:r>
            <w:bookmarkEnd w:id="356"/>
            <w:bookmarkEnd w:id="357"/>
            <w:bookmarkEnd w:id="358"/>
            <w:bookmarkEnd w:id="359"/>
          </w:p>
        </w:tc>
        <w:tc>
          <w:tcPr>
            <w:tcW w:w="2457"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60" w:name="_Toc1818"/>
            <w:bookmarkStart w:id="361" w:name="_Toc8228"/>
            <w:bookmarkStart w:id="362" w:name="_Toc3927"/>
            <w:bookmarkStart w:id="363" w:name="_Toc31994"/>
            <w:r>
              <w:rPr>
                <w:rFonts w:hint="default" w:ascii="Times New Roman" w:hAnsi="Times New Roman" w:cs="Times New Roman"/>
                <w:sz w:val="21"/>
                <w:szCs w:val="21"/>
                <w:highlight w:val="none"/>
              </w:rPr>
              <w:t>基本因子+特征因子</w:t>
            </w:r>
            <w:bookmarkEnd w:id="360"/>
            <w:bookmarkEnd w:id="361"/>
            <w:bookmarkEnd w:id="362"/>
            <w:bookmarkEnd w:id="363"/>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0"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64" w:name="_Toc5642"/>
            <w:bookmarkStart w:id="365" w:name="_Toc17858"/>
            <w:bookmarkStart w:id="366" w:name="_Toc5614"/>
            <w:bookmarkStart w:id="367" w:name="_Toc31613"/>
            <w:r>
              <w:rPr>
                <w:rFonts w:hint="default" w:ascii="Times New Roman" w:hAnsi="Times New Roman" w:cs="Times New Roman"/>
                <w:sz w:val="21"/>
                <w:szCs w:val="21"/>
                <w:highlight w:val="none"/>
              </w:rPr>
              <w:t>2#</w:t>
            </w:r>
            <w:bookmarkEnd w:id="364"/>
            <w:bookmarkEnd w:id="365"/>
            <w:bookmarkEnd w:id="366"/>
            <w:bookmarkEnd w:id="367"/>
          </w:p>
        </w:tc>
        <w:tc>
          <w:tcPr>
            <w:tcW w:w="3673"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eastAsia="宋体" w:cs="Times New Roman"/>
                <w:sz w:val="21"/>
                <w:szCs w:val="21"/>
                <w:highlight w:val="none"/>
              </w:rPr>
            </w:pPr>
            <w:bookmarkStart w:id="368" w:name="_Toc5771"/>
            <w:bookmarkStart w:id="369" w:name="_Toc450"/>
            <w:bookmarkStart w:id="370" w:name="_Toc29917"/>
            <w:r>
              <w:rPr>
                <w:rFonts w:hint="eastAsia" w:ascii="Times New Roman" w:hAnsi="Times New Roman" w:eastAsia="宋体" w:cs="Times New Roman"/>
                <w:sz w:val="21"/>
                <w:szCs w:val="21"/>
                <w:highlight w:val="none"/>
                <w:lang w:val="en-US" w:eastAsia="zh-CN"/>
              </w:rPr>
              <w:t>破碎车间北侧</w:t>
            </w:r>
            <w:bookmarkEnd w:id="368"/>
            <w:bookmarkEnd w:id="369"/>
            <w:bookmarkEnd w:id="370"/>
          </w:p>
        </w:tc>
        <w:tc>
          <w:tcPr>
            <w:tcW w:w="1656"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71" w:name="_Toc2419"/>
            <w:bookmarkStart w:id="372" w:name="_Toc7413"/>
            <w:bookmarkStart w:id="373" w:name="_Toc11383"/>
            <w:bookmarkStart w:id="374" w:name="_Toc22867"/>
            <w:r>
              <w:rPr>
                <w:rFonts w:hint="default" w:ascii="Times New Roman" w:hAnsi="Times New Roman" w:cs="Times New Roman"/>
                <w:sz w:val="21"/>
                <w:szCs w:val="21"/>
                <w:highlight w:val="none"/>
              </w:rPr>
              <w:t>表层样</w:t>
            </w:r>
            <w:bookmarkEnd w:id="371"/>
            <w:bookmarkEnd w:id="372"/>
            <w:bookmarkEnd w:id="373"/>
            <w:bookmarkEnd w:id="374"/>
          </w:p>
        </w:tc>
        <w:tc>
          <w:tcPr>
            <w:tcW w:w="2457"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75" w:name="_Toc8318"/>
            <w:bookmarkStart w:id="376" w:name="_Toc12543"/>
            <w:bookmarkStart w:id="377" w:name="_Toc28904"/>
            <w:bookmarkStart w:id="378" w:name="_Toc23568"/>
            <w:r>
              <w:rPr>
                <w:rFonts w:hint="default" w:ascii="Times New Roman" w:hAnsi="Times New Roman" w:cs="Times New Roman"/>
                <w:sz w:val="21"/>
                <w:szCs w:val="21"/>
                <w:highlight w:val="none"/>
              </w:rPr>
              <w:t>基本因子+特征因子</w:t>
            </w:r>
            <w:bookmarkEnd w:id="375"/>
            <w:bookmarkEnd w:id="376"/>
            <w:bookmarkEnd w:id="377"/>
            <w:bookmarkEnd w:id="378"/>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90"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79" w:name="_Toc27307"/>
            <w:bookmarkStart w:id="380" w:name="_Toc32682"/>
            <w:bookmarkStart w:id="381" w:name="_Toc26995"/>
            <w:bookmarkStart w:id="382" w:name="_Toc8680"/>
            <w:r>
              <w:rPr>
                <w:rFonts w:hint="default" w:ascii="Times New Roman" w:hAnsi="Times New Roman" w:cs="Times New Roman"/>
                <w:sz w:val="21"/>
                <w:szCs w:val="21"/>
                <w:highlight w:val="none"/>
              </w:rPr>
              <w:t>3#</w:t>
            </w:r>
            <w:bookmarkEnd w:id="379"/>
            <w:bookmarkEnd w:id="380"/>
            <w:bookmarkEnd w:id="381"/>
            <w:bookmarkEnd w:id="382"/>
          </w:p>
        </w:tc>
        <w:tc>
          <w:tcPr>
            <w:tcW w:w="3673"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eastAsia="宋体" w:cs="Times New Roman"/>
                <w:sz w:val="21"/>
                <w:szCs w:val="21"/>
                <w:highlight w:val="none"/>
              </w:rPr>
            </w:pPr>
            <w:bookmarkStart w:id="383" w:name="_Toc5981"/>
            <w:bookmarkStart w:id="384" w:name="_Toc17627"/>
            <w:bookmarkStart w:id="385" w:name="_Toc13063"/>
            <w:r>
              <w:rPr>
                <w:rFonts w:hint="eastAsia" w:ascii="Times New Roman" w:hAnsi="Times New Roman" w:eastAsia="宋体" w:cs="Times New Roman"/>
                <w:sz w:val="21"/>
                <w:szCs w:val="21"/>
                <w:highlight w:val="none"/>
                <w:lang w:val="en-US" w:eastAsia="zh-CN"/>
              </w:rPr>
              <w:t>浓密池南侧</w:t>
            </w:r>
            <w:bookmarkEnd w:id="383"/>
            <w:bookmarkEnd w:id="384"/>
            <w:bookmarkEnd w:id="385"/>
          </w:p>
        </w:tc>
        <w:tc>
          <w:tcPr>
            <w:tcW w:w="1656"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86" w:name="_Toc6964"/>
            <w:bookmarkStart w:id="387" w:name="_Toc21331"/>
            <w:bookmarkStart w:id="388" w:name="_Toc15281"/>
            <w:bookmarkStart w:id="389" w:name="_Toc1273"/>
            <w:r>
              <w:rPr>
                <w:rFonts w:hint="default" w:ascii="Times New Roman" w:hAnsi="Times New Roman" w:cs="Times New Roman"/>
                <w:sz w:val="21"/>
                <w:szCs w:val="21"/>
                <w:highlight w:val="none"/>
              </w:rPr>
              <w:t>表层样</w:t>
            </w:r>
            <w:bookmarkEnd w:id="386"/>
            <w:bookmarkEnd w:id="387"/>
            <w:bookmarkEnd w:id="388"/>
            <w:bookmarkEnd w:id="389"/>
          </w:p>
        </w:tc>
        <w:tc>
          <w:tcPr>
            <w:tcW w:w="2457" w:type="dxa"/>
            <w:noWrap w:val="0"/>
            <w:vAlign w:val="center"/>
          </w:tcPr>
          <w:p>
            <w:pPr>
              <w:keepNext w:val="0"/>
              <w:keepLines w:val="0"/>
              <w:pageBreakBefore w:val="0"/>
              <w:widowControl/>
              <w:tabs>
                <w:tab w:val="left" w:pos="2352"/>
              </w:tabs>
              <w:kinsoku w:val="0"/>
              <w:wordWrap/>
              <w:overflowPunct/>
              <w:topLinePunct w:val="0"/>
              <w:autoSpaceDE w:val="0"/>
              <w:autoSpaceDN w:val="0"/>
              <w:bidi w:val="0"/>
              <w:adjustRightInd w:val="0"/>
              <w:snapToGrid w:val="0"/>
              <w:jc w:val="center"/>
              <w:textAlignment w:val="baseline"/>
              <w:outlineLvl w:val="9"/>
              <w:rPr>
                <w:rFonts w:hint="default" w:ascii="Times New Roman" w:hAnsi="Times New Roman" w:cs="Times New Roman"/>
                <w:sz w:val="21"/>
                <w:szCs w:val="21"/>
                <w:highlight w:val="none"/>
              </w:rPr>
            </w:pPr>
            <w:bookmarkStart w:id="390" w:name="_Toc28192"/>
            <w:bookmarkStart w:id="391" w:name="_Toc30337"/>
            <w:bookmarkStart w:id="392" w:name="_Toc13406"/>
            <w:bookmarkStart w:id="393" w:name="_Toc3916"/>
            <w:r>
              <w:rPr>
                <w:rFonts w:hint="default" w:ascii="Times New Roman" w:hAnsi="Times New Roman" w:cs="Times New Roman"/>
                <w:sz w:val="21"/>
                <w:szCs w:val="21"/>
                <w:highlight w:val="none"/>
              </w:rPr>
              <w:t>基本因子+特征因子</w:t>
            </w:r>
            <w:bookmarkEnd w:id="390"/>
            <w:bookmarkEnd w:id="391"/>
            <w:bookmarkEnd w:id="392"/>
            <w:bookmarkEnd w:id="393"/>
          </w:p>
        </w:tc>
      </w:tr>
    </w:tbl>
    <w:p>
      <w:pPr>
        <w:pStyle w:val="14"/>
        <w:keepNext w:val="0"/>
        <w:keepLines w:val="0"/>
        <w:pageBreakBefore w:val="0"/>
        <w:widowControl/>
        <w:kinsoku w:val="0"/>
        <w:wordWrap/>
        <w:overflowPunct/>
        <w:topLinePunct w:val="0"/>
        <w:autoSpaceDE w:val="0"/>
        <w:autoSpaceDN w:val="0"/>
        <w:bidi w:val="0"/>
        <w:adjustRightInd w:val="0"/>
        <w:snapToGrid w:val="0"/>
        <w:spacing w:after="0" w:line="460" w:lineRule="exact"/>
        <w:ind w:left="0" w:leftChars="0" w:firstLine="480"/>
        <w:textAlignment w:val="baseline"/>
        <w:outlineLvl w:val="9"/>
        <w:rPr>
          <w:rFonts w:hint="default" w:ascii="Times New Roman" w:hAnsi="Times New Roman" w:cs="Times New Roman"/>
          <w:sz w:val="23"/>
          <w:szCs w:val="23"/>
          <w:highlight w:val="none"/>
        </w:rPr>
      </w:pPr>
      <w:bookmarkStart w:id="394" w:name="_Toc24969"/>
      <w:bookmarkStart w:id="395" w:name="_Toc1689"/>
      <w:bookmarkStart w:id="396" w:name="_Toc29294"/>
      <w:r>
        <w:rPr>
          <w:rFonts w:hint="default" w:ascii="Times New Roman" w:hAnsi="Times New Roman" w:cs="Times New Roman"/>
          <w:sz w:val="23"/>
          <w:szCs w:val="23"/>
          <w:highlight w:val="none"/>
        </w:rPr>
        <w:t>（3）监测时间及频次</w:t>
      </w:r>
      <w:bookmarkEnd w:id="394"/>
      <w:bookmarkEnd w:id="395"/>
      <w:bookmarkEnd w:id="396"/>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lang w:bidi="ar"/>
        </w:rPr>
        <w:t>202</w:t>
      </w:r>
      <w:r>
        <w:rPr>
          <w:rFonts w:hint="eastAsia" w:ascii="Times New Roman" w:hAnsi="Times New Roman" w:cs="Times New Roman"/>
          <w:sz w:val="23"/>
          <w:szCs w:val="23"/>
          <w:highlight w:val="none"/>
          <w:lang w:val="en-US" w:eastAsia="zh-CN" w:bidi="ar"/>
        </w:rPr>
        <w:t>3</w:t>
      </w:r>
      <w:r>
        <w:rPr>
          <w:rFonts w:hint="default" w:ascii="Times New Roman" w:hAnsi="Times New Roman" w:cs="Times New Roman"/>
          <w:sz w:val="23"/>
          <w:szCs w:val="23"/>
          <w:highlight w:val="none"/>
          <w:lang w:bidi="ar"/>
        </w:rPr>
        <w:t>年</w:t>
      </w:r>
      <w:r>
        <w:rPr>
          <w:rFonts w:hint="eastAsia" w:ascii="Times New Roman" w:hAnsi="Times New Roman" w:cs="Times New Roman"/>
          <w:sz w:val="23"/>
          <w:szCs w:val="23"/>
          <w:highlight w:val="none"/>
          <w:lang w:val="en-US" w:eastAsia="zh-CN" w:bidi="ar"/>
        </w:rPr>
        <w:t>4</w:t>
      </w:r>
      <w:r>
        <w:rPr>
          <w:rFonts w:hint="default" w:ascii="Times New Roman" w:hAnsi="Times New Roman" w:cs="Times New Roman"/>
          <w:sz w:val="23"/>
          <w:szCs w:val="23"/>
          <w:highlight w:val="none"/>
          <w:lang w:bidi="ar"/>
        </w:rPr>
        <w:t>月</w:t>
      </w:r>
      <w:r>
        <w:rPr>
          <w:rFonts w:hint="eastAsia" w:ascii="Times New Roman" w:hAnsi="Times New Roman" w:cs="Times New Roman"/>
          <w:sz w:val="23"/>
          <w:szCs w:val="23"/>
          <w:highlight w:val="none"/>
          <w:lang w:val="en-US" w:eastAsia="zh-CN" w:bidi="ar"/>
        </w:rPr>
        <w:t>27</w:t>
      </w:r>
      <w:r>
        <w:rPr>
          <w:rFonts w:hint="default" w:ascii="Times New Roman" w:hAnsi="Times New Roman" w:cs="Times New Roman"/>
          <w:sz w:val="23"/>
          <w:szCs w:val="23"/>
          <w:highlight w:val="none"/>
          <w:lang w:bidi="ar"/>
        </w:rPr>
        <w:t>日采样，每个点位采样监测一次。</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460" w:lineRule="exact"/>
        <w:ind w:firstLine="460" w:firstLineChars="200"/>
        <w:textAlignment w:val="baseline"/>
        <w:outlineLvl w:val="9"/>
        <w:rPr>
          <w:rFonts w:hint="default" w:ascii="Times New Roman" w:hAnsi="Times New Roman" w:cs="Times New Roman"/>
          <w:sz w:val="23"/>
          <w:szCs w:val="23"/>
          <w:highlight w:val="none"/>
        </w:rPr>
      </w:pPr>
      <w:bookmarkStart w:id="397" w:name="_Toc26339"/>
      <w:bookmarkStart w:id="398" w:name="_Toc6792"/>
      <w:bookmarkStart w:id="399" w:name="_Toc17347"/>
      <w:r>
        <w:rPr>
          <w:rFonts w:hint="default" w:ascii="Times New Roman" w:hAnsi="Times New Roman" w:cs="Times New Roman"/>
          <w:sz w:val="23"/>
          <w:szCs w:val="23"/>
          <w:highlight w:val="none"/>
        </w:rPr>
        <w:t>采样及分析方法</w:t>
      </w:r>
      <w:bookmarkEnd w:id="397"/>
      <w:bookmarkEnd w:id="398"/>
      <w:bookmarkEnd w:id="399"/>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表层样监测点及土壤剖面的土壤监测取样方法一般参照HJ/T166 执行。</w:t>
      </w:r>
    </w:p>
    <w:p>
      <w:pPr>
        <w:pStyle w:val="14"/>
        <w:keepNext w:val="0"/>
        <w:keepLines w:val="0"/>
        <w:pageBreakBefore w:val="0"/>
        <w:widowControl/>
        <w:numPr>
          <w:ilvl w:val="0"/>
          <w:numId w:val="4"/>
        </w:numPr>
        <w:kinsoku w:val="0"/>
        <w:wordWrap/>
        <w:overflowPunct/>
        <w:topLinePunct w:val="0"/>
        <w:autoSpaceDE w:val="0"/>
        <w:autoSpaceDN w:val="0"/>
        <w:bidi w:val="0"/>
        <w:adjustRightInd w:val="0"/>
        <w:snapToGrid w:val="0"/>
        <w:spacing w:after="0" w:line="460" w:lineRule="exact"/>
        <w:ind w:left="0" w:leftChars="0" w:firstLine="480"/>
        <w:textAlignment w:val="baseline"/>
        <w:outlineLvl w:val="9"/>
        <w:rPr>
          <w:rFonts w:hint="default" w:ascii="Times New Roman" w:hAnsi="Times New Roman" w:cs="Times New Roman"/>
          <w:sz w:val="23"/>
          <w:szCs w:val="23"/>
          <w:highlight w:val="none"/>
        </w:rPr>
      </w:pPr>
      <w:bookmarkStart w:id="400" w:name="_Toc26180"/>
      <w:bookmarkStart w:id="401" w:name="_Toc29942"/>
      <w:bookmarkStart w:id="402" w:name="_Toc30965"/>
      <w:r>
        <w:rPr>
          <w:rFonts w:hint="default" w:ascii="Times New Roman" w:hAnsi="Times New Roman" w:cs="Times New Roman"/>
          <w:sz w:val="23"/>
          <w:szCs w:val="23"/>
          <w:highlight w:val="none"/>
        </w:rPr>
        <w:t>土壤环境质量评价</w:t>
      </w:r>
      <w:bookmarkEnd w:id="400"/>
      <w:bookmarkEnd w:id="401"/>
      <w:bookmarkEnd w:id="402"/>
    </w:p>
    <w:p>
      <w:pPr>
        <w:pStyle w:val="14"/>
        <w:keepNext w:val="0"/>
        <w:keepLines w:val="0"/>
        <w:pageBreakBefore w:val="0"/>
        <w:widowControl/>
        <w:kinsoku w:val="0"/>
        <w:wordWrap/>
        <w:overflowPunct/>
        <w:topLinePunct w:val="0"/>
        <w:autoSpaceDE w:val="0"/>
        <w:autoSpaceDN w:val="0"/>
        <w:bidi w:val="0"/>
        <w:adjustRightInd w:val="0"/>
        <w:snapToGrid w:val="0"/>
        <w:spacing w:after="0" w:line="460" w:lineRule="exact"/>
        <w:ind w:left="480" w:firstLine="0" w:firstLineChars="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评价方法：采用单因子标准指导法</w:t>
      </w:r>
    </w:p>
    <w:p>
      <w:pPr>
        <w:pStyle w:val="14"/>
        <w:keepNext w:val="0"/>
        <w:keepLines w:val="0"/>
        <w:pageBreakBefore w:val="0"/>
        <w:widowControl/>
        <w:kinsoku w:val="0"/>
        <w:wordWrap/>
        <w:overflowPunct/>
        <w:topLinePunct w:val="0"/>
        <w:autoSpaceDE w:val="0"/>
        <w:autoSpaceDN w:val="0"/>
        <w:bidi w:val="0"/>
        <w:adjustRightInd w:val="0"/>
        <w:snapToGrid w:val="0"/>
        <w:spacing w:after="0" w:line="460" w:lineRule="exact"/>
        <w:ind w:left="480" w:firstLine="1150" w:firstLineChars="500"/>
        <w:textAlignment w:val="baseline"/>
        <w:outlineLvl w:val="9"/>
        <w:rPr>
          <w:rFonts w:hint="default" w:ascii="Times New Roman" w:hAnsi="Times New Roman" w:cs="Times New Roman"/>
          <w:sz w:val="23"/>
          <w:szCs w:val="23"/>
          <w:highlight w:val="none"/>
          <w:vertAlign w:val="subscript"/>
        </w:rPr>
      </w:pPr>
      <w:r>
        <w:rPr>
          <w:rFonts w:hint="default" w:ascii="Times New Roman" w:hAnsi="Times New Roman" w:cs="Times New Roman"/>
          <w:sz w:val="23"/>
          <w:szCs w:val="23"/>
          <w:highlight w:val="none"/>
        </w:rPr>
        <w:t>P</w:t>
      </w:r>
      <w:r>
        <w:rPr>
          <w:rFonts w:hint="default" w:ascii="Times New Roman" w:hAnsi="Times New Roman" w:cs="Times New Roman"/>
          <w:sz w:val="23"/>
          <w:szCs w:val="23"/>
          <w:highlight w:val="none"/>
          <w:vertAlign w:val="subscript"/>
        </w:rPr>
        <w:t>i</w:t>
      </w:r>
      <w:r>
        <w:rPr>
          <w:rFonts w:hint="default" w:ascii="Times New Roman" w:hAnsi="Times New Roman" w:cs="Times New Roman"/>
          <w:sz w:val="23"/>
          <w:szCs w:val="23"/>
          <w:highlight w:val="none"/>
        </w:rPr>
        <w:t>=C</w:t>
      </w:r>
      <w:r>
        <w:rPr>
          <w:rFonts w:hint="default" w:ascii="Times New Roman" w:hAnsi="Times New Roman" w:cs="Times New Roman"/>
          <w:sz w:val="23"/>
          <w:szCs w:val="23"/>
          <w:highlight w:val="none"/>
          <w:vertAlign w:val="subscript"/>
        </w:rPr>
        <w:t>i</w:t>
      </w:r>
      <w:r>
        <w:rPr>
          <w:rFonts w:hint="default" w:ascii="Times New Roman" w:hAnsi="Times New Roman" w:cs="Times New Roman"/>
          <w:sz w:val="23"/>
          <w:szCs w:val="23"/>
          <w:highlight w:val="none"/>
        </w:rPr>
        <w:t>/C</w:t>
      </w:r>
      <w:r>
        <w:rPr>
          <w:rFonts w:hint="default" w:ascii="Times New Roman" w:hAnsi="Times New Roman" w:cs="Times New Roman"/>
          <w:sz w:val="23"/>
          <w:szCs w:val="23"/>
          <w:highlight w:val="none"/>
          <w:vertAlign w:val="subscript"/>
        </w:rPr>
        <w:t>oi</w:t>
      </w:r>
    </w:p>
    <w:p>
      <w:pPr>
        <w:pStyle w:val="14"/>
        <w:keepNext w:val="0"/>
        <w:keepLines w:val="0"/>
        <w:pageBreakBefore w:val="0"/>
        <w:widowControl/>
        <w:kinsoku w:val="0"/>
        <w:wordWrap/>
        <w:overflowPunct/>
        <w:topLinePunct w:val="0"/>
        <w:autoSpaceDE w:val="0"/>
        <w:autoSpaceDN w:val="0"/>
        <w:bidi w:val="0"/>
        <w:adjustRightInd w:val="0"/>
        <w:snapToGrid w:val="0"/>
        <w:spacing w:after="0" w:line="460" w:lineRule="exact"/>
        <w:ind w:left="0" w:leftChars="0" w:firstLine="0" w:firstLineChars="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式中：P</w:t>
      </w:r>
      <w:r>
        <w:rPr>
          <w:rFonts w:hint="default" w:ascii="Times New Roman" w:hAnsi="Times New Roman" w:cs="Times New Roman"/>
          <w:sz w:val="23"/>
          <w:szCs w:val="23"/>
          <w:highlight w:val="none"/>
          <w:vertAlign w:val="subscript"/>
        </w:rPr>
        <w:t>i</w:t>
      </w:r>
      <w:r>
        <w:rPr>
          <w:rFonts w:hint="default" w:ascii="Times New Roman" w:hAnsi="Times New Roman" w:cs="Times New Roman"/>
          <w:sz w:val="23"/>
          <w:szCs w:val="23"/>
          <w:highlight w:val="none"/>
        </w:rPr>
        <w:t>－i污染物标准指数；</w:t>
      </w:r>
    </w:p>
    <w:p>
      <w:pPr>
        <w:pStyle w:val="14"/>
        <w:keepNext w:val="0"/>
        <w:keepLines w:val="0"/>
        <w:pageBreakBefore w:val="0"/>
        <w:widowControl/>
        <w:kinsoku w:val="0"/>
        <w:wordWrap/>
        <w:overflowPunct/>
        <w:topLinePunct w:val="0"/>
        <w:autoSpaceDE w:val="0"/>
        <w:autoSpaceDN w:val="0"/>
        <w:bidi w:val="0"/>
        <w:adjustRightInd w:val="0"/>
        <w:snapToGrid w:val="0"/>
        <w:spacing w:after="0" w:line="460" w:lineRule="exact"/>
        <w:ind w:left="0" w:leftChars="0" w:firstLine="690" w:firstLineChars="3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C</w:t>
      </w:r>
      <w:r>
        <w:rPr>
          <w:rFonts w:hint="default" w:ascii="Times New Roman" w:hAnsi="Times New Roman" w:cs="Times New Roman"/>
          <w:sz w:val="23"/>
          <w:szCs w:val="23"/>
          <w:highlight w:val="none"/>
          <w:vertAlign w:val="subscript"/>
        </w:rPr>
        <w:t>i</w:t>
      </w:r>
      <w:r>
        <w:rPr>
          <w:rFonts w:hint="default" w:ascii="Times New Roman" w:hAnsi="Times New Roman" w:cs="Times New Roman"/>
          <w:sz w:val="23"/>
          <w:szCs w:val="23"/>
          <w:highlight w:val="none"/>
        </w:rPr>
        <w:t>－i污染物现状监测浓度，mg/L；</w:t>
      </w:r>
    </w:p>
    <w:p>
      <w:pPr>
        <w:pStyle w:val="14"/>
        <w:keepNext w:val="0"/>
        <w:keepLines w:val="0"/>
        <w:pageBreakBefore w:val="0"/>
        <w:widowControl/>
        <w:kinsoku w:val="0"/>
        <w:wordWrap/>
        <w:overflowPunct/>
        <w:topLinePunct w:val="0"/>
        <w:autoSpaceDE w:val="0"/>
        <w:autoSpaceDN w:val="0"/>
        <w:bidi w:val="0"/>
        <w:adjustRightInd w:val="0"/>
        <w:snapToGrid w:val="0"/>
        <w:spacing w:after="0" w:line="460" w:lineRule="exact"/>
        <w:ind w:left="0" w:leftChars="0" w:firstLine="690" w:firstLineChars="3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C</w:t>
      </w:r>
      <w:r>
        <w:rPr>
          <w:rFonts w:hint="default" w:ascii="Times New Roman" w:hAnsi="Times New Roman" w:cs="Times New Roman"/>
          <w:sz w:val="23"/>
          <w:szCs w:val="23"/>
          <w:highlight w:val="none"/>
          <w:vertAlign w:val="subscript"/>
        </w:rPr>
        <w:t>oi</w:t>
      </w:r>
      <w:r>
        <w:rPr>
          <w:rFonts w:hint="default" w:ascii="Times New Roman" w:hAnsi="Times New Roman" w:cs="Times New Roman"/>
          <w:sz w:val="23"/>
          <w:szCs w:val="23"/>
          <w:highlight w:val="none"/>
        </w:rPr>
        <w:t>－i污染物评价标准，mg/L。</w:t>
      </w:r>
    </w:p>
    <w:p>
      <w:pPr>
        <w:pStyle w:val="14"/>
        <w:keepNext w:val="0"/>
        <w:keepLines w:val="0"/>
        <w:pageBreakBefore w:val="0"/>
        <w:widowControl/>
        <w:numPr>
          <w:ilvl w:val="0"/>
          <w:numId w:val="4"/>
        </w:numPr>
        <w:kinsoku w:val="0"/>
        <w:wordWrap/>
        <w:overflowPunct/>
        <w:topLinePunct w:val="0"/>
        <w:autoSpaceDE w:val="0"/>
        <w:autoSpaceDN w:val="0"/>
        <w:bidi w:val="0"/>
        <w:adjustRightInd w:val="0"/>
        <w:snapToGrid w:val="0"/>
        <w:spacing w:after="0" w:line="460" w:lineRule="exact"/>
        <w:ind w:left="0" w:leftChars="0" w:firstLine="480"/>
        <w:textAlignment w:val="baseline"/>
        <w:outlineLvl w:val="9"/>
        <w:rPr>
          <w:rFonts w:hint="default" w:ascii="Times New Roman" w:hAnsi="Times New Roman" w:cs="Times New Roman"/>
          <w:sz w:val="23"/>
          <w:szCs w:val="23"/>
          <w:highlight w:val="none"/>
        </w:rPr>
      </w:pPr>
      <w:bookmarkStart w:id="403" w:name="_Toc29174"/>
      <w:bookmarkStart w:id="404" w:name="_Toc12262"/>
      <w:bookmarkStart w:id="405" w:name="_Toc16973"/>
      <w:r>
        <w:rPr>
          <w:rFonts w:hint="default" w:ascii="Times New Roman" w:hAnsi="Times New Roman" w:cs="Times New Roman"/>
          <w:sz w:val="23"/>
          <w:szCs w:val="23"/>
          <w:highlight w:val="none"/>
        </w:rPr>
        <w:t>评价标准</w:t>
      </w:r>
      <w:bookmarkEnd w:id="403"/>
      <w:bookmarkEnd w:id="404"/>
      <w:bookmarkEnd w:id="405"/>
    </w:p>
    <w:p>
      <w:pPr>
        <w:pStyle w:val="14"/>
        <w:keepNext w:val="0"/>
        <w:keepLines w:val="0"/>
        <w:pageBreakBefore w:val="0"/>
        <w:widowControl/>
        <w:kinsoku w:val="0"/>
        <w:wordWrap/>
        <w:overflowPunct/>
        <w:topLinePunct w:val="0"/>
        <w:autoSpaceDE w:val="0"/>
        <w:autoSpaceDN w:val="0"/>
        <w:bidi w:val="0"/>
        <w:adjustRightInd w:val="0"/>
        <w:snapToGrid w:val="0"/>
        <w:spacing w:after="0" w:line="460" w:lineRule="exact"/>
        <w:ind w:left="0" w:leftChars="0" w:firstLine="48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执行《土壤环境质量 建设用地土壤污染风险管控标准》（GB36600-2018）表二第二类用地筛选值。</w:t>
      </w:r>
    </w:p>
    <w:p>
      <w:pPr>
        <w:pStyle w:val="14"/>
        <w:keepNext w:val="0"/>
        <w:keepLines w:val="0"/>
        <w:pageBreakBefore w:val="0"/>
        <w:widowControl/>
        <w:numPr>
          <w:ilvl w:val="0"/>
          <w:numId w:val="4"/>
        </w:numPr>
        <w:kinsoku w:val="0"/>
        <w:wordWrap/>
        <w:overflowPunct/>
        <w:topLinePunct w:val="0"/>
        <w:autoSpaceDE w:val="0"/>
        <w:autoSpaceDN w:val="0"/>
        <w:bidi w:val="0"/>
        <w:adjustRightInd w:val="0"/>
        <w:snapToGrid w:val="0"/>
        <w:spacing w:after="0" w:line="460" w:lineRule="exact"/>
        <w:ind w:left="0" w:leftChars="0" w:firstLine="480"/>
        <w:textAlignment w:val="baseline"/>
        <w:outlineLvl w:val="9"/>
        <w:rPr>
          <w:rFonts w:hint="default" w:ascii="Times New Roman" w:hAnsi="Times New Roman" w:cs="Times New Roman"/>
          <w:sz w:val="23"/>
          <w:szCs w:val="23"/>
          <w:highlight w:val="none"/>
        </w:rPr>
      </w:pPr>
      <w:bookmarkStart w:id="406" w:name="_Toc8629"/>
      <w:bookmarkStart w:id="407" w:name="_Toc10528"/>
      <w:bookmarkStart w:id="408" w:name="_Toc30157"/>
      <w:r>
        <w:rPr>
          <w:rFonts w:hint="default" w:ascii="Times New Roman" w:hAnsi="Times New Roman" w:cs="Times New Roman"/>
          <w:sz w:val="23"/>
          <w:szCs w:val="23"/>
          <w:highlight w:val="none"/>
        </w:rPr>
        <w:t>监测与评价结果</w:t>
      </w:r>
      <w:bookmarkEnd w:id="406"/>
      <w:bookmarkEnd w:id="407"/>
      <w:bookmarkEnd w:id="408"/>
    </w:p>
    <w:p>
      <w:pPr>
        <w:pStyle w:val="14"/>
        <w:keepNext w:val="0"/>
        <w:keepLines w:val="0"/>
        <w:pageBreakBefore w:val="0"/>
        <w:widowControl/>
        <w:kinsoku w:val="0"/>
        <w:wordWrap/>
        <w:overflowPunct/>
        <w:topLinePunct w:val="0"/>
        <w:autoSpaceDE w:val="0"/>
        <w:autoSpaceDN w:val="0"/>
        <w:bidi w:val="0"/>
        <w:adjustRightInd w:val="0"/>
        <w:snapToGrid w:val="0"/>
        <w:spacing w:after="0" w:line="460" w:lineRule="exact"/>
        <w:ind w:left="480" w:firstLine="0" w:firstLineChars="0"/>
        <w:textAlignment w:val="baseline"/>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根据评价方法及评价标准，对现状结果进行评价，并对评价结果进行分析。监测及评价结果见表4.3-10</w:t>
      </w:r>
    </w:p>
    <w:p>
      <w:pPr>
        <w:tabs>
          <w:tab w:val="left" w:pos="2352"/>
        </w:tabs>
        <w:adjustRightInd w:val="0"/>
        <w:snapToGrid w:val="0"/>
        <w:spacing w:line="480" w:lineRule="exact"/>
        <w:jc w:val="center"/>
        <w:rPr>
          <w:rFonts w:hint="default" w:ascii="Times New Roman" w:hAnsi="Times New Roman" w:cs="Times New Roman"/>
          <w:b/>
          <w:bCs/>
          <w:highlight w:val="none"/>
        </w:rPr>
      </w:pPr>
      <w:r>
        <w:rPr>
          <w:rFonts w:hint="default" w:ascii="Times New Roman" w:hAnsi="Times New Roman" w:cs="Times New Roman"/>
          <w:b/>
          <w:bCs/>
          <w:highlight w:val="none"/>
        </w:rPr>
        <w:t>表4.3-10 土壤质量现状监测及评价结果一览表   单位：mg/kg</w:t>
      </w:r>
    </w:p>
    <w:tbl>
      <w:tblPr>
        <w:tblStyle w:val="15"/>
        <w:tblW w:w="86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282"/>
        <w:gridCol w:w="830"/>
        <w:gridCol w:w="1356"/>
        <w:gridCol w:w="1470"/>
        <w:gridCol w:w="1471"/>
        <w:gridCol w:w="878"/>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Merge w:val="restart"/>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序号</w:t>
            </w:r>
          </w:p>
        </w:tc>
        <w:tc>
          <w:tcPr>
            <w:tcW w:w="1282" w:type="dxa"/>
            <w:vMerge w:val="restart"/>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污染物</w:t>
            </w:r>
          </w:p>
        </w:tc>
        <w:tc>
          <w:tcPr>
            <w:tcW w:w="830" w:type="dxa"/>
            <w:vMerge w:val="restart"/>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报告限</w:t>
            </w:r>
          </w:p>
        </w:tc>
        <w:tc>
          <w:tcPr>
            <w:tcW w:w="4297" w:type="dxa"/>
            <w:gridSpan w:val="3"/>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监测点位</w:t>
            </w:r>
          </w:p>
        </w:tc>
        <w:tc>
          <w:tcPr>
            <w:tcW w:w="878" w:type="dxa"/>
            <w:vMerge w:val="restart"/>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标准值</w:t>
            </w:r>
          </w:p>
        </w:tc>
        <w:tc>
          <w:tcPr>
            <w:tcW w:w="658" w:type="dxa"/>
            <w:vMerge w:val="restart"/>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vMerge w:val="continue"/>
            <w:noWrap w:val="0"/>
            <w:vAlign w:val="center"/>
          </w:tcPr>
          <w:p>
            <w:pPr>
              <w:spacing w:line="400" w:lineRule="exact"/>
              <w:jc w:val="center"/>
              <w:rPr>
                <w:rFonts w:hint="default" w:ascii="Times New Roman" w:hAnsi="Times New Roman" w:cs="Times New Roman"/>
                <w:sz w:val="21"/>
                <w:szCs w:val="21"/>
                <w:highlight w:val="none"/>
              </w:rPr>
            </w:pPr>
          </w:p>
        </w:tc>
        <w:tc>
          <w:tcPr>
            <w:tcW w:w="1282" w:type="dxa"/>
            <w:vMerge w:val="continue"/>
            <w:noWrap w:val="0"/>
            <w:vAlign w:val="center"/>
          </w:tcPr>
          <w:p>
            <w:pPr>
              <w:spacing w:line="400" w:lineRule="exact"/>
              <w:jc w:val="center"/>
              <w:rPr>
                <w:rFonts w:hint="default" w:ascii="Times New Roman" w:hAnsi="Times New Roman" w:cs="Times New Roman"/>
                <w:sz w:val="21"/>
                <w:szCs w:val="21"/>
                <w:highlight w:val="none"/>
              </w:rPr>
            </w:pPr>
          </w:p>
        </w:tc>
        <w:tc>
          <w:tcPr>
            <w:tcW w:w="830" w:type="dxa"/>
            <w:vMerge w:val="continue"/>
            <w:noWrap w:val="0"/>
            <w:vAlign w:val="center"/>
          </w:tcPr>
          <w:p>
            <w:pPr>
              <w:spacing w:line="400" w:lineRule="exact"/>
              <w:jc w:val="center"/>
              <w:rPr>
                <w:rFonts w:hint="default" w:ascii="Times New Roman" w:hAnsi="Times New Roman" w:cs="Times New Roman"/>
                <w:sz w:val="21"/>
                <w:szCs w:val="21"/>
                <w:highlight w:val="none"/>
              </w:rPr>
            </w:pPr>
          </w:p>
        </w:tc>
        <w:tc>
          <w:tcPr>
            <w:tcW w:w="1356"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厂区北侧</w:t>
            </w:r>
            <w:r>
              <w:rPr>
                <w:rFonts w:hint="default" w:ascii="Times New Roman" w:hAnsi="Times New Roman" w:cs="Times New Roman"/>
                <w:sz w:val="21"/>
                <w:szCs w:val="21"/>
                <w:highlight w:val="none"/>
              </w:rPr>
              <w:t>未受扰动区（0～0.2m）</w:t>
            </w:r>
          </w:p>
        </w:tc>
        <w:tc>
          <w:tcPr>
            <w:tcW w:w="1470"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破碎车间北</w:t>
            </w:r>
            <w:r>
              <w:rPr>
                <w:rFonts w:hint="default" w:ascii="Times New Roman" w:hAnsi="Times New Roman" w:cs="Times New Roman"/>
                <w:sz w:val="21"/>
                <w:szCs w:val="21"/>
                <w:highlight w:val="none"/>
              </w:rPr>
              <w:t>侧（0～0.2m）</w:t>
            </w:r>
          </w:p>
        </w:tc>
        <w:tc>
          <w:tcPr>
            <w:tcW w:w="1471"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浓密池南</w:t>
            </w:r>
            <w:r>
              <w:rPr>
                <w:rFonts w:hint="default" w:ascii="Times New Roman" w:hAnsi="Times New Roman" w:cs="Times New Roman"/>
                <w:sz w:val="21"/>
                <w:szCs w:val="21"/>
                <w:highlight w:val="none"/>
              </w:rPr>
              <w:t>侧（0～0.2m）</w:t>
            </w:r>
          </w:p>
        </w:tc>
        <w:tc>
          <w:tcPr>
            <w:tcW w:w="878" w:type="dxa"/>
            <w:vMerge w:val="continue"/>
            <w:noWrap w:val="0"/>
            <w:vAlign w:val="center"/>
          </w:tcPr>
          <w:p>
            <w:pPr>
              <w:spacing w:line="400" w:lineRule="exact"/>
              <w:jc w:val="center"/>
              <w:rPr>
                <w:rFonts w:hint="default" w:ascii="Times New Roman" w:hAnsi="Times New Roman" w:cs="Times New Roman"/>
                <w:sz w:val="21"/>
                <w:szCs w:val="21"/>
                <w:highlight w:val="none"/>
              </w:rPr>
            </w:pPr>
          </w:p>
        </w:tc>
        <w:tc>
          <w:tcPr>
            <w:tcW w:w="658" w:type="dxa"/>
            <w:vMerge w:val="continue"/>
            <w:noWrap w:val="0"/>
            <w:vAlign w:val="center"/>
          </w:tcPr>
          <w:p>
            <w:pPr>
              <w:spacing w:line="400" w:lineRule="exact"/>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重金属  单位mg/kg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c>
          <w:tcPr>
            <w:tcW w:w="1356"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8.64</w:t>
            </w:r>
          </w:p>
        </w:tc>
        <w:tc>
          <w:tcPr>
            <w:tcW w:w="1470"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4.18</w:t>
            </w:r>
          </w:p>
        </w:tc>
        <w:tc>
          <w:tcPr>
            <w:tcW w:w="1471"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6.23</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镉</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0.01</w:t>
            </w:r>
          </w:p>
        </w:tc>
        <w:tc>
          <w:tcPr>
            <w:tcW w:w="1356"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1.31</w:t>
            </w:r>
          </w:p>
        </w:tc>
        <w:tc>
          <w:tcPr>
            <w:tcW w:w="1470"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0.85</w:t>
            </w:r>
          </w:p>
        </w:tc>
        <w:tc>
          <w:tcPr>
            <w:tcW w:w="1471"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1.02</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65</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铬（六价）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w:t>
            </w:r>
          </w:p>
        </w:tc>
        <w:tc>
          <w:tcPr>
            <w:tcW w:w="1356"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ND</w:t>
            </w:r>
          </w:p>
        </w:tc>
        <w:tc>
          <w:tcPr>
            <w:tcW w:w="147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ND</w:t>
            </w:r>
          </w:p>
        </w:tc>
        <w:tc>
          <w:tcPr>
            <w:tcW w:w="1471"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5.7</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铜</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356"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42</w:t>
            </w:r>
          </w:p>
        </w:tc>
        <w:tc>
          <w:tcPr>
            <w:tcW w:w="1470"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58</w:t>
            </w:r>
          </w:p>
        </w:tc>
        <w:tc>
          <w:tcPr>
            <w:tcW w:w="1471"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54</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18000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铅</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w:t>
            </w:r>
          </w:p>
        </w:tc>
        <w:tc>
          <w:tcPr>
            <w:tcW w:w="1356"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23</w:t>
            </w:r>
          </w:p>
        </w:tc>
        <w:tc>
          <w:tcPr>
            <w:tcW w:w="1470"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19</w:t>
            </w:r>
          </w:p>
        </w:tc>
        <w:tc>
          <w:tcPr>
            <w:tcW w:w="1471"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23</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800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汞</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0.002</w:t>
            </w:r>
          </w:p>
        </w:tc>
        <w:tc>
          <w:tcPr>
            <w:tcW w:w="1356"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0.031</w:t>
            </w:r>
          </w:p>
        </w:tc>
        <w:tc>
          <w:tcPr>
            <w:tcW w:w="1470"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0.021</w:t>
            </w:r>
          </w:p>
        </w:tc>
        <w:tc>
          <w:tcPr>
            <w:tcW w:w="1471"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0.029</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38</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镍</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w:t>
            </w:r>
          </w:p>
        </w:tc>
        <w:tc>
          <w:tcPr>
            <w:tcW w:w="1356"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61</w:t>
            </w:r>
          </w:p>
        </w:tc>
        <w:tc>
          <w:tcPr>
            <w:tcW w:w="1470"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85</w:t>
            </w:r>
          </w:p>
        </w:tc>
        <w:tc>
          <w:tcPr>
            <w:tcW w:w="1471"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72</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900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8</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铁</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0.079</w:t>
            </w:r>
          </w:p>
        </w:tc>
        <w:tc>
          <w:tcPr>
            <w:tcW w:w="1356" w:type="dxa"/>
            <w:noWrap w:val="0"/>
            <w:vAlign w:val="center"/>
          </w:tcPr>
          <w:p>
            <w:pPr>
              <w:pStyle w:val="28"/>
              <w:widowControl w:val="0"/>
              <w:spacing w:line="400" w:lineRule="exact"/>
              <w:ind w:firstLine="0" w:firstLineChars="0"/>
              <w:jc w:val="center"/>
              <w:rPr>
                <w:rFonts w:hint="default" w:ascii="Times New Roman" w:hAnsi="Times New Roman" w:eastAsia="宋体" w:cs="Times New Roman"/>
                <w:bCs/>
                <w:sz w:val="21"/>
                <w:szCs w:val="21"/>
                <w:highlight w:val="none"/>
              </w:rPr>
            </w:pPr>
            <w:r>
              <w:rPr>
                <w:rFonts w:hint="eastAsia" w:ascii="Times New Roman" w:hAnsi="Times New Roman" w:eastAsia="宋体" w:cs="Times New Roman"/>
                <w:bCs/>
                <w:sz w:val="21"/>
                <w:szCs w:val="21"/>
                <w:highlight w:val="none"/>
                <w:lang w:val="en-US" w:eastAsia="zh-CN"/>
              </w:rPr>
              <w:t>5.68</w:t>
            </w:r>
            <w:r>
              <w:rPr>
                <w:rFonts w:hint="default" w:ascii="Times New Roman" w:hAnsi="Times New Roman" w:eastAsia="宋体" w:cs="Times New Roman"/>
                <w:bCs/>
                <w:sz w:val="21"/>
                <w:szCs w:val="21"/>
                <w:highlight w:val="none"/>
                <w:lang w:val="en-US" w:eastAsia="zh-CN"/>
              </w:rPr>
              <w:t>×</w:t>
            </w:r>
            <w:r>
              <w:rPr>
                <w:rFonts w:hint="eastAsia" w:ascii="Times New Roman" w:hAnsi="Times New Roman" w:eastAsia="宋体" w:cs="Times New Roman"/>
                <w:bCs/>
                <w:sz w:val="21"/>
                <w:szCs w:val="21"/>
                <w:highlight w:val="none"/>
                <w:lang w:val="en-US" w:eastAsia="zh-CN"/>
              </w:rPr>
              <w:t>10</w:t>
            </w:r>
            <w:r>
              <w:rPr>
                <w:rFonts w:hint="eastAsia" w:ascii="Times New Roman" w:hAnsi="Times New Roman" w:eastAsia="宋体" w:cs="Times New Roman"/>
                <w:bCs/>
                <w:sz w:val="21"/>
                <w:szCs w:val="21"/>
                <w:highlight w:val="none"/>
                <w:vertAlign w:val="superscript"/>
                <w:lang w:val="en-US" w:eastAsia="zh-CN"/>
              </w:rPr>
              <w:t>4</w:t>
            </w:r>
          </w:p>
        </w:tc>
        <w:tc>
          <w:tcPr>
            <w:tcW w:w="1470" w:type="dxa"/>
            <w:noWrap w:val="0"/>
            <w:vAlign w:val="center"/>
          </w:tcPr>
          <w:p>
            <w:pPr>
              <w:pStyle w:val="28"/>
              <w:widowControl w:val="0"/>
              <w:spacing w:line="400" w:lineRule="exact"/>
              <w:ind w:firstLine="0" w:firstLineChars="0"/>
              <w:jc w:val="center"/>
              <w:rPr>
                <w:rFonts w:hint="default" w:ascii="Times New Roman" w:hAnsi="Times New Roman" w:eastAsia="宋体" w:cs="Times New Roman"/>
                <w:bCs/>
                <w:sz w:val="21"/>
                <w:szCs w:val="21"/>
                <w:highlight w:val="none"/>
              </w:rPr>
            </w:pPr>
            <w:r>
              <w:rPr>
                <w:rFonts w:hint="eastAsia" w:ascii="Times New Roman" w:hAnsi="Times New Roman" w:eastAsia="宋体" w:cs="Times New Roman"/>
                <w:bCs/>
                <w:sz w:val="21"/>
                <w:szCs w:val="21"/>
                <w:highlight w:val="none"/>
                <w:lang w:val="en-US" w:eastAsia="zh-CN"/>
              </w:rPr>
              <w:t>6.60</w:t>
            </w:r>
            <w:r>
              <w:rPr>
                <w:rFonts w:hint="default" w:ascii="Times New Roman" w:hAnsi="Times New Roman" w:eastAsia="宋体" w:cs="Times New Roman"/>
                <w:bCs/>
                <w:sz w:val="21"/>
                <w:szCs w:val="21"/>
                <w:highlight w:val="none"/>
                <w:lang w:val="en-US" w:eastAsia="zh-CN"/>
              </w:rPr>
              <w:t>×</w:t>
            </w:r>
            <w:r>
              <w:rPr>
                <w:rFonts w:hint="eastAsia" w:ascii="Times New Roman" w:hAnsi="Times New Roman" w:eastAsia="宋体" w:cs="Times New Roman"/>
                <w:bCs/>
                <w:sz w:val="21"/>
                <w:szCs w:val="21"/>
                <w:highlight w:val="none"/>
                <w:lang w:val="en-US" w:eastAsia="zh-CN"/>
              </w:rPr>
              <w:t>10</w:t>
            </w:r>
            <w:r>
              <w:rPr>
                <w:rFonts w:hint="eastAsia" w:ascii="Times New Roman" w:hAnsi="Times New Roman" w:eastAsia="宋体" w:cs="Times New Roman"/>
                <w:bCs/>
                <w:sz w:val="21"/>
                <w:szCs w:val="21"/>
                <w:highlight w:val="none"/>
                <w:vertAlign w:val="superscript"/>
                <w:lang w:val="en-US" w:eastAsia="zh-CN"/>
              </w:rPr>
              <w:t>4</w:t>
            </w:r>
          </w:p>
        </w:tc>
        <w:tc>
          <w:tcPr>
            <w:tcW w:w="1471" w:type="dxa"/>
            <w:noWrap w:val="0"/>
            <w:vAlign w:val="center"/>
          </w:tcPr>
          <w:p>
            <w:pPr>
              <w:pStyle w:val="28"/>
              <w:widowControl w:val="0"/>
              <w:spacing w:line="400" w:lineRule="exact"/>
              <w:ind w:firstLine="0" w:firstLineChars="0"/>
              <w:jc w:val="center"/>
              <w:rPr>
                <w:rFonts w:hint="default" w:ascii="Times New Roman" w:hAnsi="Times New Roman" w:eastAsia="宋体" w:cs="Times New Roman"/>
                <w:bCs/>
                <w:sz w:val="21"/>
                <w:szCs w:val="21"/>
                <w:highlight w:val="none"/>
              </w:rPr>
            </w:pPr>
            <w:r>
              <w:rPr>
                <w:rFonts w:hint="eastAsia" w:ascii="Times New Roman" w:hAnsi="Times New Roman" w:eastAsia="宋体" w:cs="Times New Roman"/>
                <w:bCs/>
                <w:sz w:val="21"/>
                <w:szCs w:val="21"/>
                <w:highlight w:val="none"/>
                <w:lang w:val="en-US" w:eastAsia="zh-CN"/>
              </w:rPr>
              <w:t>6.68</w:t>
            </w:r>
            <w:r>
              <w:rPr>
                <w:rFonts w:hint="default" w:ascii="Times New Roman" w:hAnsi="Times New Roman" w:eastAsia="宋体" w:cs="Times New Roman"/>
                <w:bCs/>
                <w:sz w:val="21"/>
                <w:szCs w:val="21"/>
                <w:highlight w:val="none"/>
                <w:lang w:val="en-US" w:eastAsia="zh-CN"/>
              </w:rPr>
              <w:t>×</w:t>
            </w:r>
            <w:r>
              <w:rPr>
                <w:rFonts w:hint="eastAsia" w:ascii="Times New Roman" w:hAnsi="Times New Roman" w:eastAsia="宋体" w:cs="Times New Roman"/>
                <w:bCs/>
                <w:sz w:val="21"/>
                <w:szCs w:val="21"/>
                <w:highlight w:val="none"/>
                <w:lang w:val="en-US" w:eastAsia="zh-CN"/>
              </w:rPr>
              <w:t>10</w:t>
            </w:r>
            <w:r>
              <w:rPr>
                <w:rFonts w:hint="eastAsia" w:ascii="Times New Roman" w:hAnsi="Times New Roman" w:eastAsia="宋体" w:cs="Times New Roman"/>
                <w:bCs/>
                <w:sz w:val="21"/>
                <w:szCs w:val="21"/>
                <w:highlight w:val="none"/>
                <w:vertAlign w:val="superscript"/>
                <w:lang w:val="en-US" w:eastAsia="zh-CN"/>
              </w:rPr>
              <w:t>4</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挥发性有机物  标准值单位mg/kg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四氯化碳</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1.3</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2.8</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氯仿</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0.9</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氯甲烷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37</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1,1-二氯乙烷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13</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1,2-二氯乙烷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1.3</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14</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1,1-二氯乙烯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66</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顺-1,2-二氯乙烯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1.3</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596</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16</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反-1,2-二氯乙烯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1.4</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54</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17</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二氯甲烷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616</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18</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1,2-二氯丙烷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19</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1,1,1,2-四氯乙烷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1,1,2,2-四氯乙烷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6.8</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21</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四氯乙烯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1.4</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53</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22</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1,1,1-三氯乙烷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1.3</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840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23</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1,1,2-三氯乙烷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2.8</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24</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三氯乙烯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2.8</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25</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1,2,3-三氯丙烷</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26</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氯乙烯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0.43</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27</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1.9</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28</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氯苯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270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29</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1,2-二氯苯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560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30</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1,4-二氯苯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31</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乙苯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28</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32</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苯乙烯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1290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33</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甲苯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1.3</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1200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34</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间二甲苯+对二甲苯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570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邻二甲苯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640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半挥发性有机物  单位mg/kg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35</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硝基苯</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0.09</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76</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36</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苯胺</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260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37</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2-氯酚</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0.06</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2256</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38</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苯并[a]蒽</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39</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苯并[a]芘</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40</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苯并[b]荧蒽</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41</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苯并[k]荧蒽</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151</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42</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䓛</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1293</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43</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二苯并[a,h]蒽</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44</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茚并[1,2,3-cd]芘</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45</w:t>
            </w:r>
          </w:p>
        </w:tc>
        <w:tc>
          <w:tcPr>
            <w:tcW w:w="1282"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萘</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0.09</w:t>
            </w:r>
          </w:p>
        </w:tc>
        <w:tc>
          <w:tcPr>
            <w:tcW w:w="1356"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0"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1471" w:type="dxa"/>
            <w:noWrap w:val="0"/>
            <w:vAlign w:val="center"/>
          </w:tcPr>
          <w:p>
            <w:pPr>
              <w:pStyle w:val="28"/>
              <w:widowControl w:val="0"/>
              <w:spacing w:line="400" w:lineRule="exact"/>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ND</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70</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9" w:type="dxa"/>
            <w:gridSpan w:val="8"/>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特征因子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top"/>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46</w:t>
            </w:r>
          </w:p>
        </w:tc>
        <w:tc>
          <w:tcPr>
            <w:tcW w:w="1282" w:type="dxa"/>
            <w:noWrap w:val="0"/>
            <w:vAlign w:val="top"/>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pacing w:val="-5"/>
                <w:sz w:val="21"/>
                <w:szCs w:val="21"/>
                <w:highlight w:val="none"/>
                <w:lang w:bidi="ar"/>
              </w:rPr>
              <w:t>石油烃C</w:t>
            </w:r>
            <w:r>
              <w:rPr>
                <w:rFonts w:hint="default" w:ascii="Times New Roman" w:hAnsi="Times New Roman" w:cs="Times New Roman"/>
                <w:spacing w:val="-5"/>
                <w:sz w:val="21"/>
                <w:szCs w:val="21"/>
                <w:highlight w:val="none"/>
                <w:vertAlign w:val="subscript"/>
                <w:lang w:bidi="ar"/>
              </w:rPr>
              <w:t>10</w:t>
            </w:r>
            <w:r>
              <w:rPr>
                <w:rFonts w:hint="default" w:ascii="Times New Roman" w:hAnsi="Times New Roman" w:cs="Times New Roman"/>
                <w:spacing w:val="-5"/>
                <w:sz w:val="21"/>
                <w:szCs w:val="21"/>
                <w:highlight w:val="none"/>
                <w:lang w:bidi="ar"/>
              </w:rPr>
              <w:t>-C</w:t>
            </w:r>
            <w:r>
              <w:rPr>
                <w:rFonts w:hint="default" w:ascii="Times New Roman" w:hAnsi="Times New Roman" w:cs="Times New Roman"/>
                <w:spacing w:val="-5"/>
                <w:sz w:val="21"/>
                <w:szCs w:val="21"/>
                <w:highlight w:val="none"/>
                <w:vertAlign w:val="subscript"/>
                <w:lang w:bidi="ar"/>
              </w:rPr>
              <w:t>40</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w:t>
            </w:r>
          </w:p>
        </w:tc>
        <w:tc>
          <w:tcPr>
            <w:tcW w:w="1356"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12</w:t>
            </w:r>
          </w:p>
        </w:tc>
        <w:tc>
          <w:tcPr>
            <w:tcW w:w="1470"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25</w:t>
            </w:r>
          </w:p>
        </w:tc>
        <w:tc>
          <w:tcPr>
            <w:tcW w:w="1471"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14</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4500</w:t>
            </w:r>
          </w:p>
        </w:tc>
        <w:tc>
          <w:tcPr>
            <w:tcW w:w="658" w:type="dxa"/>
            <w:noWrap w:val="0"/>
            <w:vAlign w:val="top"/>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4" w:type="dxa"/>
            <w:noWrap w:val="0"/>
            <w:vAlign w:val="top"/>
          </w:tcPr>
          <w:p>
            <w:pPr>
              <w:spacing w:line="400" w:lineRule="exact"/>
              <w:jc w:val="both"/>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47</w:t>
            </w:r>
          </w:p>
        </w:tc>
        <w:tc>
          <w:tcPr>
            <w:tcW w:w="1282" w:type="dxa"/>
            <w:noWrap w:val="0"/>
            <w:vAlign w:val="top"/>
          </w:tcPr>
          <w:p>
            <w:pPr>
              <w:spacing w:line="400" w:lineRule="exact"/>
              <w:jc w:val="center"/>
              <w:rPr>
                <w:rFonts w:hint="default" w:ascii="Times New Roman" w:hAnsi="Times New Roman" w:cs="Times New Roman"/>
                <w:spacing w:val="-5"/>
                <w:sz w:val="21"/>
                <w:szCs w:val="21"/>
                <w:highlight w:val="none"/>
                <w:lang w:bidi="ar"/>
              </w:rPr>
            </w:pPr>
            <w:r>
              <w:rPr>
                <w:rFonts w:hint="default" w:ascii="Times New Roman" w:hAnsi="Times New Roman" w:cs="Times New Roman"/>
                <w:sz w:val="21"/>
                <w:szCs w:val="21"/>
                <w:highlight w:val="none"/>
              </w:rPr>
              <w:t>pH（无量纲）</w:t>
            </w:r>
          </w:p>
        </w:tc>
        <w:tc>
          <w:tcPr>
            <w:tcW w:w="830"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356"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8.56</w:t>
            </w:r>
          </w:p>
        </w:tc>
        <w:tc>
          <w:tcPr>
            <w:tcW w:w="1470"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8.63</w:t>
            </w:r>
          </w:p>
        </w:tc>
        <w:tc>
          <w:tcPr>
            <w:tcW w:w="1471" w:type="dxa"/>
            <w:noWrap w:val="0"/>
            <w:vAlign w:val="center"/>
          </w:tcPr>
          <w:p>
            <w:pPr>
              <w:spacing w:line="4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8.38</w:t>
            </w:r>
          </w:p>
        </w:tc>
        <w:tc>
          <w:tcPr>
            <w:tcW w:w="87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658" w:type="dxa"/>
            <w:noWrap w:val="0"/>
            <w:vAlign w:val="center"/>
          </w:tcPr>
          <w:p>
            <w:pPr>
              <w:spacing w:line="4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bl>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68" w:firstLineChars="200"/>
        <w:jc w:val="both"/>
        <w:textAlignment w:val="baseline"/>
        <w:rPr>
          <w:rFonts w:hint="default" w:ascii="Times New Roman" w:hAnsi="Times New Roman" w:eastAsia="宋体" w:cs="Times New Roman"/>
          <w:spacing w:val="2"/>
          <w:sz w:val="23"/>
          <w:szCs w:val="23"/>
          <w:highlight w:val="none"/>
        </w:rPr>
      </w:pPr>
      <w:r>
        <w:rPr>
          <w:rFonts w:hint="default" w:ascii="Times New Roman" w:hAnsi="Times New Roman" w:eastAsia="宋体" w:cs="Times New Roman"/>
          <w:spacing w:val="2"/>
          <w:sz w:val="23"/>
          <w:szCs w:val="23"/>
          <w:highlight w:val="none"/>
        </w:rPr>
        <w:t>根据上表分析可知，项目厂区监测点位土壤各监测因子监测浓度均满足《土壤环境质量建设用地土壤污染风险管控标准（试行）》（GB36600-2018）中第二类用地筛选值限值要求。</w:t>
      </w:r>
    </w:p>
    <w:p>
      <w:pPr>
        <w:spacing w:before="136" w:line="227" w:lineRule="auto"/>
        <w:ind w:left="266"/>
        <w:outlineLvl w:val="1"/>
        <w:rPr>
          <w:rFonts w:hint="default" w:ascii="Times New Roman" w:hAnsi="Times New Roman" w:eastAsia="宋体" w:cs="Times New Roman"/>
          <w:sz w:val="23"/>
          <w:szCs w:val="23"/>
          <w:highlight w:val="none"/>
        </w:rPr>
      </w:pPr>
      <w:bookmarkStart w:id="409" w:name="_Toc8343"/>
      <w:bookmarkStart w:id="410" w:name="_Toc6483"/>
      <w:bookmarkStart w:id="411" w:name="_Toc16937"/>
      <w:r>
        <w:rPr>
          <w:rFonts w:hint="default" w:ascii="Times New Roman" w:hAnsi="Times New Roman" w:eastAsia="Times New Roman" w:cs="Times New Roman"/>
          <w:b/>
          <w:bCs/>
          <w:spacing w:val="14"/>
          <w:sz w:val="23"/>
          <w:szCs w:val="23"/>
          <w:highlight w:val="none"/>
        </w:rPr>
        <w:t>4</w:t>
      </w:r>
      <w:r>
        <w:rPr>
          <w:rFonts w:hint="default" w:ascii="Times New Roman" w:hAnsi="Times New Roman" w:eastAsia="Times New Roman" w:cs="Times New Roman"/>
          <w:b/>
          <w:bCs/>
          <w:spacing w:val="7"/>
          <w:sz w:val="23"/>
          <w:szCs w:val="23"/>
          <w:highlight w:val="none"/>
        </w:rPr>
        <w:t>.3.</w:t>
      </w:r>
      <w:r>
        <w:rPr>
          <w:rFonts w:hint="eastAsia" w:ascii="Times New Roman" w:hAnsi="Times New Roman" w:eastAsia="宋体" w:cs="Times New Roman"/>
          <w:b/>
          <w:bCs/>
          <w:spacing w:val="7"/>
          <w:sz w:val="23"/>
          <w:szCs w:val="23"/>
          <w:highlight w:val="none"/>
          <w:lang w:val="en-US" w:eastAsia="zh-CN"/>
        </w:rPr>
        <w:t>5</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包气带现状监测与评价</w:t>
      </w:r>
      <w:bookmarkEnd w:id="409"/>
      <w:bookmarkEnd w:id="410"/>
      <w:bookmarkEnd w:id="411"/>
    </w:p>
    <w:p>
      <w:pPr>
        <w:spacing w:line="260" w:lineRule="auto"/>
        <w:rPr>
          <w:rFonts w:hint="default" w:ascii="Times New Roman" w:hAnsi="Times New Roman" w:cs="Times New Roman"/>
          <w:sz w:val="21"/>
          <w:highlight w:val="none"/>
        </w:rPr>
      </w:pPr>
    </w:p>
    <w:p>
      <w:pPr>
        <w:spacing w:before="75" w:line="395" w:lineRule="auto"/>
        <w:ind w:left="273" w:right="259" w:firstLine="475"/>
        <w:rPr>
          <w:rFonts w:hint="default"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lang w:val="en-US" w:eastAsia="zh-CN" w:bidi="ar"/>
        </w:rPr>
        <w:t>委托检测单位于2</w:t>
      </w:r>
      <w:r>
        <w:rPr>
          <w:rFonts w:hint="default" w:ascii="Times New Roman" w:hAnsi="Times New Roman" w:cs="Times New Roman"/>
          <w:sz w:val="23"/>
          <w:szCs w:val="23"/>
          <w:highlight w:val="none"/>
          <w:lang w:bidi="ar"/>
        </w:rPr>
        <w:t>02</w:t>
      </w:r>
      <w:r>
        <w:rPr>
          <w:rFonts w:hint="eastAsia" w:ascii="Times New Roman" w:hAnsi="Times New Roman" w:cs="Times New Roman"/>
          <w:sz w:val="23"/>
          <w:szCs w:val="23"/>
          <w:highlight w:val="none"/>
          <w:lang w:val="en-US" w:eastAsia="zh-CN" w:bidi="ar"/>
        </w:rPr>
        <w:t>3</w:t>
      </w:r>
      <w:r>
        <w:rPr>
          <w:rFonts w:hint="default" w:ascii="Times New Roman" w:hAnsi="Times New Roman" w:cs="Times New Roman"/>
          <w:sz w:val="23"/>
          <w:szCs w:val="23"/>
          <w:highlight w:val="none"/>
          <w:lang w:bidi="ar"/>
        </w:rPr>
        <w:t>年</w:t>
      </w:r>
      <w:r>
        <w:rPr>
          <w:rFonts w:hint="eastAsia" w:ascii="Times New Roman" w:hAnsi="Times New Roman" w:cs="Times New Roman"/>
          <w:sz w:val="23"/>
          <w:szCs w:val="23"/>
          <w:highlight w:val="none"/>
          <w:lang w:val="en-US" w:eastAsia="zh-CN" w:bidi="ar"/>
        </w:rPr>
        <w:t>4</w:t>
      </w:r>
      <w:r>
        <w:rPr>
          <w:rFonts w:hint="default" w:ascii="Times New Roman" w:hAnsi="Times New Roman" w:cs="Times New Roman"/>
          <w:sz w:val="23"/>
          <w:szCs w:val="23"/>
          <w:highlight w:val="none"/>
          <w:lang w:bidi="ar"/>
        </w:rPr>
        <w:t>月</w:t>
      </w:r>
      <w:r>
        <w:rPr>
          <w:rFonts w:hint="eastAsia" w:ascii="Times New Roman" w:hAnsi="Times New Roman" w:cs="Times New Roman"/>
          <w:sz w:val="23"/>
          <w:szCs w:val="23"/>
          <w:highlight w:val="none"/>
          <w:lang w:val="en-US" w:eastAsia="zh-CN" w:bidi="ar"/>
        </w:rPr>
        <w:t>27</w:t>
      </w:r>
      <w:r>
        <w:rPr>
          <w:rFonts w:hint="default" w:ascii="Times New Roman" w:hAnsi="Times New Roman" w:cs="Times New Roman"/>
          <w:sz w:val="23"/>
          <w:szCs w:val="23"/>
          <w:highlight w:val="none"/>
          <w:lang w:bidi="ar"/>
        </w:rPr>
        <w:t>日</w:t>
      </w:r>
      <w:r>
        <w:rPr>
          <w:rFonts w:hint="default" w:ascii="Times New Roman" w:hAnsi="Times New Roman" w:eastAsia="宋体" w:cs="Times New Roman"/>
          <w:spacing w:val="1"/>
          <w:sz w:val="23"/>
          <w:szCs w:val="23"/>
          <w:highlight w:val="none"/>
        </w:rPr>
        <w:t>对本项目所在区域包气</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带</w:t>
      </w:r>
      <w:r>
        <w:rPr>
          <w:rFonts w:hint="default" w:ascii="Times New Roman" w:hAnsi="Times New Roman" w:eastAsia="宋体" w:cs="Times New Roman"/>
          <w:spacing w:val="7"/>
          <w:sz w:val="23"/>
          <w:szCs w:val="23"/>
          <w:highlight w:val="none"/>
        </w:rPr>
        <w:t>进行了现状监测。</w:t>
      </w:r>
    </w:p>
    <w:p>
      <w:pPr>
        <w:spacing w:before="1" w:line="228" w:lineRule="auto"/>
        <w:ind w:left="74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⑴监测点位</w:t>
      </w:r>
    </w:p>
    <w:p>
      <w:pPr>
        <w:spacing w:before="196" w:line="385" w:lineRule="auto"/>
        <w:ind w:left="288" w:right="259" w:firstLine="461"/>
        <w:rPr>
          <w:rFonts w:hint="default" w:ascii="Times New Roman" w:hAnsi="Times New Roman" w:eastAsia="宋体" w:cs="Times New Roman"/>
          <w:spacing w:val="8"/>
          <w:sz w:val="23"/>
          <w:szCs w:val="23"/>
          <w:highlight w:val="none"/>
        </w:rPr>
      </w:pPr>
      <w:r>
        <w:rPr>
          <w:rFonts w:hint="default" w:ascii="Times New Roman" w:hAnsi="Times New Roman" w:eastAsia="宋体" w:cs="Times New Roman"/>
          <w:spacing w:val="16"/>
          <w:sz w:val="23"/>
          <w:szCs w:val="23"/>
          <w:highlight w:val="none"/>
        </w:rPr>
        <w:t>根据</w:t>
      </w:r>
      <w:r>
        <w:rPr>
          <w:rFonts w:hint="default" w:ascii="Times New Roman" w:hAnsi="Times New Roman" w:eastAsia="宋体" w:cs="Times New Roman"/>
          <w:spacing w:val="9"/>
          <w:sz w:val="23"/>
          <w:szCs w:val="23"/>
          <w:highlight w:val="none"/>
        </w:rPr>
        <w:t>项</w:t>
      </w:r>
      <w:r>
        <w:rPr>
          <w:rFonts w:hint="default" w:ascii="Times New Roman" w:hAnsi="Times New Roman" w:eastAsia="宋体" w:cs="Times New Roman"/>
          <w:spacing w:val="8"/>
          <w:sz w:val="23"/>
          <w:szCs w:val="23"/>
          <w:highlight w:val="none"/>
        </w:rPr>
        <w:t>目特点，本次包气带监测共布置了</w:t>
      </w:r>
      <w:r>
        <w:rPr>
          <w:rFonts w:hint="eastAsia" w:ascii="Times New Roman" w:hAnsi="Times New Roman" w:eastAsia="宋体" w:cs="Times New Roman"/>
          <w:spacing w:val="8"/>
          <w:sz w:val="23"/>
          <w:szCs w:val="23"/>
          <w:highlight w:val="none"/>
          <w:lang w:val="en-US" w:eastAsia="zh-CN"/>
        </w:rPr>
        <w:t>4</w:t>
      </w:r>
      <w:r>
        <w:rPr>
          <w:rFonts w:hint="default" w:ascii="Times New Roman" w:hAnsi="Times New Roman" w:eastAsia="宋体" w:cs="Times New Roman"/>
          <w:spacing w:val="8"/>
          <w:sz w:val="23"/>
          <w:szCs w:val="23"/>
          <w:highlight w:val="none"/>
        </w:rPr>
        <w:t>个监测点，</w:t>
      </w:r>
      <w:r>
        <w:rPr>
          <w:rFonts w:hint="eastAsia" w:ascii="Times New Roman" w:hAnsi="Times New Roman" w:eastAsia="宋体" w:cs="Times New Roman"/>
          <w:spacing w:val="8"/>
          <w:sz w:val="23"/>
          <w:szCs w:val="23"/>
          <w:highlight w:val="none"/>
          <w:lang w:val="en-US" w:eastAsia="zh-CN"/>
        </w:rPr>
        <w:t>在</w:t>
      </w:r>
      <w:r>
        <w:rPr>
          <w:rFonts w:hint="default" w:ascii="Times New Roman" w:hAnsi="Times New Roman" w:eastAsia="宋体" w:cs="Times New Roman"/>
          <w:spacing w:val="8"/>
          <w:sz w:val="23"/>
          <w:szCs w:val="23"/>
          <w:highlight w:val="none"/>
        </w:rPr>
        <w:t>厂区</w:t>
      </w:r>
      <w:r>
        <w:rPr>
          <w:rFonts w:hint="eastAsia" w:ascii="Times New Roman" w:hAnsi="Times New Roman" w:eastAsia="宋体" w:cs="Times New Roman"/>
          <w:spacing w:val="8"/>
          <w:sz w:val="23"/>
          <w:szCs w:val="23"/>
          <w:highlight w:val="none"/>
          <w:lang w:val="en-US" w:eastAsia="zh-CN"/>
        </w:rPr>
        <w:t>北侧边界</w:t>
      </w:r>
      <w:r>
        <w:rPr>
          <w:rFonts w:hint="default" w:ascii="Times New Roman" w:hAnsi="Times New Roman" w:eastAsia="宋体" w:cs="Times New Roman"/>
          <w:spacing w:val="8"/>
          <w:sz w:val="23"/>
          <w:szCs w:val="23"/>
          <w:highlight w:val="none"/>
        </w:rPr>
        <w:t>以外采集1个背景对照样</w:t>
      </w:r>
      <w:r>
        <w:rPr>
          <w:rFonts w:hint="eastAsia" w:ascii="Times New Roman" w:hAnsi="Times New Roman" w:eastAsia="宋体" w:cs="Times New Roman"/>
          <w:spacing w:val="8"/>
          <w:sz w:val="23"/>
          <w:szCs w:val="23"/>
          <w:highlight w:val="none"/>
          <w:lang w:eastAsia="zh-CN"/>
        </w:rPr>
        <w:t>，</w:t>
      </w:r>
      <w:r>
        <w:rPr>
          <w:rFonts w:hint="eastAsia" w:ascii="Times New Roman" w:hAnsi="Times New Roman" w:eastAsia="宋体" w:cs="Times New Roman"/>
          <w:spacing w:val="8"/>
          <w:sz w:val="23"/>
          <w:szCs w:val="23"/>
          <w:highlight w:val="none"/>
          <w:lang w:val="en-US" w:eastAsia="zh-CN"/>
        </w:rPr>
        <w:t>其余3个</w:t>
      </w:r>
      <w:r>
        <w:rPr>
          <w:rFonts w:hint="default" w:ascii="Times New Roman" w:hAnsi="Times New Roman" w:eastAsia="宋体" w:cs="Times New Roman"/>
          <w:spacing w:val="8"/>
          <w:sz w:val="23"/>
          <w:szCs w:val="23"/>
          <w:highlight w:val="none"/>
        </w:rPr>
        <w:t>取样点位于</w:t>
      </w:r>
      <w:r>
        <w:rPr>
          <w:rFonts w:hint="eastAsia" w:ascii="Times New Roman" w:hAnsi="Times New Roman" w:eastAsia="宋体" w:cs="Times New Roman"/>
          <w:spacing w:val="8"/>
          <w:sz w:val="23"/>
          <w:szCs w:val="23"/>
          <w:highlight w:val="none"/>
          <w:lang w:val="en-US" w:eastAsia="zh-CN"/>
        </w:rPr>
        <w:t>破碎车间</w:t>
      </w:r>
      <w:r>
        <w:rPr>
          <w:rFonts w:hint="default" w:ascii="Times New Roman" w:hAnsi="Times New Roman" w:eastAsia="宋体" w:cs="Times New Roman"/>
          <w:spacing w:val="8"/>
          <w:sz w:val="23"/>
          <w:szCs w:val="23"/>
          <w:highlight w:val="none"/>
        </w:rPr>
        <w:t>、</w:t>
      </w:r>
      <w:r>
        <w:rPr>
          <w:rFonts w:hint="eastAsia" w:ascii="Times New Roman" w:hAnsi="Times New Roman" w:eastAsia="宋体" w:cs="Times New Roman"/>
          <w:spacing w:val="8"/>
          <w:sz w:val="23"/>
          <w:szCs w:val="23"/>
          <w:highlight w:val="none"/>
          <w:lang w:val="en-US" w:eastAsia="zh-CN"/>
        </w:rPr>
        <w:t>球磨车间</w:t>
      </w:r>
      <w:r>
        <w:rPr>
          <w:rFonts w:hint="default" w:ascii="Times New Roman" w:hAnsi="Times New Roman" w:eastAsia="宋体" w:cs="Times New Roman"/>
          <w:spacing w:val="8"/>
          <w:sz w:val="23"/>
          <w:szCs w:val="23"/>
          <w:highlight w:val="none"/>
        </w:rPr>
        <w:t>附近。</w:t>
      </w:r>
    </w:p>
    <w:p>
      <w:pPr>
        <w:spacing w:line="228" w:lineRule="auto"/>
        <w:ind w:left="74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⑵监测时间和频</w:t>
      </w:r>
      <w:r>
        <w:rPr>
          <w:rFonts w:hint="default" w:ascii="Times New Roman" w:hAnsi="Times New Roman" w:eastAsia="宋体" w:cs="Times New Roman"/>
          <w:spacing w:val="7"/>
          <w:sz w:val="23"/>
          <w:szCs w:val="23"/>
          <w:highlight w:val="none"/>
        </w:rPr>
        <w:t>次</w:t>
      </w:r>
    </w:p>
    <w:p>
      <w:pPr>
        <w:spacing w:before="196" w:line="227" w:lineRule="auto"/>
        <w:ind w:left="74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采样</w:t>
      </w:r>
      <w:r>
        <w:rPr>
          <w:rFonts w:hint="default" w:ascii="Times New Roman" w:hAnsi="Times New Roman" w:eastAsia="宋体" w:cs="Times New Roman"/>
          <w:spacing w:val="11"/>
          <w:sz w:val="23"/>
          <w:szCs w:val="23"/>
          <w:highlight w:val="none"/>
        </w:rPr>
        <w:t>监</w:t>
      </w:r>
      <w:r>
        <w:rPr>
          <w:rFonts w:hint="default" w:ascii="Times New Roman" w:hAnsi="Times New Roman" w:eastAsia="宋体" w:cs="Times New Roman"/>
          <w:spacing w:val="6"/>
          <w:sz w:val="23"/>
          <w:szCs w:val="23"/>
          <w:highlight w:val="none"/>
        </w:rPr>
        <w:t>测一次。采样深度</w:t>
      </w:r>
      <w:r>
        <w:rPr>
          <w:rFonts w:hint="default" w:ascii="Times New Roman" w:hAnsi="Times New Roman" w:eastAsia="Times New Roman" w:cs="Times New Roman"/>
          <w:spacing w:val="6"/>
          <w:sz w:val="23"/>
          <w:szCs w:val="23"/>
          <w:highlight w:val="none"/>
        </w:rPr>
        <w:t>20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w:t>
      </w:r>
      <w:r>
        <w:rPr>
          <w:rFonts w:hint="eastAsia" w:ascii="Times New Roman" w:hAnsi="Times New Roman" w:eastAsia="宋体" w:cs="Times New Roman"/>
          <w:spacing w:val="6"/>
          <w:sz w:val="23"/>
          <w:szCs w:val="23"/>
          <w:highlight w:val="none"/>
          <w:lang w:val="en-US" w:eastAsia="zh-CN"/>
        </w:rPr>
        <w:t>8</w:t>
      </w:r>
      <w:r>
        <w:rPr>
          <w:rFonts w:hint="default" w:ascii="Times New Roman" w:hAnsi="Times New Roman" w:eastAsia="Times New Roman" w:cs="Times New Roman"/>
          <w:spacing w:val="6"/>
          <w:sz w:val="23"/>
          <w:szCs w:val="23"/>
          <w:highlight w:val="none"/>
        </w:rPr>
        <w:t>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 xml:space="preserve">各取 </w:t>
      </w:r>
      <w:r>
        <w:rPr>
          <w:rFonts w:hint="default" w:ascii="Times New Roman" w:hAnsi="Times New Roman" w:eastAsia="Times New Roman" w:cs="Times New Roman"/>
          <w:spacing w:val="6"/>
          <w:sz w:val="23"/>
          <w:szCs w:val="23"/>
          <w:highlight w:val="none"/>
        </w:rPr>
        <w:t xml:space="preserve">1 </w:t>
      </w:r>
      <w:r>
        <w:rPr>
          <w:rFonts w:hint="default" w:ascii="Times New Roman" w:hAnsi="Times New Roman" w:eastAsia="宋体" w:cs="Times New Roman"/>
          <w:spacing w:val="6"/>
          <w:sz w:val="23"/>
          <w:szCs w:val="23"/>
          <w:highlight w:val="none"/>
        </w:rPr>
        <w:t>个样品。</w:t>
      </w:r>
    </w:p>
    <w:p>
      <w:pPr>
        <w:spacing w:before="198" w:line="227" w:lineRule="auto"/>
        <w:ind w:left="74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⑶包气带监测项</w:t>
      </w:r>
      <w:r>
        <w:rPr>
          <w:rFonts w:hint="default" w:ascii="Times New Roman" w:hAnsi="Times New Roman" w:eastAsia="宋体" w:cs="Times New Roman"/>
          <w:spacing w:val="7"/>
          <w:sz w:val="23"/>
          <w:szCs w:val="23"/>
          <w:highlight w:val="none"/>
        </w:rPr>
        <w:t>目</w:t>
      </w:r>
    </w:p>
    <w:p>
      <w:pPr>
        <w:spacing w:before="196" w:line="221" w:lineRule="auto"/>
        <w:ind w:left="739"/>
        <w:rPr>
          <w:rFonts w:hint="default" w:ascii="Times New Roman" w:hAnsi="Times New Roman" w:eastAsia="宋体" w:cs="Times New Roman"/>
          <w:sz w:val="23"/>
          <w:szCs w:val="23"/>
          <w:highlight w:val="none"/>
        </w:rPr>
      </w:pPr>
      <w:r>
        <w:rPr>
          <w:rFonts w:hint="eastAsia" w:ascii="Times New Roman" w:hAnsi="Times New Roman" w:eastAsia="宋体" w:cs="Times New Roman"/>
          <w:sz w:val="23"/>
          <w:szCs w:val="23"/>
          <w:highlight w:val="none"/>
          <w:lang w:val="en-US" w:eastAsia="zh-CN"/>
        </w:rPr>
        <w:t>石油类。</w:t>
      </w:r>
    </w:p>
    <w:p>
      <w:pPr>
        <w:spacing w:before="205" w:line="228" w:lineRule="auto"/>
        <w:ind w:left="74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⑷</w:t>
      </w:r>
      <w:r>
        <w:rPr>
          <w:rFonts w:hint="default" w:ascii="Times New Roman" w:hAnsi="Times New Roman" w:eastAsia="宋体" w:cs="Times New Roman"/>
          <w:spacing w:val="8"/>
          <w:sz w:val="23"/>
          <w:szCs w:val="23"/>
          <w:highlight w:val="none"/>
        </w:rPr>
        <w:t>浸溶液分析</w:t>
      </w:r>
    </w:p>
    <w:p>
      <w:pPr>
        <w:spacing w:before="195" w:line="390" w:lineRule="auto"/>
        <w:ind w:left="268" w:right="153"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7"/>
          <w:sz w:val="23"/>
          <w:szCs w:val="23"/>
          <w:highlight w:val="none"/>
        </w:rPr>
        <w:t>对</w:t>
      </w:r>
      <w:r>
        <w:rPr>
          <w:rFonts w:hint="default" w:ascii="Times New Roman" w:hAnsi="Times New Roman" w:eastAsia="宋体" w:cs="Times New Roman"/>
          <w:spacing w:val="10"/>
          <w:sz w:val="23"/>
          <w:szCs w:val="23"/>
          <w:highlight w:val="none"/>
        </w:rPr>
        <w:t>取样的土壤进行浸溶实验，</w:t>
      </w:r>
      <w:r>
        <w:rPr>
          <w:rFonts w:hint="default" w:ascii="Times New Roman" w:hAnsi="Times New Roman" w:eastAsia="宋体" w:cs="Times New Roman"/>
          <w:spacing w:val="3"/>
          <w:sz w:val="23"/>
          <w:szCs w:val="23"/>
          <w:highlight w:val="none"/>
        </w:rPr>
        <w:t>样品参照《固体废物浸出毒性浸出方法</w:t>
      </w:r>
      <w:r>
        <w:rPr>
          <w:rFonts w:hint="default" w:ascii="Times New Roman" w:hAnsi="Times New Roman" w:eastAsia="Times New Roman" w:cs="Times New Roman"/>
          <w:spacing w:val="3"/>
          <w:sz w:val="23"/>
          <w:szCs w:val="23"/>
          <w:highlight w:val="none"/>
        </w:rPr>
        <w:t>-</w:t>
      </w:r>
      <w:r>
        <w:rPr>
          <w:rFonts w:hint="default" w:ascii="Times New Roman" w:hAnsi="Times New Roman" w:eastAsia="宋体" w:cs="Times New Roman"/>
          <w:spacing w:val="3"/>
          <w:sz w:val="23"/>
          <w:szCs w:val="23"/>
          <w:highlight w:val="none"/>
        </w:rPr>
        <w:t>水平震荡法》(</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3"/>
          <w:sz w:val="23"/>
          <w:szCs w:val="23"/>
          <w:highlight w:val="none"/>
        </w:rPr>
        <w:t>557-201</w:t>
      </w:r>
      <w:r>
        <w:rPr>
          <w:rFonts w:hint="default" w:ascii="Times New Roman" w:hAnsi="Times New Roman" w:eastAsia="Times New Roman" w:cs="Times New Roman"/>
          <w:spacing w:val="2"/>
          <w:sz w:val="23"/>
          <w:szCs w:val="23"/>
          <w:highlight w:val="none"/>
        </w:rPr>
        <w:t>0</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浸</w:t>
      </w:r>
      <w:r>
        <w:rPr>
          <w:rFonts w:hint="default" w:ascii="Times New Roman" w:hAnsi="Times New Roman" w:eastAsia="宋体" w:cs="Times New Roman"/>
          <w:spacing w:val="6"/>
          <w:sz w:val="23"/>
          <w:szCs w:val="23"/>
          <w:highlight w:val="none"/>
        </w:rPr>
        <w:t>溶处理。</w:t>
      </w:r>
    </w:p>
    <w:p>
      <w:pPr>
        <w:spacing w:before="1" w:line="226" w:lineRule="auto"/>
        <w:ind w:left="760"/>
        <w:outlineLvl w:val="2"/>
        <w:rPr>
          <w:rFonts w:hint="default" w:ascii="Times New Roman" w:hAnsi="Times New Roman" w:eastAsia="宋体" w:cs="Times New Roman"/>
          <w:sz w:val="23"/>
          <w:szCs w:val="23"/>
          <w:highlight w:val="none"/>
        </w:rPr>
      </w:pPr>
      <w:bookmarkStart w:id="412" w:name="_Toc10287"/>
      <w:bookmarkStart w:id="413" w:name="_Toc26391"/>
      <w:bookmarkStart w:id="414" w:name="_Toc9648"/>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5</w:t>
      </w:r>
      <w:r>
        <w:rPr>
          <w:rFonts w:hint="default" w:ascii="Times New Roman" w:hAnsi="Times New Roman" w:eastAsia="宋体" w:cs="Times New Roman"/>
          <w:spacing w:val="20"/>
          <w:sz w:val="23"/>
          <w:szCs w:val="23"/>
          <w:highlight w:val="none"/>
        </w:rPr>
        <w:t xml:space="preserve">) </w:t>
      </w:r>
      <w:r>
        <w:rPr>
          <w:rFonts w:hint="default" w:ascii="Times New Roman" w:hAnsi="Times New Roman" w:eastAsia="宋体" w:cs="Times New Roman"/>
          <w:spacing w:val="17"/>
          <w:sz w:val="23"/>
          <w:szCs w:val="23"/>
          <w:highlight w:val="none"/>
        </w:rPr>
        <w:t>监测与评价结果</w:t>
      </w:r>
      <w:bookmarkEnd w:id="412"/>
      <w:bookmarkEnd w:id="413"/>
      <w:bookmarkEnd w:id="414"/>
    </w:p>
    <w:p>
      <w:pPr>
        <w:spacing w:before="195" w:line="394" w:lineRule="auto"/>
        <w:ind w:left="128" w:right="116" w:firstLine="510"/>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12"/>
          <w:sz w:val="23"/>
          <w:szCs w:val="23"/>
          <w:highlight w:val="none"/>
          <w:lang w:val="en-US" w:eastAsia="zh-CN"/>
        </w:rPr>
        <w:t>包气带浸出液石油类均未检出</w:t>
      </w:r>
      <w:r>
        <w:rPr>
          <w:rFonts w:hint="eastAsia" w:ascii="Times New Roman" w:hAnsi="Times New Roman" w:eastAsia="宋体" w:cs="Times New Roman"/>
          <w:spacing w:val="6"/>
          <w:sz w:val="23"/>
          <w:szCs w:val="23"/>
          <w:highlight w:val="none"/>
          <w:lang w:eastAsia="zh-CN"/>
        </w:rPr>
        <w:t>，</w:t>
      </w:r>
      <w:r>
        <w:rPr>
          <w:rFonts w:hint="eastAsia" w:ascii="Times New Roman" w:hAnsi="Times New Roman" w:eastAsia="宋体" w:cs="Times New Roman"/>
          <w:spacing w:val="6"/>
          <w:sz w:val="23"/>
          <w:szCs w:val="23"/>
          <w:highlight w:val="none"/>
          <w:lang w:val="en-US" w:eastAsia="zh-CN"/>
        </w:rPr>
        <w:t>包气带未受项目污染</w:t>
      </w:r>
      <w:r>
        <w:rPr>
          <w:rFonts w:hint="default" w:ascii="Times New Roman" w:hAnsi="Times New Roman" w:eastAsia="宋体" w:cs="Times New Roman"/>
          <w:spacing w:val="5"/>
          <w:sz w:val="23"/>
          <w:szCs w:val="23"/>
          <w:highlight w:val="none"/>
        </w:rPr>
        <w:t>，对人体健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康</w:t>
      </w:r>
      <w:r>
        <w:rPr>
          <w:rFonts w:hint="default" w:ascii="Times New Roman" w:hAnsi="Times New Roman" w:eastAsia="宋体" w:cs="Times New Roman"/>
          <w:spacing w:val="6"/>
          <w:sz w:val="23"/>
          <w:szCs w:val="23"/>
          <w:highlight w:val="none"/>
        </w:rPr>
        <w:t>的风险可以忽略。</w:t>
      </w:r>
    </w:p>
    <w:p>
      <w:pPr>
        <w:pStyle w:val="2"/>
        <w:rPr>
          <w:rFonts w:hint="default"/>
          <w:highlight w:val="none"/>
        </w:rPr>
        <w:sectPr>
          <w:footerReference r:id="rId59" w:type="default"/>
          <w:pgSz w:w="11906" w:h="16839"/>
          <w:pgMar w:top="400" w:right="1537" w:bottom="1175" w:left="1537" w:header="0" w:footer="1015" w:gutter="0"/>
          <w:pgBorders>
            <w:top w:val="none" w:sz="0" w:space="0"/>
            <w:left w:val="none" w:sz="0" w:space="0"/>
            <w:bottom w:val="none" w:sz="0" w:space="0"/>
            <w:right w:val="none" w:sz="0" w:space="0"/>
          </w:pgBorders>
          <w:pgNumType w:fmt="decimal"/>
          <w:cols w:space="720" w:num="1"/>
        </w:sectPr>
      </w:pPr>
    </w:p>
    <w:p>
      <w:pPr>
        <w:spacing w:line="349"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171" o:spid="_x0000_s1171" style="position:absolute;left:0pt;margin-left:89.85pt;margin-top:59.05pt;height:0.75pt;width:415.65pt;mso-position-horizontal-relative:page;mso-position-vertical-relative:page;z-index:251719680;mso-width-relative:page;mso-height-relative:page;" fillcolor="#000000" filled="t" stroked="f" coordsize="8312,15" o:allowincell="f" path="m0,0l8312,0,8312,14,0,14,0,0xe">
            <v:path/>
            <v:fill on="t" focussize="0,0"/>
            <v:stroke on="f"/>
            <v:imagedata o:title=""/>
            <o:lock v:ext="edit"/>
          </v:shape>
        </w:pict>
      </w:r>
    </w:p>
    <w:p>
      <w:pPr>
        <w:spacing w:line="14" w:lineRule="exact"/>
        <w:rPr>
          <w:rFonts w:hint="default" w:ascii="Times New Roman" w:hAnsi="Times New Roman" w:cs="Times New Roman"/>
          <w:sz w:val="2"/>
          <w:highlight w:val="none"/>
        </w:rPr>
      </w:pPr>
    </w:p>
    <w:p>
      <w:pPr>
        <w:spacing w:before="95" w:line="228" w:lineRule="auto"/>
        <w:ind w:left="19"/>
        <w:outlineLvl w:val="0"/>
        <w:rPr>
          <w:rFonts w:hint="default" w:ascii="Times New Roman" w:hAnsi="Times New Roman" w:eastAsia="黑体" w:cs="Times New Roman"/>
          <w:spacing w:val="8"/>
          <w:sz w:val="29"/>
          <w:szCs w:val="29"/>
          <w:highlight w:val="none"/>
          <w14:textOutline w14:w="5448" w14:cap="sq" w14:cmpd="sng">
            <w14:solidFill>
              <w14:srgbClr w14:val="000000"/>
            </w14:solidFill>
            <w14:prstDash w14:val="solid"/>
            <w14:bevel/>
          </w14:textOutline>
        </w:rPr>
      </w:pPr>
      <w:r>
        <w:rPr>
          <w:rFonts w:hint="default" w:ascii="Times New Roman" w:hAnsi="Times New Roman" w:eastAsia="黑体" w:cs="Times New Roman"/>
          <w:spacing w:val="8"/>
          <w:sz w:val="29"/>
          <w:szCs w:val="29"/>
          <w:highlight w:val="none"/>
          <w14:textOutline w14:w="5448" w14:cap="sq" w14:cmpd="sng">
            <w14:solidFill>
              <w14:srgbClr w14:val="000000"/>
            </w14:solidFill>
            <w14:prstDash w14:val="solid"/>
            <w14:bevel/>
          </w14:textOutline>
        </w:rPr>
        <w:pict>
          <v:rect id="_x0000_s1176" o:spid="_x0000_s1176" o:spt="1" style="position:absolute;left:0pt;margin-left:90pt;margin-top:776.35pt;height:3.65pt;width:415.3pt;mso-position-horizontal-relative:page;mso-position-vertical-relative:page;z-index:251720704;mso-width-relative:page;mso-height-relative:page;" filled="f" stroked="f" coordsize="21600,21600" o:allowincell="f">
            <v:path/>
            <v:fill on="f" focussize="0,0"/>
            <v:stroke on="f"/>
            <v:imagedata o:title=""/>
            <o:lock v:ext="edit" aspectratio="f"/>
          </v:rect>
        </w:pict>
      </w:r>
      <w:r>
        <w:rPr>
          <w:rFonts w:hint="default" w:ascii="Times New Roman" w:hAnsi="Times New Roman" w:eastAsia="黑体" w:cs="Times New Roman"/>
          <w:spacing w:val="8"/>
          <w:sz w:val="29"/>
          <w:szCs w:val="29"/>
          <w:highlight w:val="none"/>
          <w14:textOutline w14:w="5448" w14:cap="sq" w14:cmpd="sng">
            <w14:solidFill>
              <w14:srgbClr w14:val="000000"/>
            </w14:solidFill>
            <w14:prstDash w14:val="solid"/>
            <w14:bevel/>
          </w14:textOutline>
        </w:rPr>
        <w:pict>
          <v:shape id="_x0000_s1177" o:spid="_x0000_s1177" style="position:absolute;left:0pt;margin-left:90pt;margin-top:59.05pt;height:0.75pt;width:415.3pt;mso-position-horizontal-relative:page;mso-position-vertical-relative:page;z-index:251721728;mso-width-relative:page;mso-height-relative:page;" fillcolor="#000000" filled="t" stroked="f" coordsize="8305,15" o:allowincell="f" path="m0,0l8305,0,8305,14,0,14,0,0xe">
            <v:path/>
            <v:fill on="t" focussize="0,0"/>
            <v:stroke on="f"/>
            <v:imagedata o:title=""/>
            <o:lock v:ext="edit"/>
          </v:shape>
        </w:pict>
      </w:r>
      <w:r>
        <w:rPr>
          <w:rFonts w:hint="default" w:ascii="Times New Roman" w:hAnsi="Times New Roman" w:eastAsia="黑体" w:cs="Times New Roman"/>
          <w:spacing w:val="8"/>
          <w:sz w:val="29"/>
          <w:szCs w:val="29"/>
          <w:highlight w:val="none"/>
          <w14:textOutline w14:w="5448" w14:cap="sq" w14:cmpd="sng">
            <w14:solidFill>
              <w14:srgbClr w14:val="000000"/>
            </w14:solidFill>
            <w14:prstDash w14:val="solid"/>
            <w14:bevel/>
          </w14:textOutline>
        </w:rPr>
        <w:t>5  环境影响预测与评价</w:t>
      </w:r>
    </w:p>
    <w:p>
      <w:pPr>
        <w:keepNext w:val="0"/>
        <w:keepLines w:val="0"/>
        <w:pageBreakBefore w:val="0"/>
        <w:widowControl/>
        <w:kinsoku w:val="0"/>
        <w:wordWrap/>
        <w:overflowPunct/>
        <w:topLinePunct w:val="0"/>
        <w:autoSpaceDE w:val="0"/>
        <w:autoSpaceDN w:val="0"/>
        <w:bidi w:val="0"/>
        <w:adjustRightInd w:val="0"/>
        <w:snapToGrid w:val="0"/>
        <w:spacing w:before="160" w:line="221" w:lineRule="auto"/>
        <w:ind w:left="51"/>
        <w:textAlignment w:val="baseline"/>
        <w:outlineLvl w:val="1"/>
        <w:rPr>
          <w:rFonts w:hint="default" w:ascii="Times New Roman" w:hAnsi="Times New Roman" w:eastAsia="宋体" w:cs="Times New Roman"/>
          <w:sz w:val="28"/>
          <w:szCs w:val="28"/>
          <w:highlight w:val="none"/>
        </w:rPr>
      </w:pPr>
      <w:bookmarkStart w:id="415" w:name="_Toc21782"/>
      <w:bookmarkStart w:id="416" w:name="_Toc17508"/>
      <w:bookmarkStart w:id="417" w:name="_Toc21948"/>
      <w:r>
        <w:rPr>
          <w:rFonts w:hint="default" w:ascii="Times New Roman" w:hAnsi="Times New Roman" w:eastAsia="Times New Roman" w:cs="Times New Roman"/>
          <w:b/>
          <w:bCs/>
          <w:spacing w:val="-1"/>
          <w:sz w:val="28"/>
          <w:szCs w:val="28"/>
          <w:highlight w:val="none"/>
        </w:rPr>
        <w:t>5</w:t>
      </w:r>
      <w:r>
        <w:rPr>
          <w:rFonts w:hint="default" w:ascii="Times New Roman" w:hAnsi="Times New Roman" w:eastAsia="Times New Roman" w:cs="Times New Roman"/>
          <w:b/>
          <w:bCs/>
          <w:sz w:val="28"/>
          <w:szCs w:val="28"/>
          <w:highlight w:val="none"/>
        </w:rPr>
        <w:t>.1</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施工期环境影响分析</w:t>
      </w:r>
      <w:bookmarkEnd w:id="415"/>
      <w:bookmarkEnd w:id="416"/>
      <w:bookmarkEnd w:id="417"/>
    </w:p>
    <w:p>
      <w:pPr>
        <w:spacing w:line="275" w:lineRule="auto"/>
        <w:rPr>
          <w:rFonts w:hint="default" w:ascii="Times New Roman" w:hAnsi="Times New Roman" w:cs="Times New Roman"/>
          <w:sz w:val="21"/>
          <w:highlight w:val="none"/>
        </w:rPr>
      </w:pPr>
    </w:p>
    <w:p>
      <w:pPr>
        <w:spacing w:before="75" w:line="405" w:lineRule="auto"/>
        <w:ind w:left="49"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本项</w:t>
      </w:r>
      <w:r>
        <w:rPr>
          <w:rFonts w:hint="default" w:ascii="Times New Roman" w:hAnsi="Times New Roman" w:eastAsia="宋体" w:cs="Times New Roman"/>
          <w:spacing w:val="6"/>
          <w:sz w:val="23"/>
          <w:szCs w:val="23"/>
          <w:highlight w:val="none"/>
        </w:rPr>
        <w:t>目</w:t>
      </w:r>
      <w:r>
        <w:rPr>
          <w:rFonts w:hint="eastAsia" w:ascii="Times New Roman" w:hAnsi="Times New Roman" w:eastAsia="宋体" w:cs="Times New Roman"/>
          <w:spacing w:val="6"/>
          <w:sz w:val="23"/>
          <w:szCs w:val="23"/>
          <w:highlight w:val="none"/>
          <w:lang w:val="en-US" w:eastAsia="zh-CN"/>
        </w:rPr>
        <w:t>仅新建1座生产车间，</w:t>
      </w:r>
      <w:r>
        <w:rPr>
          <w:rFonts w:hint="default" w:ascii="Times New Roman" w:hAnsi="Times New Roman" w:eastAsia="宋体" w:cs="Times New Roman"/>
          <w:spacing w:val="6"/>
          <w:sz w:val="23"/>
          <w:szCs w:val="23"/>
          <w:highlight w:val="none"/>
        </w:rPr>
        <w:t>施工期</w:t>
      </w:r>
      <w:r>
        <w:rPr>
          <w:rFonts w:hint="eastAsia" w:ascii="Times New Roman" w:hAnsi="Times New Roman" w:eastAsia="宋体" w:cs="Times New Roman"/>
          <w:spacing w:val="6"/>
          <w:sz w:val="23"/>
          <w:szCs w:val="23"/>
          <w:highlight w:val="none"/>
          <w:lang w:val="en-US" w:eastAsia="zh-CN"/>
        </w:rPr>
        <w:t>较短，</w:t>
      </w:r>
      <w:r>
        <w:rPr>
          <w:rFonts w:hint="default" w:ascii="Times New Roman" w:hAnsi="Times New Roman" w:eastAsia="宋体" w:cs="Times New Roman"/>
          <w:spacing w:val="6"/>
          <w:sz w:val="23"/>
          <w:szCs w:val="23"/>
          <w:highlight w:val="none"/>
        </w:rPr>
        <w:t>施工内容主要包括</w:t>
      </w:r>
      <w:r>
        <w:rPr>
          <w:rFonts w:hint="default" w:ascii="Times New Roman" w:hAnsi="Times New Roman" w:eastAsia="宋体" w:cs="Times New Roman"/>
          <w:spacing w:val="7"/>
          <w:sz w:val="23"/>
          <w:szCs w:val="23"/>
          <w:highlight w:val="none"/>
        </w:rPr>
        <w:t>场地平整</w:t>
      </w:r>
      <w:r>
        <w:rPr>
          <w:rFonts w:hint="eastAsia" w:ascii="Times New Roman" w:hAnsi="Times New Roman" w:eastAsia="宋体" w:cs="Times New Roman"/>
          <w:spacing w:val="7"/>
          <w:sz w:val="23"/>
          <w:szCs w:val="23"/>
          <w:highlight w:val="none"/>
          <w:lang w:eastAsia="zh-CN"/>
        </w:rPr>
        <w:t>、</w:t>
      </w:r>
      <w:r>
        <w:rPr>
          <w:rFonts w:hint="default" w:ascii="Times New Roman" w:hAnsi="Times New Roman" w:eastAsia="宋体" w:cs="Times New Roman"/>
          <w:spacing w:val="10"/>
          <w:sz w:val="23"/>
          <w:szCs w:val="23"/>
          <w:highlight w:val="none"/>
        </w:rPr>
        <w:t>钢</w:t>
      </w:r>
      <w:r>
        <w:rPr>
          <w:rFonts w:hint="default" w:ascii="Times New Roman" w:hAnsi="Times New Roman" w:eastAsia="宋体" w:cs="Times New Roman"/>
          <w:spacing w:val="7"/>
          <w:sz w:val="23"/>
          <w:szCs w:val="23"/>
          <w:highlight w:val="none"/>
        </w:rPr>
        <w:t>结构生产车间建设</w:t>
      </w:r>
      <w:r>
        <w:rPr>
          <w:rFonts w:hint="eastAsia" w:ascii="Times New Roman" w:hAnsi="Times New Roman" w:eastAsia="宋体" w:cs="Times New Roman"/>
          <w:spacing w:val="7"/>
          <w:sz w:val="23"/>
          <w:szCs w:val="23"/>
          <w:highlight w:val="none"/>
          <w:lang w:eastAsia="zh-CN"/>
        </w:rPr>
        <w:t>、</w:t>
      </w:r>
      <w:r>
        <w:rPr>
          <w:rFonts w:hint="eastAsia" w:ascii="Times New Roman" w:hAnsi="Times New Roman" w:eastAsia="宋体" w:cs="Times New Roman"/>
          <w:spacing w:val="7"/>
          <w:sz w:val="23"/>
          <w:szCs w:val="23"/>
          <w:highlight w:val="none"/>
          <w:lang w:val="en-US" w:eastAsia="zh-CN"/>
        </w:rPr>
        <w:t>设备安装</w:t>
      </w:r>
      <w:r>
        <w:rPr>
          <w:rFonts w:hint="default" w:ascii="Times New Roman" w:hAnsi="Times New Roman" w:eastAsia="宋体" w:cs="Times New Roman"/>
          <w:spacing w:val="7"/>
          <w:sz w:val="23"/>
          <w:szCs w:val="23"/>
          <w:highlight w:val="none"/>
        </w:rPr>
        <w:t>等，在此期间将产生施工扬尘、废水、噪声和建筑垃圾等，此外，物料运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输</w:t>
      </w:r>
      <w:r>
        <w:rPr>
          <w:rFonts w:hint="default" w:ascii="Times New Roman" w:hAnsi="Times New Roman" w:eastAsia="宋体" w:cs="Times New Roman"/>
          <w:spacing w:val="7"/>
          <w:sz w:val="23"/>
          <w:szCs w:val="23"/>
          <w:highlight w:val="none"/>
        </w:rPr>
        <w:t>也将对运输路线两侧一定范围内大气、声环境产生不利影响。本评价对施工期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环境影响分析如下：</w:t>
      </w:r>
    </w:p>
    <w:p>
      <w:pPr>
        <w:spacing w:before="136" w:line="229" w:lineRule="auto"/>
        <w:ind w:left="50"/>
        <w:outlineLvl w:val="1"/>
        <w:rPr>
          <w:rFonts w:hint="default" w:ascii="Times New Roman" w:hAnsi="Times New Roman" w:eastAsia="宋体" w:cs="Times New Roman"/>
          <w:sz w:val="23"/>
          <w:szCs w:val="23"/>
          <w:highlight w:val="none"/>
        </w:rPr>
      </w:pPr>
      <w:bookmarkStart w:id="418" w:name="_Toc32518"/>
      <w:bookmarkStart w:id="419" w:name="_Toc11115"/>
      <w:bookmarkStart w:id="420" w:name="_Toc13216"/>
      <w:r>
        <w:rPr>
          <w:rFonts w:hint="default" w:ascii="Times New Roman" w:hAnsi="Times New Roman" w:eastAsia="Times New Roman" w:cs="Times New Roman"/>
          <w:b/>
          <w:bCs/>
          <w:spacing w:val="9"/>
          <w:sz w:val="23"/>
          <w:szCs w:val="23"/>
          <w:highlight w:val="none"/>
        </w:rPr>
        <w:t>5</w:t>
      </w:r>
      <w:r>
        <w:rPr>
          <w:rFonts w:hint="default" w:ascii="Times New Roman" w:hAnsi="Times New Roman" w:eastAsia="Times New Roman" w:cs="Times New Roman"/>
          <w:b/>
          <w:bCs/>
          <w:spacing w:val="7"/>
          <w:sz w:val="23"/>
          <w:szCs w:val="23"/>
          <w:highlight w:val="none"/>
        </w:rPr>
        <w:t>.1.1</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施工期扬尘影响分析</w:t>
      </w:r>
      <w:bookmarkEnd w:id="418"/>
      <w:bookmarkEnd w:id="419"/>
      <w:bookmarkEnd w:id="420"/>
    </w:p>
    <w:p>
      <w:pPr>
        <w:spacing w:line="293" w:lineRule="auto"/>
        <w:rPr>
          <w:rFonts w:hint="default" w:ascii="Times New Roman" w:hAnsi="Times New Roman" w:cs="Times New Roman"/>
          <w:sz w:val="21"/>
          <w:highlight w:val="none"/>
        </w:rPr>
      </w:pPr>
    </w:p>
    <w:p>
      <w:pPr>
        <w:spacing w:before="75" w:line="230" w:lineRule="auto"/>
        <w:ind w:left="543"/>
        <w:outlineLvl w:val="2"/>
        <w:rPr>
          <w:rFonts w:hint="default" w:ascii="Times New Roman" w:hAnsi="Times New Roman" w:eastAsia="宋体" w:cs="Times New Roman"/>
          <w:sz w:val="23"/>
          <w:szCs w:val="23"/>
          <w:highlight w:val="none"/>
        </w:rPr>
      </w:pPr>
      <w:bookmarkStart w:id="421" w:name="_Toc15424"/>
      <w:bookmarkStart w:id="422" w:name="_Toc32692"/>
      <w:bookmarkStart w:id="423" w:name="_Toc22473"/>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1</w:t>
      </w:r>
      <w:r>
        <w:rPr>
          <w:rFonts w:hint="default" w:ascii="Times New Roman" w:hAnsi="Times New Roman" w:eastAsia="宋体" w:cs="Times New Roman"/>
          <w:spacing w:val="20"/>
          <w:sz w:val="23"/>
          <w:szCs w:val="23"/>
          <w:highlight w:val="none"/>
        </w:rPr>
        <w:t>) 施工扬</w:t>
      </w:r>
      <w:r>
        <w:rPr>
          <w:rFonts w:hint="default" w:ascii="Times New Roman" w:hAnsi="Times New Roman" w:eastAsia="宋体" w:cs="Times New Roman"/>
          <w:spacing w:val="19"/>
          <w:sz w:val="23"/>
          <w:szCs w:val="23"/>
          <w:highlight w:val="none"/>
        </w:rPr>
        <w:t>尘</w:t>
      </w:r>
      <w:bookmarkEnd w:id="421"/>
      <w:bookmarkEnd w:id="422"/>
      <w:bookmarkEnd w:id="423"/>
    </w:p>
    <w:p>
      <w:pPr>
        <w:spacing w:before="211" w:line="402" w:lineRule="auto"/>
        <w:ind w:left="54"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本</w:t>
      </w:r>
      <w:r>
        <w:rPr>
          <w:rFonts w:hint="default" w:ascii="Times New Roman" w:hAnsi="Times New Roman" w:eastAsia="宋体" w:cs="Times New Roman"/>
          <w:spacing w:val="15"/>
          <w:sz w:val="23"/>
          <w:szCs w:val="23"/>
          <w:highlight w:val="none"/>
        </w:rPr>
        <w:t>项</w:t>
      </w:r>
      <w:r>
        <w:rPr>
          <w:rFonts w:hint="default" w:ascii="Times New Roman" w:hAnsi="Times New Roman" w:eastAsia="宋体" w:cs="Times New Roman"/>
          <w:spacing w:val="8"/>
          <w:sz w:val="23"/>
          <w:szCs w:val="23"/>
          <w:highlight w:val="none"/>
        </w:rPr>
        <w:t>目施工期扬尘主要为场址土地平整过程产生的扬尘，及施工弃土堆存、</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建</w:t>
      </w:r>
      <w:r>
        <w:rPr>
          <w:rFonts w:hint="default" w:ascii="Times New Roman" w:hAnsi="Times New Roman" w:eastAsia="宋体" w:cs="Times New Roman"/>
          <w:spacing w:val="8"/>
          <w:sz w:val="23"/>
          <w:szCs w:val="23"/>
          <w:highlight w:val="none"/>
        </w:rPr>
        <w:t>材及土石方运输等产生的扬尘。</w:t>
      </w:r>
    </w:p>
    <w:p>
      <w:pPr>
        <w:spacing w:line="401" w:lineRule="auto"/>
        <w:ind w:left="55" w:right="53" w:firstLine="47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土方的堆存、回填，水泥砂石等建筑材料运输、装卸、堆存，在有风天气</w:t>
      </w:r>
      <w:r>
        <w:rPr>
          <w:rFonts w:hint="default" w:ascii="Times New Roman" w:hAnsi="Times New Roman" w:eastAsia="宋体" w:cs="Times New Roman"/>
          <w:spacing w:val="2"/>
          <w:sz w:val="23"/>
          <w:szCs w:val="23"/>
          <w:highlight w:val="none"/>
        </w:rPr>
        <w:t>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易产生一定的扬尘。同时运输车辆进出工地，车辆轮胎不可避免地将工地的泥</w:t>
      </w:r>
      <w:r>
        <w:rPr>
          <w:rFonts w:hint="default" w:ascii="Times New Roman" w:hAnsi="Times New Roman" w:eastAsia="宋体" w:cs="Times New Roman"/>
          <w:spacing w:val="5"/>
          <w:sz w:val="23"/>
          <w:szCs w:val="23"/>
          <w:highlight w:val="none"/>
        </w:rPr>
        <w:t>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带出，遗洒在车辆经过的路面，在其它车辆通过时产生二次扬尘。以上扬尘将</w:t>
      </w:r>
      <w:r>
        <w:rPr>
          <w:rFonts w:hint="default" w:ascii="Times New Roman" w:hAnsi="Times New Roman" w:eastAsia="宋体" w:cs="Times New Roman"/>
          <w:spacing w:val="5"/>
          <w:sz w:val="23"/>
          <w:szCs w:val="23"/>
          <w:highlight w:val="none"/>
        </w:rPr>
        <w:t>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随整个施工过程，是施工扬尘重点防治对象</w:t>
      </w:r>
      <w:r>
        <w:rPr>
          <w:rFonts w:hint="default" w:ascii="Times New Roman" w:hAnsi="Times New Roman" w:eastAsia="宋体" w:cs="Times New Roman"/>
          <w:spacing w:val="5"/>
          <w:sz w:val="23"/>
          <w:szCs w:val="23"/>
          <w:highlight w:val="none"/>
        </w:rPr>
        <w:t>。</w:t>
      </w:r>
    </w:p>
    <w:p>
      <w:pPr>
        <w:spacing w:before="1" w:line="228" w:lineRule="auto"/>
        <w:ind w:left="543"/>
        <w:outlineLvl w:val="2"/>
        <w:rPr>
          <w:rFonts w:hint="default" w:ascii="Times New Roman" w:hAnsi="Times New Roman" w:eastAsia="宋体" w:cs="Times New Roman"/>
          <w:sz w:val="23"/>
          <w:szCs w:val="23"/>
          <w:highlight w:val="none"/>
        </w:rPr>
      </w:pPr>
      <w:bookmarkStart w:id="424" w:name="_Toc26917"/>
      <w:bookmarkStart w:id="425" w:name="_Toc140"/>
      <w:bookmarkStart w:id="426" w:name="_Toc12577"/>
      <w:r>
        <w:rPr>
          <w:rFonts w:hint="default" w:ascii="Times New Roman" w:hAnsi="Times New Roman" w:eastAsia="宋体" w:cs="Times New Roman"/>
          <w:spacing w:val="18"/>
          <w:sz w:val="23"/>
          <w:szCs w:val="23"/>
          <w:highlight w:val="none"/>
        </w:rPr>
        <w:t>(</w:t>
      </w:r>
      <w:r>
        <w:rPr>
          <w:rFonts w:hint="default" w:ascii="Times New Roman" w:hAnsi="Times New Roman" w:eastAsia="Times New Roman" w:cs="Times New Roman"/>
          <w:spacing w:val="18"/>
          <w:sz w:val="23"/>
          <w:szCs w:val="23"/>
          <w:highlight w:val="none"/>
        </w:rPr>
        <w:t>2</w:t>
      </w:r>
      <w:r>
        <w:rPr>
          <w:rFonts w:hint="default" w:ascii="Times New Roman" w:hAnsi="Times New Roman" w:eastAsia="宋体" w:cs="Times New Roman"/>
          <w:spacing w:val="18"/>
          <w:sz w:val="23"/>
          <w:szCs w:val="23"/>
          <w:highlight w:val="none"/>
        </w:rPr>
        <w:t>) 环境影响分</w:t>
      </w:r>
      <w:r>
        <w:rPr>
          <w:rFonts w:hint="default" w:ascii="Times New Roman" w:hAnsi="Times New Roman" w:eastAsia="宋体" w:cs="Times New Roman"/>
          <w:spacing w:val="17"/>
          <w:sz w:val="23"/>
          <w:szCs w:val="23"/>
          <w:highlight w:val="none"/>
        </w:rPr>
        <w:t>析</w:t>
      </w:r>
      <w:bookmarkEnd w:id="424"/>
      <w:bookmarkEnd w:id="425"/>
      <w:bookmarkEnd w:id="426"/>
    </w:p>
    <w:p>
      <w:pPr>
        <w:spacing w:before="216" w:line="401" w:lineRule="auto"/>
        <w:ind w:left="50" w:right="53"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施工期的扬尘产生量与施工现场条件、管理水平、机械化程度以及气象条</w:t>
      </w:r>
      <w:r>
        <w:rPr>
          <w:rFonts w:hint="default" w:ascii="Times New Roman" w:hAnsi="Times New Roman" w:eastAsia="宋体" w:cs="Times New Roman"/>
          <w:spacing w:val="3"/>
          <w:sz w:val="23"/>
          <w:szCs w:val="23"/>
          <w:highlight w:val="none"/>
        </w:rPr>
        <w:t>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等</w:t>
      </w:r>
      <w:r>
        <w:rPr>
          <w:rFonts w:hint="default" w:ascii="Times New Roman" w:hAnsi="Times New Roman" w:eastAsia="宋体" w:cs="Times New Roman"/>
          <w:spacing w:val="7"/>
          <w:sz w:val="23"/>
          <w:szCs w:val="23"/>
          <w:highlight w:val="none"/>
        </w:rPr>
        <w:t>诸多因素有关，是一个复杂的难以定量的问题。本评价类比有关单位进行的现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场</w:t>
      </w:r>
      <w:r>
        <w:rPr>
          <w:rFonts w:hint="default" w:ascii="Times New Roman" w:hAnsi="Times New Roman" w:eastAsia="宋体" w:cs="Times New Roman"/>
          <w:spacing w:val="7"/>
          <w:sz w:val="23"/>
          <w:szCs w:val="23"/>
          <w:highlight w:val="none"/>
        </w:rPr>
        <w:t>实测资料进行综合分析。北京市环科院曾对多个建筑施工工地的扬尘污染影响</w:t>
      </w:r>
    </w:p>
    <w:p>
      <w:pPr>
        <w:spacing w:before="1" w:line="228" w:lineRule="auto"/>
        <w:ind w:left="4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 xml:space="preserve">进行了监测，监测结果见表 </w:t>
      </w:r>
      <w:r>
        <w:rPr>
          <w:rFonts w:hint="default" w:ascii="Times New Roman" w:hAnsi="Times New Roman" w:eastAsia="Times New Roman" w:cs="Times New Roman"/>
          <w:spacing w:val="-2"/>
          <w:sz w:val="23"/>
          <w:szCs w:val="23"/>
          <w:highlight w:val="none"/>
        </w:rPr>
        <w:t>5. 1</w:t>
      </w:r>
      <w:r>
        <w:rPr>
          <w:rFonts w:hint="default" w:ascii="Times New Roman" w:hAnsi="Times New Roman" w:eastAsia="Times New Roman" w:cs="Times New Roman"/>
          <w:spacing w:val="-1"/>
          <w:sz w:val="23"/>
          <w:szCs w:val="23"/>
          <w:highlight w:val="none"/>
        </w:rPr>
        <w:t>- 1</w:t>
      </w:r>
      <w:r>
        <w:rPr>
          <w:rFonts w:hint="default" w:ascii="Times New Roman" w:hAnsi="Times New Roman" w:eastAsia="宋体" w:cs="Times New Roman"/>
          <w:spacing w:val="-1"/>
          <w:sz w:val="23"/>
          <w:szCs w:val="23"/>
          <w:highlight w:val="none"/>
        </w:rPr>
        <w:t>。</w:t>
      </w:r>
    </w:p>
    <w:p>
      <w:pPr>
        <w:spacing w:before="174" w:line="319" w:lineRule="exact"/>
        <w:ind w:left="314"/>
        <w:rPr>
          <w:rFonts w:hint="default" w:ascii="Times New Roman" w:hAnsi="Times New Roman" w:eastAsia="Times New Roman" w:cs="Times New Roman"/>
          <w:sz w:val="15"/>
          <w:szCs w:val="15"/>
          <w:highlight w:val="none"/>
        </w:rPr>
      </w:pPr>
      <w:r>
        <w:rPr>
          <w:rFonts w:hint="default" w:ascii="Times New Roman" w:hAnsi="Times New Roman" w:eastAsia="宋体" w:cs="Times New Roman"/>
          <w:spacing w:val="10"/>
          <w:position w:val="3"/>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10"/>
          <w:position w:val="3"/>
          <w:sz w:val="23"/>
          <w:szCs w:val="23"/>
          <w:highlight w:val="none"/>
        </w:rPr>
        <w:t xml:space="preserve"> </w:t>
      </w:r>
      <w:r>
        <w:rPr>
          <w:rFonts w:hint="default" w:ascii="Times New Roman" w:hAnsi="Times New Roman" w:eastAsia="Times New Roman" w:cs="Times New Roman"/>
          <w:b/>
          <w:bCs/>
          <w:spacing w:val="9"/>
          <w:position w:val="3"/>
          <w:sz w:val="23"/>
          <w:szCs w:val="23"/>
          <w:highlight w:val="none"/>
        </w:rPr>
        <w:t>5</w:t>
      </w:r>
      <w:r>
        <w:rPr>
          <w:rFonts w:hint="default" w:ascii="Times New Roman" w:hAnsi="Times New Roman" w:eastAsia="Times New Roman" w:cs="Times New Roman"/>
          <w:b/>
          <w:bCs/>
          <w:spacing w:val="5"/>
          <w:position w:val="3"/>
          <w:sz w:val="23"/>
          <w:szCs w:val="23"/>
          <w:highlight w:val="none"/>
        </w:rPr>
        <w:t>.1-1</w:t>
      </w:r>
      <w:r>
        <w:rPr>
          <w:rFonts w:hint="default" w:ascii="Times New Roman" w:hAnsi="Times New Roman" w:eastAsia="Times New Roman" w:cs="Times New Roman"/>
          <w:spacing w:val="5"/>
          <w:position w:val="3"/>
          <w:sz w:val="23"/>
          <w:szCs w:val="23"/>
          <w:highlight w:val="none"/>
        </w:rPr>
        <w:t xml:space="preserve">    </w:t>
      </w:r>
      <w:r>
        <w:rPr>
          <w:rFonts w:hint="default" w:ascii="Times New Roman" w:hAnsi="Times New Roman" w:eastAsia="宋体" w:cs="Times New Roman"/>
          <w:spacing w:val="5"/>
          <w:position w:val="3"/>
          <w:sz w:val="23"/>
          <w:szCs w:val="23"/>
          <w:highlight w:val="none"/>
          <w14:textOutline w14:w="4358" w14:cap="sq" w14:cmpd="sng">
            <w14:solidFill>
              <w14:srgbClr w14:val="000000"/>
            </w14:solidFill>
            <w14:prstDash w14:val="solid"/>
            <w14:bevel/>
          </w14:textOutline>
        </w:rPr>
        <w:t>建筑施工工地扬尘污染</w:t>
      </w:r>
      <w:r>
        <w:rPr>
          <w:rFonts w:hint="default" w:ascii="Times New Roman" w:hAnsi="Times New Roman" w:eastAsia="宋体" w:cs="Times New Roman"/>
          <w:spacing w:val="5"/>
          <w:position w:val="3"/>
          <w:sz w:val="23"/>
          <w:szCs w:val="23"/>
          <w:highlight w:val="none"/>
        </w:rPr>
        <w:t xml:space="preserve"> </w:t>
      </w:r>
      <w:r>
        <w:rPr>
          <w:rFonts w:hint="default" w:ascii="Times New Roman" w:hAnsi="Times New Roman" w:eastAsia="Times New Roman" w:cs="Times New Roman"/>
          <w:b/>
          <w:bCs/>
          <w:position w:val="3"/>
          <w:sz w:val="23"/>
          <w:szCs w:val="23"/>
          <w:highlight w:val="none"/>
        </w:rPr>
        <w:t>TSP</w:t>
      </w:r>
      <w:r>
        <w:rPr>
          <w:rFonts w:hint="default" w:ascii="Times New Roman" w:hAnsi="Times New Roman" w:eastAsia="Times New Roman" w:cs="Times New Roman"/>
          <w:spacing w:val="5"/>
          <w:position w:val="3"/>
          <w:sz w:val="23"/>
          <w:szCs w:val="23"/>
          <w:highlight w:val="none"/>
        </w:rPr>
        <w:t xml:space="preserve"> </w:t>
      </w:r>
      <w:r>
        <w:rPr>
          <w:rFonts w:hint="default" w:ascii="Times New Roman" w:hAnsi="Times New Roman" w:eastAsia="宋体" w:cs="Times New Roman"/>
          <w:spacing w:val="5"/>
          <w:position w:val="3"/>
          <w:sz w:val="23"/>
          <w:szCs w:val="23"/>
          <w:highlight w:val="none"/>
          <w14:textOutline w14:w="4358" w14:cap="sq" w14:cmpd="sng">
            <w14:solidFill>
              <w14:srgbClr w14:val="000000"/>
            </w14:solidFill>
            <w14:prstDash w14:val="solid"/>
            <w14:bevel/>
          </w14:textOutline>
        </w:rPr>
        <w:t>监测结果一览表</w:t>
      </w:r>
      <w:r>
        <w:rPr>
          <w:rFonts w:hint="default" w:ascii="Times New Roman" w:hAnsi="Times New Roman" w:eastAsia="宋体" w:cs="Times New Roman"/>
          <w:spacing w:val="5"/>
          <w:position w:val="3"/>
          <w:sz w:val="23"/>
          <w:szCs w:val="23"/>
          <w:highlight w:val="none"/>
        </w:rPr>
        <w:t xml:space="preserve">      </w:t>
      </w:r>
      <w:r>
        <w:rPr>
          <w:rFonts w:hint="default" w:ascii="Times New Roman" w:hAnsi="Times New Roman" w:eastAsia="宋体" w:cs="Times New Roman"/>
          <w:spacing w:val="5"/>
          <w:position w:val="3"/>
          <w:sz w:val="23"/>
          <w:szCs w:val="23"/>
          <w:highlight w:val="none"/>
          <w14:textOutline w14:w="4358" w14:cap="sq" w14:cmpd="sng">
            <w14:solidFill>
              <w14:srgbClr w14:val="000000"/>
            </w14:solidFill>
            <w14:prstDash w14:val="solid"/>
            <w14:bevel/>
          </w14:textOutline>
        </w:rPr>
        <w:t>单位：</w:t>
      </w:r>
      <w:r>
        <w:rPr>
          <w:rFonts w:hint="default" w:ascii="Times New Roman" w:hAnsi="Times New Roman" w:eastAsia="Times New Roman" w:cs="Times New Roman"/>
          <w:b/>
          <w:bCs/>
          <w:position w:val="3"/>
          <w:sz w:val="23"/>
          <w:szCs w:val="23"/>
          <w:highlight w:val="none"/>
        </w:rPr>
        <w:t>mg</w:t>
      </w:r>
      <w:r>
        <w:rPr>
          <w:rFonts w:hint="default" w:ascii="Times New Roman" w:hAnsi="Times New Roman" w:eastAsia="Times New Roman" w:cs="Times New Roman"/>
          <w:b/>
          <w:bCs/>
          <w:spacing w:val="5"/>
          <w:position w:val="3"/>
          <w:sz w:val="23"/>
          <w:szCs w:val="23"/>
          <w:highlight w:val="none"/>
        </w:rPr>
        <w:t>/</w:t>
      </w:r>
      <w:r>
        <w:rPr>
          <w:rFonts w:hint="default" w:ascii="Times New Roman" w:hAnsi="Times New Roman" w:eastAsia="Times New Roman" w:cs="Times New Roman"/>
          <w:b/>
          <w:bCs/>
          <w:position w:val="3"/>
          <w:sz w:val="23"/>
          <w:szCs w:val="23"/>
          <w:highlight w:val="none"/>
        </w:rPr>
        <w:t>m</w:t>
      </w:r>
      <w:r>
        <w:rPr>
          <w:rFonts w:hint="default" w:ascii="Times New Roman" w:hAnsi="Times New Roman" w:eastAsia="Times New Roman" w:cs="Times New Roman"/>
          <w:b/>
          <w:bCs/>
          <w:spacing w:val="5"/>
          <w:position w:val="11"/>
          <w:sz w:val="15"/>
          <w:szCs w:val="15"/>
          <w:highlight w:val="none"/>
        </w:rPr>
        <w:t>3</w:t>
      </w:r>
    </w:p>
    <w:p>
      <w:pPr>
        <w:spacing w:line="28" w:lineRule="exact"/>
        <w:rPr>
          <w:rFonts w:hint="default" w:ascii="Times New Roman" w:hAnsi="Times New Roman" w:cs="Times New Roman"/>
          <w:highlight w:val="none"/>
        </w:rPr>
      </w:pPr>
    </w:p>
    <w:tbl>
      <w:tblPr>
        <w:tblStyle w:val="19"/>
        <w:tblW w:w="836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18"/>
        <w:gridCol w:w="917"/>
        <w:gridCol w:w="1478"/>
        <w:gridCol w:w="707"/>
        <w:gridCol w:w="715"/>
        <w:gridCol w:w="717"/>
        <w:gridCol w:w="12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618" w:type="dxa"/>
            <w:vMerge w:val="restart"/>
            <w:tcBorders>
              <w:left w:val="single" w:color="000000" w:sz="10" w:space="0"/>
              <w:bottom w:val="nil"/>
              <w:right w:val="single" w:color="000000" w:sz="4" w:space="0"/>
            </w:tcBorders>
            <w:vAlign w:val="top"/>
          </w:tcPr>
          <w:p>
            <w:pPr>
              <w:spacing w:before="268" w:line="231" w:lineRule="auto"/>
              <w:ind w:left="88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工</w:t>
            </w:r>
            <w:r>
              <w:rPr>
                <w:rFonts w:hint="default" w:ascii="Times New Roman" w:hAnsi="Times New Roman" w:eastAsia="宋体" w:cs="Times New Roman"/>
                <w:spacing w:val="6"/>
                <w:sz w:val="20"/>
                <w:szCs w:val="20"/>
                <w:highlight w:val="none"/>
              </w:rPr>
              <w:t>地名称</w:t>
            </w:r>
          </w:p>
        </w:tc>
        <w:tc>
          <w:tcPr>
            <w:tcW w:w="917" w:type="dxa"/>
            <w:vMerge w:val="restart"/>
            <w:tcBorders>
              <w:left w:val="single" w:color="000000" w:sz="4" w:space="0"/>
              <w:bottom w:val="nil"/>
              <w:right w:val="single" w:color="000000" w:sz="4" w:space="0"/>
            </w:tcBorders>
            <w:vAlign w:val="top"/>
          </w:tcPr>
          <w:p>
            <w:pPr>
              <w:spacing w:before="269" w:line="228" w:lineRule="auto"/>
              <w:ind w:left="14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工地内</w:t>
            </w:r>
          </w:p>
        </w:tc>
        <w:tc>
          <w:tcPr>
            <w:tcW w:w="1478" w:type="dxa"/>
            <w:vMerge w:val="restart"/>
            <w:tcBorders>
              <w:left w:val="single" w:color="000000" w:sz="4" w:space="0"/>
              <w:bottom w:val="nil"/>
              <w:right w:val="single" w:color="000000" w:sz="4" w:space="0"/>
            </w:tcBorders>
            <w:vAlign w:val="top"/>
          </w:tcPr>
          <w:p>
            <w:pPr>
              <w:spacing w:before="109" w:line="265" w:lineRule="auto"/>
              <w:ind w:left="557" w:right="209" w:hanging="337"/>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0"/>
                <w:sz w:val="20"/>
                <w:szCs w:val="20"/>
                <w:highlight w:val="none"/>
              </w:rPr>
              <w:t>工</w:t>
            </w:r>
            <w:r>
              <w:rPr>
                <w:rFonts w:hint="default" w:ascii="Times New Roman" w:hAnsi="Times New Roman" w:eastAsia="宋体" w:cs="Times New Roman"/>
                <w:spacing w:val="7"/>
                <w:sz w:val="20"/>
                <w:szCs w:val="20"/>
                <w:highlight w:val="none"/>
              </w:rPr>
              <w:t>地上风向</w:t>
            </w: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spacing w:val="4"/>
                <w:sz w:val="20"/>
                <w:szCs w:val="20"/>
                <w:highlight w:val="none"/>
              </w:rPr>
              <w:t>5</w:t>
            </w:r>
            <w:r>
              <w:rPr>
                <w:rFonts w:hint="default" w:ascii="Times New Roman" w:hAnsi="Times New Roman" w:eastAsia="Times New Roman" w:cs="Times New Roman"/>
                <w:spacing w:val="3"/>
                <w:sz w:val="20"/>
                <w:szCs w:val="20"/>
                <w:highlight w:val="none"/>
              </w:rPr>
              <w:t>0</w:t>
            </w:r>
            <w:r>
              <w:rPr>
                <w:rFonts w:hint="default" w:ascii="Times New Roman" w:hAnsi="Times New Roman" w:eastAsia="Times New Roman" w:cs="Times New Roman"/>
                <w:sz w:val="20"/>
                <w:szCs w:val="20"/>
                <w:highlight w:val="none"/>
              </w:rPr>
              <w:t>m</w:t>
            </w:r>
          </w:p>
        </w:tc>
        <w:tc>
          <w:tcPr>
            <w:tcW w:w="2139" w:type="dxa"/>
            <w:gridSpan w:val="3"/>
            <w:tcBorders>
              <w:left w:val="single" w:color="000000" w:sz="4" w:space="0"/>
              <w:right w:val="single" w:color="000000" w:sz="4" w:space="0"/>
            </w:tcBorders>
            <w:vAlign w:val="top"/>
          </w:tcPr>
          <w:p>
            <w:pPr>
              <w:spacing w:before="101" w:line="229" w:lineRule="auto"/>
              <w:ind w:left="5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工</w:t>
            </w:r>
            <w:r>
              <w:rPr>
                <w:rFonts w:hint="default" w:ascii="Times New Roman" w:hAnsi="Times New Roman" w:eastAsia="宋体" w:cs="Times New Roman"/>
                <w:spacing w:val="7"/>
                <w:sz w:val="20"/>
                <w:szCs w:val="20"/>
                <w:highlight w:val="none"/>
              </w:rPr>
              <w:t>地下风向</w:t>
            </w:r>
          </w:p>
        </w:tc>
        <w:tc>
          <w:tcPr>
            <w:tcW w:w="1213" w:type="dxa"/>
            <w:vMerge w:val="restart"/>
            <w:tcBorders>
              <w:left w:val="single" w:color="000000" w:sz="4" w:space="0"/>
              <w:bottom w:val="nil"/>
              <w:right w:val="single" w:color="000000" w:sz="10" w:space="0"/>
            </w:tcBorders>
            <w:vAlign w:val="top"/>
          </w:tcPr>
          <w:p>
            <w:pPr>
              <w:spacing w:before="269" w:line="230" w:lineRule="auto"/>
              <w:ind w:left="40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618" w:type="dxa"/>
            <w:vMerge w:val="continue"/>
            <w:tcBorders>
              <w:top w:val="nil"/>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917" w:type="dxa"/>
            <w:vMerge w:val="continue"/>
            <w:tcBorders>
              <w:top w:val="nil"/>
              <w:left w:val="single" w:color="000000" w:sz="4" w:space="0"/>
              <w:right w:val="single" w:color="000000" w:sz="4" w:space="0"/>
            </w:tcBorders>
            <w:vAlign w:val="top"/>
          </w:tcPr>
          <w:p>
            <w:pPr>
              <w:rPr>
                <w:rFonts w:hint="default" w:ascii="Times New Roman" w:hAnsi="Times New Roman" w:cs="Times New Roman"/>
                <w:sz w:val="21"/>
                <w:highlight w:val="none"/>
              </w:rPr>
            </w:pPr>
          </w:p>
        </w:tc>
        <w:tc>
          <w:tcPr>
            <w:tcW w:w="1478" w:type="dxa"/>
            <w:vMerge w:val="continue"/>
            <w:tcBorders>
              <w:top w:val="nil"/>
              <w:left w:val="single" w:color="000000" w:sz="4" w:space="0"/>
              <w:right w:val="single" w:color="000000" w:sz="4" w:space="0"/>
            </w:tcBorders>
            <w:vAlign w:val="top"/>
          </w:tcPr>
          <w:p>
            <w:pPr>
              <w:rPr>
                <w:rFonts w:hint="default" w:ascii="Times New Roman" w:hAnsi="Times New Roman" w:cs="Times New Roman"/>
                <w:sz w:val="21"/>
                <w:highlight w:val="none"/>
              </w:rPr>
            </w:pPr>
          </w:p>
        </w:tc>
        <w:tc>
          <w:tcPr>
            <w:tcW w:w="707" w:type="dxa"/>
            <w:tcBorders>
              <w:left w:val="single" w:color="000000" w:sz="4" w:space="0"/>
              <w:right w:val="single" w:color="000000" w:sz="4" w:space="0"/>
            </w:tcBorders>
            <w:vAlign w:val="top"/>
          </w:tcPr>
          <w:p>
            <w:pPr>
              <w:spacing w:before="117"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5</w:t>
            </w:r>
            <w:r>
              <w:rPr>
                <w:rFonts w:hint="default" w:ascii="Times New Roman" w:hAnsi="Times New Roman" w:eastAsia="Times New Roman" w:cs="Times New Roman"/>
                <w:spacing w:val="3"/>
                <w:sz w:val="20"/>
                <w:szCs w:val="20"/>
                <w:highlight w:val="none"/>
              </w:rPr>
              <w:t>0</w:t>
            </w:r>
            <w:r>
              <w:rPr>
                <w:rFonts w:hint="default" w:ascii="Times New Roman" w:hAnsi="Times New Roman" w:eastAsia="Times New Roman" w:cs="Times New Roman"/>
                <w:sz w:val="20"/>
                <w:szCs w:val="20"/>
                <w:highlight w:val="none"/>
              </w:rPr>
              <w:t>m</w:t>
            </w:r>
          </w:p>
        </w:tc>
        <w:tc>
          <w:tcPr>
            <w:tcW w:w="715" w:type="dxa"/>
            <w:tcBorders>
              <w:left w:val="single" w:color="000000" w:sz="4" w:space="0"/>
              <w:right w:val="single" w:color="000000" w:sz="4" w:space="0"/>
            </w:tcBorders>
            <w:vAlign w:val="top"/>
          </w:tcPr>
          <w:p>
            <w:pPr>
              <w:spacing w:before="117" w:line="195" w:lineRule="auto"/>
              <w:ind w:left="14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w:t>
            </w:r>
            <w:r>
              <w:rPr>
                <w:rFonts w:hint="default" w:ascii="Times New Roman" w:hAnsi="Times New Roman" w:eastAsia="Times New Roman" w:cs="Times New Roman"/>
                <w:sz w:val="20"/>
                <w:szCs w:val="20"/>
                <w:highlight w:val="none"/>
              </w:rPr>
              <w:t>00m</w:t>
            </w:r>
          </w:p>
        </w:tc>
        <w:tc>
          <w:tcPr>
            <w:tcW w:w="717" w:type="dxa"/>
            <w:tcBorders>
              <w:left w:val="single" w:color="000000" w:sz="4" w:space="0"/>
              <w:right w:val="single" w:color="000000" w:sz="4" w:space="0"/>
            </w:tcBorders>
            <w:vAlign w:val="top"/>
          </w:tcPr>
          <w:p>
            <w:pPr>
              <w:spacing w:before="117" w:line="195" w:lineRule="auto"/>
              <w:ind w:left="14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w:t>
            </w:r>
            <w:r>
              <w:rPr>
                <w:rFonts w:hint="default" w:ascii="Times New Roman" w:hAnsi="Times New Roman" w:eastAsia="Times New Roman" w:cs="Times New Roman"/>
                <w:sz w:val="20"/>
                <w:szCs w:val="20"/>
                <w:highlight w:val="none"/>
              </w:rPr>
              <w:t>50m</w:t>
            </w:r>
          </w:p>
        </w:tc>
        <w:tc>
          <w:tcPr>
            <w:tcW w:w="1213" w:type="dxa"/>
            <w:vMerge w:val="continue"/>
            <w:tcBorders>
              <w:top w:val="nil"/>
              <w:left w:val="single" w:color="000000" w:sz="4" w:space="0"/>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618" w:type="dxa"/>
            <w:tcBorders>
              <w:left w:val="single" w:color="000000" w:sz="10" w:space="0"/>
              <w:right w:val="single" w:color="000000" w:sz="4" w:space="0"/>
            </w:tcBorders>
            <w:vAlign w:val="top"/>
          </w:tcPr>
          <w:p>
            <w:pPr>
              <w:spacing w:before="81" w:line="228" w:lineRule="auto"/>
              <w:ind w:left="88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侨</w:t>
            </w:r>
            <w:r>
              <w:rPr>
                <w:rFonts w:hint="default" w:ascii="Times New Roman" w:hAnsi="Times New Roman" w:eastAsia="宋体" w:cs="Times New Roman"/>
                <w:spacing w:val="7"/>
                <w:sz w:val="20"/>
                <w:szCs w:val="20"/>
                <w:highlight w:val="none"/>
              </w:rPr>
              <w:t>办工地</w:t>
            </w:r>
          </w:p>
        </w:tc>
        <w:tc>
          <w:tcPr>
            <w:tcW w:w="917" w:type="dxa"/>
            <w:tcBorders>
              <w:left w:val="single" w:color="000000" w:sz="4" w:space="0"/>
              <w:right w:val="single" w:color="000000" w:sz="4" w:space="0"/>
            </w:tcBorders>
            <w:vAlign w:val="top"/>
          </w:tcPr>
          <w:p>
            <w:pPr>
              <w:spacing w:before="117" w:line="195" w:lineRule="auto"/>
              <w:ind w:left="22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.759</w:t>
            </w:r>
          </w:p>
        </w:tc>
        <w:tc>
          <w:tcPr>
            <w:tcW w:w="1478" w:type="dxa"/>
            <w:tcBorders>
              <w:left w:val="single" w:color="000000" w:sz="4" w:space="0"/>
              <w:right w:val="single" w:color="000000" w:sz="4" w:space="0"/>
            </w:tcBorders>
            <w:vAlign w:val="top"/>
          </w:tcPr>
          <w:p>
            <w:pPr>
              <w:spacing w:before="117" w:line="195" w:lineRule="auto"/>
              <w:ind w:left="5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.328</w:t>
            </w:r>
          </w:p>
        </w:tc>
        <w:tc>
          <w:tcPr>
            <w:tcW w:w="707" w:type="dxa"/>
            <w:tcBorders>
              <w:left w:val="single" w:color="000000" w:sz="4" w:space="0"/>
              <w:right w:val="single" w:color="000000" w:sz="4" w:space="0"/>
            </w:tcBorders>
            <w:vAlign w:val="top"/>
          </w:tcPr>
          <w:p>
            <w:pPr>
              <w:spacing w:before="117" w:line="195" w:lineRule="auto"/>
              <w:ind w:left="12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.502</w:t>
            </w:r>
          </w:p>
        </w:tc>
        <w:tc>
          <w:tcPr>
            <w:tcW w:w="715" w:type="dxa"/>
            <w:tcBorders>
              <w:left w:val="single" w:color="000000" w:sz="4" w:space="0"/>
              <w:right w:val="single" w:color="000000" w:sz="4" w:space="0"/>
            </w:tcBorders>
            <w:vAlign w:val="top"/>
          </w:tcPr>
          <w:p>
            <w:pPr>
              <w:spacing w:before="117" w:line="195" w:lineRule="auto"/>
              <w:ind w:left="1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.367</w:t>
            </w:r>
          </w:p>
        </w:tc>
        <w:tc>
          <w:tcPr>
            <w:tcW w:w="717" w:type="dxa"/>
            <w:tcBorders>
              <w:left w:val="single" w:color="000000" w:sz="4" w:space="0"/>
              <w:right w:val="single" w:color="000000" w:sz="4" w:space="0"/>
            </w:tcBorders>
            <w:vAlign w:val="top"/>
          </w:tcPr>
          <w:p>
            <w:pPr>
              <w:spacing w:before="117" w:line="195" w:lineRule="auto"/>
              <w:ind w:left="1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.336</w:t>
            </w:r>
          </w:p>
        </w:tc>
        <w:tc>
          <w:tcPr>
            <w:tcW w:w="1213" w:type="dxa"/>
            <w:vMerge w:val="restart"/>
            <w:tcBorders>
              <w:left w:val="single" w:color="000000" w:sz="4" w:space="0"/>
              <w:bottom w:val="nil"/>
              <w:right w:val="single" w:color="000000" w:sz="10" w:space="0"/>
            </w:tcBorders>
            <w:vAlign w:val="top"/>
          </w:tcPr>
          <w:p>
            <w:pPr>
              <w:spacing w:before="255" w:line="332" w:lineRule="auto"/>
              <w:ind w:left="329" w:right="172" w:hanging="136"/>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9"/>
                <w:sz w:val="20"/>
                <w:szCs w:val="20"/>
                <w:highlight w:val="none"/>
              </w:rPr>
              <w:t>平</w:t>
            </w:r>
            <w:r>
              <w:rPr>
                <w:rFonts w:hint="default" w:ascii="Times New Roman" w:hAnsi="Times New Roman" w:eastAsia="宋体" w:cs="Times New Roman"/>
                <w:spacing w:val="7"/>
                <w:sz w:val="20"/>
                <w:szCs w:val="20"/>
                <w:highlight w:val="none"/>
              </w:rPr>
              <w:t>均风速</w:t>
            </w: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spacing w:val="5"/>
                <w:sz w:val="20"/>
                <w:szCs w:val="20"/>
                <w:highlight w:val="none"/>
              </w:rPr>
              <w:t>2.4</w:t>
            </w:r>
            <w:r>
              <w:rPr>
                <w:rFonts w:hint="default" w:ascii="Times New Roman" w:hAnsi="Times New Roman" w:eastAsia="Times New Roman" w:cs="Times New Roman"/>
                <w:sz w:val="20"/>
                <w:szCs w:val="20"/>
                <w:highlight w:val="none"/>
              </w:rPr>
              <w:t>m</w:t>
            </w:r>
            <w:r>
              <w:rPr>
                <w:rFonts w:hint="default" w:ascii="Times New Roman" w:hAnsi="Times New Roman" w:eastAsia="Times New Roman" w:cs="Times New Roman"/>
                <w:spacing w:val="5"/>
                <w:sz w:val="20"/>
                <w:szCs w:val="20"/>
                <w:highlight w:val="none"/>
              </w:rPr>
              <w:t>/</w:t>
            </w:r>
            <w:r>
              <w:rPr>
                <w:rFonts w:hint="default" w:ascii="Times New Roman" w:hAnsi="Times New Roman" w:eastAsia="Times New Roman" w:cs="Times New Roman"/>
                <w:sz w:val="20"/>
                <w:szCs w:val="20"/>
                <w:highlight w:val="none"/>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2618" w:type="dxa"/>
            <w:tcBorders>
              <w:left w:val="single" w:color="000000" w:sz="10" w:space="0"/>
              <w:right w:val="single" w:color="000000" w:sz="4" w:space="0"/>
            </w:tcBorders>
            <w:vAlign w:val="top"/>
          </w:tcPr>
          <w:p>
            <w:pPr>
              <w:spacing w:before="82" w:line="197" w:lineRule="auto"/>
              <w:ind w:left="36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5"/>
                <w:sz w:val="20"/>
                <w:szCs w:val="20"/>
                <w:highlight w:val="none"/>
              </w:rPr>
              <w:t>金</w:t>
            </w:r>
            <w:r>
              <w:rPr>
                <w:rFonts w:hint="default" w:ascii="Times New Roman" w:hAnsi="Times New Roman" w:eastAsia="宋体" w:cs="Times New Roman"/>
                <w:spacing w:val="8"/>
                <w:sz w:val="20"/>
                <w:szCs w:val="20"/>
                <w:highlight w:val="none"/>
              </w:rPr>
              <w:t>属材料总公司工地</w:t>
            </w:r>
          </w:p>
        </w:tc>
        <w:tc>
          <w:tcPr>
            <w:tcW w:w="917" w:type="dxa"/>
            <w:tcBorders>
              <w:left w:val="single" w:color="000000" w:sz="4" w:space="0"/>
              <w:right w:val="single" w:color="000000" w:sz="4" w:space="0"/>
            </w:tcBorders>
            <w:vAlign w:val="top"/>
          </w:tcPr>
          <w:p>
            <w:pPr>
              <w:spacing w:before="118" w:line="185" w:lineRule="auto"/>
              <w:ind w:left="22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 xml:space="preserve"> 618</w:t>
            </w:r>
          </w:p>
        </w:tc>
        <w:tc>
          <w:tcPr>
            <w:tcW w:w="1478" w:type="dxa"/>
            <w:tcBorders>
              <w:left w:val="single" w:color="000000" w:sz="4" w:space="0"/>
              <w:right w:val="single" w:color="000000" w:sz="4" w:space="0"/>
            </w:tcBorders>
            <w:vAlign w:val="top"/>
          </w:tcPr>
          <w:p>
            <w:pPr>
              <w:spacing w:before="118" w:line="185" w:lineRule="auto"/>
              <w:ind w:left="5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 xml:space="preserve"> 325</w:t>
            </w:r>
          </w:p>
        </w:tc>
        <w:tc>
          <w:tcPr>
            <w:tcW w:w="707" w:type="dxa"/>
            <w:tcBorders>
              <w:left w:val="single" w:color="000000" w:sz="4" w:space="0"/>
              <w:right w:val="single" w:color="000000" w:sz="4" w:space="0"/>
            </w:tcBorders>
            <w:vAlign w:val="top"/>
          </w:tcPr>
          <w:p>
            <w:pPr>
              <w:spacing w:before="118" w:line="185" w:lineRule="auto"/>
              <w:ind w:left="12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 xml:space="preserve"> 472</w:t>
            </w:r>
          </w:p>
        </w:tc>
        <w:tc>
          <w:tcPr>
            <w:tcW w:w="715" w:type="dxa"/>
            <w:tcBorders>
              <w:left w:val="single" w:color="000000" w:sz="4" w:space="0"/>
              <w:right w:val="single" w:color="000000" w:sz="4" w:space="0"/>
            </w:tcBorders>
            <w:vAlign w:val="top"/>
          </w:tcPr>
          <w:p>
            <w:pPr>
              <w:spacing w:before="118" w:line="185" w:lineRule="auto"/>
              <w:ind w:left="1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 xml:space="preserve"> 356</w:t>
            </w:r>
          </w:p>
        </w:tc>
        <w:tc>
          <w:tcPr>
            <w:tcW w:w="717" w:type="dxa"/>
            <w:tcBorders>
              <w:left w:val="single" w:color="000000" w:sz="4" w:space="0"/>
              <w:right w:val="single" w:color="000000" w:sz="4" w:space="0"/>
            </w:tcBorders>
            <w:vAlign w:val="top"/>
          </w:tcPr>
          <w:p>
            <w:pPr>
              <w:spacing w:before="118" w:line="185" w:lineRule="auto"/>
              <w:ind w:left="1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 xml:space="preserve"> 332</w:t>
            </w:r>
          </w:p>
        </w:tc>
        <w:tc>
          <w:tcPr>
            <w:tcW w:w="1213" w:type="dxa"/>
            <w:vMerge w:val="continue"/>
            <w:tcBorders>
              <w:top w:val="nil"/>
              <w:left w:val="single" w:color="000000" w:sz="4" w:space="0"/>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2618" w:type="dxa"/>
            <w:tcBorders>
              <w:left w:val="single" w:color="000000" w:sz="10" w:space="0"/>
              <w:right w:val="single" w:color="000000" w:sz="4" w:space="0"/>
            </w:tcBorders>
            <w:vAlign w:val="top"/>
          </w:tcPr>
          <w:p>
            <w:pPr>
              <w:spacing w:before="115" w:line="228" w:lineRule="auto"/>
              <w:ind w:left="56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广</w:t>
            </w:r>
            <w:r>
              <w:rPr>
                <w:rFonts w:hint="default" w:ascii="Times New Roman" w:hAnsi="Times New Roman" w:eastAsia="宋体" w:cs="Times New Roman"/>
                <w:spacing w:val="8"/>
                <w:sz w:val="20"/>
                <w:szCs w:val="20"/>
                <w:highlight w:val="none"/>
              </w:rPr>
              <w:t>播电视部工地</w:t>
            </w:r>
          </w:p>
        </w:tc>
        <w:tc>
          <w:tcPr>
            <w:tcW w:w="917" w:type="dxa"/>
            <w:tcBorders>
              <w:left w:val="single" w:color="000000" w:sz="4" w:space="0"/>
              <w:right w:val="single" w:color="000000" w:sz="4" w:space="0"/>
            </w:tcBorders>
            <w:vAlign w:val="top"/>
          </w:tcPr>
          <w:p>
            <w:pPr>
              <w:spacing w:before="151" w:line="195" w:lineRule="auto"/>
              <w:ind w:left="22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.596</w:t>
            </w:r>
          </w:p>
        </w:tc>
        <w:tc>
          <w:tcPr>
            <w:tcW w:w="1478" w:type="dxa"/>
            <w:tcBorders>
              <w:left w:val="single" w:color="000000" w:sz="4" w:space="0"/>
              <w:right w:val="single" w:color="000000" w:sz="4" w:space="0"/>
            </w:tcBorders>
            <w:vAlign w:val="top"/>
          </w:tcPr>
          <w:p>
            <w:pPr>
              <w:spacing w:before="151" w:line="195" w:lineRule="auto"/>
              <w:ind w:left="51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0.311</w:t>
            </w:r>
          </w:p>
        </w:tc>
        <w:tc>
          <w:tcPr>
            <w:tcW w:w="707" w:type="dxa"/>
            <w:tcBorders>
              <w:left w:val="single" w:color="000000" w:sz="4" w:space="0"/>
              <w:right w:val="single" w:color="000000" w:sz="4" w:space="0"/>
            </w:tcBorders>
            <w:vAlign w:val="top"/>
          </w:tcPr>
          <w:p>
            <w:pPr>
              <w:spacing w:before="151" w:line="195" w:lineRule="auto"/>
              <w:ind w:left="12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.434</w:t>
            </w:r>
          </w:p>
        </w:tc>
        <w:tc>
          <w:tcPr>
            <w:tcW w:w="715" w:type="dxa"/>
            <w:tcBorders>
              <w:left w:val="single" w:color="000000" w:sz="4" w:space="0"/>
              <w:right w:val="single" w:color="000000" w:sz="4" w:space="0"/>
            </w:tcBorders>
            <w:vAlign w:val="top"/>
          </w:tcPr>
          <w:p>
            <w:pPr>
              <w:spacing w:before="151" w:line="195" w:lineRule="auto"/>
              <w:ind w:left="1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.376</w:t>
            </w:r>
          </w:p>
        </w:tc>
        <w:tc>
          <w:tcPr>
            <w:tcW w:w="717" w:type="dxa"/>
            <w:tcBorders>
              <w:left w:val="single" w:color="000000" w:sz="4" w:space="0"/>
              <w:right w:val="single" w:color="000000" w:sz="4" w:space="0"/>
            </w:tcBorders>
            <w:vAlign w:val="top"/>
          </w:tcPr>
          <w:p>
            <w:pPr>
              <w:spacing w:before="151" w:line="195" w:lineRule="auto"/>
              <w:ind w:left="1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.309</w:t>
            </w:r>
          </w:p>
        </w:tc>
        <w:tc>
          <w:tcPr>
            <w:tcW w:w="1213" w:type="dxa"/>
            <w:vMerge w:val="continue"/>
            <w:tcBorders>
              <w:top w:val="nil"/>
              <w:left w:val="single" w:color="000000" w:sz="4" w:space="0"/>
              <w:right w:val="single" w:color="000000" w:sz="10" w:space="0"/>
            </w:tcBorders>
            <w:vAlign w:val="top"/>
          </w:tcPr>
          <w:p>
            <w:pPr>
              <w:rPr>
                <w:rFonts w:hint="default" w:ascii="Times New Roman" w:hAnsi="Times New Roman" w:cs="Times New Roman"/>
                <w:sz w:val="21"/>
                <w:highlight w:val="none"/>
              </w:rPr>
            </w:pPr>
          </w:p>
        </w:tc>
      </w:tr>
    </w:tbl>
    <w:p>
      <w:pPr>
        <w:rPr>
          <w:rFonts w:hint="default" w:ascii="Times New Roman" w:hAnsi="Times New Roman" w:cs="Times New Roman"/>
          <w:sz w:val="21"/>
          <w:highlight w:val="none"/>
        </w:rPr>
      </w:pPr>
    </w:p>
    <w:p>
      <w:pPr>
        <w:rPr>
          <w:rFonts w:hint="default" w:ascii="Times New Roman" w:hAnsi="Times New Roman" w:cs="Times New Roman"/>
          <w:highlight w:val="none"/>
        </w:rPr>
        <w:sectPr>
          <w:headerReference r:id="rId60" w:type="default"/>
          <w:footerReference r:id="rId61" w:type="default"/>
          <w:pgSz w:w="11906" w:h="16839"/>
          <w:pgMar w:top="1167" w:right="1745" w:bottom="1175" w:left="1757" w:header="897" w:footer="1015" w:gutter="0"/>
          <w:pgBorders>
            <w:top w:val="none" w:sz="0" w:space="0"/>
            <w:left w:val="none" w:sz="0" w:space="0"/>
            <w:bottom w:val="none" w:sz="0" w:space="0"/>
            <w:right w:val="none" w:sz="0" w:space="0"/>
          </w:pgBorders>
          <w:pgNumType w:fmt="decimal"/>
          <w:cols w:space="720" w:num="1"/>
        </w:sectPr>
      </w:pPr>
    </w:p>
    <w:p>
      <w:pPr>
        <w:rPr>
          <w:rFonts w:hint="default" w:ascii="Times New Roman" w:hAnsi="Times New Roman" w:cs="Times New Roman"/>
          <w:highlight w:val="none"/>
        </w:rPr>
      </w:pPr>
      <w:r>
        <w:rPr>
          <w:rFonts w:hint="default" w:ascii="Times New Roman" w:hAnsi="Times New Roman" w:cs="Times New Roman"/>
          <w:highlight w:val="none"/>
        </w:rPr>
        <w:pict>
          <v:rect id="_x0000_s1178" o:spid="_x0000_s1178" o:spt="1" style="position:absolute;left:0pt;margin-left:90pt;margin-top:59.05pt;height:0.75pt;width:415.3pt;mso-position-horizontal-relative:page;mso-position-vertical-relative:page;z-index:251722752;mso-width-relative:page;mso-height-relative:page;" fillcolor="#000000" filled="t" stroked="f" coordsize="21600,21600" o:allowincell="f">
            <v:path/>
            <v:fill on="t" focussize="0,0"/>
            <v:stroke on="f"/>
            <v:imagedata o:title=""/>
            <o:lock v:ext="edit"/>
          </v:rect>
        </w:pict>
      </w:r>
    </w:p>
    <w:p>
      <w:pPr>
        <w:spacing w:line="31" w:lineRule="exact"/>
        <w:rPr>
          <w:rFonts w:hint="default" w:ascii="Times New Roman" w:hAnsi="Times New Roman" w:cs="Times New Roman"/>
          <w:highlight w:val="none"/>
        </w:rPr>
      </w:pPr>
    </w:p>
    <w:tbl>
      <w:tblPr>
        <w:tblStyle w:val="19"/>
        <w:tblW w:w="836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18"/>
        <w:gridCol w:w="917"/>
        <w:gridCol w:w="1478"/>
        <w:gridCol w:w="707"/>
        <w:gridCol w:w="715"/>
        <w:gridCol w:w="717"/>
        <w:gridCol w:w="12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618" w:type="dxa"/>
            <w:vMerge w:val="restart"/>
            <w:tcBorders>
              <w:left w:val="single" w:color="000000" w:sz="10" w:space="0"/>
              <w:bottom w:val="nil"/>
              <w:right w:val="single" w:color="000000" w:sz="4" w:space="0"/>
            </w:tcBorders>
            <w:vAlign w:val="top"/>
          </w:tcPr>
          <w:p>
            <w:pPr>
              <w:spacing w:before="267" w:line="231" w:lineRule="auto"/>
              <w:ind w:left="88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工</w:t>
            </w:r>
            <w:r>
              <w:rPr>
                <w:rFonts w:hint="default" w:ascii="Times New Roman" w:hAnsi="Times New Roman" w:eastAsia="宋体" w:cs="Times New Roman"/>
                <w:spacing w:val="6"/>
                <w:sz w:val="20"/>
                <w:szCs w:val="20"/>
                <w:highlight w:val="none"/>
              </w:rPr>
              <w:t>地名称</w:t>
            </w:r>
          </w:p>
        </w:tc>
        <w:tc>
          <w:tcPr>
            <w:tcW w:w="917" w:type="dxa"/>
            <w:vMerge w:val="restart"/>
            <w:tcBorders>
              <w:left w:val="single" w:color="000000" w:sz="4" w:space="0"/>
              <w:bottom w:val="nil"/>
              <w:right w:val="single" w:color="000000" w:sz="4" w:space="0"/>
            </w:tcBorders>
            <w:vAlign w:val="top"/>
          </w:tcPr>
          <w:p>
            <w:pPr>
              <w:spacing w:before="268" w:line="228" w:lineRule="auto"/>
              <w:ind w:left="14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工地内</w:t>
            </w:r>
          </w:p>
        </w:tc>
        <w:tc>
          <w:tcPr>
            <w:tcW w:w="1478" w:type="dxa"/>
            <w:vMerge w:val="restart"/>
            <w:tcBorders>
              <w:left w:val="single" w:color="000000" w:sz="4" w:space="0"/>
              <w:bottom w:val="nil"/>
              <w:right w:val="single" w:color="000000" w:sz="4" w:space="0"/>
            </w:tcBorders>
            <w:vAlign w:val="top"/>
          </w:tcPr>
          <w:p>
            <w:pPr>
              <w:spacing w:before="110" w:line="265" w:lineRule="auto"/>
              <w:ind w:left="557" w:right="209" w:hanging="337"/>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0"/>
                <w:sz w:val="20"/>
                <w:szCs w:val="20"/>
                <w:highlight w:val="none"/>
              </w:rPr>
              <w:t>工</w:t>
            </w:r>
            <w:r>
              <w:rPr>
                <w:rFonts w:hint="default" w:ascii="Times New Roman" w:hAnsi="Times New Roman" w:eastAsia="宋体" w:cs="Times New Roman"/>
                <w:spacing w:val="7"/>
                <w:sz w:val="20"/>
                <w:szCs w:val="20"/>
                <w:highlight w:val="none"/>
              </w:rPr>
              <w:t>地上风向</w:t>
            </w: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spacing w:val="4"/>
                <w:sz w:val="20"/>
                <w:szCs w:val="20"/>
                <w:highlight w:val="none"/>
              </w:rPr>
              <w:t>5</w:t>
            </w:r>
            <w:r>
              <w:rPr>
                <w:rFonts w:hint="default" w:ascii="Times New Roman" w:hAnsi="Times New Roman" w:eastAsia="Times New Roman" w:cs="Times New Roman"/>
                <w:spacing w:val="3"/>
                <w:sz w:val="20"/>
                <w:szCs w:val="20"/>
                <w:highlight w:val="none"/>
              </w:rPr>
              <w:t>0</w:t>
            </w:r>
            <w:r>
              <w:rPr>
                <w:rFonts w:hint="default" w:ascii="Times New Roman" w:hAnsi="Times New Roman" w:eastAsia="Times New Roman" w:cs="Times New Roman"/>
                <w:sz w:val="20"/>
                <w:szCs w:val="20"/>
                <w:highlight w:val="none"/>
              </w:rPr>
              <w:t>m</w:t>
            </w:r>
          </w:p>
        </w:tc>
        <w:tc>
          <w:tcPr>
            <w:tcW w:w="2139" w:type="dxa"/>
            <w:gridSpan w:val="3"/>
            <w:tcBorders>
              <w:left w:val="single" w:color="000000" w:sz="4" w:space="0"/>
              <w:right w:val="single" w:color="000000" w:sz="4" w:space="0"/>
            </w:tcBorders>
            <w:vAlign w:val="top"/>
          </w:tcPr>
          <w:p>
            <w:pPr>
              <w:spacing w:before="102" w:line="229" w:lineRule="auto"/>
              <w:ind w:left="5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工</w:t>
            </w:r>
            <w:r>
              <w:rPr>
                <w:rFonts w:hint="default" w:ascii="Times New Roman" w:hAnsi="Times New Roman" w:eastAsia="宋体" w:cs="Times New Roman"/>
                <w:spacing w:val="7"/>
                <w:sz w:val="20"/>
                <w:szCs w:val="20"/>
                <w:highlight w:val="none"/>
              </w:rPr>
              <w:t>地下风向</w:t>
            </w:r>
          </w:p>
        </w:tc>
        <w:tc>
          <w:tcPr>
            <w:tcW w:w="1213" w:type="dxa"/>
            <w:vMerge w:val="restart"/>
            <w:tcBorders>
              <w:left w:val="single" w:color="000000" w:sz="4" w:space="0"/>
              <w:bottom w:val="nil"/>
              <w:right w:val="single" w:color="000000" w:sz="10" w:space="0"/>
            </w:tcBorders>
            <w:vAlign w:val="top"/>
          </w:tcPr>
          <w:p>
            <w:pPr>
              <w:spacing w:before="267" w:line="230" w:lineRule="auto"/>
              <w:ind w:left="40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618" w:type="dxa"/>
            <w:vMerge w:val="continue"/>
            <w:tcBorders>
              <w:top w:val="nil"/>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917" w:type="dxa"/>
            <w:vMerge w:val="continue"/>
            <w:tcBorders>
              <w:top w:val="nil"/>
              <w:left w:val="single" w:color="000000" w:sz="4" w:space="0"/>
              <w:right w:val="single" w:color="000000" w:sz="4" w:space="0"/>
            </w:tcBorders>
            <w:vAlign w:val="top"/>
          </w:tcPr>
          <w:p>
            <w:pPr>
              <w:rPr>
                <w:rFonts w:hint="default" w:ascii="Times New Roman" w:hAnsi="Times New Roman" w:cs="Times New Roman"/>
                <w:sz w:val="21"/>
                <w:highlight w:val="none"/>
              </w:rPr>
            </w:pPr>
          </w:p>
        </w:tc>
        <w:tc>
          <w:tcPr>
            <w:tcW w:w="1478" w:type="dxa"/>
            <w:vMerge w:val="continue"/>
            <w:tcBorders>
              <w:top w:val="nil"/>
              <w:left w:val="single" w:color="000000" w:sz="4" w:space="0"/>
              <w:right w:val="single" w:color="000000" w:sz="4" w:space="0"/>
            </w:tcBorders>
            <w:vAlign w:val="top"/>
          </w:tcPr>
          <w:p>
            <w:pPr>
              <w:rPr>
                <w:rFonts w:hint="default" w:ascii="Times New Roman" w:hAnsi="Times New Roman" w:cs="Times New Roman"/>
                <w:sz w:val="21"/>
                <w:highlight w:val="none"/>
              </w:rPr>
            </w:pPr>
          </w:p>
        </w:tc>
        <w:tc>
          <w:tcPr>
            <w:tcW w:w="707" w:type="dxa"/>
            <w:tcBorders>
              <w:left w:val="single" w:color="000000" w:sz="4" w:space="0"/>
              <w:right w:val="single" w:color="000000" w:sz="4" w:space="0"/>
            </w:tcBorders>
            <w:vAlign w:val="top"/>
          </w:tcPr>
          <w:p>
            <w:pPr>
              <w:spacing w:before="115"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5</w:t>
            </w:r>
            <w:r>
              <w:rPr>
                <w:rFonts w:hint="default" w:ascii="Times New Roman" w:hAnsi="Times New Roman" w:eastAsia="Times New Roman" w:cs="Times New Roman"/>
                <w:spacing w:val="3"/>
                <w:sz w:val="20"/>
                <w:szCs w:val="20"/>
                <w:highlight w:val="none"/>
              </w:rPr>
              <w:t>0</w:t>
            </w:r>
            <w:r>
              <w:rPr>
                <w:rFonts w:hint="default" w:ascii="Times New Roman" w:hAnsi="Times New Roman" w:eastAsia="Times New Roman" w:cs="Times New Roman"/>
                <w:sz w:val="20"/>
                <w:szCs w:val="20"/>
                <w:highlight w:val="none"/>
              </w:rPr>
              <w:t>m</w:t>
            </w:r>
          </w:p>
        </w:tc>
        <w:tc>
          <w:tcPr>
            <w:tcW w:w="715" w:type="dxa"/>
            <w:tcBorders>
              <w:left w:val="single" w:color="000000" w:sz="4" w:space="0"/>
              <w:right w:val="single" w:color="000000" w:sz="4" w:space="0"/>
            </w:tcBorders>
            <w:vAlign w:val="top"/>
          </w:tcPr>
          <w:p>
            <w:pPr>
              <w:spacing w:before="115" w:line="195" w:lineRule="auto"/>
              <w:ind w:left="14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w:t>
            </w:r>
            <w:r>
              <w:rPr>
                <w:rFonts w:hint="default" w:ascii="Times New Roman" w:hAnsi="Times New Roman" w:eastAsia="Times New Roman" w:cs="Times New Roman"/>
                <w:sz w:val="20"/>
                <w:szCs w:val="20"/>
                <w:highlight w:val="none"/>
              </w:rPr>
              <w:t>00m</w:t>
            </w:r>
          </w:p>
        </w:tc>
        <w:tc>
          <w:tcPr>
            <w:tcW w:w="717" w:type="dxa"/>
            <w:tcBorders>
              <w:left w:val="single" w:color="000000" w:sz="4" w:space="0"/>
              <w:right w:val="single" w:color="000000" w:sz="4" w:space="0"/>
            </w:tcBorders>
            <w:vAlign w:val="top"/>
          </w:tcPr>
          <w:p>
            <w:pPr>
              <w:spacing w:before="115" w:line="195" w:lineRule="auto"/>
              <w:ind w:left="14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w:t>
            </w:r>
            <w:r>
              <w:rPr>
                <w:rFonts w:hint="default" w:ascii="Times New Roman" w:hAnsi="Times New Roman" w:eastAsia="Times New Roman" w:cs="Times New Roman"/>
                <w:sz w:val="20"/>
                <w:szCs w:val="20"/>
                <w:highlight w:val="none"/>
              </w:rPr>
              <w:t>50m</w:t>
            </w:r>
          </w:p>
        </w:tc>
        <w:tc>
          <w:tcPr>
            <w:tcW w:w="1213" w:type="dxa"/>
            <w:vMerge w:val="continue"/>
            <w:tcBorders>
              <w:top w:val="nil"/>
              <w:left w:val="single" w:color="000000" w:sz="4" w:space="0"/>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618" w:type="dxa"/>
            <w:tcBorders>
              <w:left w:val="single" w:color="000000" w:sz="10" w:space="0"/>
              <w:right w:val="single" w:color="000000" w:sz="4" w:space="0"/>
            </w:tcBorders>
            <w:vAlign w:val="top"/>
          </w:tcPr>
          <w:p>
            <w:pPr>
              <w:spacing w:before="83" w:line="227" w:lineRule="auto"/>
              <w:ind w:left="67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劲</w:t>
            </w:r>
            <w:r>
              <w:rPr>
                <w:rFonts w:hint="default" w:ascii="Times New Roman" w:hAnsi="Times New Roman" w:eastAsia="宋体" w:cs="Times New Roman"/>
                <w:spacing w:val="8"/>
                <w:sz w:val="20"/>
                <w:szCs w:val="20"/>
                <w:highlight w:val="none"/>
              </w:rPr>
              <w:t>松小区工地</w:t>
            </w:r>
          </w:p>
        </w:tc>
        <w:tc>
          <w:tcPr>
            <w:tcW w:w="917" w:type="dxa"/>
            <w:tcBorders>
              <w:left w:val="single" w:color="000000" w:sz="4" w:space="0"/>
              <w:right w:val="single" w:color="000000" w:sz="4" w:space="0"/>
            </w:tcBorders>
            <w:vAlign w:val="top"/>
          </w:tcPr>
          <w:p>
            <w:pPr>
              <w:spacing w:before="206" w:line="123" w:lineRule="exact"/>
              <w:ind w:left="32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position w:val="-1"/>
                <w:sz w:val="20"/>
                <w:szCs w:val="20"/>
                <w:highlight w:val="none"/>
              </w:rPr>
              <w:t>----</w:t>
            </w:r>
          </w:p>
        </w:tc>
        <w:tc>
          <w:tcPr>
            <w:tcW w:w="1478" w:type="dxa"/>
            <w:tcBorders>
              <w:left w:val="single" w:color="000000" w:sz="4" w:space="0"/>
              <w:right w:val="single" w:color="000000" w:sz="4" w:space="0"/>
            </w:tcBorders>
            <w:vAlign w:val="top"/>
          </w:tcPr>
          <w:p>
            <w:pPr>
              <w:spacing w:before="118" w:line="195" w:lineRule="auto"/>
              <w:ind w:left="5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.303</w:t>
            </w:r>
          </w:p>
        </w:tc>
        <w:tc>
          <w:tcPr>
            <w:tcW w:w="707" w:type="dxa"/>
            <w:tcBorders>
              <w:left w:val="single" w:color="000000" w:sz="4" w:space="0"/>
              <w:right w:val="single" w:color="000000" w:sz="4" w:space="0"/>
            </w:tcBorders>
            <w:vAlign w:val="top"/>
          </w:tcPr>
          <w:p>
            <w:pPr>
              <w:spacing w:before="118" w:line="195" w:lineRule="auto"/>
              <w:ind w:left="12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.538</w:t>
            </w:r>
          </w:p>
        </w:tc>
        <w:tc>
          <w:tcPr>
            <w:tcW w:w="715" w:type="dxa"/>
            <w:tcBorders>
              <w:left w:val="single" w:color="000000" w:sz="4" w:space="0"/>
              <w:right w:val="single" w:color="000000" w:sz="4" w:space="0"/>
            </w:tcBorders>
            <w:vAlign w:val="top"/>
          </w:tcPr>
          <w:p>
            <w:pPr>
              <w:spacing w:before="118" w:line="195" w:lineRule="auto"/>
              <w:ind w:left="1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.465</w:t>
            </w:r>
          </w:p>
        </w:tc>
        <w:tc>
          <w:tcPr>
            <w:tcW w:w="717" w:type="dxa"/>
            <w:tcBorders>
              <w:left w:val="single" w:color="000000" w:sz="4" w:space="0"/>
              <w:right w:val="single" w:color="000000" w:sz="4" w:space="0"/>
            </w:tcBorders>
            <w:vAlign w:val="top"/>
          </w:tcPr>
          <w:p>
            <w:pPr>
              <w:spacing w:before="118" w:line="195" w:lineRule="auto"/>
              <w:ind w:left="1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.314</w:t>
            </w:r>
          </w:p>
        </w:tc>
        <w:tc>
          <w:tcPr>
            <w:tcW w:w="1213" w:type="dxa"/>
            <w:vMerge w:val="restart"/>
            <w:tcBorders>
              <w:left w:val="single" w:color="000000" w:sz="4" w:space="0"/>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618" w:type="dxa"/>
            <w:tcBorders>
              <w:left w:val="single" w:color="000000" w:sz="10" w:space="0"/>
              <w:right w:val="single" w:color="000000" w:sz="4" w:space="0"/>
            </w:tcBorders>
            <w:vAlign w:val="top"/>
          </w:tcPr>
          <w:p>
            <w:pPr>
              <w:spacing w:before="82" w:line="228" w:lineRule="auto"/>
              <w:ind w:left="98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平均值</w:t>
            </w:r>
          </w:p>
        </w:tc>
        <w:tc>
          <w:tcPr>
            <w:tcW w:w="917" w:type="dxa"/>
            <w:tcBorders>
              <w:left w:val="single" w:color="000000" w:sz="4" w:space="0"/>
              <w:right w:val="single" w:color="000000" w:sz="4" w:space="0"/>
            </w:tcBorders>
            <w:vAlign w:val="top"/>
          </w:tcPr>
          <w:p>
            <w:pPr>
              <w:spacing w:before="118" w:line="195" w:lineRule="auto"/>
              <w:ind w:left="22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.658</w:t>
            </w:r>
          </w:p>
        </w:tc>
        <w:tc>
          <w:tcPr>
            <w:tcW w:w="1478" w:type="dxa"/>
            <w:tcBorders>
              <w:left w:val="single" w:color="000000" w:sz="4" w:space="0"/>
              <w:right w:val="single" w:color="000000" w:sz="4" w:space="0"/>
            </w:tcBorders>
            <w:vAlign w:val="top"/>
          </w:tcPr>
          <w:p>
            <w:pPr>
              <w:spacing w:before="118" w:line="195" w:lineRule="auto"/>
              <w:ind w:left="5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.317</w:t>
            </w:r>
          </w:p>
        </w:tc>
        <w:tc>
          <w:tcPr>
            <w:tcW w:w="707" w:type="dxa"/>
            <w:tcBorders>
              <w:left w:val="single" w:color="000000" w:sz="4" w:space="0"/>
              <w:right w:val="single" w:color="000000" w:sz="4" w:space="0"/>
            </w:tcBorders>
            <w:vAlign w:val="top"/>
          </w:tcPr>
          <w:p>
            <w:pPr>
              <w:spacing w:before="118" w:line="195" w:lineRule="auto"/>
              <w:ind w:left="12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.487</w:t>
            </w:r>
          </w:p>
        </w:tc>
        <w:tc>
          <w:tcPr>
            <w:tcW w:w="715" w:type="dxa"/>
            <w:tcBorders>
              <w:left w:val="single" w:color="000000" w:sz="4" w:space="0"/>
              <w:right w:val="single" w:color="000000" w:sz="4" w:space="0"/>
            </w:tcBorders>
            <w:vAlign w:val="top"/>
          </w:tcPr>
          <w:p>
            <w:pPr>
              <w:spacing w:before="118" w:line="195" w:lineRule="auto"/>
              <w:ind w:left="1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.390</w:t>
            </w:r>
          </w:p>
        </w:tc>
        <w:tc>
          <w:tcPr>
            <w:tcW w:w="717" w:type="dxa"/>
            <w:tcBorders>
              <w:left w:val="single" w:color="000000" w:sz="4" w:space="0"/>
              <w:right w:val="single" w:color="000000" w:sz="4" w:space="0"/>
            </w:tcBorders>
            <w:vAlign w:val="top"/>
          </w:tcPr>
          <w:p>
            <w:pPr>
              <w:spacing w:before="118" w:line="195" w:lineRule="auto"/>
              <w:ind w:left="1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.322</w:t>
            </w:r>
          </w:p>
        </w:tc>
        <w:tc>
          <w:tcPr>
            <w:tcW w:w="1213" w:type="dxa"/>
            <w:vMerge w:val="continue"/>
            <w:tcBorders>
              <w:top w:val="nil"/>
              <w:left w:val="single" w:color="000000" w:sz="4" w:space="0"/>
              <w:right w:val="single" w:color="000000" w:sz="10" w:space="0"/>
            </w:tcBorders>
            <w:vAlign w:val="top"/>
          </w:tcPr>
          <w:p>
            <w:pPr>
              <w:rPr>
                <w:rFonts w:hint="default" w:ascii="Times New Roman" w:hAnsi="Times New Roman" w:cs="Times New Roman"/>
                <w:sz w:val="21"/>
                <w:highlight w:val="none"/>
              </w:rPr>
            </w:pPr>
          </w:p>
        </w:tc>
      </w:tr>
    </w:tbl>
    <w:p>
      <w:pPr>
        <w:spacing w:before="208" w:line="225" w:lineRule="auto"/>
        <w:ind w:left="47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石</w:t>
      </w:r>
      <w:r>
        <w:rPr>
          <w:rFonts w:hint="default" w:ascii="Times New Roman" w:hAnsi="Times New Roman" w:eastAsia="宋体" w:cs="Times New Roman"/>
          <w:spacing w:val="6"/>
          <w:sz w:val="20"/>
          <w:szCs w:val="20"/>
          <w:highlight w:val="none"/>
        </w:rPr>
        <w:t>家</w:t>
      </w:r>
      <w:r>
        <w:rPr>
          <w:rFonts w:hint="default" w:ascii="Times New Roman" w:hAnsi="Times New Roman" w:eastAsia="宋体" w:cs="Times New Roman"/>
          <w:spacing w:val="5"/>
          <w:sz w:val="20"/>
          <w:szCs w:val="20"/>
          <w:highlight w:val="none"/>
        </w:rPr>
        <w:t xml:space="preserve">庄市环境监测中心对施工场地扬尘进行的实测资料列于表 </w:t>
      </w:r>
      <w:r>
        <w:rPr>
          <w:rFonts w:hint="default" w:ascii="Times New Roman" w:hAnsi="Times New Roman" w:eastAsia="Times New Roman" w:cs="Times New Roman"/>
          <w:spacing w:val="5"/>
          <w:sz w:val="20"/>
          <w:szCs w:val="20"/>
          <w:highlight w:val="none"/>
        </w:rPr>
        <w:t>5. 1-2</w:t>
      </w:r>
      <w:r>
        <w:rPr>
          <w:rFonts w:hint="default" w:ascii="Times New Roman" w:hAnsi="Times New Roman" w:eastAsia="宋体" w:cs="Times New Roman"/>
          <w:spacing w:val="5"/>
          <w:sz w:val="20"/>
          <w:szCs w:val="20"/>
          <w:highlight w:val="none"/>
        </w:rPr>
        <w:t>。</w:t>
      </w:r>
    </w:p>
    <w:p>
      <w:pPr>
        <w:spacing w:before="169" w:line="320" w:lineRule="exact"/>
        <w:ind w:left="314"/>
        <w:rPr>
          <w:rFonts w:hint="default" w:ascii="Times New Roman" w:hAnsi="Times New Roman" w:eastAsia="Times New Roman" w:cs="Times New Roman"/>
          <w:sz w:val="15"/>
          <w:szCs w:val="15"/>
          <w:highlight w:val="none"/>
        </w:rPr>
      </w:pPr>
      <w:r>
        <w:rPr>
          <w:rFonts w:hint="default" w:ascii="Times New Roman" w:hAnsi="Times New Roman" w:eastAsia="宋体" w:cs="Times New Roman"/>
          <w:spacing w:val="8"/>
          <w:position w:val="3"/>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8"/>
          <w:position w:val="3"/>
          <w:sz w:val="23"/>
          <w:szCs w:val="23"/>
          <w:highlight w:val="none"/>
        </w:rPr>
        <w:t xml:space="preserve"> </w:t>
      </w:r>
      <w:r>
        <w:rPr>
          <w:rFonts w:hint="default" w:ascii="Times New Roman" w:hAnsi="Times New Roman" w:eastAsia="Times New Roman" w:cs="Times New Roman"/>
          <w:b/>
          <w:bCs/>
          <w:spacing w:val="8"/>
          <w:position w:val="3"/>
          <w:sz w:val="23"/>
          <w:szCs w:val="23"/>
          <w:highlight w:val="none"/>
        </w:rPr>
        <w:t>5.1-2</w:t>
      </w:r>
      <w:r>
        <w:rPr>
          <w:rFonts w:hint="default" w:ascii="Times New Roman" w:hAnsi="Times New Roman" w:eastAsia="Times New Roman" w:cs="Times New Roman"/>
          <w:spacing w:val="8"/>
          <w:position w:val="3"/>
          <w:sz w:val="23"/>
          <w:szCs w:val="23"/>
          <w:highlight w:val="none"/>
        </w:rPr>
        <w:t xml:space="preserve">      </w:t>
      </w:r>
      <w:r>
        <w:rPr>
          <w:rFonts w:hint="default" w:ascii="Times New Roman" w:hAnsi="Times New Roman" w:eastAsia="宋体" w:cs="Times New Roman"/>
          <w:spacing w:val="8"/>
          <w:position w:val="3"/>
          <w:sz w:val="23"/>
          <w:szCs w:val="23"/>
          <w:highlight w:val="none"/>
          <w14:textOutline w14:w="4358" w14:cap="sq" w14:cmpd="sng">
            <w14:solidFill>
              <w14:srgbClr w14:val="000000"/>
            </w14:solidFill>
            <w14:prstDash w14:val="solid"/>
            <w14:bevel/>
          </w14:textOutline>
        </w:rPr>
        <w:t>石家庄市施工现场大气中</w:t>
      </w:r>
      <w:r>
        <w:rPr>
          <w:rFonts w:hint="default" w:ascii="Times New Roman" w:hAnsi="Times New Roman" w:eastAsia="Times New Roman" w:cs="Times New Roman"/>
          <w:b/>
          <w:bCs/>
          <w:position w:val="3"/>
          <w:sz w:val="23"/>
          <w:szCs w:val="23"/>
          <w:highlight w:val="none"/>
        </w:rPr>
        <w:t>TSP</w:t>
      </w:r>
      <w:r>
        <w:rPr>
          <w:rFonts w:hint="default" w:ascii="Times New Roman" w:hAnsi="Times New Roman" w:eastAsia="Times New Roman" w:cs="Times New Roman"/>
          <w:spacing w:val="8"/>
          <w:position w:val="3"/>
          <w:sz w:val="23"/>
          <w:szCs w:val="23"/>
          <w:highlight w:val="none"/>
        </w:rPr>
        <w:t xml:space="preserve"> </w:t>
      </w:r>
      <w:r>
        <w:rPr>
          <w:rFonts w:hint="default" w:ascii="Times New Roman" w:hAnsi="Times New Roman" w:eastAsia="宋体" w:cs="Times New Roman"/>
          <w:spacing w:val="8"/>
          <w:position w:val="3"/>
          <w:sz w:val="23"/>
          <w:szCs w:val="23"/>
          <w:highlight w:val="none"/>
          <w14:textOutline w14:w="4358" w14:cap="sq" w14:cmpd="sng">
            <w14:solidFill>
              <w14:srgbClr w14:val="000000"/>
            </w14:solidFill>
            <w14:prstDash w14:val="solid"/>
            <w14:bevel/>
          </w14:textOutline>
        </w:rPr>
        <w:t>浓度变化表</w:t>
      </w:r>
      <w:r>
        <w:rPr>
          <w:rFonts w:hint="default" w:ascii="Times New Roman" w:hAnsi="Times New Roman" w:eastAsia="宋体" w:cs="Times New Roman"/>
          <w:spacing w:val="8"/>
          <w:position w:val="3"/>
          <w:sz w:val="23"/>
          <w:szCs w:val="23"/>
          <w:highlight w:val="none"/>
        </w:rPr>
        <w:t xml:space="preserve">       </w:t>
      </w:r>
      <w:r>
        <w:rPr>
          <w:rFonts w:hint="default" w:ascii="Times New Roman" w:hAnsi="Times New Roman" w:eastAsia="宋体" w:cs="Times New Roman"/>
          <w:spacing w:val="8"/>
          <w:position w:val="3"/>
          <w:sz w:val="23"/>
          <w:szCs w:val="23"/>
          <w:highlight w:val="none"/>
          <w14:textOutline w14:w="4358" w14:cap="sq" w14:cmpd="sng">
            <w14:solidFill>
              <w14:srgbClr w14:val="000000"/>
            </w14:solidFill>
            <w14:prstDash w14:val="solid"/>
            <w14:bevel/>
          </w14:textOutline>
        </w:rPr>
        <w:t>单位：</w:t>
      </w:r>
      <w:r>
        <w:rPr>
          <w:rFonts w:hint="default" w:ascii="Times New Roman" w:hAnsi="Times New Roman" w:eastAsia="Times New Roman" w:cs="Times New Roman"/>
          <w:b/>
          <w:bCs/>
          <w:position w:val="3"/>
          <w:sz w:val="23"/>
          <w:szCs w:val="23"/>
          <w:highlight w:val="none"/>
        </w:rPr>
        <w:t>mg</w:t>
      </w:r>
      <w:r>
        <w:rPr>
          <w:rFonts w:hint="default" w:ascii="Times New Roman" w:hAnsi="Times New Roman" w:eastAsia="Times New Roman" w:cs="Times New Roman"/>
          <w:b/>
          <w:bCs/>
          <w:spacing w:val="8"/>
          <w:position w:val="3"/>
          <w:sz w:val="23"/>
          <w:szCs w:val="23"/>
          <w:highlight w:val="none"/>
        </w:rPr>
        <w:t>/</w:t>
      </w:r>
      <w:r>
        <w:rPr>
          <w:rFonts w:hint="default" w:ascii="Times New Roman" w:hAnsi="Times New Roman" w:eastAsia="Times New Roman" w:cs="Times New Roman"/>
          <w:b/>
          <w:bCs/>
          <w:position w:val="3"/>
          <w:sz w:val="23"/>
          <w:szCs w:val="23"/>
          <w:highlight w:val="none"/>
        </w:rPr>
        <w:t>m</w:t>
      </w:r>
      <w:r>
        <w:rPr>
          <w:rFonts w:hint="default" w:ascii="Times New Roman" w:hAnsi="Times New Roman" w:eastAsia="Times New Roman" w:cs="Times New Roman"/>
          <w:b/>
          <w:bCs/>
          <w:spacing w:val="4"/>
          <w:position w:val="11"/>
          <w:sz w:val="15"/>
          <w:szCs w:val="15"/>
          <w:highlight w:val="none"/>
        </w:rPr>
        <w:t>3</w:t>
      </w:r>
    </w:p>
    <w:p>
      <w:pPr>
        <w:spacing w:line="27" w:lineRule="exact"/>
        <w:rPr>
          <w:rFonts w:hint="default" w:ascii="Times New Roman" w:hAnsi="Times New Roman" w:cs="Times New Roman"/>
          <w:highlight w:val="none"/>
        </w:rPr>
      </w:pPr>
    </w:p>
    <w:tbl>
      <w:tblPr>
        <w:tblStyle w:val="19"/>
        <w:tblW w:w="836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4"/>
        <w:gridCol w:w="852"/>
        <w:gridCol w:w="853"/>
        <w:gridCol w:w="852"/>
        <w:gridCol w:w="852"/>
        <w:gridCol w:w="852"/>
        <w:gridCol w:w="852"/>
        <w:gridCol w:w="14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794" w:type="dxa"/>
            <w:tcBorders>
              <w:left w:val="single" w:color="000000" w:sz="10" w:space="0"/>
              <w:right w:val="single" w:color="000000" w:sz="4" w:space="0"/>
            </w:tcBorders>
            <w:vAlign w:val="top"/>
          </w:tcPr>
          <w:p>
            <w:pPr>
              <w:spacing w:before="118" w:line="229" w:lineRule="auto"/>
              <w:ind w:left="36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距</w:t>
            </w:r>
            <w:r>
              <w:rPr>
                <w:rFonts w:hint="default" w:ascii="Times New Roman" w:hAnsi="Times New Roman" w:eastAsia="宋体" w:cs="Times New Roman"/>
                <w:spacing w:val="8"/>
                <w:sz w:val="20"/>
                <w:szCs w:val="20"/>
                <w:highlight w:val="none"/>
              </w:rPr>
              <w:t>工地距离</w:t>
            </w:r>
          </w:p>
        </w:tc>
        <w:tc>
          <w:tcPr>
            <w:tcW w:w="852" w:type="dxa"/>
            <w:tcBorders>
              <w:left w:val="single" w:color="000000" w:sz="4" w:space="0"/>
              <w:right w:val="single" w:color="000000" w:sz="4" w:space="0"/>
            </w:tcBorders>
            <w:vAlign w:val="top"/>
          </w:tcPr>
          <w:p>
            <w:pPr>
              <w:spacing w:before="153" w:line="195" w:lineRule="auto"/>
              <w:ind w:left="33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7"/>
                <w:sz w:val="20"/>
                <w:szCs w:val="20"/>
                <w:highlight w:val="none"/>
              </w:rPr>
              <w:t>0</w:t>
            </w:r>
          </w:p>
        </w:tc>
        <w:tc>
          <w:tcPr>
            <w:tcW w:w="853" w:type="dxa"/>
            <w:tcBorders>
              <w:left w:val="single" w:color="000000" w:sz="4" w:space="0"/>
              <w:right w:val="single" w:color="000000" w:sz="4" w:space="0"/>
            </w:tcBorders>
            <w:vAlign w:val="top"/>
          </w:tcPr>
          <w:p>
            <w:pPr>
              <w:spacing w:before="153" w:line="195" w:lineRule="auto"/>
              <w:ind w:left="31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2</w:t>
            </w:r>
            <w:r>
              <w:rPr>
                <w:rFonts w:hint="default" w:ascii="Times New Roman" w:hAnsi="Times New Roman" w:eastAsia="Times New Roman" w:cs="Times New Roman"/>
                <w:spacing w:val="2"/>
                <w:sz w:val="20"/>
                <w:szCs w:val="20"/>
                <w:highlight w:val="none"/>
              </w:rPr>
              <w:t>0</w:t>
            </w:r>
          </w:p>
        </w:tc>
        <w:tc>
          <w:tcPr>
            <w:tcW w:w="852" w:type="dxa"/>
            <w:tcBorders>
              <w:left w:val="single" w:color="000000" w:sz="4" w:space="0"/>
              <w:right w:val="single" w:color="000000" w:sz="4" w:space="0"/>
            </w:tcBorders>
            <w:vAlign w:val="top"/>
          </w:tcPr>
          <w:p>
            <w:pPr>
              <w:spacing w:before="153" w:line="195" w:lineRule="auto"/>
              <w:ind w:left="32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3</w:t>
            </w:r>
            <w:r>
              <w:rPr>
                <w:rFonts w:hint="default" w:ascii="Times New Roman" w:hAnsi="Times New Roman" w:eastAsia="Times New Roman" w:cs="Times New Roman"/>
                <w:sz w:val="20"/>
                <w:szCs w:val="20"/>
                <w:highlight w:val="none"/>
              </w:rPr>
              <w:t>0</w:t>
            </w:r>
          </w:p>
        </w:tc>
        <w:tc>
          <w:tcPr>
            <w:tcW w:w="852" w:type="dxa"/>
            <w:tcBorders>
              <w:left w:val="single" w:color="000000" w:sz="4" w:space="0"/>
              <w:right w:val="single" w:color="000000" w:sz="4" w:space="0"/>
            </w:tcBorders>
            <w:vAlign w:val="top"/>
          </w:tcPr>
          <w:p>
            <w:pPr>
              <w:spacing w:before="153" w:line="195" w:lineRule="auto"/>
              <w:ind w:left="32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40</w:t>
            </w:r>
          </w:p>
        </w:tc>
        <w:tc>
          <w:tcPr>
            <w:tcW w:w="852" w:type="dxa"/>
            <w:tcBorders>
              <w:left w:val="single" w:color="000000" w:sz="4" w:space="0"/>
              <w:right w:val="single" w:color="000000" w:sz="4" w:space="0"/>
            </w:tcBorders>
            <w:vAlign w:val="top"/>
          </w:tcPr>
          <w:p>
            <w:pPr>
              <w:spacing w:before="153" w:line="195" w:lineRule="auto"/>
              <w:ind w:left="3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50</w:t>
            </w:r>
          </w:p>
        </w:tc>
        <w:tc>
          <w:tcPr>
            <w:tcW w:w="852" w:type="dxa"/>
            <w:tcBorders>
              <w:left w:val="single" w:color="000000" w:sz="4" w:space="0"/>
              <w:right w:val="single" w:color="000000" w:sz="4" w:space="0"/>
            </w:tcBorders>
            <w:vAlign w:val="top"/>
          </w:tcPr>
          <w:p>
            <w:pPr>
              <w:spacing w:before="153" w:line="195" w:lineRule="auto"/>
              <w:ind w:left="29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100</w:t>
            </w:r>
          </w:p>
        </w:tc>
        <w:tc>
          <w:tcPr>
            <w:tcW w:w="1458" w:type="dxa"/>
            <w:tcBorders>
              <w:left w:val="single" w:color="000000" w:sz="4" w:space="0"/>
              <w:right w:val="single" w:color="000000" w:sz="10" w:space="0"/>
            </w:tcBorders>
            <w:vAlign w:val="top"/>
          </w:tcPr>
          <w:p>
            <w:pPr>
              <w:spacing w:before="117" w:line="230" w:lineRule="auto"/>
              <w:ind w:left="52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794" w:type="dxa"/>
            <w:tcBorders>
              <w:left w:val="single" w:color="000000" w:sz="10" w:space="0"/>
              <w:right w:val="single" w:color="000000" w:sz="4" w:space="0"/>
            </w:tcBorders>
            <w:vAlign w:val="top"/>
          </w:tcPr>
          <w:p>
            <w:pPr>
              <w:spacing w:before="99" w:line="228" w:lineRule="auto"/>
              <w:ind w:left="36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场</w:t>
            </w:r>
            <w:r>
              <w:rPr>
                <w:rFonts w:hint="default" w:ascii="Times New Roman" w:hAnsi="Times New Roman" w:eastAsia="宋体" w:cs="Times New Roman"/>
                <w:spacing w:val="8"/>
                <w:sz w:val="20"/>
                <w:szCs w:val="20"/>
                <w:highlight w:val="none"/>
              </w:rPr>
              <w:t>地未洒水</w:t>
            </w:r>
          </w:p>
        </w:tc>
        <w:tc>
          <w:tcPr>
            <w:tcW w:w="852" w:type="dxa"/>
            <w:tcBorders>
              <w:left w:val="single" w:color="000000" w:sz="4" w:space="0"/>
              <w:right w:val="single" w:color="000000" w:sz="4" w:space="0"/>
            </w:tcBorders>
            <w:vAlign w:val="top"/>
          </w:tcPr>
          <w:p>
            <w:pPr>
              <w:spacing w:before="134" w:line="198" w:lineRule="auto"/>
              <w:ind w:left="25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1.</w:t>
            </w:r>
            <w:r>
              <w:rPr>
                <w:rFonts w:hint="default" w:ascii="Times New Roman" w:hAnsi="Times New Roman" w:eastAsia="Times New Roman" w:cs="Times New Roman"/>
                <w:spacing w:val="-1"/>
                <w:sz w:val="20"/>
                <w:szCs w:val="20"/>
                <w:highlight w:val="none"/>
              </w:rPr>
              <w:t>75</w:t>
            </w:r>
          </w:p>
        </w:tc>
        <w:tc>
          <w:tcPr>
            <w:tcW w:w="853" w:type="dxa"/>
            <w:tcBorders>
              <w:left w:val="single" w:color="000000" w:sz="4" w:space="0"/>
              <w:right w:val="single" w:color="000000" w:sz="4" w:space="0"/>
            </w:tcBorders>
            <w:vAlign w:val="top"/>
          </w:tcPr>
          <w:p>
            <w:pPr>
              <w:spacing w:before="134" w:line="198" w:lineRule="auto"/>
              <w:ind w:left="25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w:t>
            </w:r>
            <w:r>
              <w:rPr>
                <w:rFonts w:hint="default" w:ascii="Times New Roman" w:hAnsi="Times New Roman" w:eastAsia="Times New Roman" w:cs="Times New Roman"/>
                <w:spacing w:val="-2"/>
                <w:sz w:val="20"/>
                <w:szCs w:val="20"/>
                <w:highlight w:val="none"/>
              </w:rPr>
              <w:t>.30</w:t>
            </w:r>
          </w:p>
        </w:tc>
        <w:tc>
          <w:tcPr>
            <w:tcW w:w="852" w:type="dxa"/>
            <w:tcBorders>
              <w:left w:val="single" w:color="000000" w:sz="4" w:space="0"/>
              <w:right w:val="single" w:color="000000" w:sz="4" w:space="0"/>
            </w:tcBorders>
            <w:vAlign w:val="top"/>
          </w:tcPr>
          <w:p>
            <w:pPr>
              <w:spacing w:before="134" w:line="195" w:lineRule="auto"/>
              <w:ind w:left="24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2"/>
                <w:sz w:val="20"/>
                <w:szCs w:val="20"/>
                <w:highlight w:val="none"/>
              </w:rPr>
              <w:t>.78</w:t>
            </w:r>
          </w:p>
        </w:tc>
        <w:tc>
          <w:tcPr>
            <w:tcW w:w="852" w:type="dxa"/>
            <w:tcBorders>
              <w:left w:val="single" w:color="000000" w:sz="4" w:space="0"/>
              <w:right w:val="single" w:color="000000" w:sz="4" w:space="0"/>
            </w:tcBorders>
            <w:vAlign w:val="top"/>
          </w:tcPr>
          <w:p>
            <w:pPr>
              <w:spacing w:before="134" w:line="195" w:lineRule="auto"/>
              <w:ind w:left="19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.365</w:t>
            </w:r>
          </w:p>
        </w:tc>
        <w:tc>
          <w:tcPr>
            <w:tcW w:w="852" w:type="dxa"/>
            <w:tcBorders>
              <w:left w:val="single" w:color="000000" w:sz="4" w:space="0"/>
              <w:right w:val="single" w:color="000000" w:sz="4" w:space="0"/>
            </w:tcBorders>
            <w:vAlign w:val="top"/>
          </w:tcPr>
          <w:p>
            <w:pPr>
              <w:spacing w:before="134" w:line="195" w:lineRule="auto"/>
              <w:ind w:left="19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.345</w:t>
            </w:r>
          </w:p>
        </w:tc>
        <w:tc>
          <w:tcPr>
            <w:tcW w:w="852" w:type="dxa"/>
            <w:tcBorders>
              <w:left w:val="single" w:color="000000" w:sz="4" w:space="0"/>
              <w:right w:val="single" w:color="000000" w:sz="4" w:space="0"/>
            </w:tcBorders>
            <w:vAlign w:val="top"/>
          </w:tcPr>
          <w:p>
            <w:pPr>
              <w:spacing w:before="134" w:line="195" w:lineRule="auto"/>
              <w:ind w:left="19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.330</w:t>
            </w:r>
          </w:p>
        </w:tc>
        <w:tc>
          <w:tcPr>
            <w:tcW w:w="1458" w:type="dxa"/>
            <w:vMerge w:val="restart"/>
            <w:tcBorders>
              <w:left w:val="single" w:color="000000" w:sz="4" w:space="0"/>
              <w:bottom w:val="nil"/>
              <w:right w:val="single" w:color="000000" w:sz="10" w:space="0"/>
            </w:tcBorders>
            <w:vAlign w:val="top"/>
          </w:tcPr>
          <w:p>
            <w:pPr>
              <w:spacing w:before="305" w:line="228" w:lineRule="auto"/>
              <w:ind w:left="31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春</w:t>
            </w:r>
            <w:r>
              <w:rPr>
                <w:rFonts w:hint="default" w:ascii="Times New Roman" w:hAnsi="Times New Roman" w:eastAsia="宋体" w:cs="Times New Roman"/>
                <w:spacing w:val="7"/>
                <w:sz w:val="20"/>
                <w:szCs w:val="20"/>
                <w:highlight w:val="none"/>
              </w:rPr>
              <w:t>季测量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794" w:type="dxa"/>
            <w:tcBorders>
              <w:left w:val="single" w:color="000000" w:sz="10" w:space="0"/>
              <w:right w:val="single" w:color="000000" w:sz="4" w:space="0"/>
            </w:tcBorders>
            <w:vAlign w:val="top"/>
          </w:tcPr>
          <w:p>
            <w:pPr>
              <w:spacing w:before="101" w:line="228" w:lineRule="auto"/>
              <w:ind w:left="46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场</w:t>
            </w:r>
            <w:r>
              <w:rPr>
                <w:rFonts w:hint="default" w:ascii="Times New Roman" w:hAnsi="Times New Roman" w:eastAsia="宋体" w:cs="Times New Roman"/>
                <w:spacing w:val="7"/>
                <w:sz w:val="20"/>
                <w:szCs w:val="20"/>
                <w:highlight w:val="none"/>
              </w:rPr>
              <w:t>地洒水</w:t>
            </w:r>
          </w:p>
        </w:tc>
        <w:tc>
          <w:tcPr>
            <w:tcW w:w="852" w:type="dxa"/>
            <w:tcBorders>
              <w:left w:val="single" w:color="000000" w:sz="4" w:space="0"/>
              <w:right w:val="single" w:color="000000" w:sz="4" w:space="0"/>
            </w:tcBorders>
            <w:vAlign w:val="top"/>
          </w:tcPr>
          <w:p>
            <w:pPr>
              <w:spacing w:before="137" w:line="195" w:lineRule="auto"/>
              <w:ind w:left="1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0.43</w:t>
            </w:r>
            <w:r>
              <w:rPr>
                <w:rFonts w:hint="default" w:ascii="Times New Roman" w:hAnsi="Times New Roman" w:eastAsia="Times New Roman" w:cs="Times New Roman"/>
                <w:spacing w:val="2"/>
                <w:sz w:val="20"/>
                <w:szCs w:val="20"/>
                <w:highlight w:val="none"/>
              </w:rPr>
              <w:t>7</w:t>
            </w:r>
          </w:p>
        </w:tc>
        <w:tc>
          <w:tcPr>
            <w:tcW w:w="853" w:type="dxa"/>
            <w:tcBorders>
              <w:left w:val="single" w:color="000000" w:sz="4" w:space="0"/>
              <w:right w:val="single" w:color="000000" w:sz="4" w:space="0"/>
            </w:tcBorders>
            <w:vAlign w:val="top"/>
          </w:tcPr>
          <w:p>
            <w:pPr>
              <w:spacing w:before="137" w:line="195" w:lineRule="auto"/>
              <w:ind w:left="1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.350</w:t>
            </w:r>
          </w:p>
        </w:tc>
        <w:tc>
          <w:tcPr>
            <w:tcW w:w="852" w:type="dxa"/>
            <w:tcBorders>
              <w:left w:val="single" w:color="000000" w:sz="4" w:space="0"/>
              <w:right w:val="single" w:color="000000" w:sz="4" w:space="0"/>
            </w:tcBorders>
            <w:vAlign w:val="top"/>
          </w:tcPr>
          <w:p>
            <w:pPr>
              <w:spacing w:before="137" w:line="195" w:lineRule="auto"/>
              <w:ind w:left="19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0.31</w:t>
            </w:r>
            <w:r>
              <w:rPr>
                <w:rFonts w:hint="default" w:ascii="Times New Roman" w:hAnsi="Times New Roman" w:eastAsia="Times New Roman" w:cs="Times New Roman"/>
                <w:spacing w:val="2"/>
                <w:sz w:val="20"/>
                <w:szCs w:val="20"/>
                <w:highlight w:val="none"/>
              </w:rPr>
              <w:t>0</w:t>
            </w:r>
          </w:p>
        </w:tc>
        <w:tc>
          <w:tcPr>
            <w:tcW w:w="852" w:type="dxa"/>
            <w:tcBorders>
              <w:left w:val="single" w:color="000000" w:sz="4" w:space="0"/>
              <w:right w:val="single" w:color="000000" w:sz="4" w:space="0"/>
            </w:tcBorders>
            <w:vAlign w:val="top"/>
          </w:tcPr>
          <w:p>
            <w:pPr>
              <w:spacing w:before="137" w:line="195" w:lineRule="auto"/>
              <w:ind w:left="19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.265</w:t>
            </w:r>
          </w:p>
        </w:tc>
        <w:tc>
          <w:tcPr>
            <w:tcW w:w="852" w:type="dxa"/>
            <w:tcBorders>
              <w:left w:val="single" w:color="000000" w:sz="4" w:space="0"/>
              <w:right w:val="single" w:color="000000" w:sz="4" w:space="0"/>
            </w:tcBorders>
            <w:vAlign w:val="top"/>
          </w:tcPr>
          <w:p>
            <w:pPr>
              <w:spacing w:before="137" w:line="195" w:lineRule="auto"/>
              <w:ind w:left="19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.250</w:t>
            </w:r>
          </w:p>
        </w:tc>
        <w:tc>
          <w:tcPr>
            <w:tcW w:w="852" w:type="dxa"/>
            <w:tcBorders>
              <w:left w:val="single" w:color="000000" w:sz="4" w:space="0"/>
              <w:right w:val="single" w:color="000000" w:sz="4" w:space="0"/>
            </w:tcBorders>
            <w:vAlign w:val="top"/>
          </w:tcPr>
          <w:p>
            <w:pPr>
              <w:spacing w:before="137" w:line="195" w:lineRule="auto"/>
              <w:ind w:left="19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3"/>
                <w:sz w:val="20"/>
                <w:szCs w:val="20"/>
                <w:highlight w:val="none"/>
              </w:rPr>
              <w:t>.238</w:t>
            </w:r>
          </w:p>
        </w:tc>
        <w:tc>
          <w:tcPr>
            <w:tcW w:w="1458" w:type="dxa"/>
            <w:vMerge w:val="continue"/>
            <w:tcBorders>
              <w:top w:val="nil"/>
              <w:left w:val="single" w:color="000000" w:sz="4" w:space="0"/>
              <w:right w:val="single" w:color="000000" w:sz="10" w:space="0"/>
            </w:tcBorders>
            <w:vAlign w:val="top"/>
          </w:tcPr>
          <w:p>
            <w:pPr>
              <w:rPr>
                <w:rFonts w:hint="default" w:ascii="Times New Roman" w:hAnsi="Times New Roman" w:cs="Times New Roman"/>
                <w:sz w:val="21"/>
                <w:highlight w:val="none"/>
              </w:rPr>
            </w:pPr>
          </w:p>
        </w:tc>
      </w:tr>
    </w:tbl>
    <w:p>
      <w:pPr>
        <w:spacing w:before="196" w:line="229" w:lineRule="auto"/>
        <w:ind w:left="56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由以上施工扬尘监测结果分析可知</w:t>
      </w:r>
      <w:r>
        <w:rPr>
          <w:rFonts w:hint="default" w:ascii="Times New Roman" w:hAnsi="Times New Roman" w:eastAsia="宋体" w:cs="Times New Roman"/>
          <w:spacing w:val="6"/>
          <w:sz w:val="23"/>
          <w:szCs w:val="23"/>
          <w:highlight w:val="none"/>
        </w:rPr>
        <w:t>：</w:t>
      </w:r>
    </w:p>
    <w:p>
      <w:pPr>
        <w:spacing w:before="179" w:line="408" w:lineRule="auto"/>
        <w:ind w:left="50"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①当</w:t>
      </w:r>
      <w:r>
        <w:rPr>
          <w:rFonts w:hint="default" w:ascii="Times New Roman" w:hAnsi="Times New Roman" w:eastAsia="宋体" w:cs="Times New Roman"/>
          <w:spacing w:val="11"/>
          <w:sz w:val="23"/>
          <w:szCs w:val="23"/>
          <w:highlight w:val="none"/>
        </w:rPr>
        <w:t>风</w:t>
      </w:r>
      <w:r>
        <w:rPr>
          <w:rFonts w:hint="default" w:ascii="Times New Roman" w:hAnsi="Times New Roman" w:eastAsia="宋体" w:cs="Times New Roman"/>
          <w:spacing w:val="6"/>
          <w:sz w:val="23"/>
          <w:szCs w:val="23"/>
          <w:highlight w:val="none"/>
        </w:rPr>
        <w:t xml:space="preserve">速为 </w:t>
      </w:r>
      <w:r>
        <w:rPr>
          <w:rFonts w:hint="default" w:ascii="Times New Roman" w:hAnsi="Times New Roman" w:eastAsia="Times New Roman" w:cs="Times New Roman"/>
          <w:spacing w:val="6"/>
          <w:sz w:val="23"/>
          <w:szCs w:val="23"/>
          <w:highlight w:val="none"/>
        </w:rPr>
        <w:t>2.4</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s</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时建筑工地内</w:t>
      </w:r>
      <w:r>
        <w:rPr>
          <w:rFonts w:hint="default" w:ascii="Times New Roman" w:hAnsi="Times New Roman" w:eastAsia="Times New Roman" w:cs="Times New Roman"/>
          <w:sz w:val="23"/>
          <w:szCs w:val="23"/>
          <w:highlight w:val="none"/>
        </w:rPr>
        <w:t>TSP</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 xml:space="preserve">浓度约为上风向对照点的 </w:t>
      </w:r>
      <w:r>
        <w:rPr>
          <w:rFonts w:hint="default" w:ascii="Times New Roman" w:hAnsi="Times New Roman" w:eastAsia="Times New Roman" w:cs="Times New Roman"/>
          <w:spacing w:val="6"/>
          <w:sz w:val="23"/>
          <w:szCs w:val="23"/>
          <w:highlight w:val="none"/>
        </w:rPr>
        <w:t>1.9</w:t>
      </w:r>
      <w:r>
        <w:rPr>
          <w:rFonts w:hint="default" w:ascii="Times New Roman" w:hAnsi="Times New Roman" w:eastAsia="宋体" w:cs="Times New Roman"/>
          <w:spacing w:val="6"/>
          <w:sz w:val="23"/>
          <w:szCs w:val="23"/>
          <w:highlight w:val="none"/>
        </w:rPr>
        <w:t>~</w:t>
      </w:r>
      <w:r>
        <w:rPr>
          <w:rFonts w:hint="default" w:ascii="Times New Roman" w:hAnsi="Times New Roman" w:eastAsia="Times New Roman" w:cs="Times New Roman"/>
          <w:spacing w:val="6"/>
          <w:sz w:val="23"/>
          <w:szCs w:val="23"/>
          <w:highlight w:val="none"/>
        </w:rPr>
        <w:t xml:space="preserve">2.4 </w:t>
      </w:r>
      <w:r>
        <w:rPr>
          <w:rFonts w:hint="default" w:ascii="Times New Roman" w:hAnsi="Times New Roman" w:eastAsia="宋体" w:cs="Times New Roman"/>
          <w:spacing w:val="6"/>
          <w:sz w:val="23"/>
          <w:szCs w:val="23"/>
          <w:highlight w:val="none"/>
        </w:rPr>
        <w:t>倍，</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平</w:t>
      </w:r>
      <w:r>
        <w:rPr>
          <w:rFonts w:hint="default" w:ascii="Times New Roman" w:hAnsi="Times New Roman" w:eastAsia="宋体" w:cs="Times New Roman"/>
          <w:spacing w:val="-7"/>
          <w:sz w:val="23"/>
          <w:szCs w:val="23"/>
          <w:highlight w:val="none"/>
        </w:rPr>
        <w:t xml:space="preserve">均 </w:t>
      </w:r>
      <w:r>
        <w:rPr>
          <w:rFonts w:hint="default" w:ascii="Times New Roman" w:hAnsi="Times New Roman" w:eastAsia="Times New Roman" w:cs="Times New Roman"/>
          <w:spacing w:val="-7"/>
          <w:sz w:val="23"/>
          <w:szCs w:val="23"/>
          <w:highlight w:val="none"/>
        </w:rPr>
        <w:t xml:space="preserve">2. 1 </w:t>
      </w:r>
      <w:r>
        <w:rPr>
          <w:rFonts w:hint="default" w:ascii="Times New Roman" w:hAnsi="Times New Roman" w:eastAsia="宋体" w:cs="Times New Roman"/>
          <w:spacing w:val="-7"/>
          <w:sz w:val="23"/>
          <w:szCs w:val="23"/>
          <w:highlight w:val="none"/>
        </w:rPr>
        <w:t>倍。</w:t>
      </w:r>
    </w:p>
    <w:p>
      <w:pPr>
        <w:spacing w:before="20" w:line="391" w:lineRule="auto"/>
        <w:ind w:left="49" w:right="63"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3"/>
          <w:sz w:val="23"/>
          <w:szCs w:val="23"/>
          <w:highlight w:val="none"/>
        </w:rPr>
        <w:t>②</w:t>
      </w:r>
      <w:r>
        <w:rPr>
          <w:rFonts w:hint="default" w:ascii="Times New Roman" w:hAnsi="Times New Roman" w:eastAsia="宋体" w:cs="Times New Roman"/>
          <w:spacing w:val="16"/>
          <w:sz w:val="23"/>
          <w:szCs w:val="23"/>
          <w:highlight w:val="none"/>
        </w:rPr>
        <w:t xml:space="preserve">建筑施工扬尘的影响范围在工地下风向 </w:t>
      </w:r>
      <w:r>
        <w:rPr>
          <w:rFonts w:hint="default" w:ascii="Times New Roman" w:hAnsi="Times New Roman" w:eastAsia="Times New Roman" w:cs="Times New Roman"/>
          <w:spacing w:val="16"/>
          <w:sz w:val="23"/>
          <w:szCs w:val="23"/>
          <w:highlight w:val="none"/>
        </w:rPr>
        <w:t>50</w:t>
      </w:r>
      <w:r>
        <w:rPr>
          <w:rFonts w:hint="default" w:ascii="Times New Roman" w:hAnsi="Times New Roman" w:eastAsia="宋体" w:cs="Times New Roman"/>
          <w:spacing w:val="16"/>
          <w:sz w:val="23"/>
          <w:szCs w:val="23"/>
          <w:highlight w:val="none"/>
        </w:rPr>
        <w:t>~</w:t>
      </w:r>
      <w:r>
        <w:rPr>
          <w:rFonts w:hint="default" w:ascii="Times New Roman" w:hAnsi="Times New Roman" w:eastAsia="Times New Roman" w:cs="Times New Roman"/>
          <w:spacing w:val="16"/>
          <w:sz w:val="23"/>
          <w:szCs w:val="23"/>
          <w:highlight w:val="none"/>
        </w:rPr>
        <w:t>150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6"/>
          <w:sz w:val="23"/>
          <w:szCs w:val="23"/>
          <w:highlight w:val="none"/>
        </w:rPr>
        <w:t xml:space="preserve"> </w:t>
      </w:r>
      <w:r>
        <w:rPr>
          <w:rFonts w:hint="default" w:ascii="Times New Roman" w:hAnsi="Times New Roman" w:eastAsia="宋体" w:cs="Times New Roman"/>
          <w:spacing w:val="16"/>
          <w:sz w:val="23"/>
          <w:szCs w:val="23"/>
          <w:highlight w:val="none"/>
        </w:rPr>
        <w:t>之间，受影响地区的</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z w:val="23"/>
          <w:szCs w:val="23"/>
          <w:highlight w:val="none"/>
        </w:rPr>
        <w:t>TSP</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 xml:space="preserve">浓度日平均值为 </w:t>
      </w:r>
      <w:r>
        <w:rPr>
          <w:rFonts w:hint="default" w:ascii="Times New Roman" w:hAnsi="Times New Roman" w:eastAsia="Times New Roman" w:cs="Times New Roman"/>
          <w:spacing w:val="1"/>
          <w:sz w:val="23"/>
          <w:szCs w:val="23"/>
          <w:highlight w:val="none"/>
        </w:rPr>
        <w:t>0.400</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8"/>
          <w:sz w:val="15"/>
          <w:szCs w:val="15"/>
          <w:highlight w:val="none"/>
        </w:rPr>
        <w:t>3</w:t>
      </w:r>
      <w:r>
        <w:rPr>
          <w:rFonts w:hint="default" w:ascii="Times New Roman" w:hAnsi="Times New Roman" w:eastAsia="宋体" w:cs="Times New Roman"/>
          <w:spacing w:val="1"/>
          <w:sz w:val="23"/>
          <w:szCs w:val="23"/>
          <w:highlight w:val="none"/>
        </w:rPr>
        <w:t xml:space="preserve">，为上风向对照点的 </w:t>
      </w:r>
      <w:r>
        <w:rPr>
          <w:rFonts w:hint="default" w:ascii="Times New Roman" w:hAnsi="Times New Roman" w:eastAsia="Times New Roman" w:cs="Times New Roman"/>
          <w:spacing w:val="1"/>
          <w:sz w:val="23"/>
          <w:szCs w:val="23"/>
          <w:highlight w:val="none"/>
        </w:rPr>
        <w:t xml:space="preserve">1.26 </w:t>
      </w:r>
      <w:r>
        <w:rPr>
          <w:rFonts w:hint="default" w:ascii="Times New Roman" w:hAnsi="Times New Roman" w:eastAsia="宋体" w:cs="Times New Roman"/>
          <w:spacing w:val="1"/>
          <w:sz w:val="23"/>
          <w:szCs w:val="23"/>
          <w:highlight w:val="none"/>
        </w:rPr>
        <w:t>倍，浓度值均超过《环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境</w:t>
      </w:r>
      <w:r>
        <w:rPr>
          <w:rFonts w:hint="default" w:ascii="Times New Roman" w:hAnsi="Times New Roman" w:eastAsia="宋体" w:cs="Times New Roman"/>
          <w:spacing w:val="12"/>
          <w:sz w:val="23"/>
          <w:szCs w:val="23"/>
          <w:highlight w:val="none"/>
        </w:rPr>
        <w:t>空</w:t>
      </w:r>
      <w:r>
        <w:rPr>
          <w:rFonts w:hint="default" w:ascii="Times New Roman" w:hAnsi="Times New Roman" w:eastAsia="宋体" w:cs="Times New Roman"/>
          <w:spacing w:val="7"/>
          <w:sz w:val="23"/>
          <w:szCs w:val="23"/>
          <w:highlight w:val="none"/>
        </w:rPr>
        <w:t>气质量标准》</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7"/>
          <w:sz w:val="23"/>
          <w:szCs w:val="23"/>
          <w:highlight w:val="none"/>
        </w:rPr>
        <w:t>3095-2012)</w:t>
      </w:r>
      <w:r>
        <w:rPr>
          <w:rFonts w:hint="default" w:ascii="Times New Roman" w:hAnsi="Times New Roman" w:eastAsia="宋体" w:cs="Times New Roman"/>
          <w:spacing w:val="7"/>
          <w:sz w:val="23"/>
          <w:szCs w:val="23"/>
          <w:highlight w:val="none"/>
        </w:rPr>
        <w:t>二级标准值。</w:t>
      </w:r>
    </w:p>
    <w:p>
      <w:pPr>
        <w:spacing w:before="1" w:line="401" w:lineRule="auto"/>
        <w:ind w:left="51" w:right="63"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③</w:t>
      </w:r>
      <w:r>
        <w:rPr>
          <w:rFonts w:hint="default" w:ascii="Times New Roman" w:hAnsi="Times New Roman" w:eastAsia="宋体" w:cs="Times New Roman"/>
          <w:spacing w:val="4"/>
          <w:sz w:val="23"/>
          <w:szCs w:val="23"/>
          <w:highlight w:val="none"/>
        </w:rPr>
        <w:t xml:space="preserve">建筑工地下风向 </w:t>
      </w:r>
      <w:r>
        <w:rPr>
          <w:rFonts w:hint="default" w:ascii="Times New Roman" w:hAnsi="Times New Roman" w:eastAsia="Times New Roman" w:cs="Times New Roman"/>
          <w:spacing w:val="4"/>
          <w:sz w:val="23"/>
          <w:szCs w:val="23"/>
          <w:highlight w:val="none"/>
        </w:rPr>
        <w:t>150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处</w:t>
      </w:r>
      <w:r>
        <w:rPr>
          <w:rFonts w:hint="default" w:ascii="Times New Roman" w:hAnsi="Times New Roman" w:eastAsia="Times New Roman" w:cs="Times New Roman"/>
          <w:sz w:val="23"/>
          <w:szCs w:val="23"/>
          <w:highlight w:val="none"/>
        </w:rPr>
        <w:t>TSP</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日平均值为</w:t>
      </w:r>
      <w:r>
        <w:rPr>
          <w:rFonts w:hint="default" w:ascii="Times New Roman" w:hAnsi="Times New Roman" w:eastAsia="Times New Roman" w:cs="Times New Roman"/>
          <w:spacing w:val="4"/>
          <w:sz w:val="23"/>
          <w:szCs w:val="23"/>
          <w:highlight w:val="none"/>
        </w:rPr>
        <w:t>0.322</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position w:val="8"/>
          <w:sz w:val="15"/>
          <w:szCs w:val="15"/>
          <w:highlight w:val="none"/>
        </w:rPr>
        <w:t xml:space="preserve">3 </w:t>
      </w:r>
      <w:r>
        <w:rPr>
          <w:rFonts w:hint="default" w:ascii="Times New Roman" w:hAnsi="Times New Roman" w:eastAsia="宋体" w:cs="Times New Roman"/>
          <w:spacing w:val="4"/>
          <w:sz w:val="23"/>
          <w:szCs w:val="23"/>
          <w:highlight w:val="none"/>
        </w:rPr>
        <w:t>，为《环境空气质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5"/>
          <w:sz w:val="23"/>
          <w:szCs w:val="23"/>
          <w:highlight w:val="none"/>
        </w:rPr>
        <w:t>量标准》</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5"/>
          <w:sz w:val="23"/>
          <w:szCs w:val="23"/>
          <w:highlight w:val="none"/>
        </w:rPr>
        <w:t>3095-2012)</w:t>
      </w:r>
      <w:r>
        <w:rPr>
          <w:rFonts w:hint="default" w:ascii="Times New Roman" w:hAnsi="Times New Roman" w:eastAsia="宋体" w:cs="Times New Roman"/>
          <w:spacing w:val="5"/>
          <w:sz w:val="23"/>
          <w:szCs w:val="23"/>
          <w:highlight w:val="none"/>
        </w:rPr>
        <w:t>二级标准值的</w:t>
      </w:r>
      <w:r>
        <w:rPr>
          <w:rFonts w:hint="eastAsia" w:ascii="Times New Roman" w:hAnsi="Times New Roman" w:eastAsia="宋体" w:cs="Times New Roman"/>
          <w:spacing w:val="5"/>
          <w:sz w:val="23"/>
          <w:szCs w:val="23"/>
          <w:highlight w:val="none"/>
          <w:lang w:val="en-US" w:eastAsia="zh-CN"/>
        </w:rPr>
        <w:t>1.1</w:t>
      </w:r>
      <w:r>
        <w:rPr>
          <w:rFonts w:hint="default" w:ascii="Times New Roman" w:hAnsi="Times New Roman" w:eastAsia="宋体" w:cs="Times New Roman"/>
          <w:spacing w:val="5"/>
          <w:sz w:val="23"/>
          <w:szCs w:val="23"/>
          <w:highlight w:val="none"/>
        </w:rPr>
        <w:t xml:space="preserve">倍，在下风向 </w:t>
      </w:r>
      <w:r>
        <w:rPr>
          <w:rFonts w:hint="default" w:ascii="Times New Roman" w:hAnsi="Times New Roman" w:eastAsia="Times New Roman" w:cs="Times New Roman"/>
          <w:spacing w:val="5"/>
          <w:sz w:val="23"/>
          <w:szCs w:val="23"/>
          <w:highlight w:val="none"/>
        </w:rPr>
        <w:t>200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 xml:space="preserve">处 </w:t>
      </w:r>
      <w:r>
        <w:rPr>
          <w:rFonts w:hint="default" w:ascii="Times New Roman" w:hAnsi="Times New Roman" w:eastAsia="Times New Roman" w:cs="Times New Roman"/>
          <w:sz w:val="23"/>
          <w:szCs w:val="23"/>
          <w:highlight w:val="none"/>
        </w:rPr>
        <w:t>TSP</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可达</w:t>
      </w:r>
      <w:r>
        <w:rPr>
          <w:rFonts w:hint="default" w:ascii="Times New Roman" w:hAnsi="Times New Roman" w:eastAsia="宋体" w:cs="Times New Roman"/>
          <w:spacing w:val="4"/>
          <w:sz w:val="23"/>
          <w:szCs w:val="23"/>
          <w:highlight w:val="none"/>
        </w:rPr>
        <w:t>到</w:t>
      </w:r>
      <w:r>
        <w:rPr>
          <w:rFonts w:hint="default" w:ascii="Times New Roman" w:hAnsi="Times New Roman" w:eastAsia="宋体" w:cs="Times New Roman"/>
          <w:sz w:val="23"/>
          <w:szCs w:val="23"/>
          <w:highlight w:val="none"/>
        </w:rPr>
        <w:t xml:space="preserve">相 </w:t>
      </w:r>
      <w:r>
        <w:rPr>
          <w:rFonts w:hint="default" w:ascii="Times New Roman" w:hAnsi="Times New Roman" w:eastAsia="宋体" w:cs="Times New Roman"/>
          <w:spacing w:val="10"/>
          <w:sz w:val="23"/>
          <w:szCs w:val="23"/>
          <w:highlight w:val="none"/>
        </w:rPr>
        <w:t>应</w:t>
      </w:r>
      <w:r>
        <w:rPr>
          <w:rFonts w:hint="default" w:ascii="Times New Roman" w:hAnsi="Times New Roman" w:eastAsia="宋体" w:cs="Times New Roman"/>
          <w:spacing w:val="8"/>
          <w:sz w:val="23"/>
          <w:szCs w:val="23"/>
          <w:highlight w:val="none"/>
        </w:rPr>
        <w:t>的环境空气质量标准。</w:t>
      </w:r>
    </w:p>
    <w:p>
      <w:pPr>
        <w:keepNext w:val="0"/>
        <w:keepLines w:val="0"/>
        <w:pageBreakBefore w:val="0"/>
        <w:widowControl/>
        <w:kinsoku w:val="0"/>
        <w:wordWrap/>
        <w:overflowPunct/>
        <w:topLinePunct w:val="0"/>
        <w:autoSpaceDE w:val="0"/>
        <w:autoSpaceDN w:val="0"/>
        <w:bidi w:val="0"/>
        <w:adjustRightInd w:val="0"/>
        <w:snapToGrid w:val="0"/>
        <w:spacing w:before="1" w:line="460" w:lineRule="exact"/>
        <w:ind w:left="52" w:right="63" w:firstLine="477"/>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 xml:space="preserve">④表 </w:t>
      </w:r>
      <w:r>
        <w:rPr>
          <w:rFonts w:hint="default" w:ascii="Times New Roman" w:hAnsi="Times New Roman" w:eastAsia="Times New Roman" w:cs="Times New Roman"/>
          <w:spacing w:val="6"/>
          <w:sz w:val="23"/>
          <w:szCs w:val="23"/>
          <w:highlight w:val="none"/>
        </w:rPr>
        <w:t>5</w:t>
      </w:r>
      <w:r>
        <w:rPr>
          <w:rFonts w:hint="eastAsia" w:ascii="Times New Roman" w:hAnsi="Times New Roman" w:eastAsia="宋体" w:cs="Times New Roman"/>
          <w:spacing w:val="6"/>
          <w:sz w:val="23"/>
          <w:szCs w:val="23"/>
          <w:highlight w:val="none"/>
          <w:lang w:val="en-US" w:eastAsia="zh-CN"/>
        </w:rPr>
        <w:t>.1</w:t>
      </w:r>
      <w:r>
        <w:rPr>
          <w:rFonts w:hint="default" w:ascii="Times New Roman" w:hAnsi="Times New Roman" w:eastAsia="Times New Roman" w:cs="Times New Roman"/>
          <w:spacing w:val="6"/>
          <w:sz w:val="23"/>
          <w:szCs w:val="23"/>
          <w:highlight w:val="none"/>
        </w:rPr>
        <w:t xml:space="preserve">-2 </w:t>
      </w:r>
      <w:r>
        <w:rPr>
          <w:rFonts w:hint="default" w:ascii="Times New Roman" w:hAnsi="Times New Roman" w:eastAsia="宋体" w:cs="Times New Roman"/>
          <w:spacing w:val="6"/>
          <w:sz w:val="23"/>
          <w:szCs w:val="23"/>
          <w:highlight w:val="none"/>
        </w:rPr>
        <w:t xml:space="preserve">表明，场地洒水后，扬尘量将降低 </w:t>
      </w:r>
      <w:r>
        <w:rPr>
          <w:rFonts w:hint="default" w:ascii="Times New Roman" w:hAnsi="Times New Roman" w:eastAsia="Times New Roman" w:cs="Times New Roman"/>
          <w:spacing w:val="6"/>
          <w:sz w:val="23"/>
          <w:szCs w:val="23"/>
          <w:highlight w:val="none"/>
        </w:rPr>
        <w:t>28%</w:t>
      </w:r>
      <w:r>
        <w:rPr>
          <w:rFonts w:hint="default" w:ascii="Times New Roman" w:hAnsi="Times New Roman" w:eastAsia="宋体" w:cs="Times New Roman"/>
          <w:spacing w:val="6"/>
          <w:sz w:val="23"/>
          <w:szCs w:val="23"/>
          <w:highlight w:val="none"/>
        </w:rPr>
        <w:t>~</w:t>
      </w:r>
      <w:r>
        <w:rPr>
          <w:rFonts w:hint="default" w:ascii="Times New Roman" w:hAnsi="Times New Roman" w:eastAsia="Times New Roman" w:cs="Times New Roman"/>
          <w:spacing w:val="6"/>
          <w:sz w:val="23"/>
          <w:szCs w:val="23"/>
          <w:highlight w:val="none"/>
        </w:rPr>
        <w:t xml:space="preserve">75% </w:t>
      </w:r>
      <w:r>
        <w:rPr>
          <w:rFonts w:hint="default" w:ascii="Times New Roman" w:hAnsi="Times New Roman" w:eastAsia="宋体" w:cs="Times New Roman"/>
          <w:spacing w:val="6"/>
          <w:sz w:val="23"/>
          <w:szCs w:val="23"/>
          <w:highlight w:val="none"/>
        </w:rPr>
        <w:t>，可极大减少其</w:t>
      </w:r>
      <w:r>
        <w:rPr>
          <w:rFonts w:hint="default" w:ascii="Times New Roman" w:hAnsi="Times New Roman" w:eastAsia="宋体" w:cs="Times New Roman"/>
          <w:spacing w:val="5"/>
          <w:sz w:val="23"/>
          <w:szCs w:val="23"/>
          <w:highlight w:val="none"/>
        </w:rPr>
        <w:t>对</w:t>
      </w:r>
      <w:r>
        <w:rPr>
          <w:rFonts w:hint="default" w:ascii="Times New Roman" w:hAnsi="Times New Roman" w:eastAsia="宋体" w:cs="Times New Roman"/>
          <w:sz w:val="23"/>
          <w:szCs w:val="23"/>
          <w:highlight w:val="none"/>
        </w:rPr>
        <w:t xml:space="preserve">环 </w:t>
      </w:r>
      <w:r>
        <w:rPr>
          <w:rFonts w:hint="default" w:ascii="Times New Roman" w:hAnsi="Times New Roman" w:eastAsia="宋体" w:cs="Times New Roman"/>
          <w:spacing w:val="1"/>
          <w:sz w:val="23"/>
          <w:szCs w:val="23"/>
          <w:highlight w:val="none"/>
        </w:rPr>
        <w:t>境的影响</w:t>
      </w:r>
      <w:r>
        <w:rPr>
          <w:rFonts w:hint="eastAsia" w:ascii="Times New Roman" w:hAnsi="Times New Roman" w:eastAsia="宋体" w:cs="Times New Roman"/>
          <w:spacing w:val="1"/>
          <w:sz w:val="23"/>
          <w:szCs w:val="23"/>
          <w:highlight w:val="none"/>
          <w:lang w:eastAsia="zh-CN"/>
        </w:rPr>
        <w:t>，</w:t>
      </w:r>
      <w:r>
        <w:rPr>
          <w:rFonts w:hint="default" w:ascii="Times New Roman" w:hAnsi="Times New Roman" w:eastAsia="Times New Roman" w:cs="Times New Roman"/>
          <w:sz w:val="23"/>
          <w:szCs w:val="23"/>
          <w:highlight w:val="none"/>
        </w:rPr>
        <w:t>TSP</w:t>
      </w:r>
      <w:r>
        <w:rPr>
          <w:rFonts w:hint="default" w:ascii="Times New Roman" w:hAnsi="Times New Roman" w:eastAsia="宋体" w:cs="Times New Roman"/>
          <w:spacing w:val="1"/>
          <w:sz w:val="23"/>
          <w:szCs w:val="23"/>
          <w:highlight w:val="none"/>
        </w:rPr>
        <w:t xml:space="preserve">在 </w:t>
      </w:r>
      <w:r>
        <w:rPr>
          <w:rFonts w:hint="default" w:ascii="Times New Roman" w:hAnsi="Times New Roman" w:eastAsia="Times New Roman" w:cs="Times New Roman"/>
          <w:spacing w:val="1"/>
          <w:sz w:val="23"/>
          <w:szCs w:val="23"/>
          <w:highlight w:val="none"/>
        </w:rPr>
        <w:t>40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处即可达标， 日平均值</w:t>
      </w:r>
      <w:r>
        <w:rPr>
          <w:rFonts w:hint="default" w:ascii="Times New Roman" w:hAnsi="Times New Roman" w:eastAsia="宋体" w:cs="Times New Roman"/>
          <w:sz w:val="23"/>
          <w:szCs w:val="23"/>
          <w:highlight w:val="none"/>
        </w:rPr>
        <w:t xml:space="preserve">为 </w:t>
      </w:r>
      <w:r>
        <w:rPr>
          <w:rFonts w:hint="default" w:ascii="Times New Roman" w:hAnsi="Times New Roman" w:eastAsia="Times New Roman" w:cs="Times New Roman"/>
          <w:sz w:val="23"/>
          <w:szCs w:val="23"/>
          <w:highlight w:val="none"/>
        </w:rPr>
        <w:t>0.265mg/m</w:t>
      </w:r>
      <w:r>
        <w:rPr>
          <w:rFonts w:hint="default" w:ascii="Times New Roman" w:hAnsi="Times New Roman" w:eastAsia="Times New Roman" w:cs="Times New Roman"/>
          <w:position w:val="8"/>
          <w:sz w:val="15"/>
          <w:szCs w:val="15"/>
          <w:highlight w:val="none"/>
        </w:rPr>
        <w:t>3</w:t>
      </w:r>
      <w:r>
        <w:rPr>
          <w:rFonts w:hint="default" w:ascii="Times New Roman" w:hAnsi="Times New Roman" w:eastAsia="宋体" w:cs="Times New Roman"/>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5" w:line="460" w:lineRule="exact"/>
        <w:ind w:left="51" w:right="62" w:firstLine="51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由以上类比调查结果可知，施工扬尘以土壤颗粒为主，距本项目边界较近</w:t>
      </w:r>
      <w:r>
        <w:rPr>
          <w:rFonts w:hint="default" w:ascii="Times New Roman" w:hAnsi="Times New Roman" w:eastAsia="宋体" w:cs="Times New Roman"/>
          <w:spacing w:val="5"/>
          <w:sz w:val="23"/>
          <w:szCs w:val="23"/>
          <w:highlight w:val="none"/>
        </w:rPr>
        <w:t>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敏</w:t>
      </w:r>
      <w:r>
        <w:rPr>
          <w:rFonts w:hint="default" w:ascii="Times New Roman" w:hAnsi="Times New Roman" w:eastAsia="宋体" w:cs="Times New Roman"/>
          <w:spacing w:val="5"/>
          <w:sz w:val="23"/>
          <w:szCs w:val="23"/>
          <w:highlight w:val="none"/>
        </w:rPr>
        <w:t>感</w:t>
      </w:r>
      <w:r>
        <w:rPr>
          <w:rFonts w:hint="default" w:ascii="Times New Roman" w:hAnsi="Times New Roman" w:eastAsia="宋体" w:cs="Times New Roman"/>
          <w:spacing w:val="3"/>
          <w:sz w:val="23"/>
          <w:szCs w:val="23"/>
          <w:highlight w:val="none"/>
        </w:rPr>
        <w:t xml:space="preserve">点有：项目边界北侧 </w:t>
      </w:r>
      <w:r>
        <w:rPr>
          <w:rFonts w:hint="default" w:ascii="Times New Roman" w:hAnsi="Times New Roman" w:eastAsia="Times New Roman" w:cs="Times New Roman"/>
          <w:spacing w:val="3"/>
          <w:sz w:val="23"/>
          <w:szCs w:val="23"/>
          <w:highlight w:val="none"/>
        </w:rPr>
        <w:t>116</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处的张</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家</w:t>
      </w:r>
      <w:r>
        <w:rPr>
          <w:rFonts w:hint="default" w:ascii="Times New Roman" w:hAnsi="Times New Roman" w:eastAsia="宋体" w:cs="Times New Roman"/>
          <w:spacing w:val="6"/>
          <w:sz w:val="23"/>
          <w:szCs w:val="23"/>
          <w:highlight w:val="none"/>
        </w:rPr>
        <w:t xml:space="preserve">坟居民点、项目边界西北侧 </w:t>
      </w:r>
      <w:r>
        <w:rPr>
          <w:rFonts w:hint="default" w:ascii="Times New Roman" w:hAnsi="Times New Roman" w:eastAsia="Times New Roman" w:cs="Times New Roman"/>
          <w:spacing w:val="6"/>
          <w:sz w:val="23"/>
          <w:szCs w:val="23"/>
          <w:highlight w:val="none"/>
        </w:rPr>
        <w:t>150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 xml:space="preserve">处的孟子院、项目边界南侧 </w:t>
      </w:r>
      <w:r>
        <w:rPr>
          <w:rFonts w:hint="default" w:ascii="Times New Roman" w:hAnsi="Times New Roman" w:eastAsia="Times New Roman" w:cs="Times New Roman"/>
          <w:spacing w:val="6"/>
          <w:sz w:val="23"/>
          <w:szCs w:val="23"/>
          <w:highlight w:val="none"/>
        </w:rPr>
        <w:t>156</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处的皮各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 xml:space="preserve">庄村居民点。在该区域年平均风速为 </w:t>
      </w:r>
      <w:r>
        <w:rPr>
          <w:rFonts w:hint="default" w:ascii="Times New Roman" w:hAnsi="Times New Roman" w:eastAsia="Times New Roman" w:cs="Times New Roman"/>
          <w:spacing w:val="7"/>
          <w:sz w:val="23"/>
          <w:szCs w:val="23"/>
          <w:highlight w:val="none"/>
        </w:rPr>
        <w:t>1.62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s</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情况下，会对其产生一定的影响</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为</w:t>
      </w:r>
      <w:r>
        <w:rPr>
          <w:rFonts w:hint="default" w:ascii="Times New Roman" w:hAnsi="Times New Roman" w:eastAsia="宋体" w:cs="Times New Roman"/>
          <w:spacing w:val="14"/>
          <w:sz w:val="23"/>
          <w:szCs w:val="23"/>
          <w:highlight w:val="none"/>
        </w:rPr>
        <w:t>减轻施工扬尘对周边村环境空气质量产生的影响，必须采取施工扬尘控制措</w:t>
      </w:r>
      <w:r>
        <w:rPr>
          <w:rFonts w:hint="default" w:ascii="Times New Roman" w:hAnsi="Times New Roman" w:eastAsia="宋体" w:cs="Times New Roman"/>
          <w:spacing w:val="1"/>
          <w:sz w:val="23"/>
          <w:szCs w:val="23"/>
          <w:highlight w:val="none"/>
        </w:rPr>
        <w:t>施</w:t>
      </w:r>
      <w:r>
        <w:rPr>
          <w:rFonts w:hint="default" w:ascii="Times New Roman" w:hAnsi="Times New Roman" w:eastAsia="宋体" w:cs="Times New Roman"/>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outlineLvl w:val="2"/>
        <w:rPr>
          <w:rFonts w:hint="default" w:ascii="Times New Roman" w:hAnsi="Times New Roman" w:eastAsia="宋体" w:cs="Times New Roman"/>
          <w:sz w:val="23"/>
          <w:szCs w:val="23"/>
          <w:highlight w:val="none"/>
        </w:rPr>
      </w:pPr>
      <w:bookmarkStart w:id="427" w:name="_Toc13227"/>
      <w:bookmarkStart w:id="428" w:name="_Toc5554"/>
      <w:bookmarkStart w:id="429" w:name="_Toc30588"/>
      <w:r>
        <w:rPr>
          <w:rFonts w:hint="default" w:ascii="Times New Roman" w:hAnsi="Times New Roman" w:eastAsia="宋体" w:cs="Times New Roman"/>
          <w:sz w:val="23"/>
          <w:szCs w:val="23"/>
          <w:highlight w:val="none"/>
        </w:rPr>
        <w:t>（3）扬尘监测</w:t>
      </w:r>
      <w:bookmarkEnd w:id="427"/>
      <w:bookmarkEnd w:id="428"/>
      <w:bookmarkEnd w:id="429"/>
    </w:p>
    <w:p>
      <w:pPr>
        <w:autoSpaceDE w:val="0"/>
        <w:autoSpaceDN w:val="0"/>
        <w:spacing w:line="480" w:lineRule="exact"/>
        <w:ind w:firstLine="460" w:firstLineChars="200"/>
        <w:jc w:val="both"/>
        <w:rPr>
          <w:rFonts w:hint="default" w:ascii="Times New Roman" w:hAnsi="Times New Roman" w:eastAsia="宋体" w:cs="Times New Roman"/>
          <w:bCs/>
          <w:sz w:val="23"/>
          <w:szCs w:val="23"/>
          <w:highlight w:val="none"/>
        </w:rPr>
      </w:pPr>
      <w:r>
        <w:rPr>
          <w:rFonts w:hint="default" w:ascii="Times New Roman" w:hAnsi="Times New Roman" w:eastAsia="宋体" w:cs="Times New Roman"/>
          <w:sz w:val="23"/>
          <w:szCs w:val="23"/>
          <w:highlight w:val="none"/>
        </w:rPr>
        <w:t>由于施工污染源为间歇性源并且扬尘点低，会在近距离内形成局部污染，</w:t>
      </w:r>
      <w:r>
        <w:rPr>
          <w:rFonts w:hint="default" w:ascii="Times New Roman" w:hAnsi="Times New Roman" w:eastAsia="宋体" w:cs="Times New Roman"/>
          <w:bCs/>
          <w:sz w:val="23"/>
          <w:szCs w:val="23"/>
          <w:highlight w:val="none"/>
        </w:rPr>
        <w:t>对附近的大气环境和居民带来不利的影响，因此必须采取合理可行的控制措施，尽量减轻污染程度，缩小影响范围。</w:t>
      </w:r>
    </w:p>
    <w:p>
      <w:pPr>
        <w:autoSpaceDE w:val="0"/>
        <w:autoSpaceDN w:val="0"/>
        <w:spacing w:line="480" w:lineRule="exact"/>
        <w:ind w:firstLine="480"/>
        <w:jc w:val="both"/>
        <w:rPr>
          <w:rFonts w:hint="default" w:ascii="Times New Roman" w:hAnsi="Times New Roman" w:eastAsia="宋体" w:cs="Times New Roman"/>
          <w:bCs/>
          <w:sz w:val="23"/>
          <w:szCs w:val="23"/>
          <w:highlight w:val="none"/>
          <w:lang w:bidi="ar"/>
        </w:rPr>
      </w:pPr>
      <w:r>
        <w:rPr>
          <w:rFonts w:hint="default" w:ascii="Times New Roman" w:hAnsi="Times New Roman" w:eastAsia="宋体" w:cs="Times New Roman"/>
          <w:bCs/>
          <w:sz w:val="23"/>
          <w:szCs w:val="23"/>
          <w:highlight w:val="none"/>
        </w:rPr>
        <w:t>根据《</w:t>
      </w:r>
      <w:r>
        <w:rPr>
          <w:rFonts w:hint="default" w:ascii="Times New Roman" w:hAnsi="Times New Roman" w:eastAsia="宋体" w:cs="Times New Roman"/>
          <w:bCs/>
          <w:sz w:val="23"/>
          <w:szCs w:val="23"/>
          <w:highlight w:val="none"/>
          <w:lang w:bidi="ar"/>
        </w:rPr>
        <w:t>施工场地扬尘排放标准（DB13/2934-2019）</w:t>
      </w:r>
      <w:r>
        <w:rPr>
          <w:rFonts w:hint="default" w:ascii="Times New Roman" w:hAnsi="Times New Roman" w:eastAsia="宋体" w:cs="Times New Roman"/>
          <w:bCs/>
          <w:sz w:val="23"/>
          <w:szCs w:val="23"/>
          <w:highlight w:val="none"/>
        </w:rPr>
        <w:t>》要求，布置</w:t>
      </w:r>
      <w:r>
        <w:rPr>
          <w:rFonts w:hint="default" w:ascii="Times New Roman" w:hAnsi="Times New Roman" w:eastAsia="宋体" w:cs="Times New Roman"/>
          <w:bCs/>
          <w:sz w:val="23"/>
          <w:szCs w:val="23"/>
          <w:highlight w:val="none"/>
          <w:lang w:bidi="ar"/>
        </w:rPr>
        <w:t>施工场地扬尘监测点数量。</w:t>
      </w:r>
    </w:p>
    <w:p>
      <w:pPr>
        <w:spacing w:before="169" w:line="320" w:lineRule="exact"/>
        <w:ind w:left="314"/>
        <w:jc w:val="center"/>
        <w:rPr>
          <w:rFonts w:hint="default" w:ascii="Times New Roman" w:hAnsi="Times New Roman" w:eastAsia="宋体" w:cs="Times New Roman"/>
          <w:spacing w:val="8"/>
          <w:position w:val="3"/>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8"/>
          <w:position w:val="3"/>
          <w:sz w:val="23"/>
          <w:szCs w:val="23"/>
          <w:highlight w:val="none"/>
          <w14:textOutline w14:w="4358" w14:cap="sq" w14:cmpd="sng">
            <w14:solidFill>
              <w14:srgbClr w14:val="000000"/>
            </w14:solidFill>
            <w14:prstDash w14:val="solid"/>
            <w14:bevel/>
          </w14:textOutline>
        </w:rPr>
        <w:t>表5.1-</w:t>
      </w:r>
      <w:r>
        <w:rPr>
          <w:rFonts w:hint="eastAsia" w:ascii="Times New Roman" w:hAnsi="Times New Roman" w:eastAsia="宋体" w:cs="Times New Roman"/>
          <w:spacing w:val="8"/>
          <w:position w:val="3"/>
          <w:sz w:val="23"/>
          <w:szCs w:val="23"/>
          <w:highlight w:val="none"/>
          <w:lang w:val="en-US" w:eastAsia="zh-CN"/>
          <w14:textOutline w14:w="4358" w14:cap="sq" w14:cmpd="sng">
            <w14:solidFill>
              <w14:srgbClr w14:val="000000"/>
            </w14:solidFill>
            <w14:prstDash w14:val="solid"/>
            <w14:bevel/>
          </w14:textOutline>
        </w:rPr>
        <w:t>3</w:t>
      </w:r>
      <w:r>
        <w:rPr>
          <w:rFonts w:hint="default" w:ascii="Times New Roman" w:hAnsi="Times New Roman" w:eastAsia="宋体" w:cs="Times New Roman"/>
          <w:spacing w:val="8"/>
          <w:position w:val="3"/>
          <w:sz w:val="23"/>
          <w:szCs w:val="23"/>
          <w:highlight w:val="none"/>
          <w14:textOutline w14:w="4358" w14:cap="sq" w14:cmpd="sng">
            <w14:solidFill>
              <w14:srgbClr w14:val="000000"/>
            </w14:solidFill>
            <w14:prstDash w14:val="solid"/>
            <w14:bevel/>
          </w14:textOutline>
        </w:rPr>
        <w:t xml:space="preserve"> 施工场地扬尘监测点数量设置</w:t>
      </w:r>
    </w:p>
    <w:tbl>
      <w:tblPr>
        <w:tblStyle w:val="15"/>
        <w:tblW w:w="8559"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6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381" w:type="dxa"/>
            <w:noWrap w:val="0"/>
            <w:vAlign w:val="center"/>
          </w:tcPr>
          <w:p>
            <w:pPr>
              <w:spacing w:line="48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占地面积S（m</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w:t>
            </w:r>
          </w:p>
        </w:tc>
        <w:tc>
          <w:tcPr>
            <w:tcW w:w="6178" w:type="dxa"/>
            <w:noWrap w:val="0"/>
            <w:vAlign w:val="center"/>
          </w:tcPr>
          <w:p>
            <w:pPr>
              <w:spacing w:line="48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监测点数量（个）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381" w:type="dxa"/>
            <w:noWrap w:val="0"/>
            <w:vAlign w:val="center"/>
          </w:tcPr>
          <w:p>
            <w:pPr>
              <w:spacing w:line="48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w:t>
            </w:r>
            <w:r>
              <w:rPr>
                <w:rFonts w:hint="default" w:ascii="Times New Roman" w:hAnsi="Times New Roman" w:cs="Times New Roman"/>
                <w:bCs/>
                <w:sz w:val="21"/>
                <w:szCs w:val="21"/>
                <w:highlight w:val="none"/>
              </w:rPr>
              <w:t>≤5000</w:t>
            </w:r>
          </w:p>
        </w:tc>
        <w:tc>
          <w:tcPr>
            <w:tcW w:w="6178" w:type="dxa"/>
            <w:noWrap w:val="0"/>
            <w:vAlign w:val="center"/>
          </w:tcPr>
          <w:p>
            <w:pPr>
              <w:spacing w:line="48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381" w:type="dxa"/>
            <w:noWrap w:val="0"/>
            <w:vAlign w:val="center"/>
          </w:tcPr>
          <w:p>
            <w:pPr>
              <w:spacing w:line="48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5000＜S≤10000</w:t>
            </w:r>
          </w:p>
        </w:tc>
        <w:tc>
          <w:tcPr>
            <w:tcW w:w="6178" w:type="dxa"/>
            <w:noWrap w:val="0"/>
            <w:vAlign w:val="center"/>
          </w:tcPr>
          <w:p>
            <w:pPr>
              <w:spacing w:line="48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381" w:type="dxa"/>
            <w:noWrap w:val="0"/>
            <w:vAlign w:val="center"/>
          </w:tcPr>
          <w:p>
            <w:pPr>
              <w:spacing w:line="48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10000＜S≤100000</w:t>
            </w:r>
          </w:p>
        </w:tc>
        <w:tc>
          <w:tcPr>
            <w:tcW w:w="6178" w:type="dxa"/>
            <w:noWrap w:val="0"/>
            <w:vAlign w:val="center"/>
          </w:tcPr>
          <w:p>
            <w:pPr>
              <w:spacing w:line="48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exact"/>
        </w:trPr>
        <w:tc>
          <w:tcPr>
            <w:tcW w:w="2381" w:type="dxa"/>
            <w:noWrap w:val="0"/>
            <w:vAlign w:val="center"/>
          </w:tcPr>
          <w:p>
            <w:pPr>
              <w:spacing w:line="48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S＞100000</w:t>
            </w:r>
          </w:p>
        </w:tc>
        <w:tc>
          <w:tcPr>
            <w:tcW w:w="6178"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在 10 万平方米最少设置 4 个监测点的基础上，每增加 10万平方米最少增设 1 个监测点（不足 10 万平方米的部分按 10 万平方米计）。</w:t>
            </w:r>
          </w:p>
        </w:tc>
      </w:tr>
    </w:tbl>
    <w:p>
      <w:pPr>
        <w:spacing w:line="480" w:lineRule="exact"/>
        <w:ind w:firstLine="460" w:firstLineChars="200"/>
        <w:rPr>
          <w:rFonts w:hint="default" w:ascii="Times New Roman" w:hAnsi="Times New Roman" w:eastAsia="宋体" w:cs="Times New Roman"/>
          <w:bCs/>
          <w:sz w:val="23"/>
          <w:szCs w:val="23"/>
          <w:highlight w:val="none"/>
        </w:rPr>
      </w:pPr>
      <w:r>
        <w:rPr>
          <w:rFonts w:hint="default" w:ascii="Times New Roman" w:hAnsi="Times New Roman" w:eastAsia="宋体" w:cs="Times New Roman"/>
          <w:sz w:val="23"/>
          <w:szCs w:val="23"/>
          <w:highlight w:val="none"/>
          <w:lang w:eastAsia="zh-CN"/>
        </w:rPr>
        <w:t>公司</w:t>
      </w:r>
      <w:r>
        <w:rPr>
          <w:rFonts w:hint="default" w:ascii="Times New Roman" w:hAnsi="Times New Roman" w:eastAsia="宋体" w:cs="Times New Roman"/>
          <w:sz w:val="23"/>
          <w:szCs w:val="23"/>
          <w:highlight w:val="none"/>
        </w:rPr>
        <w:t>施工面积</w:t>
      </w:r>
      <w:r>
        <w:rPr>
          <w:rFonts w:hint="eastAsia" w:ascii="Times New Roman" w:hAnsi="Times New Roman" w:eastAsia="宋体" w:cs="Times New Roman"/>
          <w:sz w:val="23"/>
          <w:szCs w:val="23"/>
          <w:highlight w:val="none"/>
          <w:lang w:val="en-US" w:eastAsia="zh-CN"/>
        </w:rPr>
        <w:t>小于5000</w:t>
      </w:r>
      <w:r>
        <w:rPr>
          <w:rFonts w:hint="default" w:ascii="Times New Roman" w:hAnsi="Times New Roman" w:eastAsia="宋体" w:cs="Times New Roman"/>
          <w:sz w:val="23"/>
          <w:szCs w:val="23"/>
          <w:highlight w:val="none"/>
        </w:rPr>
        <w:t>m</w:t>
      </w:r>
      <w:r>
        <w:rPr>
          <w:rFonts w:hint="default" w:ascii="Times New Roman" w:hAnsi="Times New Roman" w:eastAsia="宋体" w:cs="Times New Roman"/>
          <w:sz w:val="23"/>
          <w:szCs w:val="23"/>
          <w:highlight w:val="none"/>
          <w:vertAlign w:val="superscript"/>
        </w:rPr>
        <w:t>2</w:t>
      </w:r>
      <w:r>
        <w:rPr>
          <w:rFonts w:hint="default" w:ascii="Times New Roman" w:hAnsi="Times New Roman" w:eastAsia="宋体" w:cs="Times New Roman"/>
          <w:bCs/>
          <w:sz w:val="23"/>
          <w:szCs w:val="23"/>
          <w:highlight w:val="none"/>
        </w:rPr>
        <w:t>，根据表5.1-</w:t>
      </w:r>
      <w:r>
        <w:rPr>
          <w:rFonts w:hint="eastAsia" w:ascii="Times New Roman" w:hAnsi="Times New Roman" w:eastAsia="宋体" w:cs="Times New Roman"/>
          <w:bCs/>
          <w:sz w:val="23"/>
          <w:szCs w:val="23"/>
          <w:highlight w:val="none"/>
          <w:lang w:val="en-US" w:eastAsia="zh-CN"/>
        </w:rPr>
        <w:t>3</w:t>
      </w:r>
      <w:r>
        <w:rPr>
          <w:rFonts w:hint="default" w:ascii="Times New Roman" w:hAnsi="Times New Roman" w:eastAsia="宋体" w:cs="Times New Roman"/>
          <w:bCs/>
          <w:sz w:val="23"/>
          <w:szCs w:val="23"/>
          <w:highlight w:val="none"/>
        </w:rPr>
        <w:t>要求，应设置不少于</w:t>
      </w:r>
      <w:r>
        <w:rPr>
          <w:rFonts w:hint="eastAsia" w:ascii="Times New Roman" w:hAnsi="Times New Roman" w:eastAsia="宋体" w:cs="Times New Roman"/>
          <w:bCs/>
          <w:sz w:val="23"/>
          <w:szCs w:val="23"/>
          <w:highlight w:val="none"/>
          <w:lang w:val="en-US" w:eastAsia="zh-CN"/>
        </w:rPr>
        <w:t>1</w:t>
      </w:r>
      <w:r>
        <w:rPr>
          <w:rFonts w:hint="default" w:ascii="Times New Roman" w:hAnsi="Times New Roman" w:eastAsia="宋体" w:cs="Times New Roman"/>
          <w:bCs/>
          <w:sz w:val="23"/>
          <w:szCs w:val="23"/>
          <w:highlight w:val="none"/>
        </w:rPr>
        <w:t>个监测点，监测点设置应符合以下要求：</w:t>
      </w:r>
    </w:p>
    <w:p>
      <w:pPr>
        <w:spacing w:line="480" w:lineRule="exact"/>
        <w:ind w:firstLine="460" w:firstLineChars="200"/>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lang w:bidi="ar"/>
        </w:rPr>
        <w:t>①监测点位宜设置于施工区域围栏安全范围内，可直接监控施工场地主要施工活动。监测点位不宜轻易变动，以保证监测的连续性和数据的可比性。</w:t>
      </w:r>
    </w:p>
    <w:p>
      <w:pPr>
        <w:spacing w:line="480" w:lineRule="exact"/>
        <w:ind w:firstLine="460" w:firstLineChars="200"/>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lang w:bidi="ar"/>
        </w:rPr>
        <w:t xml:space="preserve">②监测点位宜优先设置于车辆进出口处。监测点数量多于车辆进出口数量时，其它监测点位应结合常年主导风向，设置在工地所在区域主导风向下风向的施工场地边界，兼顾扬尘最大落地浓度。 </w:t>
      </w:r>
    </w:p>
    <w:p>
      <w:pPr>
        <w:spacing w:line="480" w:lineRule="exact"/>
        <w:ind w:firstLine="460" w:firstLineChars="200"/>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lang w:bidi="ar"/>
        </w:rPr>
        <w:t>③当与其他施工场地相邻或施工场地外侧是交通道路且受道路扬尘影响较大时，宜避开在相邻边界处设置监测点。</w:t>
      </w:r>
    </w:p>
    <w:p>
      <w:pPr>
        <w:spacing w:line="480" w:lineRule="exact"/>
        <w:ind w:firstLine="460" w:firstLineChars="200"/>
        <w:rPr>
          <w:rFonts w:hint="default" w:ascii="Times New Roman" w:hAnsi="Times New Roman" w:eastAsia="宋体" w:cs="Times New Roman"/>
          <w:sz w:val="23"/>
          <w:szCs w:val="23"/>
          <w:highlight w:val="none"/>
          <w:lang w:bidi="ar"/>
        </w:rPr>
      </w:pPr>
      <w:r>
        <w:rPr>
          <w:rFonts w:hint="default" w:ascii="Times New Roman" w:hAnsi="Times New Roman" w:eastAsia="宋体" w:cs="Times New Roman"/>
          <w:sz w:val="23"/>
          <w:szCs w:val="23"/>
          <w:highlight w:val="none"/>
          <w:lang w:bidi="ar"/>
        </w:rPr>
        <w:t>④采样口离地面的高度宜在 3 m～5 m 范围内。</w:t>
      </w:r>
    </w:p>
    <w:p>
      <w:pPr>
        <w:pStyle w:val="23"/>
        <w:spacing w:before="24" w:after="24" w:line="480" w:lineRule="exact"/>
        <w:ind w:firstLine="480"/>
        <w:rPr>
          <w:rFonts w:hint="default" w:ascii="Times New Roman" w:hAnsi="Times New Roman" w:eastAsia="宋体" w:cs="Times New Roman"/>
          <w:color w:val="auto"/>
          <w:sz w:val="23"/>
          <w:szCs w:val="23"/>
          <w:highlight w:val="none"/>
          <w:lang w:bidi="ar"/>
        </w:rPr>
      </w:pPr>
      <w:r>
        <w:rPr>
          <w:rFonts w:hint="default" w:ascii="Times New Roman" w:hAnsi="Times New Roman" w:eastAsia="宋体" w:cs="Times New Roman"/>
          <w:color w:val="auto"/>
          <w:sz w:val="23"/>
          <w:szCs w:val="23"/>
          <w:highlight w:val="none"/>
          <w:lang w:bidi="ar"/>
        </w:rPr>
        <w:t>本项目在厂区进出口位置设置</w:t>
      </w:r>
      <w:r>
        <w:rPr>
          <w:rFonts w:hint="eastAsia" w:ascii="Times New Roman" w:hAnsi="Times New Roman" w:eastAsia="宋体" w:cs="Times New Roman"/>
          <w:color w:val="auto"/>
          <w:sz w:val="23"/>
          <w:szCs w:val="23"/>
          <w:highlight w:val="none"/>
          <w:lang w:val="en-US" w:eastAsia="zh-CN" w:bidi="ar"/>
        </w:rPr>
        <w:t>1</w:t>
      </w:r>
      <w:r>
        <w:rPr>
          <w:rFonts w:hint="default" w:ascii="Times New Roman" w:hAnsi="Times New Roman" w:eastAsia="宋体" w:cs="Times New Roman"/>
          <w:color w:val="auto"/>
          <w:sz w:val="23"/>
          <w:szCs w:val="23"/>
          <w:highlight w:val="none"/>
          <w:lang w:bidi="ar"/>
        </w:rPr>
        <w:t>个监测点位。</w:t>
      </w:r>
    </w:p>
    <w:p>
      <w:pPr>
        <w:pStyle w:val="23"/>
        <w:spacing w:before="24" w:after="24" w:line="480" w:lineRule="exact"/>
        <w:ind w:firstLine="480"/>
        <w:outlineLvl w:val="2"/>
        <w:rPr>
          <w:rFonts w:hint="default" w:ascii="Times New Roman" w:hAnsi="Times New Roman" w:eastAsia="宋体" w:cs="Times New Roman"/>
          <w:color w:val="auto"/>
          <w:sz w:val="23"/>
          <w:szCs w:val="23"/>
          <w:highlight w:val="none"/>
          <w:lang w:bidi="ar"/>
        </w:rPr>
      </w:pPr>
      <w:bookmarkStart w:id="430" w:name="_Toc27697"/>
      <w:bookmarkStart w:id="431" w:name="_Toc12897"/>
      <w:bookmarkStart w:id="432" w:name="_Toc9126"/>
      <w:r>
        <w:rPr>
          <w:rFonts w:hint="default" w:ascii="Times New Roman" w:hAnsi="Times New Roman" w:eastAsia="宋体" w:cs="Times New Roman"/>
          <w:color w:val="auto"/>
          <w:sz w:val="23"/>
          <w:szCs w:val="23"/>
          <w:highlight w:val="none"/>
          <w:lang w:bidi="ar"/>
        </w:rPr>
        <w:t>（4）抑尘措施</w:t>
      </w:r>
      <w:bookmarkEnd w:id="430"/>
      <w:bookmarkEnd w:id="431"/>
      <w:bookmarkEnd w:id="432"/>
    </w:p>
    <w:p>
      <w:pPr>
        <w:adjustRightInd w:val="0"/>
        <w:snapToGrid w:val="0"/>
        <w:spacing w:line="480" w:lineRule="exact"/>
        <w:ind w:firstLine="460" w:firstLineChars="20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bCs/>
          <w:sz w:val="23"/>
          <w:szCs w:val="23"/>
          <w:highlight w:val="none"/>
          <w:lang w:val="en-US"/>
        </w:rPr>
        <w:t>结合《国务院关于印发大气污染防治行动计划的通知》(国发[2013]37号)、《河北省大气污染防治行动计划实施方案》、《河北省住房和城乡建设厅关于印发全省建筑施工扬尘治理实施意见的通知》(冀建办安[2013]33号)、《河北省建筑施工扬尘防治新18条标准》、《</w:t>
      </w:r>
      <w:r>
        <w:rPr>
          <w:rFonts w:hint="eastAsia" w:ascii="Times New Roman" w:hAnsi="Times New Roman" w:eastAsia="宋体" w:cs="Times New Roman"/>
          <w:bCs/>
          <w:sz w:val="23"/>
          <w:szCs w:val="23"/>
          <w:highlight w:val="none"/>
          <w:lang w:val="en-US" w:eastAsia="zh-CN"/>
        </w:rPr>
        <w:t>河北省2023年建筑施工扬尘污染防治工作方案</w:t>
      </w:r>
      <w:r>
        <w:rPr>
          <w:rFonts w:hint="default" w:ascii="Times New Roman" w:hAnsi="Times New Roman" w:eastAsia="宋体" w:cs="Times New Roman"/>
          <w:bCs/>
          <w:sz w:val="23"/>
          <w:szCs w:val="23"/>
          <w:highlight w:val="none"/>
          <w:lang w:val="en-US"/>
        </w:rPr>
        <w:t>》(</w:t>
      </w:r>
      <w:r>
        <w:rPr>
          <w:rFonts w:hint="eastAsia" w:ascii="Times New Roman" w:hAnsi="Times New Roman" w:eastAsia="宋体" w:cs="Times New Roman"/>
          <w:bCs/>
          <w:sz w:val="23"/>
          <w:szCs w:val="23"/>
          <w:highlight w:val="none"/>
          <w:lang w:val="en-US" w:eastAsia="zh-CN"/>
        </w:rPr>
        <w:t>冀建质安</w:t>
      </w:r>
      <w:r>
        <w:rPr>
          <w:rFonts w:hint="default" w:ascii="Times New Roman" w:hAnsi="Times New Roman" w:eastAsia="宋体" w:cs="Times New Roman"/>
          <w:bCs/>
          <w:sz w:val="23"/>
          <w:szCs w:val="23"/>
          <w:highlight w:val="none"/>
          <w:lang w:val="en-US"/>
        </w:rPr>
        <w:t>函[20</w:t>
      </w:r>
      <w:r>
        <w:rPr>
          <w:rFonts w:hint="eastAsia" w:ascii="Times New Roman" w:hAnsi="Times New Roman" w:eastAsia="宋体" w:cs="Times New Roman"/>
          <w:bCs/>
          <w:sz w:val="23"/>
          <w:szCs w:val="23"/>
          <w:highlight w:val="none"/>
          <w:lang w:val="en-US" w:eastAsia="zh-CN"/>
        </w:rPr>
        <w:t>23</w:t>
      </w:r>
      <w:r>
        <w:rPr>
          <w:rFonts w:hint="default" w:ascii="Times New Roman" w:hAnsi="Times New Roman" w:eastAsia="宋体" w:cs="Times New Roman"/>
          <w:bCs/>
          <w:sz w:val="23"/>
          <w:szCs w:val="23"/>
          <w:highlight w:val="none"/>
          <w:lang w:val="en-US"/>
        </w:rPr>
        <w:t>]</w:t>
      </w:r>
      <w:r>
        <w:rPr>
          <w:rFonts w:hint="eastAsia" w:ascii="Times New Roman" w:hAnsi="Times New Roman" w:eastAsia="宋体" w:cs="Times New Roman"/>
          <w:bCs/>
          <w:sz w:val="23"/>
          <w:szCs w:val="23"/>
          <w:highlight w:val="none"/>
          <w:lang w:val="en-US" w:eastAsia="zh-CN"/>
        </w:rPr>
        <w:t>105</w:t>
      </w:r>
      <w:r>
        <w:rPr>
          <w:rFonts w:hint="default" w:ascii="Times New Roman" w:hAnsi="Times New Roman" w:eastAsia="宋体" w:cs="Times New Roman"/>
          <w:bCs/>
          <w:sz w:val="23"/>
          <w:szCs w:val="23"/>
          <w:highlight w:val="none"/>
          <w:lang w:val="en-US"/>
        </w:rPr>
        <w:t>号)</w:t>
      </w:r>
      <w:r>
        <w:rPr>
          <w:rFonts w:hint="default" w:ascii="Times New Roman" w:hAnsi="Times New Roman" w:eastAsia="宋体" w:cs="Times New Roman"/>
          <w:bCs/>
          <w:sz w:val="23"/>
          <w:szCs w:val="23"/>
          <w:highlight w:val="none"/>
          <w:lang w:val="en-US" w:eastAsia="zh-CN"/>
        </w:rPr>
        <w:t>、</w:t>
      </w:r>
      <w:r>
        <w:rPr>
          <w:rFonts w:hint="default" w:ascii="Times New Roman" w:hAnsi="Times New Roman" w:eastAsia="宋体" w:cs="Times New Roman"/>
          <w:bCs/>
          <w:sz w:val="23"/>
          <w:szCs w:val="23"/>
          <w:highlight w:val="none"/>
          <w:lang w:val="en-US"/>
        </w:rPr>
        <w:t>《唐山市大气污染防治攻坚行动实施方案》（2013-2017年）等有关文件要求</w:t>
      </w:r>
      <w:r>
        <w:rPr>
          <w:rFonts w:hint="default" w:ascii="Times New Roman" w:hAnsi="Times New Roman" w:eastAsia="宋体" w:cs="Times New Roman"/>
          <w:sz w:val="23"/>
          <w:szCs w:val="23"/>
          <w:highlight w:val="none"/>
        </w:rPr>
        <w:t>本施工场地采取如下防尘和抑尘措施：</w:t>
      </w:r>
    </w:p>
    <w:p>
      <w:pPr>
        <w:adjustRightInd w:val="0"/>
        <w:snapToGrid w:val="0"/>
        <w:spacing w:line="480" w:lineRule="exact"/>
        <w:ind w:firstLine="460" w:firstLineChars="200"/>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rPr>
        <w:t>①施工现场必须封闭围挡（高2.5m），严禁围挡不严或敞开式施工；</w:t>
      </w:r>
    </w:p>
    <w:p>
      <w:pPr>
        <w:adjustRightInd w:val="0"/>
        <w:snapToGrid w:val="0"/>
        <w:spacing w:line="480" w:lineRule="exact"/>
        <w:ind w:firstLine="460" w:firstLineChars="200"/>
        <w:rPr>
          <w:rFonts w:hint="default" w:ascii="Times New Roman" w:hAnsi="Times New Roman" w:eastAsia="宋体" w:cs="Times New Roman"/>
          <w:snapToGrid w:val="0"/>
          <w:sz w:val="23"/>
          <w:szCs w:val="23"/>
          <w:highlight w:val="none"/>
        </w:rPr>
      </w:pPr>
      <w:r>
        <w:rPr>
          <w:rFonts w:hint="default" w:ascii="Times New Roman" w:hAnsi="Times New Roman" w:eastAsia="宋体" w:cs="Times New Roman"/>
          <w:snapToGrid w:val="0"/>
          <w:sz w:val="23"/>
          <w:szCs w:val="23"/>
          <w:highlight w:val="none"/>
        </w:rPr>
        <w:t>②施工前，施工现场出入口和场内主要道路必须混凝土硬化，严禁使用其他软质材料铺设；</w:t>
      </w:r>
    </w:p>
    <w:p>
      <w:pPr>
        <w:adjustRightInd w:val="0"/>
        <w:snapToGrid w:val="0"/>
        <w:spacing w:line="480" w:lineRule="exact"/>
        <w:ind w:firstLine="460" w:firstLineChars="200"/>
        <w:jc w:val="both"/>
        <w:rPr>
          <w:rFonts w:hint="default" w:ascii="Times New Roman" w:hAnsi="Times New Roman" w:eastAsia="宋体" w:cs="Times New Roman"/>
          <w:snapToGrid w:val="0"/>
          <w:sz w:val="23"/>
          <w:szCs w:val="23"/>
          <w:highlight w:val="none"/>
        </w:rPr>
      </w:pPr>
      <w:r>
        <w:rPr>
          <w:rFonts w:hint="default" w:ascii="Times New Roman" w:hAnsi="Times New Roman" w:eastAsia="宋体" w:cs="Times New Roman"/>
          <w:snapToGrid w:val="0"/>
          <w:sz w:val="23"/>
          <w:szCs w:val="23"/>
          <w:highlight w:val="none"/>
        </w:rPr>
        <w:t>③施工现场出入口配备车辆冲洗池（宽3.5m，长10m，深0.2m），底层铺一层粒径10毫米的碎石，以减少驶出工地车辆轮胎带的泥土量；加强雨天土方运输管理，严禁车体带泥上路；</w:t>
      </w:r>
    </w:p>
    <w:p>
      <w:pPr>
        <w:adjustRightInd w:val="0"/>
        <w:snapToGrid w:val="0"/>
        <w:spacing w:line="480" w:lineRule="exact"/>
        <w:ind w:firstLine="460" w:firstLineChars="200"/>
        <w:jc w:val="both"/>
        <w:rPr>
          <w:rFonts w:hint="default" w:ascii="Times New Roman" w:hAnsi="Times New Roman" w:eastAsia="宋体" w:cs="Times New Roman"/>
          <w:snapToGrid w:val="0"/>
          <w:sz w:val="23"/>
          <w:szCs w:val="23"/>
          <w:highlight w:val="none"/>
        </w:rPr>
      </w:pPr>
      <w:r>
        <w:rPr>
          <w:rFonts w:hint="default" w:ascii="Times New Roman" w:hAnsi="Times New Roman" w:eastAsia="宋体" w:cs="Times New Roman"/>
          <w:snapToGrid w:val="0"/>
          <w:sz w:val="23"/>
          <w:szCs w:val="23"/>
          <w:highlight w:val="none"/>
        </w:rPr>
        <w:t>④施工现场集中堆放的土方和闲置场地必须覆盖、固化或绿化，严禁裸露；</w:t>
      </w:r>
    </w:p>
    <w:p>
      <w:pPr>
        <w:adjustRightInd w:val="0"/>
        <w:snapToGrid w:val="0"/>
        <w:spacing w:line="480" w:lineRule="exact"/>
        <w:ind w:firstLine="460" w:firstLineChars="200"/>
        <w:jc w:val="both"/>
        <w:rPr>
          <w:rFonts w:hint="default" w:ascii="Times New Roman" w:hAnsi="Times New Roman" w:eastAsia="宋体" w:cs="Times New Roman"/>
          <w:snapToGrid w:val="0"/>
          <w:sz w:val="23"/>
          <w:szCs w:val="23"/>
          <w:highlight w:val="none"/>
        </w:rPr>
      </w:pPr>
      <w:r>
        <w:rPr>
          <w:rFonts w:hint="default" w:ascii="Times New Roman" w:hAnsi="Times New Roman" w:eastAsia="宋体" w:cs="Times New Roman"/>
          <w:snapToGrid w:val="0"/>
          <w:sz w:val="23"/>
          <w:szCs w:val="23"/>
          <w:highlight w:val="none"/>
        </w:rPr>
        <w:t>⑤施工现场运送土方、渣土的车辆必须封闭或苫布遮盖，严禁沿路遗撒；</w:t>
      </w:r>
    </w:p>
    <w:p>
      <w:pPr>
        <w:adjustRightInd w:val="0"/>
        <w:snapToGrid w:val="0"/>
        <w:spacing w:line="480" w:lineRule="exact"/>
        <w:ind w:firstLine="460" w:firstLineChars="20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napToGrid w:val="0"/>
          <w:sz w:val="23"/>
          <w:szCs w:val="23"/>
          <w:highlight w:val="none"/>
        </w:rPr>
        <w:t>⑥施工现场必须设</w:t>
      </w:r>
      <w:r>
        <w:rPr>
          <w:rFonts w:hint="default" w:ascii="Times New Roman" w:hAnsi="Times New Roman" w:eastAsia="宋体" w:cs="Times New Roman"/>
          <w:sz w:val="23"/>
          <w:szCs w:val="23"/>
          <w:highlight w:val="none"/>
        </w:rPr>
        <w:t>置垃圾存放点，集中堆放并覆盖，及时清运，严禁随意丢弃，根据总体布置尽量回填于低凹处，注意土石方挖填平衡，多余弃土及时清运。严禁敞开式长时间堆放废弃物；</w:t>
      </w:r>
    </w:p>
    <w:p>
      <w:pPr>
        <w:adjustRightInd w:val="0"/>
        <w:snapToGrid w:val="0"/>
        <w:spacing w:line="480" w:lineRule="exact"/>
        <w:ind w:firstLine="460" w:firstLineChars="20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napToGrid w:val="0"/>
          <w:sz w:val="23"/>
          <w:szCs w:val="23"/>
          <w:highlight w:val="none"/>
        </w:rPr>
        <w:t>⑦</w:t>
      </w:r>
      <w:r>
        <w:rPr>
          <w:rFonts w:hint="default" w:ascii="Times New Roman" w:hAnsi="Times New Roman" w:eastAsia="宋体" w:cs="Times New Roman"/>
          <w:sz w:val="23"/>
          <w:szCs w:val="23"/>
          <w:highlight w:val="none"/>
        </w:rPr>
        <w:t>施工现场使用商品混凝土，现场不设混凝土搅拌站。施工现场的粉料和其他易飞扬的细颗粒建筑材料必须密闭存放或覆盖，严禁露天放置；</w:t>
      </w:r>
    </w:p>
    <w:p>
      <w:pPr>
        <w:adjustRightInd w:val="0"/>
        <w:snapToGrid w:val="0"/>
        <w:spacing w:line="480" w:lineRule="exact"/>
        <w:ind w:firstLine="460" w:firstLineChars="20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napToGrid w:val="0"/>
          <w:sz w:val="23"/>
          <w:szCs w:val="23"/>
          <w:highlight w:val="none"/>
        </w:rPr>
        <w:t>⑧</w:t>
      </w:r>
      <w:r>
        <w:rPr>
          <w:rFonts w:hint="default" w:ascii="Times New Roman" w:hAnsi="Times New Roman" w:eastAsia="宋体" w:cs="Times New Roman"/>
          <w:sz w:val="23"/>
          <w:szCs w:val="23"/>
          <w:highlight w:val="none"/>
        </w:rPr>
        <w:t>施工场地采用洒水车洒水降尘措施，施工道路应保持平整，设立施工道路养护、维修、清扫专职人员，保持道路清洁、运行状态良好；</w:t>
      </w:r>
    </w:p>
    <w:p>
      <w:pPr>
        <w:adjustRightInd w:val="0"/>
        <w:snapToGrid w:val="0"/>
        <w:spacing w:line="480" w:lineRule="exact"/>
        <w:ind w:firstLine="460" w:firstLineChars="20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napToGrid w:val="0"/>
          <w:sz w:val="23"/>
          <w:szCs w:val="23"/>
          <w:highlight w:val="none"/>
        </w:rPr>
        <w:t>⑨</w:t>
      </w:r>
      <w:r>
        <w:rPr>
          <w:rFonts w:hint="default" w:ascii="Times New Roman" w:hAnsi="Times New Roman" w:eastAsia="宋体" w:cs="Times New Roman"/>
          <w:sz w:val="23"/>
          <w:szCs w:val="23"/>
          <w:highlight w:val="none"/>
        </w:rPr>
        <w:t>施工建筑垃圾必须采用袋装，定期清运；</w:t>
      </w:r>
    </w:p>
    <w:p>
      <w:pPr>
        <w:spacing w:line="480" w:lineRule="exact"/>
        <w:ind w:firstLine="460" w:firstLineChars="20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napToGrid w:val="0"/>
          <w:sz w:val="23"/>
          <w:szCs w:val="23"/>
          <w:highlight w:val="none"/>
        </w:rPr>
        <w:t>⑩</w:t>
      </w:r>
      <w:r>
        <w:rPr>
          <w:rFonts w:hint="default" w:ascii="Times New Roman" w:hAnsi="Times New Roman" w:eastAsia="宋体" w:cs="Times New Roman"/>
          <w:sz w:val="23"/>
          <w:szCs w:val="23"/>
          <w:highlight w:val="none"/>
        </w:rPr>
        <w:t>遇有4级以上大风或重度污染天气时，必须采取扬尘应急措施，严禁土方开挖、土方回填等。</w:t>
      </w:r>
    </w:p>
    <w:p>
      <w:pPr>
        <w:tabs>
          <w:tab w:val="left" w:pos="-180"/>
          <w:tab w:val="left" w:pos="1020"/>
        </w:tabs>
        <w:spacing w:line="480" w:lineRule="exact"/>
        <w:ind w:firstLine="460" w:firstLineChars="20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rPr>
        <w:t>采取以上措施后，可有效的控制施工扬尘，扬尘排放浓度满足《施工场地扬尘排放标准》（DB13/2934-2019）表1中：扬尘排放浓度限值80ug/m</w:t>
      </w:r>
      <w:r>
        <w:rPr>
          <w:rFonts w:hint="default" w:ascii="Times New Roman" w:hAnsi="Times New Roman" w:eastAsia="宋体" w:cs="Times New Roman"/>
          <w:sz w:val="23"/>
          <w:szCs w:val="23"/>
          <w:highlight w:val="none"/>
          <w:vertAlign w:val="superscript"/>
        </w:rPr>
        <w:t>3</w:t>
      </w:r>
      <w:r>
        <w:rPr>
          <w:rFonts w:hint="default" w:ascii="Times New Roman" w:hAnsi="Times New Roman" w:eastAsia="宋体" w:cs="Times New Roman"/>
          <w:sz w:val="23"/>
          <w:szCs w:val="23"/>
          <w:highlight w:val="none"/>
        </w:rPr>
        <w:t>。（指监测点PM</w:t>
      </w:r>
      <w:r>
        <w:rPr>
          <w:rFonts w:hint="default" w:ascii="Times New Roman" w:hAnsi="Times New Roman" w:eastAsia="宋体" w:cs="Times New Roman"/>
          <w:sz w:val="23"/>
          <w:szCs w:val="23"/>
          <w:highlight w:val="none"/>
          <w:vertAlign w:val="subscript"/>
        </w:rPr>
        <w:t>10</w:t>
      </w:r>
      <w:r>
        <w:rPr>
          <w:rFonts w:hint="default" w:ascii="Times New Roman" w:hAnsi="Times New Roman" w:eastAsia="宋体" w:cs="Times New Roman"/>
          <w:sz w:val="23"/>
          <w:szCs w:val="23"/>
          <w:highlight w:val="none"/>
        </w:rPr>
        <w:t>小时平均浓度实测值与同时段所属县（市、区）PM</w:t>
      </w:r>
      <w:r>
        <w:rPr>
          <w:rFonts w:hint="default" w:ascii="Times New Roman" w:hAnsi="Times New Roman" w:eastAsia="宋体" w:cs="Times New Roman"/>
          <w:sz w:val="23"/>
          <w:szCs w:val="23"/>
          <w:highlight w:val="none"/>
          <w:vertAlign w:val="subscript"/>
        </w:rPr>
        <w:t>10</w:t>
      </w:r>
      <w:r>
        <w:rPr>
          <w:rFonts w:hint="default" w:ascii="Times New Roman" w:hAnsi="Times New Roman" w:eastAsia="宋体" w:cs="Times New Roman"/>
          <w:sz w:val="23"/>
          <w:szCs w:val="23"/>
          <w:highlight w:val="none"/>
        </w:rPr>
        <w:t>小时平均浓度的差值。当县（市、区）PM</w:t>
      </w:r>
      <w:r>
        <w:rPr>
          <w:rFonts w:hint="default" w:ascii="Times New Roman" w:hAnsi="Times New Roman" w:eastAsia="宋体" w:cs="Times New Roman"/>
          <w:sz w:val="23"/>
          <w:szCs w:val="23"/>
          <w:highlight w:val="none"/>
          <w:vertAlign w:val="subscript"/>
        </w:rPr>
        <w:t>10</w:t>
      </w:r>
      <w:r>
        <w:rPr>
          <w:rFonts w:hint="default" w:ascii="Times New Roman" w:hAnsi="Times New Roman" w:eastAsia="宋体" w:cs="Times New Roman"/>
          <w:sz w:val="23"/>
          <w:szCs w:val="23"/>
          <w:highlight w:val="none"/>
        </w:rPr>
        <w:t>小时平均浓度值大于150ug/m</w:t>
      </w:r>
      <w:r>
        <w:rPr>
          <w:rFonts w:hint="default" w:ascii="Times New Roman" w:hAnsi="Times New Roman" w:eastAsia="宋体" w:cs="Times New Roman"/>
          <w:sz w:val="23"/>
          <w:szCs w:val="23"/>
          <w:highlight w:val="none"/>
          <w:vertAlign w:val="superscript"/>
        </w:rPr>
        <w:t>3</w:t>
      </w:r>
      <w:r>
        <w:rPr>
          <w:rFonts w:hint="default" w:ascii="Times New Roman" w:hAnsi="Times New Roman" w:eastAsia="宋体" w:cs="Times New Roman"/>
          <w:sz w:val="23"/>
          <w:szCs w:val="23"/>
          <w:highlight w:val="none"/>
        </w:rPr>
        <w:t>时，以150ug/m</w:t>
      </w:r>
      <w:r>
        <w:rPr>
          <w:rFonts w:hint="default" w:ascii="Times New Roman" w:hAnsi="Times New Roman" w:eastAsia="宋体" w:cs="Times New Roman"/>
          <w:sz w:val="23"/>
          <w:szCs w:val="23"/>
          <w:highlight w:val="none"/>
          <w:vertAlign w:val="superscript"/>
        </w:rPr>
        <w:t>3</w:t>
      </w:r>
      <w:r>
        <w:rPr>
          <w:rFonts w:hint="default" w:ascii="Times New Roman" w:hAnsi="Times New Roman" w:eastAsia="宋体" w:cs="Times New Roman"/>
          <w:sz w:val="23"/>
          <w:szCs w:val="23"/>
          <w:highlight w:val="none"/>
        </w:rPr>
        <w:t>计）。况且施工扬尘造成的影响仅是短期的、局部的行为，施工结束后将自然消失，施工期产生的颗粒物不会对当地环境质量造成影响。</w:t>
      </w:r>
    </w:p>
    <w:p>
      <w:pPr>
        <w:spacing w:before="140" w:line="229" w:lineRule="auto"/>
        <w:ind w:left="22"/>
        <w:outlineLvl w:val="1"/>
        <w:rPr>
          <w:rFonts w:hint="default" w:ascii="Times New Roman" w:hAnsi="Times New Roman" w:eastAsia="宋体" w:cs="Times New Roman"/>
          <w:sz w:val="23"/>
          <w:szCs w:val="23"/>
          <w:highlight w:val="none"/>
        </w:rPr>
      </w:pPr>
      <w:bookmarkStart w:id="433" w:name="_Toc23428"/>
      <w:bookmarkStart w:id="434" w:name="_Toc26776"/>
      <w:bookmarkStart w:id="435" w:name="_Toc28592"/>
      <w:r>
        <w:rPr>
          <w:rFonts w:hint="default" w:ascii="Times New Roman" w:hAnsi="Times New Roman" w:eastAsia="Times New Roman" w:cs="Times New Roman"/>
          <w:b/>
          <w:bCs/>
          <w:spacing w:val="9"/>
          <w:sz w:val="23"/>
          <w:szCs w:val="23"/>
          <w:highlight w:val="none"/>
        </w:rPr>
        <w:t>5</w:t>
      </w:r>
      <w:r>
        <w:rPr>
          <w:rFonts w:hint="default" w:ascii="Times New Roman" w:hAnsi="Times New Roman" w:eastAsia="Times New Roman" w:cs="Times New Roman"/>
          <w:b/>
          <w:bCs/>
          <w:spacing w:val="7"/>
          <w:sz w:val="23"/>
          <w:szCs w:val="23"/>
          <w:highlight w:val="none"/>
        </w:rPr>
        <w:t>.1.2</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施工期噪声影响分析</w:t>
      </w:r>
      <w:bookmarkEnd w:id="433"/>
      <w:bookmarkEnd w:id="434"/>
      <w:bookmarkEnd w:id="435"/>
    </w:p>
    <w:p>
      <w:pPr>
        <w:spacing w:before="75" w:line="226" w:lineRule="auto"/>
        <w:ind w:left="25"/>
        <w:outlineLvl w:val="2"/>
        <w:rPr>
          <w:rFonts w:hint="default" w:ascii="Times New Roman" w:hAnsi="Times New Roman" w:eastAsia="宋体" w:cs="Times New Roman"/>
          <w:sz w:val="23"/>
          <w:szCs w:val="23"/>
          <w:highlight w:val="none"/>
        </w:rPr>
      </w:pPr>
      <w:bookmarkStart w:id="436" w:name="_Toc13768"/>
      <w:bookmarkStart w:id="437" w:name="_Toc7897"/>
      <w:bookmarkStart w:id="438" w:name="_Toc31018"/>
      <w:r>
        <w:rPr>
          <w:rFonts w:hint="default" w:ascii="Times New Roman" w:hAnsi="Times New Roman" w:eastAsia="Times New Roman" w:cs="Times New Roman"/>
          <w:spacing w:val="12"/>
          <w:sz w:val="23"/>
          <w:szCs w:val="23"/>
          <w:highlight w:val="none"/>
        </w:rPr>
        <w:t>5</w:t>
      </w:r>
      <w:r>
        <w:rPr>
          <w:rFonts w:hint="default" w:ascii="Times New Roman" w:hAnsi="Times New Roman" w:eastAsia="Times New Roman" w:cs="Times New Roman"/>
          <w:spacing w:val="6"/>
          <w:sz w:val="23"/>
          <w:szCs w:val="23"/>
          <w:highlight w:val="none"/>
        </w:rPr>
        <w:t xml:space="preserve">.1.2.1 </w:t>
      </w:r>
      <w:r>
        <w:rPr>
          <w:rFonts w:hint="default" w:ascii="Times New Roman" w:hAnsi="Times New Roman" w:eastAsia="宋体" w:cs="Times New Roman"/>
          <w:spacing w:val="6"/>
          <w:sz w:val="23"/>
          <w:szCs w:val="23"/>
          <w:highlight w:val="none"/>
        </w:rPr>
        <w:t>噪声源及其影响预测</w:t>
      </w:r>
      <w:bookmarkEnd w:id="436"/>
      <w:bookmarkEnd w:id="437"/>
      <w:bookmarkEnd w:id="438"/>
    </w:p>
    <w:p>
      <w:pPr>
        <w:rPr>
          <w:rFonts w:hint="default" w:ascii="Times New Roman" w:hAnsi="Times New Roman" w:cs="Times New Roman"/>
          <w:highlight w:val="none"/>
        </w:rPr>
        <w:sectPr>
          <w:headerReference r:id="rId62" w:type="default"/>
          <w:footerReference r:id="rId63" w:type="default"/>
          <w:pgSz w:w="11906" w:h="16839"/>
          <w:pgMar w:top="1167" w:right="1739" w:bottom="1282" w:left="1785" w:header="897" w:footer="1015" w:gutter="0"/>
          <w:pgBorders>
            <w:top w:val="none" w:sz="0" w:space="0"/>
            <w:left w:val="none" w:sz="0" w:space="0"/>
            <w:bottom w:val="none" w:sz="0" w:space="0"/>
            <w:right w:val="none" w:sz="0" w:space="0"/>
          </w:pgBorders>
          <w:pgNumType w:fmt="decimal"/>
          <w:cols w:space="720" w:num="1"/>
        </w:sectPr>
      </w:pPr>
    </w:p>
    <w:p>
      <w:pPr>
        <w:spacing w:line="391"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182" o:spid="_x0000_s1182" style="position:absolute;left:0pt;margin-left:90pt;margin-top:59.05pt;height:0.75pt;width:415.3pt;mso-position-horizontal-relative:page;mso-position-vertical-relative:page;z-index:251723776;mso-width-relative:page;mso-height-relative:page;" fillcolor="#000000" filled="t" stroked="f" coordsize="8305,15" o:allowincell="f" path="m0,0l8305,0,8305,14,0,14,0,0xe">
            <v:path/>
            <v:fill on="t" focussize="0,0"/>
            <v:stroke on="f"/>
            <v:imagedata o:title=""/>
            <o:lock v:ext="edit"/>
          </v:shape>
        </w:pict>
      </w:r>
    </w:p>
    <w:p>
      <w:pPr>
        <w:spacing w:before="74" w:line="229" w:lineRule="auto"/>
        <w:ind w:left="54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w:t>
      </w:r>
      <w:r>
        <w:rPr>
          <w:rFonts w:hint="default" w:ascii="Times New Roman" w:hAnsi="Times New Roman" w:eastAsia="Times New Roman" w:cs="Times New Roman"/>
          <w:spacing w:val="18"/>
          <w:sz w:val="23"/>
          <w:szCs w:val="23"/>
          <w:highlight w:val="none"/>
        </w:rPr>
        <w:t>1</w:t>
      </w:r>
      <w:r>
        <w:rPr>
          <w:rFonts w:hint="default" w:ascii="Times New Roman" w:hAnsi="Times New Roman" w:eastAsia="宋体" w:cs="Times New Roman"/>
          <w:spacing w:val="18"/>
          <w:sz w:val="23"/>
          <w:szCs w:val="23"/>
          <w:highlight w:val="none"/>
        </w:rPr>
        <w:t>) 施工噪声源</w:t>
      </w:r>
      <w:r>
        <w:rPr>
          <w:rFonts w:hint="default" w:ascii="Times New Roman" w:hAnsi="Times New Roman" w:eastAsia="宋体" w:cs="Times New Roman"/>
          <w:spacing w:val="17"/>
          <w:sz w:val="23"/>
          <w:szCs w:val="23"/>
          <w:highlight w:val="none"/>
        </w:rPr>
        <w:t>强</w:t>
      </w:r>
    </w:p>
    <w:p>
      <w:pPr>
        <w:spacing w:before="213" w:line="227" w:lineRule="auto"/>
        <w:ind w:left="53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根</w:t>
      </w:r>
      <w:r>
        <w:rPr>
          <w:rFonts w:hint="default" w:ascii="Times New Roman" w:hAnsi="Times New Roman" w:eastAsia="宋体" w:cs="Times New Roman"/>
          <w:spacing w:val="5"/>
          <w:sz w:val="23"/>
          <w:szCs w:val="23"/>
          <w:highlight w:val="none"/>
        </w:rPr>
        <w:t xml:space="preserve">据类比调查和资料分析，施工期的主要噪声源及其产噪声级见表 </w:t>
      </w:r>
      <w:r>
        <w:rPr>
          <w:rFonts w:hint="default" w:ascii="Times New Roman" w:hAnsi="Times New Roman" w:eastAsia="Times New Roman" w:cs="Times New Roman"/>
          <w:spacing w:val="5"/>
          <w:sz w:val="23"/>
          <w:szCs w:val="23"/>
          <w:highlight w:val="none"/>
        </w:rPr>
        <w:t>5.1-</w:t>
      </w:r>
      <w:r>
        <w:rPr>
          <w:rFonts w:hint="eastAsia" w:ascii="Times New Roman" w:hAnsi="Times New Roman" w:eastAsia="宋体" w:cs="Times New Roman"/>
          <w:spacing w:val="5"/>
          <w:sz w:val="23"/>
          <w:szCs w:val="23"/>
          <w:highlight w:val="none"/>
          <w:lang w:val="en-US" w:eastAsia="zh-CN"/>
        </w:rPr>
        <w:t>4</w:t>
      </w:r>
      <w:r>
        <w:rPr>
          <w:rFonts w:hint="default" w:ascii="Times New Roman" w:hAnsi="Times New Roman" w:eastAsia="宋体" w:cs="Times New Roman"/>
          <w:spacing w:val="5"/>
          <w:sz w:val="23"/>
          <w:szCs w:val="23"/>
          <w:highlight w:val="none"/>
        </w:rPr>
        <w:t>。</w:t>
      </w:r>
    </w:p>
    <w:p>
      <w:pPr>
        <w:spacing w:before="176" w:line="320" w:lineRule="exact"/>
        <w:ind w:left="1572"/>
        <w:rPr>
          <w:rFonts w:hint="default" w:ascii="Times New Roman" w:hAnsi="Times New Roman" w:eastAsia="Times New Roman" w:cs="Times New Roman"/>
          <w:sz w:val="23"/>
          <w:szCs w:val="23"/>
          <w:highlight w:val="none"/>
        </w:rPr>
      </w:pPr>
      <w:r>
        <w:rPr>
          <w:rFonts w:hint="default" w:ascii="Times New Roman" w:hAnsi="Times New Roman" w:eastAsia="宋体" w:cs="Times New Roman"/>
          <w:spacing w:val="5"/>
          <w:position w:val="1"/>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5"/>
          <w:position w:val="1"/>
          <w:sz w:val="23"/>
          <w:szCs w:val="23"/>
          <w:highlight w:val="none"/>
        </w:rPr>
        <w:t xml:space="preserve"> </w:t>
      </w:r>
      <w:r>
        <w:rPr>
          <w:rFonts w:hint="default" w:ascii="Times New Roman" w:hAnsi="Times New Roman" w:eastAsia="Times New Roman" w:cs="Times New Roman"/>
          <w:b/>
          <w:bCs/>
          <w:spacing w:val="5"/>
          <w:position w:val="1"/>
          <w:sz w:val="23"/>
          <w:szCs w:val="23"/>
          <w:highlight w:val="none"/>
        </w:rPr>
        <w:t>5.1-</w:t>
      </w:r>
      <w:r>
        <w:rPr>
          <w:rFonts w:hint="eastAsia" w:ascii="Times New Roman" w:hAnsi="Times New Roman" w:eastAsia="宋体" w:cs="Times New Roman"/>
          <w:b/>
          <w:bCs/>
          <w:spacing w:val="5"/>
          <w:position w:val="1"/>
          <w:sz w:val="23"/>
          <w:szCs w:val="23"/>
          <w:highlight w:val="none"/>
          <w:lang w:val="en-US" w:eastAsia="zh-CN"/>
        </w:rPr>
        <w:t>4</w:t>
      </w:r>
      <w:r>
        <w:rPr>
          <w:rFonts w:hint="default" w:ascii="Times New Roman" w:hAnsi="Times New Roman" w:eastAsia="Times New Roman" w:cs="Times New Roman"/>
          <w:spacing w:val="5"/>
          <w:position w:val="1"/>
          <w:sz w:val="23"/>
          <w:szCs w:val="23"/>
          <w:highlight w:val="none"/>
        </w:rPr>
        <w:t xml:space="preserve">          </w:t>
      </w:r>
      <w:r>
        <w:rPr>
          <w:rFonts w:hint="default" w:ascii="Times New Roman" w:hAnsi="Times New Roman" w:eastAsia="宋体" w:cs="Times New Roman"/>
          <w:spacing w:val="5"/>
          <w:position w:val="1"/>
          <w:sz w:val="23"/>
          <w:szCs w:val="23"/>
          <w:highlight w:val="none"/>
          <w14:textOutline w14:w="4358" w14:cap="sq" w14:cmpd="sng">
            <w14:solidFill>
              <w14:srgbClr w14:val="000000"/>
            </w14:solidFill>
            <w14:prstDash w14:val="solid"/>
            <w14:bevel/>
          </w14:textOutline>
        </w:rPr>
        <w:t>施工机械产噪值一览表</w:t>
      </w:r>
      <w:r>
        <w:rPr>
          <w:rFonts w:hint="default" w:ascii="Times New Roman" w:hAnsi="Times New Roman" w:eastAsia="宋体" w:cs="Times New Roman"/>
          <w:spacing w:val="5"/>
          <w:position w:val="1"/>
          <w:sz w:val="23"/>
          <w:szCs w:val="23"/>
          <w:highlight w:val="none"/>
        </w:rPr>
        <w:t xml:space="preserve"> </w:t>
      </w:r>
      <w:r>
        <w:rPr>
          <w:rFonts w:hint="default" w:ascii="Times New Roman" w:hAnsi="Times New Roman" w:eastAsia="宋体" w:cs="Times New Roman"/>
          <w:spacing w:val="5"/>
          <w:position w:val="1"/>
          <w:sz w:val="23"/>
          <w:szCs w:val="23"/>
          <w:highlight w:val="none"/>
          <w14:textOutline w14:w="4358" w14:cap="sq" w14:cmpd="sng">
            <w14:solidFill>
              <w14:srgbClr w14:val="000000"/>
            </w14:solidFill>
            <w14:prstDash w14:val="solid"/>
            <w14:bevel/>
          </w14:textOutline>
        </w:rPr>
        <w:t>单位：</w:t>
      </w:r>
      <w:r>
        <w:rPr>
          <w:rFonts w:hint="default" w:ascii="Times New Roman" w:hAnsi="Times New Roman" w:eastAsia="Times New Roman" w:cs="Times New Roman"/>
          <w:b/>
          <w:bCs/>
          <w:position w:val="1"/>
          <w:sz w:val="23"/>
          <w:szCs w:val="23"/>
          <w:highlight w:val="none"/>
        </w:rPr>
        <w:t>dB</w:t>
      </w:r>
      <w:r>
        <w:rPr>
          <w:rFonts w:hint="default" w:ascii="Times New Roman" w:hAnsi="Times New Roman" w:eastAsia="Times New Roman" w:cs="Times New Roman"/>
          <w:b/>
          <w:bCs/>
          <w:spacing w:val="5"/>
          <w:position w:val="1"/>
          <w:sz w:val="23"/>
          <w:szCs w:val="23"/>
          <w:highlight w:val="none"/>
        </w:rPr>
        <w:t>(</w:t>
      </w:r>
      <w:r>
        <w:rPr>
          <w:rFonts w:hint="default" w:ascii="Times New Roman" w:hAnsi="Times New Roman" w:eastAsia="Times New Roman" w:cs="Times New Roman"/>
          <w:b/>
          <w:bCs/>
          <w:position w:val="1"/>
          <w:sz w:val="23"/>
          <w:szCs w:val="23"/>
          <w:highlight w:val="none"/>
        </w:rPr>
        <w:t>A</w:t>
      </w:r>
      <w:r>
        <w:rPr>
          <w:rFonts w:hint="default" w:ascii="Times New Roman" w:hAnsi="Times New Roman" w:eastAsia="Times New Roman" w:cs="Times New Roman"/>
          <w:b/>
          <w:bCs/>
          <w:spacing w:val="5"/>
          <w:position w:val="1"/>
          <w:sz w:val="23"/>
          <w:szCs w:val="23"/>
          <w:highlight w:val="none"/>
        </w:rPr>
        <w:t>)</w:t>
      </w:r>
    </w:p>
    <w:p>
      <w:pPr>
        <w:spacing w:line="26" w:lineRule="exact"/>
        <w:rPr>
          <w:rFonts w:hint="default" w:ascii="Times New Roman" w:hAnsi="Times New Roman" w:cs="Times New Roman"/>
          <w:highlight w:val="none"/>
        </w:rPr>
      </w:pPr>
    </w:p>
    <w:tbl>
      <w:tblPr>
        <w:tblStyle w:val="19"/>
        <w:tblW w:w="836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4"/>
        <w:gridCol w:w="1717"/>
        <w:gridCol w:w="2205"/>
        <w:gridCol w:w="558"/>
        <w:gridCol w:w="1103"/>
        <w:gridCol w:w="21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584" w:type="dxa"/>
            <w:tcBorders>
              <w:left w:val="single" w:color="000000" w:sz="10" w:space="0"/>
              <w:right w:val="single" w:color="000000" w:sz="4" w:space="0"/>
            </w:tcBorders>
            <w:vAlign w:val="top"/>
          </w:tcPr>
          <w:p>
            <w:pPr>
              <w:spacing w:before="118" w:line="230" w:lineRule="auto"/>
              <w:ind w:left="7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序号</w:t>
            </w:r>
          </w:p>
        </w:tc>
        <w:tc>
          <w:tcPr>
            <w:tcW w:w="1717" w:type="dxa"/>
            <w:tcBorders>
              <w:left w:val="single" w:color="000000" w:sz="4" w:space="0"/>
              <w:right w:val="single" w:color="000000" w:sz="4" w:space="0"/>
            </w:tcBorders>
            <w:vAlign w:val="top"/>
          </w:tcPr>
          <w:p>
            <w:pPr>
              <w:spacing w:before="118" w:line="230" w:lineRule="auto"/>
              <w:ind w:left="43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设</w:t>
            </w:r>
            <w:r>
              <w:rPr>
                <w:rFonts w:hint="default" w:ascii="Times New Roman" w:hAnsi="Times New Roman" w:eastAsia="宋体" w:cs="Times New Roman"/>
                <w:spacing w:val="6"/>
                <w:sz w:val="20"/>
                <w:szCs w:val="20"/>
                <w:highlight w:val="none"/>
              </w:rPr>
              <w:t>备名称</w:t>
            </w:r>
          </w:p>
        </w:tc>
        <w:tc>
          <w:tcPr>
            <w:tcW w:w="2205" w:type="dxa"/>
            <w:tcBorders>
              <w:left w:val="single" w:color="000000" w:sz="4" w:space="0"/>
              <w:right w:val="single" w:color="000000" w:sz="4" w:space="0"/>
            </w:tcBorders>
            <w:vAlign w:val="top"/>
          </w:tcPr>
          <w:p>
            <w:pPr>
              <w:spacing w:before="88" w:line="274" w:lineRule="exact"/>
              <w:ind w:left="113"/>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7"/>
                <w:position w:val="2"/>
                <w:sz w:val="20"/>
                <w:szCs w:val="20"/>
                <w:highlight w:val="none"/>
              </w:rPr>
              <w:t>噪声值</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宋体" w:cs="Times New Roman"/>
                <w:spacing w:val="7"/>
                <w:position w:val="2"/>
                <w:sz w:val="20"/>
                <w:szCs w:val="20"/>
                <w:highlight w:val="none"/>
              </w:rPr>
              <w:t>距离</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dB</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A</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m</w:t>
            </w:r>
            <w:r>
              <w:rPr>
                <w:rFonts w:hint="default" w:ascii="Times New Roman" w:hAnsi="Times New Roman" w:eastAsia="Times New Roman" w:cs="Times New Roman"/>
                <w:spacing w:val="5"/>
                <w:position w:val="2"/>
                <w:sz w:val="20"/>
                <w:szCs w:val="20"/>
                <w:highlight w:val="none"/>
              </w:rPr>
              <w:t>]</w:t>
            </w:r>
          </w:p>
        </w:tc>
        <w:tc>
          <w:tcPr>
            <w:tcW w:w="558" w:type="dxa"/>
            <w:tcBorders>
              <w:left w:val="single" w:color="000000" w:sz="4" w:space="0"/>
              <w:right w:val="single" w:color="000000" w:sz="4" w:space="0"/>
            </w:tcBorders>
            <w:vAlign w:val="top"/>
          </w:tcPr>
          <w:p>
            <w:pPr>
              <w:spacing w:before="118" w:line="230" w:lineRule="auto"/>
              <w:ind w:left="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序号</w:t>
            </w:r>
          </w:p>
        </w:tc>
        <w:tc>
          <w:tcPr>
            <w:tcW w:w="1103" w:type="dxa"/>
            <w:tcBorders>
              <w:left w:val="single" w:color="000000" w:sz="4" w:space="0"/>
              <w:right w:val="single" w:color="000000" w:sz="4" w:space="0"/>
            </w:tcBorders>
            <w:vAlign w:val="top"/>
          </w:tcPr>
          <w:p>
            <w:pPr>
              <w:spacing w:before="118" w:line="230" w:lineRule="auto"/>
              <w:ind w:left="14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设</w:t>
            </w:r>
            <w:r>
              <w:rPr>
                <w:rFonts w:hint="default" w:ascii="Times New Roman" w:hAnsi="Times New Roman" w:eastAsia="宋体" w:cs="Times New Roman"/>
                <w:spacing w:val="6"/>
                <w:sz w:val="20"/>
                <w:szCs w:val="20"/>
                <w:highlight w:val="none"/>
              </w:rPr>
              <w:t>备名称</w:t>
            </w:r>
          </w:p>
        </w:tc>
        <w:tc>
          <w:tcPr>
            <w:tcW w:w="2198" w:type="dxa"/>
            <w:tcBorders>
              <w:left w:val="single" w:color="000000" w:sz="4" w:space="0"/>
              <w:right w:val="single" w:color="000000" w:sz="10" w:space="0"/>
            </w:tcBorders>
            <w:vAlign w:val="top"/>
          </w:tcPr>
          <w:p>
            <w:pPr>
              <w:spacing w:before="88" w:line="274" w:lineRule="exact"/>
              <w:ind w:left="113"/>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7"/>
                <w:position w:val="2"/>
                <w:sz w:val="20"/>
                <w:szCs w:val="20"/>
                <w:highlight w:val="none"/>
              </w:rPr>
              <w:t>噪声值</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宋体" w:cs="Times New Roman"/>
                <w:spacing w:val="7"/>
                <w:position w:val="2"/>
                <w:sz w:val="20"/>
                <w:szCs w:val="20"/>
                <w:highlight w:val="none"/>
              </w:rPr>
              <w:t>距离</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dB</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A</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m</w:t>
            </w:r>
            <w:r>
              <w:rPr>
                <w:rFonts w:hint="default" w:ascii="Times New Roman" w:hAnsi="Times New Roman" w:eastAsia="Times New Roman" w:cs="Times New Roman"/>
                <w:spacing w:val="5"/>
                <w:position w:val="2"/>
                <w:sz w:val="20"/>
                <w:szCs w:val="20"/>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84" w:type="dxa"/>
            <w:tcBorders>
              <w:left w:val="single" w:color="000000" w:sz="10" w:space="0"/>
              <w:right w:val="single" w:color="000000" w:sz="4" w:space="0"/>
            </w:tcBorders>
            <w:vAlign w:val="top"/>
          </w:tcPr>
          <w:p>
            <w:pPr>
              <w:spacing w:before="132" w:line="195" w:lineRule="auto"/>
              <w:ind w:left="24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717" w:type="dxa"/>
            <w:tcBorders>
              <w:left w:val="single" w:color="000000" w:sz="4" w:space="0"/>
              <w:right w:val="single" w:color="000000" w:sz="4" w:space="0"/>
            </w:tcBorders>
            <w:vAlign w:val="top"/>
          </w:tcPr>
          <w:p>
            <w:pPr>
              <w:spacing w:before="95" w:line="228" w:lineRule="auto"/>
              <w:ind w:left="53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装载</w:t>
            </w:r>
            <w:r>
              <w:rPr>
                <w:rFonts w:hint="default" w:ascii="Times New Roman" w:hAnsi="Times New Roman" w:eastAsia="宋体" w:cs="Times New Roman"/>
                <w:spacing w:val="6"/>
                <w:sz w:val="20"/>
                <w:szCs w:val="20"/>
                <w:highlight w:val="none"/>
              </w:rPr>
              <w:t>机</w:t>
            </w:r>
          </w:p>
        </w:tc>
        <w:tc>
          <w:tcPr>
            <w:tcW w:w="2205" w:type="dxa"/>
            <w:tcBorders>
              <w:left w:val="single" w:color="000000" w:sz="4" w:space="0"/>
              <w:right w:val="single" w:color="000000" w:sz="4" w:space="0"/>
            </w:tcBorders>
            <w:vAlign w:val="top"/>
          </w:tcPr>
          <w:p>
            <w:pPr>
              <w:spacing w:before="65" w:line="274" w:lineRule="exact"/>
              <w:ind w:left="91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1"/>
                <w:sz w:val="20"/>
                <w:szCs w:val="20"/>
                <w:highlight w:val="none"/>
              </w:rPr>
              <w:t>9</w:t>
            </w:r>
            <w:r>
              <w:rPr>
                <w:rFonts w:hint="default" w:ascii="Times New Roman" w:hAnsi="Times New Roman" w:eastAsia="Times New Roman" w:cs="Times New Roman"/>
                <w:spacing w:val="2"/>
                <w:position w:val="1"/>
                <w:sz w:val="20"/>
                <w:szCs w:val="20"/>
                <w:highlight w:val="none"/>
              </w:rPr>
              <w:t>5/2</w:t>
            </w:r>
          </w:p>
        </w:tc>
        <w:tc>
          <w:tcPr>
            <w:tcW w:w="558" w:type="dxa"/>
            <w:tcBorders>
              <w:left w:val="single" w:color="000000" w:sz="4" w:space="0"/>
              <w:right w:val="single" w:color="000000" w:sz="4" w:space="0"/>
            </w:tcBorders>
            <w:vAlign w:val="top"/>
          </w:tcPr>
          <w:p>
            <w:pPr>
              <w:spacing w:before="135" w:line="192" w:lineRule="auto"/>
              <w:ind w:left="23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w:t>
            </w:r>
          </w:p>
        </w:tc>
        <w:tc>
          <w:tcPr>
            <w:tcW w:w="1103" w:type="dxa"/>
            <w:tcBorders>
              <w:left w:val="single" w:color="000000" w:sz="4" w:space="0"/>
              <w:right w:val="single" w:color="000000" w:sz="4" w:space="0"/>
            </w:tcBorders>
            <w:vAlign w:val="top"/>
          </w:tcPr>
          <w:p>
            <w:pPr>
              <w:spacing w:before="95" w:line="228" w:lineRule="auto"/>
              <w:ind w:left="24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夯</w:t>
            </w:r>
            <w:r>
              <w:rPr>
                <w:rFonts w:hint="default" w:ascii="Times New Roman" w:hAnsi="Times New Roman" w:eastAsia="宋体" w:cs="Times New Roman"/>
                <w:spacing w:val="6"/>
                <w:sz w:val="20"/>
                <w:szCs w:val="20"/>
                <w:highlight w:val="none"/>
              </w:rPr>
              <w:t>土机</w:t>
            </w:r>
          </w:p>
        </w:tc>
        <w:tc>
          <w:tcPr>
            <w:tcW w:w="2198" w:type="dxa"/>
            <w:tcBorders>
              <w:left w:val="single" w:color="000000" w:sz="4" w:space="0"/>
              <w:right w:val="single" w:color="000000" w:sz="10" w:space="0"/>
            </w:tcBorders>
            <w:vAlign w:val="top"/>
          </w:tcPr>
          <w:p>
            <w:pPr>
              <w:spacing w:before="65" w:line="274" w:lineRule="exact"/>
              <w:ind w:left="91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1"/>
                <w:sz w:val="20"/>
                <w:szCs w:val="20"/>
                <w:highlight w:val="none"/>
              </w:rPr>
              <w:t>9</w:t>
            </w:r>
            <w:r>
              <w:rPr>
                <w:rFonts w:hint="default" w:ascii="Times New Roman" w:hAnsi="Times New Roman" w:eastAsia="Times New Roman" w:cs="Times New Roman"/>
                <w:spacing w:val="2"/>
                <w:position w:val="1"/>
                <w:sz w:val="20"/>
                <w:szCs w:val="20"/>
                <w:highlight w:val="none"/>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84" w:type="dxa"/>
            <w:tcBorders>
              <w:left w:val="single" w:color="000000" w:sz="10" w:space="0"/>
              <w:right w:val="single" w:color="000000" w:sz="4" w:space="0"/>
            </w:tcBorders>
            <w:vAlign w:val="top"/>
          </w:tcPr>
          <w:p>
            <w:pPr>
              <w:spacing w:before="134" w:line="195" w:lineRule="auto"/>
              <w:ind w:left="22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717" w:type="dxa"/>
            <w:tcBorders>
              <w:left w:val="single" w:color="000000" w:sz="4" w:space="0"/>
              <w:right w:val="single" w:color="000000" w:sz="4" w:space="0"/>
            </w:tcBorders>
            <w:vAlign w:val="top"/>
          </w:tcPr>
          <w:p>
            <w:pPr>
              <w:spacing w:before="97" w:line="228" w:lineRule="auto"/>
              <w:ind w:left="53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挖掘机</w:t>
            </w:r>
          </w:p>
        </w:tc>
        <w:tc>
          <w:tcPr>
            <w:tcW w:w="2205" w:type="dxa"/>
            <w:tcBorders>
              <w:left w:val="single" w:color="000000" w:sz="4" w:space="0"/>
              <w:right w:val="single" w:color="000000" w:sz="4" w:space="0"/>
            </w:tcBorders>
            <w:vAlign w:val="top"/>
          </w:tcPr>
          <w:p>
            <w:pPr>
              <w:spacing w:before="67" w:line="274" w:lineRule="exact"/>
              <w:ind w:left="91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1"/>
                <w:sz w:val="20"/>
                <w:szCs w:val="20"/>
                <w:highlight w:val="none"/>
              </w:rPr>
              <w:t>9</w:t>
            </w:r>
            <w:r>
              <w:rPr>
                <w:rFonts w:hint="default" w:ascii="Times New Roman" w:hAnsi="Times New Roman" w:eastAsia="Times New Roman" w:cs="Times New Roman"/>
                <w:spacing w:val="2"/>
                <w:position w:val="1"/>
                <w:sz w:val="20"/>
                <w:szCs w:val="20"/>
                <w:highlight w:val="none"/>
              </w:rPr>
              <w:t>5/2</w:t>
            </w:r>
          </w:p>
        </w:tc>
        <w:tc>
          <w:tcPr>
            <w:tcW w:w="558" w:type="dxa"/>
            <w:tcBorders>
              <w:left w:val="single" w:color="000000" w:sz="4" w:space="0"/>
              <w:right w:val="single" w:color="000000" w:sz="4" w:space="0"/>
            </w:tcBorders>
            <w:vAlign w:val="top"/>
          </w:tcPr>
          <w:p>
            <w:pPr>
              <w:spacing w:before="133" w:line="195" w:lineRule="auto"/>
              <w:ind w:left="23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6</w:t>
            </w:r>
          </w:p>
        </w:tc>
        <w:tc>
          <w:tcPr>
            <w:tcW w:w="1103" w:type="dxa"/>
            <w:tcBorders>
              <w:left w:val="single" w:color="000000" w:sz="4" w:space="0"/>
              <w:right w:val="single" w:color="000000" w:sz="4" w:space="0"/>
            </w:tcBorders>
            <w:vAlign w:val="top"/>
          </w:tcPr>
          <w:p>
            <w:pPr>
              <w:spacing w:before="97" w:line="228" w:lineRule="auto"/>
              <w:ind w:left="26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吊装</w:t>
            </w:r>
            <w:r>
              <w:rPr>
                <w:rFonts w:hint="default" w:ascii="Times New Roman" w:hAnsi="Times New Roman" w:eastAsia="宋体" w:cs="Times New Roman"/>
                <w:spacing w:val="-1"/>
                <w:sz w:val="20"/>
                <w:szCs w:val="20"/>
                <w:highlight w:val="none"/>
              </w:rPr>
              <w:t>机</w:t>
            </w:r>
          </w:p>
        </w:tc>
        <w:tc>
          <w:tcPr>
            <w:tcW w:w="2198" w:type="dxa"/>
            <w:tcBorders>
              <w:left w:val="single" w:color="000000" w:sz="4" w:space="0"/>
              <w:right w:val="single" w:color="000000" w:sz="10" w:space="0"/>
            </w:tcBorders>
            <w:vAlign w:val="top"/>
          </w:tcPr>
          <w:p>
            <w:pPr>
              <w:spacing w:before="67" w:line="274" w:lineRule="exact"/>
              <w:ind w:left="92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position w:val="1"/>
                <w:sz w:val="20"/>
                <w:szCs w:val="20"/>
                <w:highlight w:val="none"/>
              </w:rPr>
              <w:t>8</w:t>
            </w:r>
            <w:r>
              <w:rPr>
                <w:rFonts w:hint="default" w:ascii="Times New Roman" w:hAnsi="Times New Roman" w:eastAsia="Times New Roman" w:cs="Times New Roman"/>
                <w:spacing w:val="-5"/>
                <w:position w:val="1"/>
                <w:sz w:val="20"/>
                <w:szCs w:val="20"/>
                <w:highlight w:val="none"/>
              </w:rPr>
              <w:t>5/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84" w:type="dxa"/>
            <w:tcBorders>
              <w:left w:val="single" w:color="000000" w:sz="10" w:space="0"/>
              <w:right w:val="single" w:color="000000" w:sz="4" w:space="0"/>
            </w:tcBorders>
            <w:vAlign w:val="top"/>
          </w:tcPr>
          <w:p>
            <w:pPr>
              <w:spacing w:before="135" w:line="195" w:lineRule="auto"/>
              <w:ind w:left="22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1717" w:type="dxa"/>
            <w:tcBorders>
              <w:left w:val="single" w:color="000000" w:sz="4" w:space="0"/>
              <w:right w:val="single" w:color="000000" w:sz="4" w:space="0"/>
            </w:tcBorders>
            <w:vAlign w:val="top"/>
          </w:tcPr>
          <w:p>
            <w:pPr>
              <w:spacing w:before="100" w:line="228" w:lineRule="auto"/>
              <w:ind w:left="22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混凝土振捣</w:t>
            </w:r>
            <w:r>
              <w:rPr>
                <w:rFonts w:hint="default" w:ascii="Times New Roman" w:hAnsi="Times New Roman" w:eastAsia="宋体" w:cs="Times New Roman"/>
                <w:spacing w:val="7"/>
                <w:sz w:val="20"/>
                <w:szCs w:val="20"/>
                <w:highlight w:val="none"/>
              </w:rPr>
              <w:t>器</w:t>
            </w:r>
          </w:p>
        </w:tc>
        <w:tc>
          <w:tcPr>
            <w:tcW w:w="2205" w:type="dxa"/>
            <w:tcBorders>
              <w:left w:val="single" w:color="000000" w:sz="4" w:space="0"/>
              <w:right w:val="single" w:color="000000" w:sz="4" w:space="0"/>
            </w:tcBorders>
            <w:vAlign w:val="top"/>
          </w:tcPr>
          <w:p>
            <w:pPr>
              <w:spacing w:before="69" w:line="274" w:lineRule="exact"/>
              <w:ind w:left="92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position w:val="1"/>
                <w:sz w:val="20"/>
                <w:szCs w:val="20"/>
                <w:highlight w:val="none"/>
              </w:rPr>
              <w:t>87/2</w:t>
            </w:r>
          </w:p>
        </w:tc>
        <w:tc>
          <w:tcPr>
            <w:tcW w:w="558" w:type="dxa"/>
            <w:tcBorders>
              <w:left w:val="single" w:color="000000" w:sz="4" w:space="0"/>
              <w:right w:val="single" w:color="000000" w:sz="4" w:space="0"/>
            </w:tcBorders>
            <w:vAlign w:val="top"/>
          </w:tcPr>
          <w:p>
            <w:pPr>
              <w:spacing w:before="138" w:line="192" w:lineRule="auto"/>
              <w:ind w:left="2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7</w:t>
            </w:r>
          </w:p>
        </w:tc>
        <w:tc>
          <w:tcPr>
            <w:tcW w:w="1103" w:type="dxa"/>
            <w:tcBorders>
              <w:left w:val="single" w:color="000000" w:sz="4" w:space="0"/>
              <w:right w:val="single" w:color="000000" w:sz="4" w:space="0"/>
            </w:tcBorders>
            <w:vAlign w:val="top"/>
          </w:tcPr>
          <w:p>
            <w:pPr>
              <w:spacing w:before="99" w:line="231" w:lineRule="auto"/>
              <w:ind w:left="5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电</w:t>
            </w:r>
            <w:r>
              <w:rPr>
                <w:rFonts w:hint="default" w:ascii="Times New Roman" w:hAnsi="Times New Roman" w:eastAsia="宋体" w:cs="Times New Roman"/>
                <w:spacing w:val="3"/>
                <w:sz w:val="20"/>
                <w:szCs w:val="20"/>
                <w:highlight w:val="none"/>
              </w:rPr>
              <w:t>锯、电刨</w:t>
            </w:r>
          </w:p>
        </w:tc>
        <w:tc>
          <w:tcPr>
            <w:tcW w:w="2198" w:type="dxa"/>
            <w:tcBorders>
              <w:left w:val="single" w:color="000000" w:sz="4" w:space="0"/>
              <w:right w:val="single" w:color="000000" w:sz="10" w:space="0"/>
            </w:tcBorders>
            <w:vAlign w:val="top"/>
          </w:tcPr>
          <w:p>
            <w:pPr>
              <w:spacing w:before="69" w:line="274" w:lineRule="exact"/>
              <w:ind w:left="88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9"/>
                <w:position w:val="1"/>
                <w:sz w:val="20"/>
                <w:szCs w:val="20"/>
                <w:highlight w:val="none"/>
              </w:rPr>
              <w:t>1</w:t>
            </w:r>
            <w:r>
              <w:rPr>
                <w:rFonts w:hint="default" w:ascii="Times New Roman" w:hAnsi="Times New Roman" w:eastAsia="Times New Roman" w:cs="Times New Roman"/>
                <w:spacing w:val="-5"/>
                <w:position w:val="1"/>
                <w:sz w:val="20"/>
                <w:szCs w:val="20"/>
                <w:highlight w:val="none"/>
              </w:rPr>
              <w:t>03/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584" w:type="dxa"/>
            <w:tcBorders>
              <w:left w:val="single" w:color="000000" w:sz="10" w:space="0"/>
              <w:right w:val="single" w:color="000000" w:sz="4" w:space="0"/>
            </w:tcBorders>
            <w:vAlign w:val="top"/>
          </w:tcPr>
          <w:p>
            <w:pPr>
              <w:spacing w:before="135" w:line="195" w:lineRule="auto"/>
              <w:ind w:left="22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4</w:t>
            </w:r>
          </w:p>
        </w:tc>
        <w:tc>
          <w:tcPr>
            <w:tcW w:w="1717" w:type="dxa"/>
            <w:tcBorders>
              <w:left w:val="single" w:color="000000" w:sz="4" w:space="0"/>
              <w:right w:val="single" w:color="000000" w:sz="4" w:space="0"/>
            </w:tcBorders>
            <w:vAlign w:val="top"/>
          </w:tcPr>
          <w:p>
            <w:pPr>
              <w:spacing w:before="98" w:line="228" w:lineRule="auto"/>
              <w:ind w:left="53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推土</w:t>
            </w:r>
            <w:r>
              <w:rPr>
                <w:rFonts w:hint="default" w:ascii="Times New Roman" w:hAnsi="Times New Roman" w:eastAsia="宋体" w:cs="Times New Roman"/>
                <w:spacing w:val="6"/>
                <w:sz w:val="20"/>
                <w:szCs w:val="20"/>
                <w:highlight w:val="none"/>
              </w:rPr>
              <w:t>机</w:t>
            </w:r>
          </w:p>
        </w:tc>
        <w:tc>
          <w:tcPr>
            <w:tcW w:w="2205" w:type="dxa"/>
            <w:tcBorders>
              <w:left w:val="single" w:color="000000" w:sz="4" w:space="0"/>
              <w:right w:val="single" w:color="000000" w:sz="4" w:space="0"/>
            </w:tcBorders>
            <w:vAlign w:val="top"/>
          </w:tcPr>
          <w:p>
            <w:pPr>
              <w:spacing w:before="68" w:line="274" w:lineRule="exact"/>
              <w:ind w:left="92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position w:val="1"/>
                <w:sz w:val="20"/>
                <w:szCs w:val="20"/>
                <w:highlight w:val="none"/>
              </w:rPr>
              <w:t>88/3</w:t>
            </w:r>
          </w:p>
        </w:tc>
        <w:tc>
          <w:tcPr>
            <w:tcW w:w="558" w:type="dxa"/>
            <w:tcBorders>
              <w:left w:val="single" w:color="000000" w:sz="4" w:space="0"/>
              <w:right w:val="single" w:color="000000" w:sz="4" w:space="0"/>
            </w:tcBorders>
            <w:vAlign w:val="top"/>
          </w:tcPr>
          <w:p>
            <w:pPr>
              <w:spacing w:before="135" w:line="195" w:lineRule="auto"/>
              <w:ind w:left="23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8</w:t>
            </w:r>
          </w:p>
        </w:tc>
        <w:tc>
          <w:tcPr>
            <w:tcW w:w="1103" w:type="dxa"/>
            <w:tcBorders>
              <w:left w:val="single" w:color="000000" w:sz="4" w:space="0"/>
              <w:right w:val="single" w:color="000000" w:sz="4" w:space="0"/>
            </w:tcBorders>
            <w:vAlign w:val="top"/>
          </w:tcPr>
          <w:p>
            <w:pPr>
              <w:spacing w:before="99" w:line="228" w:lineRule="auto"/>
              <w:ind w:left="14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运</w:t>
            </w:r>
            <w:r>
              <w:rPr>
                <w:rFonts w:hint="default" w:ascii="Times New Roman" w:hAnsi="Times New Roman" w:eastAsia="宋体" w:cs="Times New Roman"/>
                <w:spacing w:val="7"/>
                <w:sz w:val="20"/>
                <w:szCs w:val="20"/>
                <w:highlight w:val="none"/>
              </w:rPr>
              <w:t>输车辆</w:t>
            </w:r>
          </w:p>
        </w:tc>
        <w:tc>
          <w:tcPr>
            <w:tcW w:w="2198" w:type="dxa"/>
            <w:tcBorders>
              <w:left w:val="single" w:color="000000" w:sz="4" w:space="0"/>
              <w:right w:val="single" w:color="000000" w:sz="10" w:space="0"/>
            </w:tcBorders>
            <w:vAlign w:val="top"/>
          </w:tcPr>
          <w:p>
            <w:pPr>
              <w:spacing w:before="68" w:line="274" w:lineRule="exact"/>
              <w:ind w:left="91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1"/>
                <w:sz w:val="20"/>
                <w:szCs w:val="20"/>
                <w:highlight w:val="none"/>
              </w:rPr>
              <w:t>9</w:t>
            </w:r>
            <w:r>
              <w:rPr>
                <w:rFonts w:hint="default" w:ascii="Times New Roman" w:hAnsi="Times New Roman" w:eastAsia="Times New Roman" w:cs="Times New Roman"/>
                <w:spacing w:val="2"/>
                <w:position w:val="1"/>
                <w:sz w:val="20"/>
                <w:szCs w:val="20"/>
                <w:highlight w:val="none"/>
              </w:rPr>
              <w:t>4/2</w:t>
            </w:r>
          </w:p>
        </w:tc>
      </w:tr>
    </w:tbl>
    <w:p>
      <w:pPr>
        <w:spacing w:before="197" w:line="227" w:lineRule="auto"/>
        <w:ind w:left="54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7"/>
          <w:sz w:val="23"/>
          <w:szCs w:val="23"/>
          <w:highlight w:val="none"/>
        </w:rPr>
        <w:t>2</w:t>
      </w:r>
      <w:r>
        <w:rPr>
          <w:rFonts w:hint="default" w:ascii="Times New Roman" w:hAnsi="Times New Roman" w:eastAsia="宋体" w:cs="Times New Roman"/>
          <w:spacing w:val="17"/>
          <w:sz w:val="23"/>
          <w:szCs w:val="23"/>
          <w:highlight w:val="none"/>
        </w:rPr>
        <w:t>) 施工噪声贡献值</w:t>
      </w:r>
    </w:p>
    <w:p>
      <w:pPr>
        <w:spacing w:before="215" w:line="227" w:lineRule="auto"/>
        <w:ind w:left="53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本</w:t>
      </w:r>
      <w:r>
        <w:rPr>
          <w:rFonts w:hint="default" w:ascii="Times New Roman" w:hAnsi="Times New Roman" w:eastAsia="宋体" w:cs="Times New Roman"/>
          <w:spacing w:val="14"/>
          <w:sz w:val="23"/>
          <w:szCs w:val="23"/>
          <w:highlight w:val="none"/>
        </w:rPr>
        <w:t>评价采用点源衰减模式，预测计算施工机械噪声源至受声点几何发散衰</w:t>
      </w:r>
    </w:p>
    <w:p>
      <w:pPr>
        <w:spacing w:before="217" w:line="230" w:lineRule="auto"/>
        <w:ind w:left="5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减</w:t>
      </w:r>
      <w:r>
        <w:rPr>
          <w:rFonts w:hint="default" w:ascii="Times New Roman" w:hAnsi="Times New Roman" w:eastAsia="宋体" w:cs="Times New Roman"/>
          <w:spacing w:val="9"/>
          <w:sz w:val="23"/>
          <w:szCs w:val="23"/>
          <w:highlight w:val="none"/>
        </w:rPr>
        <w:t>，计算中不考虑声屏障、空气吸收等衰减，预测公式如下：</w:t>
      </w:r>
    </w:p>
    <w:p>
      <w:pPr>
        <w:spacing w:before="178" w:line="314" w:lineRule="exact"/>
        <w:ind w:left="527"/>
        <w:jc w:val="both"/>
        <w:rPr>
          <w:rFonts w:hint="default" w:ascii="Times New Roman" w:hAnsi="Times New Roman" w:eastAsia="Times New Roman" w:cs="Times New Roman"/>
          <w:sz w:val="23"/>
          <w:szCs w:val="23"/>
          <w:highlight w:val="none"/>
        </w:rPr>
      </w:pPr>
      <w:r>
        <w:rPr>
          <w:rFonts w:hint="default" w:ascii="Times New Roman" w:hAnsi="Times New Roman" w:eastAsia="Times New Roman" w:cs="Times New Roman"/>
          <w:position w:val="4"/>
          <w:sz w:val="23"/>
          <w:szCs w:val="23"/>
          <w:highlight w:val="none"/>
        </w:rPr>
        <w:t>Lr</w:t>
      </w:r>
      <w:r>
        <w:rPr>
          <w:rFonts w:hint="default" w:ascii="Times New Roman" w:hAnsi="Times New Roman" w:eastAsia="Times New Roman" w:cs="Times New Roman"/>
          <w:spacing w:val="12"/>
          <w:position w:val="4"/>
          <w:sz w:val="23"/>
          <w:szCs w:val="23"/>
          <w:highlight w:val="none"/>
        </w:rPr>
        <w:t>=</w:t>
      </w:r>
      <w:r>
        <w:rPr>
          <w:rFonts w:hint="default" w:ascii="Times New Roman" w:hAnsi="Times New Roman" w:eastAsia="Times New Roman" w:cs="Times New Roman"/>
          <w:position w:val="4"/>
          <w:sz w:val="23"/>
          <w:szCs w:val="23"/>
          <w:highlight w:val="none"/>
        </w:rPr>
        <w:t>L</w:t>
      </w:r>
      <w:r>
        <w:rPr>
          <w:rFonts w:hint="default" w:ascii="Times New Roman" w:hAnsi="Times New Roman" w:eastAsia="Times New Roman" w:cs="Times New Roman"/>
          <w:position w:val="3"/>
          <w:sz w:val="15"/>
          <w:szCs w:val="15"/>
          <w:highlight w:val="none"/>
        </w:rPr>
        <w:t>r</w:t>
      </w:r>
      <w:r>
        <w:rPr>
          <w:rFonts w:hint="default" w:ascii="Times New Roman" w:hAnsi="Times New Roman" w:eastAsia="Times New Roman" w:cs="Times New Roman"/>
          <w:spacing w:val="6"/>
          <w:position w:val="3"/>
          <w:sz w:val="15"/>
          <w:szCs w:val="15"/>
          <w:highlight w:val="none"/>
        </w:rPr>
        <w:t>0</w:t>
      </w:r>
      <w:r>
        <w:rPr>
          <w:rFonts w:hint="default" w:ascii="Times New Roman" w:hAnsi="Times New Roman" w:eastAsia="Times New Roman" w:cs="Times New Roman"/>
          <w:spacing w:val="6"/>
          <w:position w:val="4"/>
          <w:sz w:val="23"/>
          <w:szCs w:val="23"/>
          <w:highlight w:val="none"/>
        </w:rPr>
        <w:t>-20</w:t>
      </w:r>
      <w:r>
        <w:rPr>
          <w:rFonts w:hint="default" w:ascii="Times New Roman" w:hAnsi="Times New Roman" w:eastAsia="Times New Roman" w:cs="Times New Roman"/>
          <w:position w:val="4"/>
          <w:sz w:val="23"/>
          <w:szCs w:val="23"/>
          <w:highlight w:val="none"/>
        </w:rPr>
        <w:t>lg</w:t>
      </w:r>
      <w:r>
        <w:rPr>
          <w:rFonts w:hint="default" w:ascii="Times New Roman" w:hAnsi="Times New Roman" w:eastAsia="Times New Roman" w:cs="Times New Roman"/>
          <w:spacing w:val="6"/>
          <w:position w:val="4"/>
          <w:sz w:val="23"/>
          <w:szCs w:val="23"/>
          <w:highlight w:val="none"/>
        </w:rPr>
        <w:t>(</w:t>
      </w:r>
      <w:r>
        <w:rPr>
          <w:rFonts w:hint="default" w:ascii="Times New Roman" w:hAnsi="Times New Roman" w:eastAsia="Times New Roman" w:cs="Times New Roman"/>
          <w:position w:val="4"/>
          <w:sz w:val="23"/>
          <w:szCs w:val="23"/>
          <w:highlight w:val="none"/>
        </w:rPr>
        <w:t>r</w:t>
      </w:r>
      <w:r>
        <w:rPr>
          <w:rFonts w:hint="default" w:ascii="Times New Roman" w:hAnsi="Times New Roman" w:eastAsia="Times New Roman" w:cs="Times New Roman"/>
          <w:spacing w:val="6"/>
          <w:position w:val="4"/>
          <w:sz w:val="23"/>
          <w:szCs w:val="23"/>
          <w:highlight w:val="none"/>
        </w:rPr>
        <w:t>/</w:t>
      </w:r>
      <w:r>
        <w:rPr>
          <w:rFonts w:hint="default" w:ascii="Times New Roman" w:hAnsi="Times New Roman" w:eastAsia="Times New Roman" w:cs="Times New Roman"/>
          <w:position w:val="4"/>
          <w:sz w:val="23"/>
          <w:szCs w:val="23"/>
          <w:highlight w:val="none"/>
        </w:rPr>
        <w:t>r</w:t>
      </w:r>
      <w:r>
        <w:rPr>
          <w:rFonts w:hint="default" w:ascii="Times New Roman" w:hAnsi="Times New Roman" w:eastAsia="Times New Roman" w:cs="Times New Roman"/>
          <w:spacing w:val="6"/>
          <w:position w:val="3"/>
          <w:sz w:val="15"/>
          <w:szCs w:val="15"/>
          <w:highlight w:val="none"/>
        </w:rPr>
        <w:t>0</w:t>
      </w:r>
      <w:r>
        <w:rPr>
          <w:rFonts w:hint="default" w:ascii="Times New Roman" w:hAnsi="Times New Roman" w:eastAsia="Times New Roman" w:cs="Times New Roman"/>
          <w:spacing w:val="6"/>
          <w:position w:val="4"/>
          <w:sz w:val="23"/>
          <w:szCs w:val="23"/>
          <w:highlight w:val="none"/>
        </w:rPr>
        <w:t>)</w:t>
      </w:r>
    </w:p>
    <w:p>
      <w:pPr>
        <w:spacing w:before="187" w:line="499" w:lineRule="exact"/>
        <w:ind w:left="536"/>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position w:val="17"/>
          <w:sz w:val="23"/>
          <w:szCs w:val="23"/>
          <w:highlight w:val="none"/>
        </w:rPr>
        <w:t>式中：</w:t>
      </w:r>
      <w:r>
        <w:rPr>
          <w:rFonts w:hint="default" w:ascii="Times New Roman" w:hAnsi="Times New Roman" w:eastAsia="Times New Roman" w:cs="Times New Roman"/>
          <w:position w:val="17"/>
          <w:sz w:val="23"/>
          <w:szCs w:val="23"/>
          <w:highlight w:val="none"/>
        </w:rPr>
        <w:t>Lr</w:t>
      </w:r>
      <w:r>
        <w:rPr>
          <w:rFonts w:hint="default" w:ascii="Times New Roman" w:hAnsi="Times New Roman" w:eastAsia="Times New Roman" w:cs="Times New Roman"/>
          <w:spacing w:val="4"/>
          <w:position w:val="17"/>
          <w:sz w:val="23"/>
          <w:szCs w:val="23"/>
          <w:highlight w:val="none"/>
        </w:rPr>
        <w:t>——</w:t>
      </w:r>
      <w:r>
        <w:rPr>
          <w:rFonts w:hint="default" w:ascii="Times New Roman" w:hAnsi="Times New Roman" w:eastAsia="宋体" w:cs="Times New Roman"/>
          <w:spacing w:val="4"/>
          <w:position w:val="17"/>
          <w:sz w:val="23"/>
          <w:szCs w:val="23"/>
          <w:highlight w:val="none"/>
        </w:rPr>
        <w:t>距</w:t>
      </w:r>
      <w:r>
        <w:rPr>
          <w:rFonts w:hint="default" w:ascii="Times New Roman" w:hAnsi="Times New Roman" w:eastAsia="宋体" w:cs="Times New Roman"/>
          <w:spacing w:val="3"/>
          <w:position w:val="17"/>
          <w:sz w:val="23"/>
          <w:szCs w:val="23"/>
          <w:highlight w:val="none"/>
        </w:rPr>
        <w:t>声</w:t>
      </w:r>
      <w:r>
        <w:rPr>
          <w:rFonts w:hint="default" w:ascii="Times New Roman" w:hAnsi="Times New Roman" w:eastAsia="宋体" w:cs="Times New Roman"/>
          <w:spacing w:val="2"/>
          <w:position w:val="17"/>
          <w:sz w:val="23"/>
          <w:szCs w:val="23"/>
          <w:highlight w:val="none"/>
        </w:rPr>
        <w:t xml:space="preserve">源 </w:t>
      </w:r>
      <w:r>
        <w:rPr>
          <w:rFonts w:hint="default" w:ascii="Times New Roman" w:hAnsi="Times New Roman" w:eastAsia="Times New Roman" w:cs="Times New Roman"/>
          <w:position w:val="17"/>
          <w:sz w:val="23"/>
          <w:szCs w:val="23"/>
          <w:highlight w:val="none"/>
        </w:rPr>
        <w:t>r</w:t>
      </w:r>
      <w:r>
        <w:rPr>
          <w:rFonts w:hint="default" w:ascii="Times New Roman" w:hAnsi="Times New Roman" w:eastAsia="Times New Roman" w:cs="Times New Roman"/>
          <w:spacing w:val="2"/>
          <w:position w:val="17"/>
          <w:sz w:val="23"/>
          <w:szCs w:val="23"/>
          <w:highlight w:val="none"/>
        </w:rPr>
        <w:t xml:space="preserve"> </w:t>
      </w:r>
      <w:r>
        <w:rPr>
          <w:rFonts w:hint="default" w:ascii="Times New Roman" w:hAnsi="Times New Roman" w:eastAsia="宋体" w:cs="Times New Roman"/>
          <w:spacing w:val="2"/>
          <w:position w:val="17"/>
          <w:sz w:val="23"/>
          <w:szCs w:val="23"/>
          <w:highlight w:val="none"/>
        </w:rPr>
        <w:t xml:space="preserve">处的 </w:t>
      </w:r>
      <w:r>
        <w:rPr>
          <w:rFonts w:hint="default" w:ascii="Times New Roman" w:hAnsi="Times New Roman" w:eastAsia="Times New Roman" w:cs="Times New Roman"/>
          <w:position w:val="17"/>
          <w:sz w:val="23"/>
          <w:szCs w:val="23"/>
          <w:highlight w:val="none"/>
        </w:rPr>
        <w:t>A</w:t>
      </w:r>
      <w:r>
        <w:rPr>
          <w:rFonts w:hint="default" w:ascii="Times New Roman" w:hAnsi="Times New Roman" w:eastAsia="Times New Roman" w:cs="Times New Roman"/>
          <w:spacing w:val="2"/>
          <w:position w:val="17"/>
          <w:sz w:val="23"/>
          <w:szCs w:val="23"/>
          <w:highlight w:val="none"/>
        </w:rPr>
        <w:t xml:space="preserve"> </w:t>
      </w:r>
      <w:r>
        <w:rPr>
          <w:rFonts w:hint="default" w:ascii="Times New Roman" w:hAnsi="Times New Roman" w:eastAsia="宋体" w:cs="Times New Roman"/>
          <w:spacing w:val="2"/>
          <w:position w:val="17"/>
          <w:sz w:val="23"/>
          <w:szCs w:val="23"/>
          <w:highlight w:val="none"/>
        </w:rPr>
        <w:t>声级，</w:t>
      </w:r>
      <w:r>
        <w:rPr>
          <w:rFonts w:hint="default" w:ascii="Times New Roman" w:hAnsi="Times New Roman" w:eastAsia="Times New Roman" w:cs="Times New Roman"/>
          <w:position w:val="17"/>
          <w:sz w:val="23"/>
          <w:szCs w:val="23"/>
          <w:highlight w:val="none"/>
        </w:rPr>
        <w:t>dB</w:t>
      </w:r>
      <w:r>
        <w:rPr>
          <w:rFonts w:hint="default" w:ascii="Times New Roman" w:hAnsi="Times New Roman" w:eastAsia="Times New Roman" w:cs="Times New Roman"/>
          <w:spacing w:val="2"/>
          <w:position w:val="17"/>
          <w:sz w:val="23"/>
          <w:szCs w:val="23"/>
          <w:highlight w:val="none"/>
        </w:rPr>
        <w:t>(</w:t>
      </w:r>
      <w:r>
        <w:rPr>
          <w:rFonts w:hint="default" w:ascii="Times New Roman" w:hAnsi="Times New Roman" w:eastAsia="Times New Roman" w:cs="Times New Roman"/>
          <w:position w:val="17"/>
          <w:sz w:val="23"/>
          <w:szCs w:val="23"/>
          <w:highlight w:val="none"/>
        </w:rPr>
        <w:t>A</w:t>
      </w:r>
      <w:r>
        <w:rPr>
          <w:rFonts w:hint="default" w:ascii="Times New Roman" w:hAnsi="Times New Roman" w:eastAsia="Times New Roman" w:cs="Times New Roman"/>
          <w:spacing w:val="2"/>
          <w:position w:val="17"/>
          <w:sz w:val="23"/>
          <w:szCs w:val="23"/>
          <w:highlight w:val="none"/>
        </w:rPr>
        <w:t>)</w:t>
      </w:r>
      <w:r>
        <w:rPr>
          <w:rFonts w:hint="default" w:ascii="Times New Roman" w:hAnsi="Times New Roman" w:eastAsia="宋体" w:cs="Times New Roman"/>
          <w:spacing w:val="2"/>
          <w:position w:val="17"/>
          <w:sz w:val="23"/>
          <w:szCs w:val="23"/>
          <w:highlight w:val="none"/>
        </w:rPr>
        <w:t>；</w:t>
      </w:r>
    </w:p>
    <w:p>
      <w:pPr>
        <w:spacing w:line="315" w:lineRule="exact"/>
        <w:ind w:left="527"/>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position w:val="3"/>
          <w:sz w:val="23"/>
          <w:szCs w:val="23"/>
          <w:highlight w:val="none"/>
        </w:rPr>
        <w:t>Lr</w:t>
      </w:r>
      <w:r>
        <w:rPr>
          <w:rFonts w:hint="default" w:ascii="Times New Roman" w:hAnsi="Times New Roman" w:eastAsia="Times New Roman" w:cs="Times New Roman"/>
          <w:spacing w:val="2"/>
          <w:position w:val="2"/>
          <w:sz w:val="15"/>
          <w:szCs w:val="15"/>
          <w:highlight w:val="none"/>
        </w:rPr>
        <w:t>0</w:t>
      </w:r>
      <w:r>
        <w:rPr>
          <w:rFonts w:hint="default" w:ascii="Times New Roman" w:hAnsi="Times New Roman" w:eastAsia="Times New Roman" w:cs="Times New Roman"/>
          <w:spacing w:val="2"/>
          <w:position w:val="3"/>
          <w:sz w:val="23"/>
          <w:szCs w:val="23"/>
          <w:highlight w:val="none"/>
        </w:rPr>
        <w:t>——</w:t>
      </w:r>
      <w:r>
        <w:rPr>
          <w:rFonts w:hint="default" w:ascii="Times New Roman" w:hAnsi="Times New Roman" w:eastAsia="宋体" w:cs="Times New Roman"/>
          <w:spacing w:val="2"/>
          <w:position w:val="3"/>
          <w:sz w:val="23"/>
          <w:szCs w:val="23"/>
          <w:highlight w:val="none"/>
        </w:rPr>
        <w:t xml:space="preserve">距声源 </w:t>
      </w:r>
      <w:r>
        <w:rPr>
          <w:rFonts w:hint="default" w:ascii="Times New Roman" w:hAnsi="Times New Roman" w:eastAsia="Times New Roman" w:cs="Times New Roman"/>
          <w:position w:val="3"/>
          <w:sz w:val="23"/>
          <w:szCs w:val="23"/>
          <w:highlight w:val="none"/>
        </w:rPr>
        <w:t>r</w:t>
      </w:r>
      <w:r>
        <w:rPr>
          <w:rFonts w:hint="default" w:ascii="Times New Roman" w:hAnsi="Times New Roman" w:eastAsia="Times New Roman" w:cs="Times New Roman"/>
          <w:spacing w:val="2"/>
          <w:position w:val="2"/>
          <w:sz w:val="15"/>
          <w:szCs w:val="15"/>
          <w:highlight w:val="none"/>
        </w:rPr>
        <w:t xml:space="preserve">0 </w:t>
      </w:r>
      <w:r>
        <w:rPr>
          <w:rFonts w:hint="default" w:ascii="Times New Roman" w:hAnsi="Times New Roman" w:eastAsia="宋体" w:cs="Times New Roman"/>
          <w:spacing w:val="2"/>
          <w:position w:val="3"/>
          <w:sz w:val="23"/>
          <w:szCs w:val="23"/>
          <w:highlight w:val="none"/>
        </w:rPr>
        <w:t xml:space="preserve">处的 </w:t>
      </w:r>
      <w:r>
        <w:rPr>
          <w:rFonts w:hint="default" w:ascii="Times New Roman" w:hAnsi="Times New Roman" w:eastAsia="Times New Roman" w:cs="Times New Roman"/>
          <w:position w:val="3"/>
          <w:sz w:val="23"/>
          <w:szCs w:val="23"/>
          <w:highlight w:val="none"/>
        </w:rPr>
        <w:t>A</w:t>
      </w:r>
      <w:r>
        <w:rPr>
          <w:rFonts w:hint="default" w:ascii="Times New Roman" w:hAnsi="Times New Roman" w:eastAsia="Times New Roman" w:cs="Times New Roman"/>
          <w:spacing w:val="2"/>
          <w:position w:val="3"/>
          <w:sz w:val="23"/>
          <w:szCs w:val="23"/>
          <w:highlight w:val="none"/>
        </w:rPr>
        <w:t xml:space="preserve"> </w:t>
      </w:r>
      <w:r>
        <w:rPr>
          <w:rFonts w:hint="default" w:ascii="Times New Roman" w:hAnsi="Times New Roman" w:eastAsia="宋体" w:cs="Times New Roman"/>
          <w:spacing w:val="2"/>
          <w:position w:val="3"/>
          <w:sz w:val="23"/>
          <w:szCs w:val="23"/>
          <w:highlight w:val="none"/>
        </w:rPr>
        <w:t>声级，</w:t>
      </w:r>
      <w:r>
        <w:rPr>
          <w:rFonts w:hint="default" w:ascii="Times New Roman" w:hAnsi="Times New Roman" w:eastAsia="Times New Roman" w:cs="Times New Roman"/>
          <w:position w:val="3"/>
          <w:sz w:val="23"/>
          <w:szCs w:val="23"/>
          <w:highlight w:val="none"/>
        </w:rPr>
        <w:t>dB</w:t>
      </w:r>
      <w:r>
        <w:rPr>
          <w:rFonts w:hint="default" w:ascii="Times New Roman" w:hAnsi="Times New Roman" w:eastAsia="Times New Roman" w:cs="Times New Roman"/>
          <w:spacing w:val="2"/>
          <w:position w:val="3"/>
          <w:sz w:val="23"/>
          <w:szCs w:val="23"/>
          <w:highlight w:val="none"/>
        </w:rPr>
        <w:t>(</w:t>
      </w:r>
      <w:r>
        <w:rPr>
          <w:rFonts w:hint="default" w:ascii="Times New Roman" w:hAnsi="Times New Roman" w:eastAsia="Times New Roman" w:cs="Times New Roman"/>
          <w:position w:val="3"/>
          <w:sz w:val="23"/>
          <w:szCs w:val="23"/>
          <w:highlight w:val="none"/>
        </w:rPr>
        <w:t>A</w:t>
      </w:r>
      <w:r>
        <w:rPr>
          <w:rFonts w:hint="default" w:ascii="Times New Roman" w:hAnsi="Times New Roman" w:eastAsia="Times New Roman" w:cs="Times New Roman"/>
          <w:spacing w:val="2"/>
          <w:position w:val="3"/>
          <w:sz w:val="23"/>
          <w:szCs w:val="23"/>
          <w:highlight w:val="none"/>
        </w:rPr>
        <w:t>)</w:t>
      </w:r>
      <w:r>
        <w:rPr>
          <w:rFonts w:hint="default" w:ascii="Times New Roman" w:hAnsi="Times New Roman" w:eastAsia="宋体" w:cs="Times New Roman"/>
          <w:spacing w:val="1"/>
          <w:position w:val="3"/>
          <w:sz w:val="23"/>
          <w:szCs w:val="23"/>
          <w:highlight w:val="none"/>
        </w:rPr>
        <w:t>；</w:t>
      </w:r>
    </w:p>
    <w:p>
      <w:pPr>
        <w:spacing w:before="222" w:line="228" w:lineRule="auto"/>
        <w:ind w:left="523"/>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r</w:t>
      </w:r>
      <w:r>
        <w:rPr>
          <w:rFonts w:hint="default" w:ascii="Times New Roman" w:hAnsi="Times New Roman" w:eastAsia="Times New Roman" w:cs="Times New Roman"/>
          <w:spacing w:val="10"/>
          <w:sz w:val="23"/>
          <w:szCs w:val="23"/>
          <w:highlight w:val="none"/>
        </w:rPr>
        <w:t>——</w:t>
      </w:r>
      <w:r>
        <w:rPr>
          <w:rFonts w:hint="default" w:ascii="Times New Roman" w:hAnsi="Times New Roman" w:eastAsia="宋体" w:cs="Times New Roman"/>
          <w:spacing w:val="10"/>
          <w:sz w:val="23"/>
          <w:szCs w:val="23"/>
          <w:highlight w:val="none"/>
        </w:rPr>
        <w:t>预测点与声源的距离，</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8"/>
          <w:sz w:val="23"/>
          <w:szCs w:val="23"/>
          <w:highlight w:val="none"/>
        </w:rPr>
        <w:t>；</w:t>
      </w:r>
    </w:p>
    <w:p>
      <w:pPr>
        <w:spacing w:before="215" w:line="229" w:lineRule="auto"/>
        <w:ind w:left="523"/>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r</w:t>
      </w:r>
      <w:r>
        <w:rPr>
          <w:rFonts w:hint="default" w:ascii="Times New Roman" w:hAnsi="Times New Roman" w:eastAsia="Times New Roman" w:cs="Times New Roman"/>
          <w:spacing w:val="14"/>
          <w:position w:val="-1"/>
          <w:sz w:val="15"/>
          <w:szCs w:val="15"/>
          <w:highlight w:val="none"/>
        </w:rPr>
        <w:t>0</w:t>
      </w:r>
      <w:r>
        <w:rPr>
          <w:rFonts w:hint="default" w:ascii="Times New Roman" w:hAnsi="Times New Roman" w:eastAsia="Times New Roman" w:cs="Times New Roman"/>
          <w:spacing w:val="9"/>
          <w:sz w:val="23"/>
          <w:szCs w:val="23"/>
          <w:highlight w:val="none"/>
        </w:rPr>
        <w:t>——</w:t>
      </w:r>
      <w:r>
        <w:rPr>
          <w:rFonts w:hint="default" w:ascii="Times New Roman" w:hAnsi="Times New Roman" w:eastAsia="宋体" w:cs="Times New Roman"/>
          <w:spacing w:val="9"/>
          <w:sz w:val="23"/>
          <w:szCs w:val="23"/>
          <w:highlight w:val="none"/>
        </w:rPr>
        <w:t>监测设备噪声时的距离，</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9"/>
          <w:sz w:val="23"/>
          <w:szCs w:val="23"/>
          <w:highlight w:val="none"/>
        </w:rPr>
        <w:t>。</w:t>
      </w:r>
    </w:p>
    <w:p>
      <w:pPr>
        <w:spacing w:before="213" w:line="402" w:lineRule="auto"/>
        <w:ind w:left="56" w:right="42" w:firstLine="476"/>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利用上述公式，预测计算项目主要施工机械在不同距离处的贡献值，预测</w:t>
      </w:r>
      <w:r>
        <w:rPr>
          <w:rFonts w:hint="default" w:ascii="Times New Roman" w:hAnsi="Times New Roman" w:eastAsia="宋体" w:cs="Times New Roman"/>
          <w:spacing w:val="2"/>
          <w:sz w:val="23"/>
          <w:szCs w:val="23"/>
          <w:highlight w:val="none"/>
        </w:rPr>
        <w:t>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 xml:space="preserve">果见表 </w:t>
      </w:r>
      <w:r>
        <w:rPr>
          <w:rFonts w:hint="default" w:ascii="Times New Roman" w:hAnsi="Times New Roman" w:eastAsia="Times New Roman" w:cs="Times New Roman"/>
          <w:spacing w:val="-7"/>
          <w:sz w:val="23"/>
          <w:szCs w:val="23"/>
          <w:highlight w:val="none"/>
        </w:rPr>
        <w:t>5.1-</w:t>
      </w:r>
      <w:r>
        <w:rPr>
          <w:rFonts w:hint="eastAsia" w:ascii="Times New Roman" w:hAnsi="Times New Roman" w:eastAsia="宋体" w:cs="Times New Roman"/>
          <w:spacing w:val="-7"/>
          <w:sz w:val="23"/>
          <w:szCs w:val="23"/>
          <w:highlight w:val="none"/>
          <w:lang w:val="en-US" w:eastAsia="zh-CN"/>
        </w:rPr>
        <w:t>5</w:t>
      </w:r>
      <w:r>
        <w:rPr>
          <w:rFonts w:hint="default" w:ascii="Times New Roman" w:hAnsi="Times New Roman" w:eastAsia="宋体" w:cs="Times New Roman"/>
          <w:spacing w:val="-7"/>
          <w:sz w:val="23"/>
          <w:szCs w:val="23"/>
          <w:highlight w:val="none"/>
        </w:rPr>
        <w:t>。</w:t>
      </w:r>
    </w:p>
    <w:p>
      <w:pPr>
        <w:spacing w:before="1" w:line="227" w:lineRule="auto"/>
        <w:ind w:left="122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12"/>
          <w:sz w:val="23"/>
          <w:szCs w:val="23"/>
          <w:highlight w:val="none"/>
        </w:rPr>
        <w:t xml:space="preserve"> </w:t>
      </w:r>
      <w:r>
        <w:rPr>
          <w:rFonts w:hint="default" w:ascii="Times New Roman" w:hAnsi="Times New Roman" w:eastAsia="Times New Roman" w:cs="Times New Roman"/>
          <w:b/>
          <w:bCs/>
          <w:spacing w:val="12"/>
          <w:sz w:val="23"/>
          <w:szCs w:val="23"/>
          <w:highlight w:val="none"/>
        </w:rPr>
        <w:t>5</w:t>
      </w:r>
      <w:r>
        <w:rPr>
          <w:rFonts w:hint="default" w:ascii="Times New Roman" w:hAnsi="Times New Roman" w:eastAsia="Times New Roman" w:cs="Times New Roman"/>
          <w:b/>
          <w:bCs/>
          <w:spacing w:val="8"/>
          <w:sz w:val="23"/>
          <w:szCs w:val="23"/>
          <w:highlight w:val="none"/>
        </w:rPr>
        <w:t>.</w:t>
      </w:r>
      <w:r>
        <w:rPr>
          <w:rFonts w:hint="default" w:ascii="Times New Roman" w:hAnsi="Times New Roman" w:eastAsia="Times New Roman" w:cs="Times New Roman"/>
          <w:b/>
          <w:bCs/>
          <w:spacing w:val="6"/>
          <w:sz w:val="23"/>
          <w:szCs w:val="23"/>
          <w:highlight w:val="none"/>
        </w:rPr>
        <w:t>1-</w:t>
      </w:r>
      <w:r>
        <w:rPr>
          <w:rFonts w:hint="eastAsia" w:ascii="Times New Roman" w:hAnsi="Times New Roman" w:eastAsia="宋体" w:cs="Times New Roman"/>
          <w:b/>
          <w:bCs/>
          <w:spacing w:val="6"/>
          <w:sz w:val="23"/>
          <w:szCs w:val="23"/>
          <w:highlight w:val="none"/>
          <w:lang w:val="en-US" w:eastAsia="zh-CN"/>
        </w:rPr>
        <w:t>5</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主要施工机械在不同距离处的噪声贡献值一览表</w:t>
      </w:r>
    </w:p>
    <w:p>
      <w:pPr>
        <w:spacing w:line="22" w:lineRule="exact"/>
        <w:rPr>
          <w:rFonts w:hint="default" w:ascii="Times New Roman" w:hAnsi="Times New Roman" w:cs="Times New Roman"/>
          <w:highlight w:val="none"/>
        </w:rPr>
      </w:pPr>
    </w:p>
    <w:tbl>
      <w:tblPr>
        <w:tblStyle w:val="19"/>
        <w:tblW w:w="836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647"/>
        <w:gridCol w:w="625"/>
        <w:gridCol w:w="779"/>
        <w:gridCol w:w="778"/>
        <w:gridCol w:w="779"/>
        <w:gridCol w:w="1005"/>
        <w:gridCol w:w="1005"/>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10" w:type="dxa"/>
            <w:vMerge w:val="restart"/>
            <w:tcBorders>
              <w:left w:val="single" w:color="000000" w:sz="10" w:space="0"/>
              <w:bottom w:val="nil"/>
              <w:right w:val="single" w:color="000000" w:sz="4" w:space="0"/>
            </w:tcBorders>
            <w:vAlign w:val="top"/>
          </w:tcPr>
          <w:p>
            <w:pPr>
              <w:spacing w:line="256" w:lineRule="auto"/>
              <w:rPr>
                <w:rFonts w:hint="default" w:ascii="Times New Roman" w:hAnsi="Times New Roman" w:cs="Times New Roman"/>
                <w:sz w:val="21"/>
                <w:highlight w:val="none"/>
              </w:rPr>
            </w:pPr>
          </w:p>
          <w:p>
            <w:pPr>
              <w:spacing w:before="65" w:line="230" w:lineRule="auto"/>
              <w:ind w:left="8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序号</w:t>
            </w:r>
          </w:p>
        </w:tc>
        <w:tc>
          <w:tcPr>
            <w:tcW w:w="1647" w:type="dxa"/>
            <w:vMerge w:val="restart"/>
            <w:tcBorders>
              <w:left w:val="single" w:color="000000" w:sz="4" w:space="0"/>
              <w:bottom w:val="nil"/>
              <w:right w:val="single" w:color="000000" w:sz="4" w:space="0"/>
            </w:tcBorders>
            <w:vAlign w:val="top"/>
          </w:tcPr>
          <w:p>
            <w:pPr>
              <w:spacing w:line="256" w:lineRule="auto"/>
              <w:rPr>
                <w:rFonts w:hint="default" w:ascii="Times New Roman" w:hAnsi="Times New Roman" w:cs="Times New Roman"/>
                <w:sz w:val="21"/>
                <w:highlight w:val="none"/>
              </w:rPr>
            </w:pPr>
          </w:p>
          <w:p>
            <w:pPr>
              <w:spacing w:before="65" w:line="228" w:lineRule="auto"/>
              <w:ind w:left="60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机械</w:t>
            </w:r>
          </w:p>
        </w:tc>
        <w:tc>
          <w:tcPr>
            <w:tcW w:w="2961" w:type="dxa"/>
            <w:gridSpan w:val="4"/>
            <w:tcBorders>
              <w:left w:val="single" w:color="000000" w:sz="4" w:space="0"/>
              <w:right w:val="single" w:color="000000" w:sz="4" w:space="0"/>
            </w:tcBorders>
            <w:vAlign w:val="top"/>
          </w:tcPr>
          <w:p>
            <w:pPr>
              <w:spacing w:before="119" w:line="228" w:lineRule="auto"/>
              <w:ind w:left="33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不同距离处的噪声贡献</w:t>
            </w:r>
            <w:r>
              <w:rPr>
                <w:rFonts w:hint="default" w:ascii="Times New Roman" w:hAnsi="Times New Roman" w:eastAsia="宋体" w:cs="Times New Roman"/>
                <w:spacing w:val="7"/>
                <w:sz w:val="20"/>
                <w:szCs w:val="20"/>
                <w:highlight w:val="none"/>
              </w:rPr>
              <w:t>值</w:t>
            </w:r>
          </w:p>
        </w:tc>
        <w:tc>
          <w:tcPr>
            <w:tcW w:w="2010" w:type="dxa"/>
            <w:gridSpan w:val="2"/>
            <w:tcBorders>
              <w:left w:val="single" w:color="000000" w:sz="4" w:space="0"/>
              <w:right w:val="single" w:color="000000" w:sz="4" w:space="0"/>
            </w:tcBorders>
            <w:vAlign w:val="top"/>
          </w:tcPr>
          <w:p>
            <w:pPr>
              <w:spacing w:before="88" w:line="274" w:lineRule="exact"/>
              <w:ind w:left="442"/>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1"/>
                <w:position w:val="2"/>
                <w:sz w:val="20"/>
                <w:szCs w:val="20"/>
                <w:highlight w:val="none"/>
              </w:rPr>
              <w:t>达</w:t>
            </w:r>
            <w:r>
              <w:rPr>
                <w:rFonts w:hint="default" w:ascii="Times New Roman" w:hAnsi="Times New Roman" w:eastAsia="宋体" w:cs="Times New Roman"/>
                <w:spacing w:val="7"/>
                <w:position w:val="2"/>
                <w:sz w:val="20"/>
                <w:szCs w:val="20"/>
                <w:highlight w:val="none"/>
              </w:rPr>
              <w:t>标距离</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m</w:t>
            </w:r>
            <w:r>
              <w:rPr>
                <w:rFonts w:hint="default" w:ascii="Times New Roman" w:hAnsi="Times New Roman" w:eastAsia="Times New Roman" w:cs="Times New Roman"/>
                <w:spacing w:val="7"/>
                <w:position w:val="2"/>
                <w:sz w:val="20"/>
                <w:szCs w:val="20"/>
                <w:highlight w:val="none"/>
              </w:rPr>
              <w:t>)</w:t>
            </w:r>
          </w:p>
        </w:tc>
        <w:tc>
          <w:tcPr>
            <w:tcW w:w="1137" w:type="dxa"/>
            <w:vMerge w:val="restart"/>
            <w:tcBorders>
              <w:left w:val="single" w:color="000000" w:sz="4" w:space="0"/>
              <w:bottom w:val="nil"/>
              <w:right w:val="single" w:color="000000" w:sz="10" w:space="0"/>
            </w:tcBorders>
            <w:vAlign w:val="top"/>
          </w:tcPr>
          <w:p>
            <w:pPr>
              <w:spacing w:line="256" w:lineRule="auto"/>
              <w:rPr>
                <w:rFonts w:hint="default" w:ascii="Times New Roman" w:hAnsi="Times New Roman" w:cs="Times New Roman"/>
                <w:sz w:val="21"/>
                <w:highlight w:val="none"/>
              </w:rPr>
            </w:pPr>
          </w:p>
          <w:p>
            <w:pPr>
              <w:spacing w:before="65" w:line="230" w:lineRule="auto"/>
              <w:ind w:left="15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施</w:t>
            </w:r>
            <w:r>
              <w:rPr>
                <w:rFonts w:hint="default" w:ascii="Times New Roman" w:hAnsi="Times New Roman" w:eastAsia="宋体" w:cs="Times New Roman"/>
                <w:spacing w:val="7"/>
                <w:sz w:val="20"/>
                <w:szCs w:val="20"/>
                <w:highlight w:val="none"/>
              </w:rPr>
              <w:t>工阶段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10" w:type="dxa"/>
            <w:vMerge w:val="continue"/>
            <w:tcBorders>
              <w:top w:val="nil"/>
              <w:left w:val="single" w:color="000000" w:sz="10" w:space="0"/>
              <w:right w:val="single" w:color="000000" w:sz="4" w:space="0"/>
            </w:tcBorders>
            <w:vAlign w:val="top"/>
          </w:tcPr>
          <w:p>
            <w:pPr>
              <w:rPr>
                <w:rFonts w:hint="default" w:ascii="Times New Roman" w:hAnsi="Times New Roman" w:cs="Times New Roman"/>
                <w:sz w:val="21"/>
                <w:highlight w:val="none"/>
              </w:rPr>
            </w:pPr>
          </w:p>
        </w:tc>
        <w:tc>
          <w:tcPr>
            <w:tcW w:w="1647" w:type="dxa"/>
            <w:vMerge w:val="continue"/>
            <w:tcBorders>
              <w:top w:val="nil"/>
              <w:left w:val="single" w:color="000000" w:sz="4" w:space="0"/>
              <w:right w:val="single" w:color="000000" w:sz="4" w:space="0"/>
            </w:tcBorders>
            <w:vAlign w:val="top"/>
          </w:tcPr>
          <w:p>
            <w:pPr>
              <w:rPr>
                <w:rFonts w:hint="default" w:ascii="Times New Roman" w:hAnsi="Times New Roman" w:cs="Times New Roman"/>
                <w:sz w:val="21"/>
                <w:highlight w:val="none"/>
              </w:rPr>
            </w:pPr>
          </w:p>
        </w:tc>
        <w:tc>
          <w:tcPr>
            <w:tcW w:w="625" w:type="dxa"/>
            <w:tcBorders>
              <w:left w:val="single" w:color="000000" w:sz="4" w:space="0"/>
              <w:right w:val="single" w:color="000000" w:sz="4" w:space="0"/>
            </w:tcBorders>
            <w:vAlign w:val="top"/>
          </w:tcPr>
          <w:p>
            <w:pPr>
              <w:spacing w:before="131" w:line="195" w:lineRule="auto"/>
              <w:ind w:left="12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5</w:t>
            </w:r>
            <w:r>
              <w:rPr>
                <w:rFonts w:hint="default" w:ascii="Times New Roman" w:hAnsi="Times New Roman" w:eastAsia="Times New Roman" w:cs="Times New Roman"/>
                <w:spacing w:val="3"/>
                <w:sz w:val="20"/>
                <w:szCs w:val="20"/>
                <w:highlight w:val="none"/>
              </w:rPr>
              <w:t>0</w:t>
            </w:r>
            <w:r>
              <w:rPr>
                <w:rFonts w:hint="default" w:ascii="Times New Roman" w:hAnsi="Times New Roman" w:eastAsia="Times New Roman" w:cs="Times New Roman"/>
                <w:sz w:val="20"/>
                <w:szCs w:val="20"/>
                <w:highlight w:val="none"/>
              </w:rPr>
              <w:t>m</w:t>
            </w:r>
          </w:p>
        </w:tc>
        <w:tc>
          <w:tcPr>
            <w:tcW w:w="779" w:type="dxa"/>
            <w:tcBorders>
              <w:left w:val="single" w:color="000000" w:sz="4" w:space="0"/>
              <w:right w:val="single" w:color="000000" w:sz="4" w:space="0"/>
            </w:tcBorders>
            <w:vAlign w:val="top"/>
          </w:tcPr>
          <w:p>
            <w:pPr>
              <w:spacing w:before="131" w:line="195" w:lineRule="auto"/>
              <w:ind w:left="16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w:t>
            </w:r>
            <w:r>
              <w:rPr>
                <w:rFonts w:hint="default" w:ascii="Times New Roman" w:hAnsi="Times New Roman" w:eastAsia="Times New Roman" w:cs="Times New Roman"/>
                <w:sz w:val="20"/>
                <w:szCs w:val="20"/>
                <w:highlight w:val="none"/>
              </w:rPr>
              <w:t>00m</w:t>
            </w:r>
          </w:p>
        </w:tc>
        <w:tc>
          <w:tcPr>
            <w:tcW w:w="778" w:type="dxa"/>
            <w:tcBorders>
              <w:left w:val="single" w:color="000000" w:sz="4" w:space="0"/>
              <w:right w:val="single" w:color="000000" w:sz="4" w:space="0"/>
            </w:tcBorders>
            <w:vAlign w:val="top"/>
          </w:tcPr>
          <w:p>
            <w:pPr>
              <w:spacing w:before="131" w:line="195" w:lineRule="auto"/>
              <w:ind w:left="14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2</w:t>
            </w:r>
            <w:r>
              <w:rPr>
                <w:rFonts w:hint="default" w:ascii="Times New Roman" w:hAnsi="Times New Roman" w:eastAsia="Times New Roman" w:cs="Times New Roman"/>
                <w:spacing w:val="6"/>
                <w:sz w:val="20"/>
                <w:szCs w:val="20"/>
                <w:highlight w:val="none"/>
              </w:rPr>
              <w:t>00</w:t>
            </w:r>
            <w:r>
              <w:rPr>
                <w:rFonts w:hint="default" w:ascii="Times New Roman" w:hAnsi="Times New Roman" w:eastAsia="Times New Roman" w:cs="Times New Roman"/>
                <w:sz w:val="20"/>
                <w:szCs w:val="20"/>
                <w:highlight w:val="none"/>
              </w:rPr>
              <w:t>m</w:t>
            </w:r>
          </w:p>
        </w:tc>
        <w:tc>
          <w:tcPr>
            <w:tcW w:w="779" w:type="dxa"/>
            <w:tcBorders>
              <w:left w:val="single" w:color="000000" w:sz="4" w:space="0"/>
              <w:right w:val="single" w:color="000000" w:sz="4" w:space="0"/>
            </w:tcBorders>
            <w:vAlign w:val="top"/>
          </w:tcPr>
          <w:p>
            <w:pPr>
              <w:spacing w:before="131" w:line="195" w:lineRule="auto"/>
              <w:ind w:left="15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300</w:t>
            </w:r>
            <w:r>
              <w:rPr>
                <w:rFonts w:hint="default" w:ascii="Times New Roman" w:hAnsi="Times New Roman" w:eastAsia="Times New Roman" w:cs="Times New Roman"/>
                <w:sz w:val="20"/>
                <w:szCs w:val="20"/>
                <w:highlight w:val="none"/>
              </w:rPr>
              <w:t>m</w:t>
            </w:r>
          </w:p>
        </w:tc>
        <w:tc>
          <w:tcPr>
            <w:tcW w:w="1005" w:type="dxa"/>
            <w:tcBorders>
              <w:left w:val="single" w:color="000000" w:sz="4" w:space="0"/>
              <w:right w:val="single" w:color="000000" w:sz="4" w:space="0"/>
            </w:tcBorders>
            <w:vAlign w:val="top"/>
          </w:tcPr>
          <w:p>
            <w:pPr>
              <w:spacing w:before="65" w:line="274" w:lineRule="exact"/>
              <w:ind w:left="13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position w:val="3"/>
                <w:sz w:val="20"/>
                <w:szCs w:val="20"/>
                <w:highlight w:val="none"/>
              </w:rPr>
              <w:t>70</w:t>
            </w:r>
            <w:r>
              <w:rPr>
                <w:rFonts w:hint="default" w:ascii="Times New Roman" w:hAnsi="Times New Roman" w:eastAsia="Times New Roman" w:cs="Times New Roman"/>
                <w:position w:val="3"/>
                <w:sz w:val="20"/>
                <w:szCs w:val="20"/>
                <w:highlight w:val="none"/>
              </w:rPr>
              <w:t>dB</w:t>
            </w:r>
            <w:r>
              <w:rPr>
                <w:rFonts w:hint="default" w:ascii="Times New Roman" w:hAnsi="Times New Roman" w:eastAsia="Times New Roman" w:cs="Times New Roman"/>
                <w:spacing w:val="7"/>
                <w:position w:val="3"/>
                <w:sz w:val="20"/>
                <w:szCs w:val="20"/>
                <w:highlight w:val="none"/>
              </w:rPr>
              <w:t>(</w:t>
            </w:r>
            <w:r>
              <w:rPr>
                <w:rFonts w:hint="default" w:ascii="Times New Roman" w:hAnsi="Times New Roman" w:eastAsia="Times New Roman" w:cs="Times New Roman"/>
                <w:position w:val="3"/>
                <w:sz w:val="20"/>
                <w:szCs w:val="20"/>
                <w:highlight w:val="none"/>
              </w:rPr>
              <w:t>A</w:t>
            </w:r>
            <w:r>
              <w:rPr>
                <w:rFonts w:hint="default" w:ascii="Times New Roman" w:hAnsi="Times New Roman" w:eastAsia="Times New Roman" w:cs="Times New Roman"/>
                <w:spacing w:val="6"/>
                <w:position w:val="3"/>
                <w:sz w:val="20"/>
                <w:szCs w:val="20"/>
                <w:highlight w:val="none"/>
              </w:rPr>
              <w:t>)</w:t>
            </w:r>
          </w:p>
        </w:tc>
        <w:tc>
          <w:tcPr>
            <w:tcW w:w="1005" w:type="dxa"/>
            <w:tcBorders>
              <w:left w:val="single" w:color="000000" w:sz="4" w:space="0"/>
              <w:right w:val="single" w:color="000000" w:sz="4" w:space="0"/>
            </w:tcBorders>
            <w:vAlign w:val="top"/>
          </w:tcPr>
          <w:p>
            <w:pPr>
              <w:spacing w:before="65" w:line="274" w:lineRule="exact"/>
              <w:ind w:left="14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position w:val="3"/>
                <w:sz w:val="20"/>
                <w:szCs w:val="20"/>
                <w:highlight w:val="none"/>
              </w:rPr>
              <w:t>5</w:t>
            </w:r>
            <w:r>
              <w:rPr>
                <w:rFonts w:hint="default" w:ascii="Times New Roman" w:hAnsi="Times New Roman" w:eastAsia="Times New Roman" w:cs="Times New Roman"/>
                <w:spacing w:val="6"/>
                <w:position w:val="3"/>
                <w:sz w:val="20"/>
                <w:szCs w:val="20"/>
                <w:highlight w:val="none"/>
              </w:rPr>
              <w:t>5</w:t>
            </w:r>
            <w:r>
              <w:rPr>
                <w:rFonts w:hint="default" w:ascii="Times New Roman" w:hAnsi="Times New Roman" w:eastAsia="Times New Roman" w:cs="Times New Roman"/>
                <w:position w:val="3"/>
                <w:sz w:val="20"/>
                <w:szCs w:val="20"/>
                <w:highlight w:val="none"/>
              </w:rPr>
              <w:t>dB</w:t>
            </w:r>
            <w:r>
              <w:rPr>
                <w:rFonts w:hint="default" w:ascii="Times New Roman" w:hAnsi="Times New Roman" w:eastAsia="Times New Roman" w:cs="Times New Roman"/>
                <w:spacing w:val="6"/>
                <w:position w:val="3"/>
                <w:sz w:val="20"/>
                <w:szCs w:val="20"/>
                <w:highlight w:val="none"/>
              </w:rPr>
              <w:t>(</w:t>
            </w:r>
            <w:r>
              <w:rPr>
                <w:rFonts w:hint="default" w:ascii="Times New Roman" w:hAnsi="Times New Roman" w:eastAsia="Times New Roman" w:cs="Times New Roman"/>
                <w:position w:val="3"/>
                <w:sz w:val="20"/>
                <w:szCs w:val="20"/>
                <w:highlight w:val="none"/>
              </w:rPr>
              <w:t>A</w:t>
            </w:r>
            <w:r>
              <w:rPr>
                <w:rFonts w:hint="default" w:ascii="Times New Roman" w:hAnsi="Times New Roman" w:eastAsia="Times New Roman" w:cs="Times New Roman"/>
                <w:spacing w:val="6"/>
                <w:position w:val="3"/>
                <w:sz w:val="20"/>
                <w:szCs w:val="20"/>
                <w:highlight w:val="none"/>
              </w:rPr>
              <w:t>)</w:t>
            </w:r>
          </w:p>
        </w:tc>
        <w:tc>
          <w:tcPr>
            <w:tcW w:w="1137" w:type="dxa"/>
            <w:vMerge w:val="continue"/>
            <w:tcBorders>
              <w:top w:val="nil"/>
              <w:left w:val="single" w:color="000000" w:sz="4" w:space="0"/>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10" w:type="dxa"/>
            <w:tcBorders>
              <w:left w:val="single" w:color="000000" w:sz="10" w:space="0"/>
              <w:right w:val="single" w:color="000000" w:sz="4" w:space="0"/>
            </w:tcBorders>
            <w:vAlign w:val="top"/>
          </w:tcPr>
          <w:p>
            <w:pPr>
              <w:spacing w:before="133" w:line="195" w:lineRule="auto"/>
              <w:ind w:left="26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647" w:type="dxa"/>
            <w:tcBorders>
              <w:left w:val="single" w:color="000000" w:sz="4" w:space="0"/>
              <w:right w:val="single" w:color="000000" w:sz="4" w:space="0"/>
            </w:tcBorders>
            <w:vAlign w:val="top"/>
          </w:tcPr>
          <w:p>
            <w:pPr>
              <w:spacing w:before="97" w:line="228" w:lineRule="auto"/>
              <w:ind w:left="50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装载</w:t>
            </w:r>
            <w:r>
              <w:rPr>
                <w:rFonts w:hint="default" w:ascii="Times New Roman" w:hAnsi="Times New Roman" w:eastAsia="宋体" w:cs="Times New Roman"/>
                <w:spacing w:val="6"/>
                <w:sz w:val="20"/>
                <w:szCs w:val="20"/>
                <w:highlight w:val="none"/>
              </w:rPr>
              <w:t>机</w:t>
            </w:r>
          </w:p>
        </w:tc>
        <w:tc>
          <w:tcPr>
            <w:tcW w:w="625" w:type="dxa"/>
            <w:tcBorders>
              <w:left w:val="single" w:color="000000" w:sz="4" w:space="0"/>
              <w:right w:val="single" w:color="000000" w:sz="4" w:space="0"/>
            </w:tcBorders>
            <w:vAlign w:val="top"/>
          </w:tcPr>
          <w:p>
            <w:pPr>
              <w:spacing w:before="133" w:line="195" w:lineRule="auto"/>
              <w:ind w:left="2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7</w:t>
            </w:r>
          </w:p>
        </w:tc>
        <w:tc>
          <w:tcPr>
            <w:tcW w:w="779" w:type="dxa"/>
            <w:tcBorders>
              <w:left w:val="single" w:color="000000" w:sz="4" w:space="0"/>
              <w:right w:val="single" w:color="000000" w:sz="4" w:space="0"/>
            </w:tcBorders>
            <w:vAlign w:val="top"/>
          </w:tcPr>
          <w:p>
            <w:pPr>
              <w:spacing w:before="133" w:line="195" w:lineRule="auto"/>
              <w:ind w:left="28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1</w:t>
            </w:r>
          </w:p>
        </w:tc>
        <w:tc>
          <w:tcPr>
            <w:tcW w:w="778" w:type="dxa"/>
            <w:tcBorders>
              <w:left w:val="single" w:color="000000" w:sz="4" w:space="0"/>
              <w:right w:val="single" w:color="000000" w:sz="4" w:space="0"/>
            </w:tcBorders>
            <w:vAlign w:val="top"/>
          </w:tcPr>
          <w:p>
            <w:pPr>
              <w:spacing w:before="136" w:line="192" w:lineRule="auto"/>
              <w:ind w:left="2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55</w:t>
            </w:r>
          </w:p>
        </w:tc>
        <w:tc>
          <w:tcPr>
            <w:tcW w:w="779" w:type="dxa"/>
            <w:tcBorders>
              <w:left w:val="single" w:color="000000" w:sz="4" w:space="0"/>
              <w:right w:val="single" w:color="000000" w:sz="4" w:space="0"/>
            </w:tcBorders>
            <w:vAlign w:val="top"/>
          </w:tcPr>
          <w:p>
            <w:pPr>
              <w:spacing w:before="133" w:line="195" w:lineRule="auto"/>
              <w:ind w:left="2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51</w:t>
            </w:r>
          </w:p>
        </w:tc>
        <w:tc>
          <w:tcPr>
            <w:tcW w:w="1005" w:type="dxa"/>
            <w:tcBorders>
              <w:left w:val="single" w:color="000000" w:sz="4" w:space="0"/>
              <w:right w:val="single" w:color="000000" w:sz="4" w:space="0"/>
            </w:tcBorders>
            <w:vAlign w:val="top"/>
          </w:tcPr>
          <w:p>
            <w:pPr>
              <w:spacing w:before="133" w:line="195" w:lineRule="auto"/>
              <w:ind w:left="40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3</w:t>
            </w:r>
            <w:r>
              <w:rPr>
                <w:rFonts w:hint="default" w:ascii="Times New Roman" w:hAnsi="Times New Roman" w:eastAsia="Times New Roman" w:cs="Times New Roman"/>
                <w:sz w:val="20"/>
                <w:szCs w:val="20"/>
                <w:highlight w:val="none"/>
              </w:rPr>
              <w:t>6</w:t>
            </w:r>
          </w:p>
        </w:tc>
        <w:tc>
          <w:tcPr>
            <w:tcW w:w="1005" w:type="dxa"/>
            <w:tcBorders>
              <w:left w:val="single" w:color="000000" w:sz="4" w:space="0"/>
              <w:right w:val="single" w:color="000000" w:sz="4" w:space="0"/>
            </w:tcBorders>
            <w:vAlign w:val="top"/>
          </w:tcPr>
          <w:p>
            <w:pPr>
              <w:spacing w:before="133" w:line="195" w:lineRule="auto"/>
              <w:ind w:left="35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00</w:t>
            </w:r>
          </w:p>
        </w:tc>
        <w:tc>
          <w:tcPr>
            <w:tcW w:w="1137" w:type="dxa"/>
            <w:vMerge w:val="restart"/>
            <w:tcBorders>
              <w:left w:val="single" w:color="000000" w:sz="4" w:space="0"/>
              <w:bottom w:val="nil"/>
              <w:right w:val="single" w:color="000000" w:sz="10" w:space="0"/>
            </w:tcBorders>
            <w:vAlign w:val="top"/>
          </w:tcPr>
          <w:p>
            <w:pPr>
              <w:spacing w:line="322" w:lineRule="auto"/>
              <w:rPr>
                <w:rFonts w:hint="default" w:ascii="Times New Roman" w:hAnsi="Times New Roman" w:cs="Times New Roman"/>
                <w:sz w:val="21"/>
                <w:highlight w:val="none"/>
              </w:rPr>
            </w:pPr>
          </w:p>
          <w:p>
            <w:pPr>
              <w:spacing w:line="323" w:lineRule="auto"/>
              <w:rPr>
                <w:rFonts w:hint="default" w:ascii="Times New Roman" w:hAnsi="Times New Roman" w:cs="Times New Roman"/>
                <w:sz w:val="21"/>
                <w:highlight w:val="none"/>
              </w:rPr>
            </w:pPr>
          </w:p>
          <w:p>
            <w:pPr>
              <w:spacing w:before="65" w:line="230" w:lineRule="auto"/>
              <w:ind w:left="26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土</w:t>
            </w:r>
            <w:r>
              <w:rPr>
                <w:rFonts w:hint="default" w:ascii="Times New Roman" w:hAnsi="Times New Roman" w:eastAsia="宋体" w:cs="Times New Roman"/>
                <w:spacing w:val="6"/>
                <w:sz w:val="20"/>
                <w:szCs w:val="20"/>
                <w:highlight w:val="none"/>
              </w:rPr>
              <w:t>石方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10" w:type="dxa"/>
            <w:tcBorders>
              <w:left w:val="single" w:color="000000" w:sz="10" w:space="0"/>
              <w:right w:val="single" w:color="000000" w:sz="4" w:space="0"/>
            </w:tcBorders>
            <w:vAlign w:val="top"/>
          </w:tcPr>
          <w:p>
            <w:pPr>
              <w:spacing w:before="135" w:line="195" w:lineRule="auto"/>
              <w:ind w:left="24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647" w:type="dxa"/>
            <w:tcBorders>
              <w:left w:val="single" w:color="000000" w:sz="4" w:space="0"/>
              <w:right w:val="single" w:color="000000" w:sz="4" w:space="0"/>
            </w:tcBorders>
            <w:vAlign w:val="top"/>
          </w:tcPr>
          <w:p>
            <w:pPr>
              <w:spacing w:before="99" w:line="228" w:lineRule="auto"/>
              <w:ind w:left="50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挖掘机</w:t>
            </w:r>
          </w:p>
        </w:tc>
        <w:tc>
          <w:tcPr>
            <w:tcW w:w="625" w:type="dxa"/>
            <w:tcBorders>
              <w:left w:val="single" w:color="000000" w:sz="4" w:space="0"/>
              <w:right w:val="single" w:color="000000" w:sz="4" w:space="0"/>
            </w:tcBorders>
            <w:vAlign w:val="top"/>
          </w:tcPr>
          <w:p>
            <w:pPr>
              <w:spacing w:before="135" w:line="195" w:lineRule="auto"/>
              <w:ind w:left="2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7</w:t>
            </w:r>
          </w:p>
        </w:tc>
        <w:tc>
          <w:tcPr>
            <w:tcW w:w="779" w:type="dxa"/>
            <w:tcBorders>
              <w:left w:val="single" w:color="000000" w:sz="4" w:space="0"/>
              <w:right w:val="single" w:color="000000" w:sz="4" w:space="0"/>
            </w:tcBorders>
            <w:vAlign w:val="top"/>
          </w:tcPr>
          <w:p>
            <w:pPr>
              <w:spacing w:before="135" w:line="195" w:lineRule="auto"/>
              <w:ind w:left="28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1</w:t>
            </w:r>
          </w:p>
        </w:tc>
        <w:tc>
          <w:tcPr>
            <w:tcW w:w="778" w:type="dxa"/>
            <w:tcBorders>
              <w:left w:val="single" w:color="000000" w:sz="4" w:space="0"/>
              <w:right w:val="single" w:color="000000" w:sz="4" w:space="0"/>
            </w:tcBorders>
            <w:vAlign w:val="top"/>
          </w:tcPr>
          <w:p>
            <w:pPr>
              <w:spacing w:before="138" w:line="192" w:lineRule="auto"/>
              <w:ind w:left="2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55</w:t>
            </w:r>
          </w:p>
        </w:tc>
        <w:tc>
          <w:tcPr>
            <w:tcW w:w="779" w:type="dxa"/>
            <w:tcBorders>
              <w:left w:val="single" w:color="000000" w:sz="4" w:space="0"/>
              <w:right w:val="single" w:color="000000" w:sz="4" w:space="0"/>
            </w:tcBorders>
            <w:vAlign w:val="top"/>
          </w:tcPr>
          <w:p>
            <w:pPr>
              <w:spacing w:before="135" w:line="195" w:lineRule="auto"/>
              <w:ind w:left="2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51</w:t>
            </w:r>
          </w:p>
        </w:tc>
        <w:tc>
          <w:tcPr>
            <w:tcW w:w="1005" w:type="dxa"/>
            <w:tcBorders>
              <w:left w:val="single" w:color="000000" w:sz="4" w:space="0"/>
              <w:right w:val="single" w:color="000000" w:sz="4" w:space="0"/>
            </w:tcBorders>
            <w:vAlign w:val="top"/>
          </w:tcPr>
          <w:p>
            <w:pPr>
              <w:spacing w:before="135" w:line="195" w:lineRule="auto"/>
              <w:ind w:left="40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3</w:t>
            </w:r>
            <w:r>
              <w:rPr>
                <w:rFonts w:hint="default" w:ascii="Times New Roman" w:hAnsi="Times New Roman" w:eastAsia="Times New Roman" w:cs="Times New Roman"/>
                <w:sz w:val="20"/>
                <w:szCs w:val="20"/>
                <w:highlight w:val="none"/>
              </w:rPr>
              <w:t>6</w:t>
            </w:r>
          </w:p>
        </w:tc>
        <w:tc>
          <w:tcPr>
            <w:tcW w:w="1005" w:type="dxa"/>
            <w:tcBorders>
              <w:left w:val="single" w:color="000000" w:sz="4" w:space="0"/>
              <w:right w:val="single" w:color="000000" w:sz="4" w:space="0"/>
            </w:tcBorders>
            <w:vAlign w:val="top"/>
          </w:tcPr>
          <w:p>
            <w:pPr>
              <w:spacing w:before="135" w:line="195" w:lineRule="auto"/>
              <w:ind w:left="35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00</w:t>
            </w:r>
          </w:p>
        </w:tc>
        <w:tc>
          <w:tcPr>
            <w:tcW w:w="1137" w:type="dxa"/>
            <w:vMerge w:val="continue"/>
            <w:tcBorders>
              <w:top w:val="nil"/>
              <w:left w:val="single" w:color="000000" w:sz="4" w:space="0"/>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10" w:type="dxa"/>
            <w:tcBorders>
              <w:left w:val="single" w:color="000000" w:sz="10" w:space="0"/>
              <w:right w:val="single" w:color="000000" w:sz="4" w:space="0"/>
            </w:tcBorders>
            <w:vAlign w:val="top"/>
          </w:tcPr>
          <w:p>
            <w:pPr>
              <w:spacing w:before="134" w:line="195" w:lineRule="auto"/>
              <w:ind w:left="24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1647" w:type="dxa"/>
            <w:tcBorders>
              <w:left w:val="single" w:color="000000" w:sz="4" w:space="0"/>
              <w:right w:val="single" w:color="000000" w:sz="4" w:space="0"/>
            </w:tcBorders>
            <w:vAlign w:val="top"/>
          </w:tcPr>
          <w:p>
            <w:pPr>
              <w:spacing w:before="98" w:line="228" w:lineRule="auto"/>
              <w:ind w:left="50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夯</w:t>
            </w:r>
            <w:r>
              <w:rPr>
                <w:rFonts w:hint="default" w:ascii="Times New Roman" w:hAnsi="Times New Roman" w:eastAsia="宋体" w:cs="Times New Roman"/>
                <w:spacing w:val="6"/>
                <w:sz w:val="20"/>
                <w:szCs w:val="20"/>
                <w:highlight w:val="none"/>
              </w:rPr>
              <w:t>土机</w:t>
            </w:r>
          </w:p>
        </w:tc>
        <w:tc>
          <w:tcPr>
            <w:tcW w:w="625" w:type="dxa"/>
            <w:tcBorders>
              <w:left w:val="single" w:color="000000" w:sz="4" w:space="0"/>
              <w:right w:val="single" w:color="000000" w:sz="4" w:space="0"/>
            </w:tcBorders>
            <w:vAlign w:val="top"/>
          </w:tcPr>
          <w:p>
            <w:pPr>
              <w:spacing w:before="134" w:line="195" w:lineRule="auto"/>
              <w:ind w:left="2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2</w:t>
            </w:r>
          </w:p>
        </w:tc>
        <w:tc>
          <w:tcPr>
            <w:tcW w:w="779" w:type="dxa"/>
            <w:tcBorders>
              <w:left w:val="single" w:color="000000" w:sz="4" w:space="0"/>
              <w:right w:val="single" w:color="000000" w:sz="4" w:space="0"/>
            </w:tcBorders>
            <w:vAlign w:val="top"/>
          </w:tcPr>
          <w:p>
            <w:pPr>
              <w:spacing w:before="134" w:line="195" w:lineRule="auto"/>
              <w:ind w:left="2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56</w:t>
            </w:r>
          </w:p>
        </w:tc>
        <w:tc>
          <w:tcPr>
            <w:tcW w:w="778" w:type="dxa"/>
            <w:tcBorders>
              <w:left w:val="single" w:color="000000" w:sz="4" w:space="0"/>
              <w:right w:val="single" w:color="000000" w:sz="4" w:space="0"/>
            </w:tcBorders>
            <w:vAlign w:val="top"/>
          </w:tcPr>
          <w:p>
            <w:pPr>
              <w:spacing w:before="134" w:line="195" w:lineRule="auto"/>
              <w:ind w:left="2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50</w:t>
            </w:r>
          </w:p>
        </w:tc>
        <w:tc>
          <w:tcPr>
            <w:tcW w:w="779" w:type="dxa"/>
            <w:tcBorders>
              <w:left w:val="single" w:color="000000" w:sz="4" w:space="0"/>
              <w:right w:val="single" w:color="000000" w:sz="4" w:space="0"/>
            </w:tcBorders>
            <w:vAlign w:val="top"/>
          </w:tcPr>
          <w:p>
            <w:pPr>
              <w:spacing w:before="134" w:line="195" w:lineRule="auto"/>
              <w:ind w:left="28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46</w:t>
            </w:r>
          </w:p>
        </w:tc>
        <w:tc>
          <w:tcPr>
            <w:tcW w:w="1005" w:type="dxa"/>
            <w:tcBorders>
              <w:left w:val="single" w:color="000000" w:sz="4" w:space="0"/>
              <w:right w:val="single" w:color="000000" w:sz="4" w:space="0"/>
            </w:tcBorders>
            <w:vAlign w:val="top"/>
          </w:tcPr>
          <w:p>
            <w:pPr>
              <w:spacing w:before="134" w:line="195" w:lineRule="auto"/>
              <w:ind w:left="40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2</w:t>
            </w:r>
            <w:r>
              <w:rPr>
                <w:rFonts w:hint="default" w:ascii="Times New Roman" w:hAnsi="Times New Roman" w:eastAsia="Times New Roman" w:cs="Times New Roman"/>
                <w:spacing w:val="2"/>
                <w:sz w:val="20"/>
                <w:szCs w:val="20"/>
                <w:highlight w:val="none"/>
              </w:rPr>
              <w:t>0</w:t>
            </w:r>
          </w:p>
        </w:tc>
        <w:tc>
          <w:tcPr>
            <w:tcW w:w="1005" w:type="dxa"/>
            <w:tcBorders>
              <w:left w:val="single" w:color="000000" w:sz="4" w:space="0"/>
              <w:right w:val="single" w:color="000000" w:sz="4" w:space="0"/>
            </w:tcBorders>
            <w:vAlign w:val="top"/>
          </w:tcPr>
          <w:p>
            <w:pPr>
              <w:spacing w:before="134" w:line="195" w:lineRule="auto"/>
              <w:ind w:left="37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1</w:t>
            </w:r>
            <w:r>
              <w:rPr>
                <w:rFonts w:hint="default" w:ascii="Times New Roman" w:hAnsi="Times New Roman" w:eastAsia="Times New Roman" w:cs="Times New Roman"/>
                <w:spacing w:val="-5"/>
                <w:sz w:val="20"/>
                <w:szCs w:val="20"/>
                <w:highlight w:val="none"/>
              </w:rPr>
              <w:t>12</w:t>
            </w:r>
          </w:p>
        </w:tc>
        <w:tc>
          <w:tcPr>
            <w:tcW w:w="1137" w:type="dxa"/>
            <w:vMerge w:val="continue"/>
            <w:tcBorders>
              <w:top w:val="nil"/>
              <w:left w:val="single" w:color="000000" w:sz="4" w:space="0"/>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10" w:type="dxa"/>
            <w:tcBorders>
              <w:left w:val="single" w:color="000000" w:sz="10" w:space="0"/>
              <w:right w:val="single" w:color="000000" w:sz="4" w:space="0"/>
            </w:tcBorders>
            <w:vAlign w:val="top"/>
          </w:tcPr>
          <w:p>
            <w:pPr>
              <w:spacing w:before="135" w:line="195" w:lineRule="auto"/>
              <w:ind w:left="23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4</w:t>
            </w:r>
          </w:p>
        </w:tc>
        <w:tc>
          <w:tcPr>
            <w:tcW w:w="1647" w:type="dxa"/>
            <w:tcBorders>
              <w:left w:val="single" w:color="000000" w:sz="4" w:space="0"/>
              <w:right w:val="single" w:color="000000" w:sz="4" w:space="0"/>
            </w:tcBorders>
            <w:vAlign w:val="top"/>
          </w:tcPr>
          <w:p>
            <w:pPr>
              <w:spacing w:before="99" w:line="228" w:lineRule="auto"/>
              <w:ind w:left="50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推土</w:t>
            </w:r>
            <w:r>
              <w:rPr>
                <w:rFonts w:hint="default" w:ascii="Times New Roman" w:hAnsi="Times New Roman" w:eastAsia="宋体" w:cs="Times New Roman"/>
                <w:spacing w:val="6"/>
                <w:sz w:val="20"/>
                <w:szCs w:val="20"/>
                <w:highlight w:val="none"/>
              </w:rPr>
              <w:t>机</w:t>
            </w:r>
          </w:p>
        </w:tc>
        <w:tc>
          <w:tcPr>
            <w:tcW w:w="625" w:type="dxa"/>
            <w:tcBorders>
              <w:left w:val="single" w:color="000000" w:sz="4" w:space="0"/>
              <w:right w:val="single" w:color="000000" w:sz="4" w:space="0"/>
            </w:tcBorders>
            <w:vAlign w:val="top"/>
          </w:tcPr>
          <w:p>
            <w:pPr>
              <w:spacing w:before="135" w:line="195" w:lineRule="auto"/>
              <w:ind w:left="2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4</w:t>
            </w:r>
          </w:p>
        </w:tc>
        <w:tc>
          <w:tcPr>
            <w:tcW w:w="779" w:type="dxa"/>
            <w:tcBorders>
              <w:left w:val="single" w:color="000000" w:sz="4" w:space="0"/>
              <w:right w:val="single" w:color="000000" w:sz="4" w:space="0"/>
            </w:tcBorders>
            <w:vAlign w:val="top"/>
          </w:tcPr>
          <w:p>
            <w:pPr>
              <w:spacing w:before="135" w:line="195" w:lineRule="auto"/>
              <w:ind w:left="2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58</w:t>
            </w:r>
          </w:p>
        </w:tc>
        <w:tc>
          <w:tcPr>
            <w:tcW w:w="778" w:type="dxa"/>
            <w:tcBorders>
              <w:left w:val="single" w:color="000000" w:sz="4" w:space="0"/>
              <w:right w:val="single" w:color="000000" w:sz="4" w:space="0"/>
            </w:tcBorders>
            <w:vAlign w:val="top"/>
          </w:tcPr>
          <w:p>
            <w:pPr>
              <w:spacing w:before="135" w:line="195" w:lineRule="auto"/>
              <w:ind w:left="2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52</w:t>
            </w:r>
          </w:p>
        </w:tc>
        <w:tc>
          <w:tcPr>
            <w:tcW w:w="779" w:type="dxa"/>
            <w:tcBorders>
              <w:left w:val="single" w:color="000000" w:sz="4" w:space="0"/>
              <w:right w:val="single" w:color="000000" w:sz="4" w:space="0"/>
            </w:tcBorders>
            <w:vAlign w:val="top"/>
          </w:tcPr>
          <w:p>
            <w:pPr>
              <w:spacing w:before="135" w:line="195" w:lineRule="auto"/>
              <w:ind w:left="28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48</w:t>
            </w:r>
          </w:p>
        </w:tc>
        <w:tc>
          <w:tcPr>
            <w:tcW w:w="1005" w:type="dxa"/>
            <w:tcBorders>
              <w:left w:val="single" w:color="000000" w:sz="4" w:space="0"/>
              <w:right w:val="single" w:color="000000" w:sz="4" w:space="0"/>
            </w:tcBorders>
            <w:vAlign w:val="top"/>
          </w:tcPr>
          <w:p>
            <w:pPr>
              <w:spacing w:before="135" w:line="195" w:lineRule="auto"/>
              <w:ind w:left="40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2</w:t>
            </w:r>
            <w:r>
              <w:rPr>
                <w:rFonts w:hint="default" w:ascii="Times New Roman" w:hAnsi="Times New Roman" w:eastAsia="Times New Roman" w:cs="Times New Roman"/>
                <w:spacing w:val="2"/>
                <w:sz w:val="20"/>
                <w:szCs w:val="20"/>
                <w:highlight w:val="none"/>
              </w:rPr>
              <w:t>4</w:t>
            </w:r>
          </w:p>
        </w:tc>
        <w:tc>
          <w:tcPr>
            <w:tcW w:w="1005" w:type="dxa"/>
            <w:tcBorders>
              <w:left w:val="single" w:color="000000" w:sz="4" w:space="0"/>
              <w:right w:val="single" w:color="000000" w:sz="4" w:space="0"/>
            </w:tcBorders>
            <w:vAlign w:val="top"/>
          </w:tcPr>
          <w:p>
            <w:pPr>
              <w:spacing w:before="135" w:line="195" w:lineRule="auto"/>
              <w:ind w:left="37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134</w:t>
            </w:r>
          </w:p>
        </w:tc>
        <w:tc>
          <w:tcPr>
            <w:tcW w:w="1137" w:type="dxa"/>
            <w:vMerge w:val="continue"/>
            <w:tcBorders>
              <w:top w:val="nil"/>
              <w:left w:val="single" w:color="000000" w:sz="4" w:space="0"/>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10" w:type="dxa"/>
            <w:tcBorders>
              <w:left w:val="single" w:color="000000" w:sz="10" w:space="0"/>
              <w:right w:val="single" w:color="000000" w:sz="4" w:space="0"/>
            </w:tcBorders>
            <w:vAlign w:val="top"/>
          </w:tcPr>
          <w:p>
            <w:pPr>
              <w:spacing w:before="139" w:line="192" w:lineRule="auto"/>
              <w:ind w:left="24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w:t>
            </w:r>
          </w:p>
        </w:tc>
        <w:tc>
          <w:tcPr>
            <w:tcW w:w="1647" w:type="dxa"/>
            <w:tcBorders>
              <w:left w:val="single" w:color="000000" w:sz="4" w:space="0"/>
              <w:right w:val="single" w:color="000000" w:sz="4" w:space="0"/>
            </w:tcBorders>
            <w:vAlign w:val="top"/>
          </w:tcPr>
          <w:p>
            <w:pPr>
              <w:spacing w:before="100" w:line="228" w:lineRule="auto"/>
              <w:ind w:left="19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混凝土振捣</w:t>
            </w:r>
            <w:r>
              <w:rPr>
                <w:rFonts w:hint="default" w:ascii="Times New Roman" w:hAnsi="Times New Roman" w:eastAsia="宋体" w:cs="Times New Roman"/>
                <w:spacing w:val="7"/>
                <w:sz w:val="20"/>
                <w:szCs w:val="20"/>
                <w:highlight w:val="none"/>
              </w:rPr>
              <w:t>器</w:t>
            </w:r>
          </w:p>
        </w:tc>
        <w:tc>
          <w:tcPr>
            <w:tcW w:w="625" w:type="dxa"/>
            <w:tcBorders>
              <w:left w:val="single" w:color="000000" w:sz="4" w:space="0"/>
              <w:right w:val="single" w:color="000000" w:sz="4" w:space="0"/>
            </w:tcBorders>
            <w:vAlign w:val="top"/>
          </w:tcPr>
          <w:p>
            <w:pPr>
              <w:spacing w:before="136" w:line="195" w:lineRule="auto"/>
              <w:ind w:left="20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59</w:t>
            </w:r>
          </w:p>
        </w:tc>
        <w:tc>
          <w:tcPr>
            <w:tcW w:w="779" w:type="dxa"/>
            <w:tcBorders>
              <w:left w:val="single" w:color="000000" w:sz="4" w:space="0"/>
              <w:right w:val="single" w:color="000000" w:sz="4" w:space="0"/>
            </w:tcBorders>
            <w:vAlign w:val="top"/>
          </w:tcPr>
          <w:p>
            <w:pPr>
              <w:spacing w:before="136" w:line="195" w:lineRule="auto"/>
              <w:ind w:left="2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53</w:t>
            </w:r>
          </w:p>
        </w:tc>
        <w:tc>
          <w:tcPr>
            <w:tcW w:w="778" w:type="dxa"/>
            <w:tcBorders>
              <w:left w:val="single" w:color="000000" w:sz="4" w:space="0"/>
              <w:right w:val="single" w:color="000000" w:sz="4" w:space="0"/>
            </w:tcBorders>
            <w:vAlign w:val="top"/>
          </w:tcPr>
          <w:p>
            <w:pPr>
              <w:spacing w:before="136" w:line="195" w:lineRule="auto"/>
              <w:ind w:left="28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47</w:t>
            </w:r>
          </w:p>
        </w:tc>
        <w:tc>
          <w:tcPr>
            <w:tcW w:w="779" w:type="dxa"/>
            <w:tcBorders>
              <w:left w:val="single" w:color="000000" w:sz="4" w:space="0"/>
              <w:right w:val="single" w:color="000000" w:sz="4" w:space="0"/>
            </w:tcBorders>
            <w:vAlign w:val="top"/>
          </w:tcPr>
          <w:p>
            <w:pPr>
              <w:spacing w:before="136" w:line="195" w:lineRule="auto"/>
              <w:ind w:left="28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43</w:t>
            </w:r>
          </w:p>
        </w:tc>
        <w:tc>
          <w:tcPr>
            <w:tcW w:w="1005" w:type="dxa"/>
            <w:tcBorders>
              <w:left w:val="single" w:color="000000" w:sz="4" w:space="0"/>
              <w:right w:val="single" w:color="000000" w:sz="4" w:space="0"/>
            </w:tcBorders>
            <w:vAlign w:val="top"/>
          </w:tcPr>
          <w:p>
            <w:pPr>
              <w:spacing w:before="136" w:line="195" w:lineRule="auto"/>
              <w:ind w:left="42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7"/>
                <w:sz w:val="20"/>
                <w:szCs w:val="20"/>
                <w:highlight w:val="none"/>
              </w:rPr>
              <w:t>4</w:t>
            </w:r>
          </w:p>
        </w:tc>
        <w:tc>
          <w:tcPr>
            <w:tcW w:w="1005" w:type="dxa"/>
            <w:tcBorders>
              <w:left w:val="single" w:color="000000" w:sz="4" w:space="0"/>
              <w:right w:val="single" w:color="000000" w:sz="4" w:space="0"/>
            </w:tcBorders>
            <w:vAlign w:val="top"/>
          </w:tcPr>
          <w:p>
            <w:pPr>
              <w:spacing w:before="136" w:line="195" w:lineRule="auto"/>
              <w:ind w:left="41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8</w:t>
            </w:r>
            <w:r>
              <w:rPr>
                <w:rFonts w:hint="default" w:ascii="Times New Roman" w:hAnsi="Times New Roman" w:eastAsia="Times New Roman" w:cs="Times New Roman"/>
                <w:spacing w:val="-1"/>
                <w:sz w:val="20"/>
                <w:szCs w:val="20"/>
                <w:highlight w:val="none"/>
              </w:rPr>
              <w:t>0</w:t>
            </w:r>
          </w:p>
        </w:tc>
        <w:tc>
          <w:tcPr>
            <w:tcW w:w="1137" w:type="dxa"/>
            <w:vMerge w:val="restart"/>
            <w:tcBorders>
              <w:left w:val="single" w:color="000000" w:sz="4" w:space="0"/>
              <w:bottom w:val="nil"/>
              <w:right w:val="single" w:color="000000" w:sz="10" w:space="0"/>
            </w:tcBorders>
            <w:vAlign w:val="top"/>
          </w:tcPr>
          <w:p>
            <w:pPr>
              <w:spacing w:before="304" w:line="229" w:lineRule="auto"/>
              <w:ind w:left="15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建</w:t>
            </w:r>
            <w:r>
              <w:rPr>
                <w:rFonts w:hint="default" w:ascii="Times New Roman" w:hAnsi="Times New Roman" w:eastAsia="宋体" w:cs="Times New Roman"/>
                <w:spacing w:val="6"/>
                <w:sz w:val="20"/>
                <w:szCs w:val="20"/>
                <w:highlight w:val="none"/>
              </w:rPr>
              <w:t>筑结构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10" w:type="dxa"/>
            <w:tcBorders>
              <w:left w:val="single" w:color="000000" w:sz="10" w:space="0"/>
              <w:right w:val="single" w:color="000000" w:sz="4" w:space="0"/>
            </w:tcBorders>
            <w:vAlign w:val="top"/>
          </w:tcPr>
          <w:p>
            <w:pPr>
              <w:spacing w:before="135" w:line="195" w:lineRule="auto"/>
              <w:ind w:left="24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6</w:t>
            </w:r>
          </w:p>
        </w:tc>
        <w:tc>
          <w:tcPr>
            <w:tcW w:w="1647" w:type="dxa"/>
            <w:tcBorders>
              <w:left w:val="single" w:color="000000" w:sz="4" w:space="0"/>
              <w:right w:val="single" w:color="000000" w:sz="4" w:space="0"/>
            </w:tcBorders>
            <w:vAlign w:val="top"/>
          </w:tcPr>
          <w:p>
            <w:pPr>
              <w:spacing w:before="99" w:line="231" w:lineRule="auto"/>
              <w:ind w:left="31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电</w:t>
            </w:r>
            <w:r>
              <w:rPr>
                <w:rFonts w:hint="default" w:ascii="Times New Roman" w:hAnsi="Times New Roman" w:eastAsia="宋体" w:cs="Times New Roman"/>
                <w:spacing w:val="3"/>
                <w:sz w:val="20"/>
                <w:szCs w:val="20"/>
                <w:highlight w:val="none"/>
              </w:rPr>
              <w:t>锯、电刨</w:t>
            </w:r>
          </w:p>
        </w:tc>
        <w:tc>
          <w:tcPr>
            <w:tcW w:w="625" w:type="dxa"/>
            <w:tcBorders>
              <w:left w:val="single" w:color="000000" w:sz="4" w:space="0"/>
              <w:right w:val="single" w:color="000000" w:sz="4" w:space="0"/>
            </w:tcBorders>
            <w:vAlign w:val="top"/>
          </w:tcPr>
          <w:p>
            <w:pPr>
              <w:spacing w:before="135" w:line="195" w:lineRule="auto"/>
              <w:ind w:left="2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9</w:t>
            </w:r>
          </w:p>
        </w:tc>
        <w:tc>
          <w:tcPr>
            <w:tcW w:w="779" w:type="dxa"/>
            <w:tcBorders>
              <w:left w:val="single" w:color="000000" w:sz="4" w:space="0"/>
              <w:right w:val="single" w:color="000000" w:sz="4" w:space="0"/>
            </w:tcBorders>
            <w:vAlign w:val="top"/>
          </w:tcPr>
          <w:p>
            <w:pPr>
              <w:spacing w:before="135" w:line="195" w:lineRule="auto"/>
              <w:ind w:left="28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3</w:t>
            </w:r>
          </w:p>
        </w:tc>
        <w:tc>
          <w:tcPr>
            <w:tcW w:w="778" w:type="dxa"/>
            <w:tcBorders>
              <w:left w:val="single" w:color="000000" w:sz="4" w:space="0"/>
              <w:right w:val="single" w:color="000000" w:sz="4" w:space="0"/>
            </w:tcBorders>
            <w:vAlign w:val="top"/>
          </w:tcPr>
          <w:p>
            <w:pPr>
              <w:spacing w:before="138" w:line="192" w:lineRule="auto"/>
              <w:ind w:left="2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57</w:t>
            </w:r>
          </w:p>
        </w:tc>
        <w:tc>
          <w:tcPr>
            <w:tcW w:w="779" w:type="dxa"/>
            <w:tcBorders>
              <w:left w:val="single" w:color="000000" w:sz="4" w:space="0"/>
              <w:right w:val="single" w:color="000000" w:sz="4" w:space="0"/>
            </w:tcBorders>
            <w:vAlign w:val="top"/>
          </w:tcPr>
          <w:p>
            <w:pPr>
              <w:spacing w:before="135" w:line="195" w:lineRule="auto"/>
              <w:ind w:left="2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53</w:t>
            </w:r>
          </w:p>
        </w:tc>
        <w:tc>
          <w:tcPr>
            <w:tcW w:w="1005" w:type="dxa"/>
            <w:tcBorders>
              <w:left w:val="single" w:color="000000" w:sz="4" w:space="0"/>
              <w:right w:val="single" w:color="000000" w:sz="4" w:space="0"/>
            </w:tcBorders>
            <w:vAlign w:val="top"/>
          </w:tcPr>
          <w:p>
            <w:pPr>
              <w:spacing w:before="135" w:line="195" w:lineRule="auto"/>
              <w:ind w:left="40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45</w:t>
            </w:r>
          </w:p>
        </w:tc>
        <w:tc>
          <w:tcPr>
            <w:tcW w:w="1005" w:type="dxa"/>
            <w:tcBorders>
              <w:left w:val="single" w:color="000000" w:sz="4" w:space="0"/>
              <w:right w:val="single" w:color="000000" w:sz="4" w:space="0"/>
            </w:tcBorders>
            <w:vAlign w:val="top"/>
          </w:tcPr>
          <w:p>
            <w:pPr>
              <w:spacing w:before="135" w:line="195" w:lineRule="auto"/>
              <w:ind w:left="35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52</w:t>
            </w:r>
          </w:p>
        </w:tc>
        <w:tc>
          <w:tcPr>
            <w:tcW w:w="1137" w:type="dxa"/>
            <w:vMerge w:val="continue"/>
            <w:tcBorders>
              <w:top w:val="nil"/>
              <w:left w:val="single" w:color="000000" w:sz="4" w:space="0"/>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10" w:type="dxa"/>
            <w:tcBorders>
              <w:left w:val="single" w:color="000000" w:sz="10" w:space="0"/>
              <w:right w:val="single" w:color="000000" w:sz="4" w:space="0"/>
            </w:tcBorders>
            <w:vAlign w:val="top"/>
          </w:tcPr>
          <w:p>
            <w:pPr>
              <w:spacing w:before="139" w:line="192" w:lineRule="auto"/>
              <w:ind w:left="24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7</w:t>
            </w:r>
          </w:p>
        </w:tc>
        <w:tc>
          <w:tcPr>
            <w:tcW w:w="1647" w:type="dxa"/>
            <w:tcBorders>
              <w:left w:val="single" w:color="000000" w:sz="4" w:space="0"/>
              <w:right w:val="single" w:color="000000" w:sz="4" w:space="0"/>
            </w:tcBorders>
            <w:vAlign w:val="top"/>
          </w:tcPr>
          <w:p>
            <w:pPr>
              <w:spacing w:before="100" w:line="228" w:lineRule="auto"/>
              <w:ind w:left="5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吊装</w:t>
            </w:r>
            <w:r>
              <w:rPr>
                <w:rFonts w:hint="default" w:ascii="Times New Roman" w:hAnsi="Times New Roman" w:eastAsia="宋体" w:cs="Times New Roman"/>
                <w:spacing w:val="-1"/>
                <w:sz w:val="20"/>
                <w:szCs w:val="20"/>
                <w:highlight w:val="none"/>
              </w:rPr>
              <w:t>机</w:t>
            </w:r>
          </w:p>
        </w:tc>
        <w:tc>
          <w:tcPr>
            <w:tcW w:w="625" w:type="dxa"/>
            <w:tcBorders>
              <w:left w:val="single" w:color="000000" w:sz="4" w:space="0"/>
              <w:right w:val="single" w:color="000000" w:sz="4" w:space="0"/>
            </w:tcBorders>
            <w:vAlign w:val="top"/>
          </w:tcPr>
          <w:p>
            <w:pPr>
              <w:spacing w:before="136" w:line="195" w:lineRule="auto"/>
              <w:ind w:left="20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51</w:t>
            </w:r>
          </w:p>
        </w:tc>
        <w:tc>
          <w:tcPr>
            <w:tcW w:w="779" w:type="dxa"/>
            <w:tcBorders>
              <w:left w:val="single" w:color="000000" w:sz="4" w:space="0"/>
              <w:right w:val="single" w:color="000000" w:sz="4" w:space="0"/>
            </w:tcBorders>
            <w:vAlign w:val="top"/>
          </w:tcPr>
          <w:p>
            <w:pPr>
              <w:spacing w:before="136" w:line="195" w:lineRule="auto"/>
              <w:ind w:left="28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45</w:t>
            </w:r>
          </w:p>
        </w:tc>
        <w:tc>
          <w:tcPr>
            <w:tcW w:w="778" w:type="dxa"/>
            <w:tcBorders>
              <w:left w:val="single" w:color="000000" w:sz="4" w:space="0"/>
              <w:right w:val="single" w:color="000000" w:sz="4" w:space="0"/>
            </w:tcBorders>
            <w:vAlign w:val="top"/>
          </w:tcPr>
          <w:p>
            <w:pPr>
              <w:spacing w:before="136" w:line="195" w:lineRule="auto"/>
              <w:ind w:left="28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3</w:t>
            </w:r>
            <w:r>
              <w:rPr>
                <w:rFonts w:hint="default" w:ascii="Times New Roman" w:hAnsi="Times New Roman" w:eastAsia="Times New Roman" w:cs="Times New Roman"/>
                <w:sz w:val="20"/>
                <w:szCs w:val="20"/>
                <w:highlight w:val="none"/>
              </w:rPr>
              <w:t>9</w:t>
            </w:r>
          </w:p>
        </w:tc>
        <w:tc>
          <w:tcPr>
            <w:tcW w:w="779" w:type="dxa"/>
            <w:tcBorders>
              <w:left w:val="single" w:color="000000" w:sz="4" w:space="0"/>
              <w:right w:val="single" w:color="000000" w:sz="4" w:space="0"/>
            </w:tcBorders>
            <w:vAlign w:val="top"/>
          </w:tcPr>
          <w:p>
            <w:pPr>
              <w:spacing w:before="136" w:line="195" w:lineRule="auto"/>
              <w:ind w:left="29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3</w:t>
            </w:r>
            <w:r>
              <w:rPr>
                <w:rFonts w:hint="default" w:ascii="Times New Roman" w:hAnsi="Times New Roman" w:eastAsia="Times New Roman" w:cs="Times New Roman"/>
                <w:sz w:val="20"/>
                <w:szCs w:val="20"/>
                <w:highlight w:val="none"/>
              </w:rPr>
              <w:t>5</w:t>
            </w:r>
          </w:p>
        </w:tc>
        <w:tc>
          <w:tcPr>
            <w:tcW w:w="1005" w:type="dxa"/>
            <w:tcBorders>
              <w:left w:val="single" w:color="000000" w:sz="4" w:space="0"/>
              <w:right w:val="single" w:color="000000" w:sz="4" w:space="0"/>
            </w:tcBorders>
            <w:vAlign w:val="top"/>
          </w:tcPr>
          <w:p>
            <w:pPr>
              <w:spacing w:before="136" w:line="195" w:lineRule="auto"/>
              <w:ind w:left="45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6</w:t>
            </w:r>
          </w:p>
        </w:tc>
        <w:tc>
          <w:tcPr>
            <w:tcW w:w="1005" w:type="dxa"/>
            <w:tcBorders>
              <w:left w:val="single" w:color="000000" w:sz="4" w:space="0"/>
              <w:right w:val="single" w:color="000000" w:sz="4" w:space="0"/>
            </w:tcBorders>
            <w:vAlign w:val="top"/>
          </w:tcPr>
          <w:p>
            <w:pPr>
              <w:spacing w:before="136" w:line="195" w:lineRule="auto"/>
              <w:ind w:left="41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3</w:t>
            </w:r>
            <w:r>
              <w:rPr>
                <w:rFonts w:hint="default" w:ascii="Times New Roman" w:hAnsi="Times New Roman" w:eastAsia="Times New Roman" w:cs="Times New Roman"/>
                <w:sz w:val="20"/>
                <w:szCs w:val="20"/>
                <w:highlight w:val="none"/>
              </w:rPr>
              <w:t>2</w:t>
            </w:r>
          </w:p>
        </w:tc>
        <w:tc>
          <w:tcPr>
            <w:tcW w:w="1137" w:type="dxa"/>
            <w:tcBorders>
              <w:left w:val="single" w:color="000000" w:sz="4" w:space="0"/>
              <w:right w:val="single" w:color="000000" w:sz="10" w:space="0"/>
            </w:tcBorders>
            <w:vAlign w:val="top"/>
          </w:tcPr>
          <w:p>
            <w:pPr>
              <w:spacing w:before="101" w:line="228" w:lineRule="auto"/>
              <w:ind w:left="15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设</w:t>
            </w:r>
            <w:r>
              <w:rPr>
                <w:rFonts w:hint="default" w:ascii="Times New Roman" w:hAnsi="Times New Roman" w:eastAsia="宋体" w:cs="Times New Roman"/>
                <w:spacing w:val="6"/>
                <w:sz w:val="20"/>
                <w:szCs w:val="20"/>
                <w:highlight w:val="none"/>
              </w:rPr>
              <w:t>备安装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610" w:type="dxa"/>
            <w:tcBorders>
              <w:left w:val="single" w:color="000000" w:sz="10" w:space="0"/>
              <w:right w:val="single" w:color="000000" w:sz="4" w:space="0"/>
            </w:tcBorders>
            <w:vAlign w:val="top"/>
          </w:tcPr>
          <w:p>
            <w:pPr>
              <w:spacing w:before="138" w:line="195" w:lineRule="auto"/>
              <w:ind w:left="24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8</w:t>
            </w:r>
          </w:p>
        </w:tc>
        <w:tc>
          <w:tcPr>
            <w:tcW w:w="1647" w:type="dxa"/>
            <w:tcBorders>
              <w:left w:val="single" w:color="000000" w:sz="4" w:space="0"/>
              <w:right w:val="single" w:color="000000" w:sz="4" w:space="0"/>
            </w:tcBorders>
            <w:vAlign w:val="top"/>
          </w:tcPr>
          <w:p>
            <w:pPr>
              <w:spacing w:before="102" w:line="228" w:lineRule="auto"/>
              <w:ind w:left="39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运</w:t>
            </w:r>
            <w:r>
              <w:rPr>
                <w:rFonts w:hint="default" w:ascii="Times New Roman" w:hAnsi="Times New Roman" w:eastAsia="宋体" w:cs="Times New Roman"/>
                <w:spacing w:val="7"/>
                <w:sz w:val="20"/>
                <w:szCs w:val="20"/>
                <w:highlight w:val="none"/>
              </w:rPr>
              <w:t>输车辆</w:t>
            </w:r>
          </w:p>
        </w:tc>
        <w:tc>
          <w:tcPr>
            <w:tcW w:w="625" w:type="dxa"/>
            <w:tcBorders>
              <w:left w:val="single" w:color="000000" w:sz="4" w:space="0"/>
              <w:right w:val="single" w:color="000000" w:sz="4" w:space="0"/>
            </w:tcBorders>
            <w:vAlign w:val="top"/>
          </w:tcPr>
          <w:p>
            <w:pPr>
              <w:spacing w:before="138" w:line="195" w:lineRule="auto"/>
              <w:ind w:left="20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6</w:t>
            </w:r>
          </w:p>
        </w:tc>
        <w:tc>
          <w:tcPr>
            <w:tcW w:w="779" w:type="dxa"/>
            <w:tcBorders>
              <w:left w:val="single" w:color="000000" w:sz="4" w:space="0"/>
              <w:right w:val="single" w:color="000000" w:sz="4" w:space="0"/>
            </w:tcBorders>
            <w:vAlign w:val="top"/>
          </w:tcPr>
          <w:p>
            <w:pPr>
              <w:spacing w:before="138" w:line="195" w:lineRule="auto"/>
              <w:ind w:left="28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778" w:type="dxa"/>
            <w:tcBorders>
              <w:left w:val="single" w:color="000000" w:sz="4" w:space="0"/>
              <w:right w:val="single" w:color="000000" w:sz="4" w:space="0"/>
            </w:tcBorders>
            <w:vAlign w:val="top"/>
          </w:tcPr>
          <w:p>
            <w:pPr>
              <w:spacing w:before="138" w:line="195" w:lineRule="auto"/>
              <w:ind w:left="2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54</w:t>
            </w:r>
          </w:p>
        </w:tc>
        <w:tc>
          <w:tcPr>
            <w:tcW w:w="779" w:type="dxa"/>
            <w:tcBorders>
              <w:left w:val="single" w:color="000000" w:sz="4" w:space="0"/>
              <w:right w:val="single" w:color="000000" w:sz="4" w:space="0"/>
            </w:tcBorders>
            <w:vAlign w:val="top"/>
          </w:tcPr>
          <w:p>
            <w:pPr>
              <w:spacing w:before="138" w:line="195" w:lineRule="auto"/>
              <w:ind w:left="2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50</w:t>
            </w:r>
          </w:p>
        </w:tc>
        <w:tc>
          <w:tcPr>
            <w:tcW w:w="1005" w:type="dxa"/>
            <w:tcBorders>
              <w:left w:val="single" w:color="000000" w:sz="4" w:space="0"/>
              <w:right w:val="single" w:color="000000" w:sz="4" w:space="0"/>
            </w:tcBorders>
            <w:vAlign w:val="top"/>
          </w:tcPr>
          <w:p>
            <w:pPr>
              <w:spacing w:before="138" w:line="195" w:lineRule="auto"/>
              <w:ind w:left="40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3</w:t>
            </w:r>
            <w:r>
              <w:rPr>
                <w:rFonts w:hint="default" w:ascii="Times New Roman" w:hAnsi="Times New Roman" w:eastAsia="Times New Roman" w:cs="Times New Roman"/>
                <w:sz w:val="20"/>
                <w:szCs w:val="20"/>
                <w:highlight w:val="none"/>
              </w:rPr>
              <w:t>2</w:t>
            </w:r>
          </w:p>
        </w:tc>
        <w:tc>
          <w:tcPr>
            <w:tcW w:w="1005" w:type="dxa"/>
            <w:tcBorders>
              <w:left w:val="single" w:color="000000" w:sz="4" w:space="0"/>
              <w:right w:val="single" w:color="000000" w:sz="4" w:space="0"/>
            </w:tcBorders>
            <w:vAlign w:val="top"/>
          </w:tcPr>
          <w:p>
            <w:pPr>
              <w:spacing w:before="138" w:line="195" w:lineRule="auto"/>
              <w:ind w:left="37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178</w:t>
            </w:r>
          </w:p>
        </w:tc>
        <w:tc>
          <w:tcPr>
            <w:tcW w:w="1137" w:type="dxa"/>
            <w:tcBorders>
              <w:left w:val="single" w:color="000000" w:sz="4" w:space="0"/>
              <w:right w:val="single" w:color="000000" w:sz="10" w:space="0"/>
            </w:tcBorders>
            <w:vAlign w:val="top"/>
          </w:tcPr>
          <w:p>
            <w:pPr>
              <w:spacing w:before="102" w:line="228" w:lineRule="auto"/>
              <w:ind w:left="15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物</w:t>
            </w:r>
            <w:r>
              <w:rPr>
                <w:rFonts w:hint="default" w:ascii="Times New Roman" w:hAnsi="Times New Roman" w:eastAsia="宋体" w:cs="Times New Roman"/>
                <w:spacing w:val="7"/>
                <w:sz w:val="20"/>
                <w:szCs w:val="20"/>
                <w:highlight w:val="none"/>
              </w:rPr>
              <w:t>料运输</w:t>
            </w:r>
          </w:p>
        </w:tc>
      </w:tr>
    </w:tbl>
    <w:p>
      <w:pPr>
        <w:spacing w:before="159" w:line="315" w:lineRule="exact"/>
        <w:ind w:left="54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position w:val="2"/>
          <w:sz w:val="23"/>
          <w:szCs w:val="23"/>
          <w:highlight w:val="none"/>
        </w:rPr>
        <w:t>(</w:t>
      </w:r>
      <w:r>
        <w:rPr>
          <w:rFonts w:hint="default" w:ascii="Times New Roman" w:hAnsi="Times New Roman" w:eastAsia="Times New Roman" w:cs="Times New Roman"/>
          <w:spacing w:val="18"/>
          <w:position w:val="2"/>
          <w:sz w:val="23"/>
          <w:szCs w:val="23"/>
          <w:highlight w:val="none"/>
        </w:rPr>
        <w:t>3</w:t>
      </w:r>
      <w:r>
        <w:rPr>
          <w:rFonts w:hint="default" w:ascii="Times New Roman" w:hAnsi="Times New Roman" w:eastAsia="宋体" w:cs="Times New Roman"/>
          <w:spacing w:val="18"/>
          <w:position w:val="2"/>
          <w:sz w:val="23"/>
          <w:szCs w:val="23"/>
          <w:highlight w:val="none"/>
        </w:rPr>
        <w:t xml:space="preserve">) </w:t>
      </w:r>
      <w:r>
        <w:rPr>
          <w:rFonts w:hint="default" w:ascii="Times New Roman" w:hAnsi="Times New Roman" w:eastAsia="Times New Roman" w:cs="Times New Roman"/>
          <w:spacing w:val="18"/>
          <w:position w:val="2"/>
          <w:sz w:val="23"/>
          <w:szCs w:val="23"/>
          <w:highlight w:val="none"/>
        </w:rPr>
        <w:t>)</w:t>
      </w:r>
      <w:r>
        <w:rPr>
          <w:rFonts w:hint="default" w:ascii="Times New Roman" w:hAnsi="Times New Roman" w:eastAsia="宋体" w:cs="Times New Roman"/>
          <w:spacing w:val="18"/>
          <w:position w:val="2"/>
          <w:sz w:val="23"/>
          <w:szCs w:val="23"/>
          <w:highlight w:val="none"/>
        </w:rPr>
        <w:t>影响分</w:t>
      </w:r>
      <w:r>
        <w:rPr>
          <w:rFonts w:hint="default" w:ascii="Times New Roman" w:hAnsi="Times New Roman" w:eastAsia="宋体" w:cs="Times New Roman"/>
          <w:spacing w:val="17"/>
          <w:position w:val="2"/>
          <w:sz w:val="23"/>
          <w:szCs w:val="23"/>
          <w:highlight w:val="none"/>
        </w:rPr>
        <w:t>析</w:t>
      </w:r>
    </w:p>
    <w:p>
      <w:pPr>
        <w:rPr>
          <w:rFonts w:hint="default" w:ascii="Times New Roman" w:hAnsi="Times New Roman" w:cs="Times New Roman"/>
          <w:highlight w:val="none"/>
        </w:rPr>
        <w:sectPr>
          <w:headerReference r:id="rId64" w:type="default"/>
          <w:footerReference r:id="rId65" w:type="default"/>
          <w:pgSz w:w="11906" w:h="16839"/>
          <w:pgMar w:top="1167" w:right="1757" w:bottom="1311" w:left="1757" w:header="897" w:footer="1015" w:gutter="0"/>
          <w:pgBorders>
            <w:top w:val="none" w:sz="0" w:space="0"/>
            <w:left w:val="none" w:sz="0" w:space="0"/>
            <w:bottom w:val="none" w:sz="0" w:space="0"/>
            <w:right w:val="none" w:sz="0" w:space="0"/>
          </w:pgBorders>
          <w:pgNumType w:fmt="decimal"/>
          <w:cols w:space="720" w:num="1"/>
        </w:sectPr>
      </w:pPr>
    </w:p>
    <w:p>
      <w:pPr>
        <w:spacing w:line="389"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183" o:spid="_x0000_s1183" style="position:absolute;left:0pt;margin-left:90pt;margin-top:59.05pt;height:0.75pt;width:415.3pt;mso-position-horizontal-relative:page;mso-position-vertical-relative:page;z-index:251725824;mso-width-relative:page;mso-height-relative:page;" fillcolor="#000000" filled="t" stroked="f" coordsize="8305,15" o:allowincell="f" path="m0,0l8305,0,8305,14,0,14,0,0xe">
            <v:path/>
            <v:fill on="t" focussize="0,0"/>
            <v:stroke on="f"/>
            <v:imagedata o:title=""/>
            <o:lock v:ext="edit"/>
          </v:shape>
        </w:pict>
      </w:r>
      <w:r>
        <w:rPr>
          <w:rFonts w:hint="default" w:ascii="Times New Roman" w:hAnsi="Times New Roman" w:cs="Times New Roman"/>
          <w:highlight w:val="none"/>
        </w:rPr>
        <w:pict>
          <v:shape id="_x0000_s1184" o:spid="_x0000_s1184" style="position:absolute;left:0pt;margin-left:90pt;margin-top:776.35pt;height:0.75pt;width:415.3pt;mso-position-horizontal-relative:page;mso-position-vertical-relative:page;z-index:251724800;mso-width-relative:page;mso-height-relative:page;" filled="f" stroked="f" coordsize="8305,15" o:allowincell="f" path="m0,0l8305,0,8305,14,0,14,0,0xe">
            <v:path/>
            <v:fill on="f" focussize="0,0"/>
            <v:stroke on="f"/>
            <v:imagedata o:title=""/>
            <o:lock v:ext="edit" aspectratio="f"/>
          </v:shape>
        </w:pict>
      </w:r>
    </w:p>
    <w:p>
      <w:pPr>
        <w:spacing w:before="74" w:line="399" w:lineRule="auto"/>
        <w:ind w:left="17" w:right="8" w:firstLine="48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5"/>
          <w:sz w:val="23"/>
          <w:szCs w:val="23"/>
          <w:highlight w:val="none"/>
        </w:rPr>
        <w:t>将</w:t>
      </w:r>
      <w:r>
        <w:rPr>
          <w:rFonts w:hint="default" w:ascii="Times New Roman" w:hAnsi="Times New Roman" w:eastAsia="宋体" w:cs="Times New Roman"/>
          <w:spacing w:val="18"/>
          <w:sz w:val="23"/>
          <w:szCs w:val="23"/>
          <w:highlight w:val="none"/>
        </w:rPr>
        <w:t xml:space="preserve">表 </w:t>
      </w:r>
      <w:r>
        <w:rPr>
          <w:rFonts w:hint="default" w:ascii="Times New Roman" w:hAnsi="Times New Roman" w:eastAsia="Times New Roman" w:cs="Times New Roman"/>
          <w:spacing w:val="18"/>
          <w:sz w:val="23"/>
          <w:szCs w:val="23"/>
          <w:highlight w:val="none"/>
        </w:rPr>
        <w:t xml:space="preserve">5.1-4 </w:t>
      </w:r>
      <w:r>
        <w:rPr>
          <w:rFonts w:hint="default" w:ascii="Times New Roman" w:hAnsi="Times New Roman" w:eastAsia="宋体" w:cs="Times New Roman"/>
          <w:spacing w:val="18"/>
          <w:sz w:val="23"/>
          <w:szCs w:val="23"/>
          <w:highlight w:val="none"/>
        </w:rPr>
        <w:t>噪声源预测计算结果与《建筑施工场界环境噪声排放标准》</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6"/>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13"/>
          <w:sz w:val="23"/>
          <w:szCs w:val="23"/>
          <w:highlight w:val="none"/>
        </w:rPr>
        <w:t>12523-2011)</w:t>
      </w:r>
      <w:r>
        <w:rPr>
          <w:rFonts w:hint="default" w:ascii="Times New Roman" w:hAnsi="Times New Roman" w:eastAsia="宋体" w:cs="Times New Roman"/>
          <w:spacing w:val="13"/>
          <w:sz w:val="23"/>
          <w:szCs w:val="23"/>
          <w:highlight w:val="none"/>
        </w:rPr>
        <w:t>相互对照可知，土石方施工和建筑结构阶段，昼间距施工设备</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3"/>
          <w:sz w:val="23"/>
          <w:szCs w:val="23"/>
          <w:highlight w:val="none"/>
        </w:rPr>
        <w:t>45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 xml:space="preserve">，夜间 </w:t>
      </w:r>
      <w:r>
        <w:rPr>
          <w:rFonts w:hint="default" w:ascii="Times New Roman" w:hAnsi="Times New Roman" w:eastAsia="Times New Roman" w:cs="Times New Roman"/>
          <w:spacing w:val="3"/>
          <w:sz w:val="23"/>
          <w:szCs w:val="23"/>
          <w:highlight w:val="none"/>
        </w:rPr>
        <w:t>252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 xml:space="preserve">可满足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3"/>
          <w:sz w:val="23"/>
          <w:szCs w:val="23"/>
          <w:highlight w:val="none"/>
        </w:rPr>
        <w:t xml:space="preserve">12523-2011 </w:t>
      </w:r>
      <w:r>
        <w:rPr>
          <w:rFonts w:hint="default" w:ascii="Times New Roman" w:hAnsi="Times New Roman" w:eastAsia="宋体" w:cs="Times New Roman"/>
          <w:spacing w:val="3"/>
          <w:sz w:val="23"/>
          <w:szCs w:val="23"/>
          <w:highlight w:val="none"/>
        </w:rPr>
        <w:t xml:space="preserve">的要求；物料运输车辆昼间 </w:t>
      </w:r>
      <w:r>
        <w:rPr>
          <w:rFonts w:hint="default" w:ascii="Times New Roman" w:hAnsi="Times New Roman" w:eastAsia="Times New Roman" w:cs="Times New Roman"/>
          <w:spacing w:val="3"/>
          <w:sz w:val="23"/>
          <w:szCs w:val="23"/>
          <w:highlight w:val="none"/>
        </w:rPr>
        <w:t>32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1"/>
          <w:sz w:val="23"/>
          <w:szCs w:val="23"/>
          <w:highlight w:val="none"/>
        </w:rPr>
        <w:t>、</w:t>
      </w:r>
      <w:r>
        <w:rPr>
          <w:rFonts w:hint="default" w:ascii="Times New Roman" w:hAnsi="Times New Roman" w:eastAsia="宋体" w:cs="Times New Roman"/>
          <w:sz w:val="23"/>
          <w:szCs w:val="23"/>
          <w:highlight w:val="none"/>
        </w:rPr>
        <w:t xml:space="preserve">夜间 </w:t>
      </w:r>
      <w:r>
        <w:rPr>
          <w:rFonts w:hint="default" w:ascii="Times New Roman" w:hAnsi="Times New Roman" w:eastAsia="Times New Roman" w:cs="Times New Roman"/>
          <w:spacing w:val="10"/>
          <w:sz w:val="23"/>
          <w:szCs w:val="23"/>
          <w:highlight w:val="none"/>
        </w:rPr>
        <w:t>178</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0"/>
          <w:sz w:val="23"/>
          <w:szCs w:val="23"/>
          <w:highlight w:val="none"/>
        </w:rPr>
        <w:t xml:space="preserve"> </w:t>
      </w:r>
      <w:r>
        <w:rPr>
          <w:rFonts w:hint="default" w:ascii="Times New Roman" w:hAnsi="Times New Roman" w:eastAsia="宋体" w:cs="Times New Roman"/>
          <w:spacing w:val="7"/>
          <w:sz w:val="23"/>
          <w:szCs w:val="23"/>
          <w:highlight w:val="none"/>
        </w:rPr>
        <w:t>可</w:t>
      </w:r>
      <w:r>
        <w:rPr>
          <w:rFonts w:hint="default" w:ascii="Times New Roman" w:hAnsi="Times New Roman" w:eastAsia="宋体" w:cs="Times New Roman"/>
          <w:spacing w:val="5"/>
          <w:sz w:val="23"/>
          <w:szCs w:val="23"/>
          <w:highlight w:val="none"/>
        </w:rPr>
        <w:t>以达到《声环境质量标准》</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5"/>
          <w:sz w:val="23"/>
          <w:szCs w:val="23"/>
          <w:highlight w:val="none"/>
        </w:rPr>
        <w:t>3096-2008)4</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类区标准限值；设备安装阶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 xml:space="preserve">段产噪较小，昼间 </w:t>
      </w:r>
      <w:r>
        <w:rPr>
          <w:rFonts w:hint="default" w:ascii="Times New Roman" w:hAnsi="Times New Roman" w:eastAsia="Times New Roman" w:cs="Times New Roman"/>
          <w:spacing w:val="1"/>
          <w:sz w:val="23"/>
          <w:szCs w:val="23"/>
          <w:highlight w:val="none"/>
        </w:rPr>
        <w:t>6</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，夜间 </w:t>
      </w:r>
      <w:r>
        <w:rPr>
          <w:rFonts w:hint="default" w:ascii="Times New Roman" w:hAnsi="Times New Roman" w:eastAsia="Times New Roman" w:cs="Times New Roman"/>
          <w:spacing w:val="1"/>
          <w:sz w:val="23"/>
          <w:szCs w:val="23"/>
          <w:highlight w:val="none"/>
        </w:rPr>
        <w:t>32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即可达到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1"/>
          <w:sz w:val="23"/>
          <w:szCs w:val="23"/>
          <w:highlight w:val="none"/>
        </w:rPr>
        <w:t>12523-201</w:t>
      </w:r>
      <w:r>
        <w:rPr>
          <w:rFonts w:hint="default" w:ascii="Times New Roman" w:hAnsi="Times New Roman" w:eastAsia="Times New Roman" w:cs="Times New Roman"/>
          <w:sz w:val="23"/>
          <w:szCs w:val="23"/>
          <w:highlight w:val="none"/>
        </w:rPr>
        <w:t xml:space="preserve">1 </w:t>
      </w:r>
      <w:r>
        <w:rPr>
          <w:rFonts w:hint="default" w:ascii="Times New Roman" w:hAnsi="Times New Roman" w:eastAsia="宋体" w:cs="Times New Roman"/>
          <w:sz w:val="23"/>
          <w:szCs w:val="23"/>
          <w:highlight w:val="none"/>
        </w:rPr>
        <w:t>要求。</w:t>
      </w:r>
    </w:p>
    <w:p>
      <w:pPr>
        <w:spacing w:before="170" w:line="229" w:lineRule="auto"/>
        <w:ind w:left="25"/>
        <w:jc w:val="both"/>
        <w:outlineLvl w:val="2"/>
        <w:rPr>
          <w:rFonts w:hint="default" w:ascii="Times New Roman" w:hAnsi="Times New Roman" w:eastAsia="宋体" w:cs="Times New Roman"/>
          <w:sz w:val="23"/>
          <w:szCs w:val="23"/>
          <w:highlight w:val="none"/>
        </w:rPr>
      </w:pPr>
      <w:bookmarkStart w:id="439" w:name="_Toc20853"/>
      <w:bookmarkStart w:id="440" w:name="_Toc31331"/>
      <w:bookmarkStart w:id="441" w:name="_Toc14423"/>
      <w:r>
        <w:rPr>
          <w:rFonts w:hint="default" w:ascii="Times New Roman" w:hAnsi="Times New Roman" w:eastAsia="Times New Roman" w:cs="Times New Roman"/>
          <w:spacing w:val="12"/>
          <w:sz w:val="23"/>
          <w:szCs w:val="23"/>
          <w:highlight w:val="none"/>
        </w:rPr>
        <w:t>5</w:t>
      </w:r>
      <w:r>
        <w:rPr>
          <w:rFonts w:hint="default" w:ascii="Times New Roman" w:hAnsi="Times New Roman" w:eastAsia="Times New Roman" w:cs="Times New Roman"/>
          <w:spacing w:val="6"/>
          <w:sz w:val="23"/>
          <w:szCs w:val="23"/>
          <w:highlight w:val="none"/>
        </w:rPr>
        <w:t xml:space="preserve">.1.2.2  </w:t>
      </w:r>
      <w:r>
        <w:rPr>
          <w:rFonts w:hint="default" w:ascii="Times New Roman" w:hAnsi="Times New Roman" w:eastAsia="宋体" w:cs="Times New Roman"/>
          <w:spacing w:val="6"/>
          <w:sz w:val="23"/>
          <w:szCs w:val="23"/>
          <w:highlight w:val="none"/>
        </w:rPr>
        <w:t>施工噪声污染防治措施</w:t>
      </w:r>
      <w:bookmarkEnd w:id="439"/>
      <w:bookmarkEnd w:id="440"/>
      <w:bookmarkEnd w:id="441"/>
    </w:p>
    <w:p>
      <w:pPr>
        <w:spacing w:line="295" w:lineRule="auto"/>
        <w:jc w:val="both"/>
        <w:rPr>
          <w:rFonts w:hint="default" w:ascii="Times New Roman" w:hAnsi="Times New Roman" w:cs="Times New Roman"/>
          <w:sz w:val="21"/>
          <w:highlight w:val="none"/>
        </w:rPr>
      </w:pPr>
    </w:p>
    <w:p>
      <w:pPr>
        <w:spacing w:before="74" w:line="401" w:lineRule="auto"/>
        <w:ind w:left="22" w:right="13" w:firstLine="48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为最大限</w:t>
      </w:r>
      <w:r>
        <w:rPr>
          <w:rFonts w:hint="default" w:ascii="Times New Roman" w:hAnsi="Times New Roman" w:eastAsia="宋体" w:cs="Times New Roman"/>
          <w:spacing w:val="8"/>
          <w:sz w:val="23"/>
          <w:szCs w:val="23"/>
          <w:highlight w:val="none"/>
        </w:rPr>
        <w:t>度</w:t>
      </w:r>
      <w:r>
        <w:rPr>
          <w:rFonts w:hint="default" w:ascii="Times New Roman" w:hAnsi="Times New Roman" w:eastAsia="宋体" w:cs="Times New Roman"/>
          <w:spacing w:val="6"/>
          <w:sz w:val="23"/>
          <w:szCs w:val="23"/>
          <w:highlight w:val="none"/>
        </w:rPr>
        <w:t>避免和减轻施工及运输噪声对周围声环境的不利影响，本评价对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施工期噪声控制提出以下要求和建议</w:t>
      </w:r>
      <w:r>
        <w:rPr>
          <w:rFonts w:hint="default" w:ascii="Times New Roman" w:hAnsi="Times New Roman" w:eastAsia="宋体" w:cs="Times New Roman"/>
          <w:spacing w:val="7"/>
          <w:sz w:val="23"/>
          <w:szCs w:val="23"/>
          <w:highlight w:val="none"/>
        </w:rPr>
        <w:t>：</w:t>
      </w:r>
    </w:p>
    <w:p>
      <w:pPr>
        <w:spacing w:before="1" w:line="401" w:lineRule="auto"/>
        <w:ind w:left="25" w:right="13" w:firstLine="48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13"/>
          <w:sz w:val="23"/>
          <w:szCs w:val="23"/>
          <w:highlight w:val="none"/>
        </w:rPr>
        <w:t>1</w:t>
      </w:r>
      <w:r>
        <w:rPr>
          <w:rFonts w:hint="default" w:ascii="Times New Roman" w:hAnsi="Times New Roman" w:eastAsia="宋体" w:cs="Times New Roman"/>
          <w:spacing w:val="13"/>
          <w:sz w:val="23"/>
          <w:szCs w:val="23"/>
          <w:highlight w:val="none"/>
        </w:rPr>
        <w:t>) 从声源上控制，建设单位应要求施工单位使用的主要机械设备为低噪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声设备，并在施工中应有专人对其进行保养维护，施工单位应对现场使用设备的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人员进行培训，严格按照操作规范使用各类机械。</w:t>
      </w:r>
    </w:p>
    <w:p>
      <w:pPr>
        <w:spacing w:before="2" w:line="401" w:lineRule="auto"/>
        <w:ind w:left="25" w:right="16" w:firstLine="48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13"/>
          <w:sz w:val="23"/>
          <w:szCs w:val="23"/>
          <w:highlight w:val="none"/>
        </w:rPr>
        <w:t>2</w:t>
      </w:r>
      <w:r>
        <w:rPr>
          <w:rFonts w:hint="default" w:ascii="Times New Roman" w:hAnsi="Times New Roman" w:eastAsia="宋体" w:cs="Times New Roman"/>
          <w:spacing w:val="13"/>
          <w:sz w:val="23"/>
          <w:szCs w:val="23"/>
          <w:highlight w:val="none"/>
        </w:rPr>
        <w:t>) 合理安排施工时间和施工进度，并禁止在夜间与中午进行土石方和建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筑</w:t>
      </w:r>
      <w:r>
        <w:rPr>
          <w:rFonts w:hint="default" w:ascii="Times New Roman" w:hAnsi="Times New Roman" w:eastAsia="宋体" w:cs="Times New Roman"/>
          <w:spacing w:val="9"/>
          <w:sz w:val="23"/>
          <w:szCs w:val="23"/>
          <w:highlight w:val="none"/>
        </w:rPr>
        <w:t>结构施工作业，以减缓噪声对邻近敏感点的影响。</w:t>
      </w:r>
    </w:p>
    <w:p>
      <w:pPr>
        <w:spacing w:before="1" w:line="401" w:lineRule="auto"/>
        <w:ind w:left="23" w:right="13" w:firstLine="49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13"/>
          <w:sz w:val="23"/>
          <w:szCs w:val="23"/>
          <w:highlight w:val="none"/>
        </w:rPr>
        <w:t>3</w:t>
      </w:r>
      <w:r>
        <w:rPr>
          <w:rFonts w:hint="default" w:ascii="Times New Roman" w:hAnsi="Times New Roman" w:eastAsia="宋体" w:cs="Times New Roman"/>
          <w:spacing w:val="13"/>
          <w:sz w:val="23"/>
          <w:szCs w:val="23"/>
          <w:highlight w:val="none"/>
        </w:rPr>
        <w:t>) 采取距离防护措施，在不影响施工情况下将强噪声设备尽量不集中安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排</w:t>
      </w:r>
      <w:r>
        <w:rPr>
          <w:rFonts w:hint="default" w:ascii="Times New Roman" w:hAnsi="Times New Roman" w:eastAsia="宋体" w:cs="Times New Roman"/>
          <w:spacing w:val="7"/>
          <w:sz w:val="23"/>
          <w:szCs w:val="23"/>
          <w:highlight w:val="none"/>
        </w:rPr>
        <w:t>，并将其移至距居民等敏感点较远处，同时对相对固定的机械设备尽量入棚操</w:t>
      </w:r>
      <w:r>
        <w:rPr>
          <w:rFonts w:hint="default" w:ascii="Times New Roman" w:hAnsi="Times New Roman" w:eastAsia="宋体" w:cs="Times New Roman"/>
          <w:sz w:val="23"/>
          <w:szCs w:val="23"/>
          <w:highlight w:val="none"/>
        </w:rPr>
        <w:t xml:space="preserve"> 作。</w:t>
      </w:r>
    </w:p>
    <w:p>
      <w:pPr>
        <w:spacing w:before="2" w:line="401" w:lineRule="auto"/>
        <w:ind w:left="34" w:right="16"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13"/>
          <w:sz w:val="23"/>
          <w:szCs w:val="23"/>
          <w:highlight w:val="none"/>
        </w:rPr>
        <w:t>4</w:t>
      </w:r>
      <w:r>
        <w:rPr>
          <w:rFonts w:hint="default" w:ascii="Times New Roman" w:hAnsi="Times New Roman" w:eastAsia="宋体" w:cs="Times New Roman"/>
          <w:spacing w:val="13"/>
          <w:sz w:val="23"/>
          <w:szCs w:val="23"/>
          <w:highlight w:val="none"/>
        </w:rPr>
        <w:t>) 在土石方和建筑结构施工阶段，对建筑物的外部采用围档，减轻施工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噪声对外环境的影响</w:t>
      </w:r>
      <w:r>
        <w:rPr>
          <w:rFonts w:hint="default" w:ascii="Times New Roman" w:hAnsi="Times New Roman" w:eastAsia="宋体" w:cs="Times New Roman"/>
          <w:spacing w:val="6"/>
          <w:sz w:val="23"/>
          <w:szCs w:val="23"/>
          <w:highlight w:val="none"/>
        </w:rPr>
        <w:t>。</w:t>
      </w:r>
    </w:p>
    <w:p>
      <w:pPr>
        <w:spacing w:before="2" w:line="400" w:lineRule="auto"/>
        <w:ind w:left="22" w:right="16" w:firstLine="49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13"/>
          <w:sz w:val="23"/>
          <w:szCs w:val="23"/>
          <w:highlight w:val="none"/>
        </w:rPr>
        <w:t>5</w:t>
      </w:r>
      <w:r>
        <w:rPr>
          <w:rFonts w:hint="default" w:ascii="Times New Roman" w:hAnsi="Times New Roman" w:eastAsia="宋体" w:cs="Times New Roman"/>
          <w:spacing w:val="13"/>
          <w:sz w:val="23"/>
          <w:szCs w:val="23"/>
          <w:highlight w:val="none"/>
        </w:rPr>
        <w:t>) 施工场所施工车辆出入地点应尽量远离居民点，车辆通过居民点时应</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低速、禁鸣</w:t>
      </w:r>
      <w:r>
        <w:rPr>
          <w:rFonts w:hint="default" w:ascii="Times New Roman" w:hAnsi="Times New Roman" w:eastAsia="宋体" w:cs="Times New Roman"/>
          <w:spacing w:val="6"/>
          <w:sz w:val="23"/>
          <w:szCs w:val="23"/>
          <w:highlight w:val="none"/>
        </w:rPr>
        <w:t>。</w:t>
      </w:r>
    </w:p>
    <w:p>
      <w:pPr>
        <w:spacing w:before="1" w:line="401" w:lineRule="auto"/>
        <w:ind w:left="28" w:right="16" w:firstLine="486"/>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13"/>
          <w:sz w:val="23"/>
          <w:szCs w:val="23"/>
          <w:highlight w:val="none"/>
        </w:rPr>
        <w:t>6</w:t>
      </w:r>
      <w:r>
        <w:rPr>
          <w:rFonts w:hint="default" w:ascii="Times New Roman" w:hAnsi="Times New Roman" w:eastAsia="宋体" w:cs="Times New Roman"/>
          <w:spacing w:val="13"/>
          <w:sz w:val="23"/>
          <w:szCs w:val="23"/>
          <w:highlight w:val="none"/>
        </w:rPr>
        <w:t>) 建设管理部门就加强对施工工地的噪声管理，施工单位也应对施工噪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声</w:t>
      </w:r>
      <w:r>
        <w:rPr>
          <w:rFonts w:hint="default" w:ascii="Times New Roman" w:hAnsi="Times New Roman" w:eastAsia="宋体" w:cs="Times New Roman"/>
          <w:spacing w:val="9"/>
          <w:sz w:val="23"/>
          <w:szCs w:val="23"/>
          <w:highlight w:val="none"/>
        </w:rPr>
        <w:t>定</w:t>
      </w:r>
      <w:r>
        <w:rPr>
          <w:rFonts w:hint="default" w:ascii="Times New Roman" w:hAnsi="Times New Roman" w:eastAsia="宋体" w:cs="Times New Roman"/>
          <w:spacing w:val="8"/>
          <w:sz w:val="23"/>
          <w:szCs w:val="23"/>
          <w:highlight w:val="none"/>
        </w:rPr>
        <w:t>期进行自查，避免施工噪声扰民。</w:t>
      </w:r>
    </w:p>
    <w:p>
      <w:pPr>
        <w:spacing w:before="1" w:line="401" w:lineRule="auto"/>
        <w:ind w:left="24" w:right="13" w:firstLine="49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13"/>
          <w:sz w:val="23"/>
          <w:szCs w:val="23"/>
          <w:highlight w:val="none"/>
        </w:rPr>
        <w:t>8</w:t>
      </w:r>
      <w:r>
        <w:rPr>
          <w:rFonts w:hint="default" w:ascii="Times New Roman" w:hAnsi="Times New Roman" w:eastAsia="宋体" w:cs="Times New Roman"/>
          <w:spacing w:val="13"/>
          <w:sz w:val="23"/>
          <w:szCs w:val="23"/>
          <w:highlight w:val="none"/>
        </w:rPr>
        <w:t>) 建设与施工单位应与施工周围单位、居民建立良好关系，及时让他们</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了</w:t>
      </w:r>
      <w:r>
        <w:rPr>
          <w:rFonts w:hint="default" w:ascii="Times New Roman" w:hAnsi="Times New Roman" w:eastAsia="宋体" w:cs="Times New Roman"/>
          <w:spacing w:val="7"/>
          <w:sz w:val="23"/>
          <w:szCs w:val="23"/>
          <w:highlight w:val="none"/>
        </w:rPr>
        <w:t>解施工进度及采取的降噪措施，并取得居民的理解，若因工艺或特殊需要必须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连</w:t>
      </w:r>
      <w:r>
        <w:rPr>
          <w:rFonts w:hint="default" w:ascii="Times New Roman" w:hAnsi="Times New Roman" w:eastAsia="宋体" w:cs="Times New Roman"/>
          <w:spacing w:val="7"/>
          <w:sz w:val="23"/>
          <w:szCs w:val="23"/>
          <w:highlight w:val="none"/>
        </w:rPr>
        <w:t>续施工的，施工单位应在施工前三日内报环保部门备案，并向施工场地周围的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单</w:t>
      </w:r>
      <w:r>
        <w:rPr>
          <w:rFonts w:hint="default" w:ascii="Times New Roman" w:hAnsi="Times New Roman" w:eastAsia="宋体" w:cs="Times New Roman"/>
          <w:spacing w:val="9"/>
          <w:sz w:val="23"/>
          <w:szCs w:val="23"/>
          <w:highlight w:val="none"/>
        </w:rPr>
        <w:t>位和居民等发布公告，以征得公众的理解与支持。</w:t>
      </w:r>
    </w:p>
    <w:p>
      <w:pPr>
        <w:spacing w:before="1" w:line="227" w:lineRule="auto"/>
        <w:ind w:left="50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在采取以上措施的情况下，不会对周围居民区特别是距离最近的村庄产生</w:t>
      </w:r>
      <w:r>
        <w:rPr>
          <w:rFonts w:hint="default" w:ascii="Times New Roman" w:hAnsi="Times New Roman" w:eastAsia="宋体" w:cs="Times New Roman"/>
          <w:spacing w:val="4"/>
          <w:sz w:val="23"/>
          <w:szCs w:val="23"/>
          <w:highlight w:val="none"/>
        </w:rPr>
        <w:t>影</w:t>
      </w:r>
    </w:p>
    <w:p>
      <w:pPr>
        <w:rPr>
          <w:rFonts w:hint="default" w:ascii="Times New Roman" w:hAnsi="Times New Roman" w:cs="Times New Roman"/>
          <w:highlight w:val="none"/>
        </w:rPr>
        <w:sectPr>
          <w:headerReference r:id="rId66" w:type="default"/>
          <w:footerReference r:id="rId67" w:type="default"/>
          <w:pgSz w:w="11906" w:h="16839"/>
          <w:pgMar w:top="1167" w:right="1785" w:bottom="1282" w:left="1785" w:header="897" w:footer="1015" w:gutter="0"/>
          <w:pgBorders>
            <w:top w:val="none" w:sz="0" w:space="0"/>
            <w:left w:val="none" w:sz="0" w:space="0"/>
            <w:bottom w:val="none" w:sz="0" w:space="0"/>
            <w:right w:val="none" w:sz="0" w:space="0"/>
          </w:pgBorders>
          <w:pgNumType w:fmt="decimal"/>
          <w:cols w:space="720" w:num="1"/>
        </w:sectPr>
      </w:pPr>
    </w:p>
    <w:p>
      <w:pPr>
        <w:spacing w:line="271"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185" o:spid="_x0000_s1185" o:spt="1" style="position:absolute;left:0pt;margin-left:90pt;margin-top:776.35pt;height:0.75pt;width:415.3pt;mso-position-horizontal-relative:page;mso-position-vertical-relative:page;z-index:251728896;mso-width-relative:page;mso-height-relative:page;" filled="f" stroked="f" coordsize="21600,21600" o:allowincell="f">
            <v:path/>
            <v:fill on="f" focussize="0,0"/>
            <v:stroke on="f"/>
            <v:imagedata o:title=""/>
            <o:lock v:ext="edit" aspectratio="f"/>
          </v:rect>
        </w:pict>
      </w:r>
      <w:r>
        <w:rPr>
          <w:rFonts w:hint="default" w:ascii="Times New Roman" w:hAnsi="Times New Roman" w:cs="Times New Roman"/>
          <w:highlight w:val="none"/>
        </w:rPr>
        <w:pict>
          <v:shape id="_x0000_s1186" o:spid="_x0000_s1186" style="position:absolute;left:0pt;margin-left:90pt;margin-top:59.05pt;height:0.75pt;width:415.3pt;mso-position-horizontal-relative:page;mso-position-vertical-relative:page;z-index:251727872;mso-width-relative:page;mso-height-relative:page;" fillcolor="#000000" filled="t" stroked="f" coordsize="8305,15" o:allowincell="f" path="m0,0l8305,0,8305,14,0,14,0,0xe">
            <v:path/>
            <v:fill on="t" focussize="0,0"/>
            <v:stroke on="f"/>
            <v:imagedata o:title=""/>
            <o:lock v:ext="edit"/>
          </v:shape>
        </w:pict>
      </w:r>
    </w:p>
    <w:p>
      <w:pPr>
        <w:spacing w:line="272" w:lineRule="auto"/>
        <w:rPr>
          <w:rFonts w:hint="default" w:ascii="Times New Roman" w:hAnsi="Times New Roman" w:cs="Times New Roman"/>
          <w:sz w:val="21"/>
          <w:highlight w:val="none"/>
        </w:rPr>
      </w:pPr>
    </w:p>
    <w:p>
      <w:pPr>
        <w:spacing w:before="74" w:line="120" w:lineRule="exact"/>
        <w:ind w:left="286"/>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shape id="_x0000_s1187" o:spid="_x0000_s1187" o:spt="202" type="#_x0000_t202" style="position:absolute;left:0pt;margin-left:0.75pt;margin-top:-4.85pt;height:16.45pt;width:12.95pt;z-index:251726848;mso-width-relative:page;mso-height-relative:page;" filled="f" stroked="f" coordsize="21600,21600">
            <v:path/>
            <v:fill on="f" focussize="0,0"/>
            <v:stroke on="f"/>
            <v:imagedata o:title=""/>
            <o:lock v:ext="edit" aspectratio="f"/>
            <v:textbox inset="0mm,0mm,0mm,0mm">
              <w:txbxContent>
                <w:p>
                  <w:pPr>
                    <w:spacing w:before="19" w:line="232" w:lineRule="auto"/>
                    <w:ind w:left="20"/>
                    <w:rPr>
                      <w:rFonts w:ascii="宋体" w:hAnsi="宋体" w:eastAsia="宋体" w:cs="宋体"/>
                      <w:sz w:val="23"/>
                      <w:szCs w:val="23"/>
                    </w:rPr>
                  </w:pPr>
                  <w:r>
                    <w:rPr>
                      <w:rFonts w:ascii="宋体" w:hAnsi="宋体" w:eastAsia="宋体" w:cs="宋体"/>
                      <w:sz w:val="23"/>
                      <w:szCs w:val="23"/>
                    </w:rPr>
                    <w:t>响</w:t>
                  </w:r>
                </w:p>
              </w:txbxContent>
            </v:textbox>
          </v:shape>
        </w:pict>
      </w:r>
      <w:r>
        <w:rPr>
          <w:rFonts w:hint="default" w:ascii="Times New Roman" w:hAnsi="Times New Roman" w:eastAsia="宋体" w:cs="Times New Roman"/>
          <w:position w:val="1"/>
          <w:sz w:val="23"/>
          <w:szCs w:val="23"/>
          <w:highlight w:val="none"/>
        </w:rPr>
        <w:t>。</w:t>
      </w:r>
    </w:p>
    <w:p>
      <w:pPr>
        <w:spacing w:line="305" w:lineRule="auto"/>
        <w:rPr>
          <w:rFonts w:hint="default" w:ascii="Times New Roman" w:hAnsi="Times New Roman" w:cs="Times New Roman"/>
          <w:sz w:val="21"/>
          <w:highlight w:val="none"/>
        </w:rPr>
      </w:pPr>
    </w:p>
    <w:p>
      <w:pPr>
        <w:spacing w:before="75" w:line="228" w:lineRule="auto"/>
        <w:ind w:left="22"/>
        <w:outlineLvl w:val="1"/>
        <w:rPr>
          <w:rFonts w:hint="default" w:ascii="Times New Roman" w:hAnsi="Times New Roman" w:eastAsia="宋体" w:cs="Times New Roman"/>
          <w:sz w:val="23"/>
          <w:szCs w:val="23"/>
          <w:highlight w:val="none"/>
        </w:rPr>
      </w:pPr>
      <w:bookmarkStart w:id="442" w:name="_Toc10857"/>
      <w:bookmarkStart w:id="443" w:name="_Toc21892"/>
      <w:bookmarkStart w:id="444" w:name="_Toc8779"/>
      <w:r>
        <w:rPr>
          <w:rFonts w:hint="default" w:ascii="Times New Roman" w:hAnsi="Times New Roman" w:eastAsia="Times New Roman" w:cs="Times New Roman"/>
          <w:b/>
          <w:bCs/>
          <w:spacing w:val="9"/>
          <w:sz w:val="23"/>
          <w:szCs w:val="23"/>
          <w:highlight w:val="none"/>
        </w:rPr>
        <w:t>5</w:t>
      </w:r>
      <w:r>
        <w:rPr>
          <w:rFonts w:hint="default" w:ascii="Times New Roman" w:hAnsi="Times New Roman" w:eastAsia="Times New Roman" w:cs="Times New Roman"/>
          <w:b/>
          <w:bCs/>
          <w:spacing w:val="7"/>
          <w:sz w:val="23"/>
          <w:szCs w:val="23"/>
          <w:highlight w:val="none"/>
        </w:rPr>
        <w:t>.1.3</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施工期废水影响分析</w:t>
      </w:r>
      <w:bookmarkEnd w:id="442"/>
      <w:bookmarkEnd w:id="443"/>
      <w:bookmarkEnd w:id="444"/>
    </w:p>
    <w:p>
      <w:pPr>
        <w:spacing w:line="293" w:lineRule="auto"/>
        <w:rPr>
          <w:rFonts w:hint="default" w:ascii="Times New Roman" w:hAnsi="Times New Roman" w:cs="Times New Roman"/>
          <w:sz w:val="21"/>
          <w:highlight w:val="none"/>
        </w:rPr>
      </w:pPr>
    </w:p>
    <w:p>
      <w:pPr>
        <w:spacing w:before="75" w:line="402" w:lineRule="auto"/>
        <w:ind w:left="25" w:right="26"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本</w:t>
      </w:r>
      <w:r>
        <w:rPr>
          <w:rFonts w:hint="default" w:ascii="Times New Roman" w:hAnsi="Times New Roman" w:eastAsia="宋体" w:cs="Times New Roman"/>
          <w:spacing w:val="15"/>
          <w:sz w:val="23"/>
          <w:szCs w:val="23"/>
          <w:highlight w:val="none"/>
        </w:rPr>
        <w:t>项</w:t>
      </w:r>
      <w:r>
        <w:rPr>
          <w:rFonts w:hint="default" w:ascii="Times New Roman" w:hAnsi="Times New Roman" w:eastAsia="宋体" w:cs="Times New Roman"/>
          <w:spacing w:val="8"/>
          <w:sz w:val="23"/>
          <w:szCs w:val="23"/>
          <w:highlight w:val="none"/>
        </w:rPr>
        <w:t>目厂区不设施工营地，施工人员均为本地人员，现场不设宿舍、食堂、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7"/>
          <w:sz w:val="23"/>
          <w:szCs w:val="23"/>
          <w:highlight w:val="none"/>
        </w:rPr>
        <w:t>浴</w:t>
      </w:r>
      <w:r>
        <w:rPr>
          <w:rFonts w:hint="default" w:ascii="Times New Roman" w:hAnsi="Times New Roman" w:eastAsia="宋体" w:cs="Times New Roman"/>
          <w:spacing w:val="9"/>
          <w:sz w:val="23"/>
          <w:szCs w:val="23"/>
          <w:highlight w:val="none"/>
        </w:rPr>
        <w:t>室等设施，厕所为防渗旱厕，故项目施工期废水主要为施工废水。</w:t>
      </w:r>
    </w:p>
    <w:p>
      <w:pPr>
        <w:spacing w:before="2" w:line="401" w:lineRule="auto"/>
        <w:ind w:left="22" w:right="16" w:firstLine="48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本项目生产车间为钢结构，</w:t>
      </w:r>
      <w:r>
        <w:rPr>
          <w:rFonts w:hint="eastAsia" w:ascii="Times New Roman" w:hAnsi="Times New Roman" w:eastAsia="宋体" w:cs="Times New Roman"/>
          <w:spacing w:val="2"/>
          <w:sz w:val="23"/>
          <w:szCs w:val="23"/>
          <w:highlight w:val="none"/>
          <w:lang w:val="en-US" w:eastAsia="zh-CN"/>
        </w:rPr>
        <w:t>基础墙建设</w:t>
      </w:r>
      <w:r>
        <w:rPr>
          <w:rFonts w:hint="default" w:ascii="Times New Roman" w:hAnsi="Times New Roman" w:eastAsia="宋体" w:cs="Times New Roman"/>
          <w:spacing w:val="7"/>
          <w:sz w:val="23"/>
          <w:szCs w:val="23"/>
          <w:highlight w:val="none"/>
        </w:rPr>
        <w:t>过程中需要商品混凝土，施工废水主要为</w:t>
      </w:r>
      <w:r>
        <w:rPr>
          <w:rFonts w:hint="default" w:ascii="Times New Roman" w:hAnsi="Times New Roman" w:eastAsia="宋体" w:cs="Times New Roman"/>
          <w:spacing w:val="8"/>
          <w:sz w:val="23"/>
          <w:szCs w:val="23"/>
          <w:highlight w:val="none"/>
        </w:rPr>
        <w:t xml:space="preserve">使用混凝土的养护废水，主要污染物为 </w:t>
      </w:r>
      <w:r>
        <w:rPr>
          <w:rFonts w:hint="default" w:ascii="Times New Roman" w:hAnsi="Times New Roman" w:eastAsia="Times New Roman" w:cs="Times New Roman"/>
          <w:sz w:val="23"/>
          <w:szCs w:val="23"/>
          <w:highlight w:val="none"/>
        </w:rPr>
        <w:t>SS</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，封闭混凝土中水分不</w:t>
      </w:r>
      <w:r>
        <w:rPr>
          <w:rFonts w:hint="default" w:ascii="Times New Roman" w:hAnsi="Times New Roman" w:eastAsia="宋体" w:cs="Times New Roman"/>
          <w:spacing w:val="7"/>
          <w:sz w:val="23"/>
          <w:szCs w:val="23"/>
          <w:highlight w:val="none"/>
        </w:rPr>
        <w:t>再</w:t>
      </w:r>
      <w:r>
        <w:rPr>
          <w:rFonts w:hint="default" w:ascii="Times New Roman" w:hAnsi="Times New Roman" w:eastAsia="宋体" w:cs="Times New Roman"/>
          <w:spacing w:val="9"/>
          <w:sz w:val="23"/>
          <w:szCs w:val="23"/>
          <w:highlight w:val="none"/>
        </w:rPr>
        <w:t>蒸</w:t>
      </w:r>
      <w:r>
        <w:rPr>
          <w:rFonts w:hint="default" w:ascii="Times New Roman" w:hAnsi="Times New Roman" w:eastAsia="宋体" w:cs="Times New Roman"/>
          <w:spacing w:val="7"/>
          <w:sz w:val="23"/>
          <w:szCs w:val="23"/>
          <w:highlight w:val="none"/>
        </w:rPr>
        <w:t>发外逸，水泥依靠混凝土中水分完成水化作用，因水量较小，且随水化作用蒸</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发，不需专门处理</w:t>
      </w:r>
      <w:r>
        <w:rPr>
          <w:rFonts w:hint="default" w:ascii="Times New Roman" w:hAnsi="Times New Roman" w:eastAsia="宋体" w:cs="Times New Roman"/>
          <w:spacing w:val="7"/>
          <w:sz w:val="23"/>
          <w:szCs w:val="23"/>
          <w:highlight w:val="none"/>
        </w:rPr>
        <w:t>。</w:t>
      </w:r>
    </w:p>
    <w:p>
      <w:pPr>
        <w:spacing w:line="231" w:lineRule="auto"/>
        <w:ind w:left="52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因</w:t>
      </w:r>
      <w:r>
        <w:rPr>
          <w:rFonts w:hint="default" w:ascii="Times New Roman" w:hAnsi="Times New Roman" w:eastAsia="宋体" w:cs="Times New Roman"/>
          <w:spacing w:val="8"/>
          <w:sz w:val="23"/>
          <w:szCs w:val="23"/>
          <w:highlight w:val="none"/>
        </w:rPr>
        <w:t>此，施工期废水不会对周围环境产生影响。</w:t>
      </w:r>
    </w:p>
    <w:p>
      <w:pPr>
        <w:spacing w:line="290" w:lineRule="auto"/>
        <w:rPr>
          <w:rFonts w:hint="default" w:ascii="Times New Roman" w:hAnsi="Times New Roman" w:cs="Times New Roman"/>
          <w:sz w:val="21"/>
          <w:highlight w:val="none"/>
        </w:rPr>
      </w:pPr>
    </w:p>
    <w:p>
      <w:pPr>
        <w:spacing w:before="76" w:line="229" w:lineRule="auto"/>
        <w:ind w:left="22"/>
        <w:outlineLvl w:val="1"/>
        <w:rPr>
          <w:rFonts w:hint="default" w:ascii="Times New Roman" w:hAnsi="Times New Roman" w:eastAsia="宋体" w:cs="Times New Roman"/>
          <w:sz w:val="23"/>
          <w:szCs w:val="23"/>
          <w:highlight w:val="none"/>
        </w:rPr>
      </w:pPr>
      <w:bookmarkStart w:id="445" w:name="_Toc16280"/>
      <w:bookmarkStart w:id="446" w:name="_Toc30904"/>
      <w:bookmarkStart w:id="447" w:name="_Toc8518"/>
      <w:r>
        <w:rPr>
          <w:rFonts w:hint="default" w:ascii="Times New Roman" w:hAnsi="Times New Roman" w:eastAsia="Times New Roman" w:cs="Times New Roman"/>
          <w:b/>
          <w:bCs/>
          <w:spacing w:val="14"/>
          <w:sz w:val="23"/>
          <w:szCs w:val="23"/>
          <w:highlight w:val="none"/>
        </w:rPr>
        <w:t>5</w:t>
      </w:r>
      <w:r>
        <w:rPr>
          <w:rFonts w:hint="default" w:ascii="Times New Roman" w:hAnsi="Times New Roman" w:eastAsia="Times New Roman" w:cs="Times New Roman"/>
          <w:b/>
          <w:bCs/>
          <w:spacing w:val="10"/>
          <w:sz w:val="23"/>
          <w:szCs w:val="23"/>
          <w:highlight w:val="none"/>
        </w:rPr>
        <w:t>.</w:t>
      </w:r>
      <w:r>
        <w:rPr>
          <w:rFonts w:hint="default" w:ascii="Times New Roman" w:hAnsi="Times New Roman" w:eastAsia="Times New Roman" w:cs="Times New Roman"/>
          <w:b/>
          <w:bCs/>
          <w:spacing w:val="7"/>
          <w:sz w:val="23"/>
          <w:szCs w:val="23"/>
          <w:highlight w:val="none"/>
        </w:rPr>
        <w:t>1.4</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施工期固体废物影响分析</w:t>
      </w:r>
      <w:bookmarkEnd w:id="445"/>
      <w:bookmarkEnd w:id="446"/>
      <w:bookmarkEnd w:id="447"/>
    </w:p>
    <w:p>
      <w:pPr>
        <w:spacing w:line="295" w:lineRule="auto"/>
        <w:rPr>
          <w:rFonts w:hint="default" w:ascii="Times New Roman" w:hAnsi="Times New Roman" w:cs="Times New Roman"/>
          <w:sz w:val="21"/>
          <w:highlight w:val="none"/>
        </w:rPr>
      </w:pPr>
    </w:p>
    <w:p>
      <w:pPr>
        <w:spacing w:before="75" w:line="400" w:lineRule="auto"/>
        <w:ind w:left="23"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施工期产生</w:t>
      </w:r>
      <w:r>
        <w:rPr>
          <w:rFonts w:hint="default" w:ascii="Times New Roman" w:hAnsi="Times New Roman" w:eastAsia="宋体" w:cs="Times New Roman"/>
          <w:spacing w:val="2"/>
          <w:sz w:val="23"/>
          <w:szCs w:val="23"/>
          <w:highlight w:val="none"/>
        </w:rPr>
        <w:t>的固体废物主要为土方施工及建筑施工产生的弃土、废石、弃砖、</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混</w:t>
      </w:r>
      <w:r>
        <w:rPr>
          <w:rFonts w:hint="default" w:ascii="Times New Roman" w:hAnsi="Times New Roman" w:eastAsia="宋体" w:cs="Times New Roman"/>
          <w:spacing w:val="7"/>
          <w:sz w:val="23"/>
          <w:szCs w:val="23"/>
          <w:highlight w:val="none"/>
        </w:rPr>
        <w:t>凝土块等建筑垃圾和施工人员产生的生活垃圾，根据《国家危险废物名录》及</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5"/>
          <w:sz w:val="23"/>
          <w:szCs w:val="23"/>
          <w:highlight w:val="none"/>
        </w:rPr>
        <w:t>《危险废物鉴别标准》</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5"/>
          <w:sz w:val="23"/>
          <w:szCs w:val="23"/>
          <w:highlight w:val="none"/>
        </w:rPr>
        <w:t>5085. 1</w:t>
      </w:r>
      <w:r>
        <w:rPr>
          <w:rFonts w:hint="default" w:ascii="Times New Roman" w:hAnsi="Times New Roman" w:eastAsia="宋体" w:cs="Times New Roman"/>
          <w:spacing w:val="5"/>
          <w:sz w:val="23"/>
          <w:szCs w:val="23"/>
          <w:highlight w:val="none"/>
        </w:rPr>
        <w:t>~</w:t>
      </w:r>
      <w:r>
        <w:rPr>
          <w:rFonts w:hint="default" w:ascii="Times New Roman" w:hAnsi="Times New Roman" w:eastAsia="Times New Roman" w:cs="Times New Roman"/>
          <w:spacing w:val="5"/>
          <w:sz w:val="23"/>
          <w:szCs w:val="23"/>
          <w:highlight w:val="none"/>
        </w:rPr>
        <w:t xml:space="preserve">7-2007) </w:t>
      </w:r>
      <w:r>
        <w:rPr>
          <w:rFonts w:hint="default" w:ascii="Times New Roman" w:hAnsi="Times New Roman" w:eastAsia="宋体" w:cs="Times New Roman"/>
          <w:spacing w:val="5"/>
          <w:sz w:val="23"/>
          <w:szCs w:val="23"/>
          <w:highlight w:val="none"/>
        </w:rPr>
        <w:t xml:space="preserve">，施工过程中产生的固体废物均为 </w:t>
      </w:r>
      <w:r>
        <w:rPr>
          <w:rFonts w:hint="default" w:ascii="Times New Roman" w:hAnsi="Times New Roman" w:eastAsia="宋体" w:cs="Times New Roman"/>
          <w:spacing w:val="2"/>
          <w:sz w:val="23"/>
          <w:szCs w:val="23"/>
          <w:highlight w:val="none"/>
        </w:rPr>
        <w:t>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类一般工业固体废物，不属于危险废物</w:t>
      </w:r>
      <w:r>
        <w:rPr>
          <w:rFonts w:hint="default" w:ascii="Times New Roman" w:hAnsi="Times New Roman" w:eastAsia="宋体" w:cs="Times New Roman"/>
          <w:spacing w:val="7"/>
          <w:sz w:val="23"/>
          <w:szCs w:val="23"/>
          <w:highlight w:val="none"/>
        </w:rPr>
        <w:t>。</w:t>
      </w:r>
    </w:p>
    <w:p>
      <w:pPr>
        <w:spacing w:before="7" w:line="401" w:lineRule="auto"/>
        <w:ind w:left="23" w:right="80"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施工过程中产生的弃土大部分用于回填地基，剩余部分用于厂区平整和厂</w:t>
      </w:r>
      <w:r>
        <w:rPr>
          <w:rFonts w:hint="default" w:ascii="Times New Roman" w:hAnsi="Times New Roman" w:eastAsia="宋体" w:cs="Times New Roman"/>
          <w:spacing w:val="3"/>
          <w:sz w:val="23"/>
          <w:szCs w:val="23"/>
          <w:highlight w:val="none"/>
        </w:rPr>
        <w:t>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绿</w:t>
      </w:r>
      <w:r>
        <w:rPr>
          <w:rFonts w:hint="default" w:ascii="Times New Roman" w:hAnsi="Times New Roman" w:eastAsia="宋体" w:cs="Times New Roman"/>
          <w:spacing w:val="7"/>
          <w:sz w:val="23"/>
          <w:szCs w:val="23"/>
          <w:highlight w:val="none"/>
        </w:rPr>
        <w:t>化等。施工人员产生的生活垃圾、建筑垃圾送环卫部门指定地点，外运过程中</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用</w:t>
      </w:r>
      <w:r>
        <w:rPr>
          <w:rFonts w:hint="default" w:ascii="Times New Roman" w:hAnsi="Times New Roman" w:eastAsia="宋体" w:cs="Times New Roman"/>
          <w:spacing w:val="7"/>
          <w:sz w:val="23"/>
          <w:szCs w:val="23"/>
          <w:highlight w:val="none"/>
        </w:rPr>
        <w:t>苫布遮盖，避免沿途遗洒，并按环卫部门指定路线行驶。施工期产生的固体废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物</w:t>
      </w:r>
      <w:r>
        <w:rPr>
          <w:rFonts w:hint="default" w:ascii="Times New Roman" w:hAnsi="Times New Roman" w:eastAsia="宋体" w:cs="Times New Roman"/>
          <w:spacing w:val="9"/>
          <w:sz w:val="23"/>
          <w:szCs w:val="23"/>
          <w:highlight w:val="none"/>
        </w:rPr>
        <w:t>全部得到妥善处置，不会对周围环境产生明显影响。</w:t>
      </w:r>
    </w:p>
    <w:p>
      <w:pPr>
        <w:spacing w:line="499" w:lineRule="exact"/>
        <w:ind w:left="506"/>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position w:val="20"/>
          <w:sz w:val="23"/>
          <w:szCs w:val="23"/>
          <w:highlight w:val="none"/>
        </w:rPr>
        <w:t>为避免施</w:t>
      </w:r>
      <w:r>
        <w:rPr>
          <w:rFonts w:hint="default" w:ascii="Times New Roman" w:hAnsi="Times New Roman" w:eastAsia="宋体" w:cs="Times New Roman"/>
          <w:spacing w:val="8"/>
          <w:position w:val="20"/>
          <w:sz w:val="23"/>
          <w:szCs w:val="23"/>
          <w:highlight w:val="none"/>
        </w:rPr>
        <w:t>工</w:t>
      </w:r>
      <w:r>
        <w:rPr>
          <w:rFonts w:hint="default" w:ascii="Times New Roman" w:hAnsi="Times New Roman" w:eastAsia="宋体" w:cs="Times New Roman"/>
          <w:spacing w:val="6"/>
          <w:position w:val="20"/>
          <w:sz w:val="23"/>
          <w:szCs w:val="23"/>
          <w:highlight w:val="none"/>
        </w:rPr>
        <w:t>期建筑垃圾对周围环境产生不良影响，本评价要求建设单位采取</w:t>
      </w:r>
    </w:p>
    <w:p>
      <w:pPr>
        <w:spacing w:before="1" w:line="228" w:lineRule="auto"/>
        <w:ind w:left="5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5"/>
          <w:sz w:val="23"/>
          <w:szCs w:val="23"/>
          <w:highlight w:val="none"/>
        </w:rPr>
        <w:t>以</w:t>
      </w:r>
      <w:r>
        <w:rPr>
          <w:rFonts w:hint="default" w:ascii="Times New Roman" w:hAnsi="Times New Roman" w:eastAsia="宋体" w:cs="Times New Roman"/>
          <w:spacing w:val="3"/>
          <w:sz w:val="23"/>
          <w:szCs w:val="23"/>
          <w:highlight w:val="none"/>
        </w:rPr>
        <w:t>下防范措施：</w:t>
      </w:r>
    </w:p>
    <w:p>
      <w:pPr>
        <w:spacing w:before="179" w:line="315" w:lineRule="exact"/>
        <w:ind w:left="503"/>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0"/>
          <w:position w:val="2"/>
          <w:sz w:val="23"/>
          <w:szCs w:val="23"/>
          <w:highlight w:val="none"/>
        </w:rPr>
        <w:t xml:space="preserve">( </w:t>
      </w:r>
      <w:r>
        <w:rPr>
          <w:rFonts w:hint="default" w:ascii="Times New Roman" w:hAnsi="Times New Roman" w:eastAsia="Times New Roman" w:cs="Times New Roman"/>
          <w:spacing w:val="5"/>
          <w:position w:val="2"/>
          <w:sz w:val="23"/>
          <w:szCs w:val="23"/>
          <w:highlight w:val="none"/>
        </w:rPr>
        <w:t>1)</w:t>
      </w:r>
      <w:r>
        <w:rPr>
          <w:rFonts w:hint="default" w:ascii="Times New Roman" w:hAnsi="Times New Roman" w:eastAsia="宋体" w:cs="Times New Roman"/>
          <w:spacing w:val="5"/>
          <w:position w:val="2"/>
          <w:sz w:val="23"/>
          <w:szCs w:val="23"/>
          <w:highlight w:val="none"/>
        </w:rPr>
        <w:t>指派专人负责施工区域收集和转运建筑垃圾及生活垃圾，不得随意丢弃；</w:t>
      </w:r>
    </w:p>
    <w:p>
      <w:pPr>
        <w:spacing w:before="186" w:line="401" w:lineRule="auto"/>
        <w:ind w:left="26" w:right="77" w:firstLine="477"/>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24"/>
          <w:sz w:val="23"/>
          <w:szCs w:val="23"/>
          <w:highlight w:val="none"/>
        </w:rPr>
        <w:t>(</w:t>
      </w:r>
      <w:r>
        <w:rPr>
          <w:rFonts w:hint="default" w:ascii="Times New Roman" w:hAnsi="Times New Roman" w:eastAsia="Times New Roman" w:cs="Times New Roman"/>
          <w:spacing w:val="12"/>
          <w:sz w:val="23"/>
          <w:szCs w:val="23"/>
          <w:highlight w:val="none"/>
        </w:rPr>
        <w:t>2)</w:t>
      </w:r>
      <w:r>
        <w:rPr>
          <w:rFonts w:hint="default" w:ascii="Times New Roman" w:hAnsi="Times New Roman" w:eastAsia="宋体" w:cs="Times New Roman"/>
          <w:spacing w:val="12"/>
          <w:sz w:val="23"/>
          <w:szCs w:val="23"/>
          <w:highlight w:val="none"/>
        </w:rPr>
        <w:t>建筑垃圾外运过程中用苫布遮盖，避免沿途遗洒，并按环卫部门指定路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5"/>
          <w:sz w:val="23"/>
          <w:szCs w:val="23"/>
          <w:highlight w:val="none"/>
        </w:rPr>
        <w:t>线</w:t>
      </w:r>
      <w:r>
        <w:rPr>
          <w:rFonts w:hint="default" w:ascii="Times New Roman" w:hAnsi="Times New Roman" w:eastAsia="宋体" w:cs="Times New Roman"/>
          <w:spacing w:val="4"/>
          <w:sz w:val="23"/>
          <w:szCs w:val="23"/>
          <w:highlight w:val="none"/>
        </w:rPr>
        <w:t>行驶；</w:t>
      </w:r>
    </w:p>
    <w:p>
      <w:pPr>
        <w:spacing w:line="315" w:lineRule="exact"/>
        <w:ind w:left="503"/>
        <w:jc w:val="both"/>
        <w:outlineLvl w:val="2"/>
        <w:rPr>
          <w:rFonts w:hint="default" w:ascii="Times New Roman" w:hAnsi="Times New Roman" w:eastAsia="宋体" w:cs="Times New Roman"/>
          <w:sz w:val="23"/>
          <w:szCs w:val="23"/>
          <w:highlight w:val="none"/>
        </w:rPr>
      </w:pPr>
      <w:bookmarkStart w:id="448" w:name="_Toc18007"/>
      <w:bookmarkStart w:id="449" w:name="_Toc24226"/>
      <w:bookmarkStart w:id="450" w:name="_Toc6884"/>
      <w:r>
        <w:rPr>
          <w:rFonts w:hint="default" w:ascii="Times New Roman" w:hAnsi="Times New Roman" w:eastAsia="Times New Roman" w:cs="Times New Roman"/>
          <w:spacing w:val="12"/>
          <w:position w:val="2"/>
          <w:sz w:val="23"/>
          <w:szCs w:val="23"/>
          <w:highlight w:val="none"/>
        </w:rPr>
        <w:t>(</w:t>
      </w:r>
      <w:r>
        <w:rPr>
          <w:rFonts w:hint="default" w:ascii="Times New Roman" w:hAnsi="Times New Roman" w:eastAsia="Times New Roman" w:cs="Times New Roman"/>
          <w:spacing w:val="8"/>
          <w:position w:val="2"/>
          <w:sz w:val="23"/>
          <w:szCs w:val="23"/>
          <w:highlight w:val="none"/>
        </w:rPr>
        <w:t>3)</w:t>
      </w:r>
      <w:r>
        <w:rPr>
          <w:rFonts w:hint="default" w:ascii="Times New Roman" w:hAnsi="Times New Roman" w:eastAsia="宋体" w:cs="Times New Roman"/>
          <w:spacing w:val="8"/>
          <w:position w:val="2"/>
          <w:sz w:val="23"/>
          <w:szCs w:val="23"/>
          <w:highlight w:val="none"/>
        </w:rPr>
        <w:t>各类建材的废包装收集后外售废品收购站。</w:t>
      </w:r>
      <w:bookmarkEnd w:id="448"/>
      <w:bookmarkEnd w:id="449"/>
      <w:bookmarkEnd w:id="450"/>
    </w:p>
    <w:p>
      <w:pPr>
        <w:jc w:val="both"/>
        <w:rPr>
          <w:rFonts w:hint="default" w:ascii="Times New Roman" w:hAnsi="Times New Roman" w:cs="Times New Roman"/>
          <w:highlight w:val="none"/>
        </w:rPr>
        <w:sectPr>
          <w:headerReference r:id="rId68" w:type="default"/>
          <w:footerReference r:id="rId69" w:type="default"/>
          <w:pgSz w:w="11906" w:h="16839"/>
          <w:pgMar w:top="1167" w:right="1719" w:bottom="1282" w:left="1785" w:header="897" w:footer="1015" w:gutter="0"/>
          <w:pgBorders>
            <w:top w:val="none" w:sz="0" w:space="0"/>
            <w:left w:val="none" w:sz="0" w:space="0"/>
            <w:bottom w:val="none" w:sz="0" w:space="0"/>
            <w:right w:val="none" w:sz="0" w:space="0"/>
          </w:pgBorders>
          <w:pgNumType w:fmt="decimal"/>
          <w:cols w:space="720" w:num="1"/>
        </w:sectPr>
      </w:pPr>
    </w:p>
    <w:p>
      <w:pPr>
        <w:spacing w:line="391" w:lineRule="auto"/>
        <w:rPr>
          <w:rFonts w:hint="default" w:ascii="Times New Roman" w:hAnsi="Times New Roman" w:cs="Times New Roman"/>
          <w:sz w:val="21"/>
          <w:highlight w:val="none"/>
        </w:rPr>
      </w:pPr>
    </w:p>
    <w:p>
      <w:pPr>
        <w:spacing w:before="74" w:line="229" w:lineRule="auto"/>
        <w:ind w:left="22"/>
        <w:outlineLvl w:val="1"/>
        <w:rPr>
          <w:rFonts w:hint="default" w:ascii="Times New Roman" w:hAnsi="Times New Roman" w:eastAsia="宋体" w:cs="Times New Roman"/>
          <w:sz w:val="23"/>
          <w:szCs w:val="23"/>
          <w:highlight w:val="none"/>
        </w:rPr>
      </w:pPr>
      <w:bookmarkStart w:id="451" w:name="_Toc2904"/>
      <w:bookmarkStart w:id="452" w:name="_Toc30918"/>
      <w:bookmarkStart w:id="453" w:name="_Toc24918"/>
      <w:r>
        <w:rPr>
          <w:rFonts w:hint="default" w:ascii="Times New Roman" w:hAnsi="Times New Roman" w:eastAsia="Times New Roman" w:cs="Times New Roman"/>
          <w:b/>
          <w:bCs/>
          <w:spacing w:val="14"/>
          <w:sz w:val="23"/>
          <w:szCs w:val="23"/>
          <w:highlight w:val="none"/>
        </w:rPr>
        <w:t>5</w:t>
      </w:r>
      <w:r>
        <w:rPr>
          <w:rFonts w:hint="default" w:ascii="Times New Roman" w:hAnsi="Times New Roman" w:eastAsia="Times New Roman" w:cs="Times New Roman"/>
          <w:b/>
          <w:bCs/>
          <w:spacing w:val="10"/>
          <w:sz w:val="23"/>
          <w:szCs w:val="23"/>
          <w:highlight w:val="none"/>
        </w:rPr>
        <w:t>.</w:t>
      </w:r>
      <w:r>
        <w:rPr>
          <w:rFonts w:hint="default" w:ascii="Times New Roman" w:hAnsi="Times New Roman" w:eastAsia="Times New Roman" w:cs="Times New Roman"/>
          <w:b/>
          <w:bCs/>
          <w:spacing w:val="7"/>
          <w:sz w:val="23"/>
          <w:szCs w:val="23"/>
          <w:highlight w:val="none"/>
        </w:rPr>
        <w:t>1.5</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施工期生态环境影响分析</w:t>
      </w:r>
      <w:bookmarkEnd w:id="451"/>
      <w:bookmarkEnd w:id="452"/>
      <w:bookmarkEnd w:id="453"/>
    </w:p>
    <w:p>
      <w:pPr>
        <w:spacing w:line="293" w:lineRule="auto"/>
        <w:rPr>
          <w:rFonts w:hint="default" w:ascii="Times New Roman" w:hAnsi="Times New Roman" w:cs="Times New Roman"/>
          <w:sz w:val="21"/>
          <w:highlight w:val="none"/>
        </w:rPr>
      </w:pPr>
    </w:p>
    <w:p>
      <w:pPr>
        <w:spacing w:before="75" w:line="228" w:lineRule="auto"/>
        <w:ind w:left="50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项</w:t>
      </w:r>
      <w:r>
        <w:rPr>
          <w:rFonts w:hint="default" w:ascii="Times New Roman" w:hAnsi="Times New Roman" w:eastAsia="宋体" w:cs="Times New Roman"/>
          <w:spacing w:val="10"/>
          <w:sz w:val="23"/>
          <w:szCs w:val="23"/>
          <w:highlight w:val="none"/>
        </w:rPr>
        <w:t>目所在位置天然生长植物主要为灌木和杂草， 以上植物均为生态较广物</w:t>
      </w:r>
    </w:p>
    <w:p>
      <w:pPr>
        <w:spacing w:before="214" w:line="229" w:lineRule="auto"/>
        <w:ind w:left="2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种，区域内较常见，不存在珍稀濒危物种</w:t>
      </w:r>
      <w:r>
        <w:rPr>
          <w:rFonts w:hint="default" w:ascii="Times New Roman" w:hAnsi="Times New Roman" w:eastAsia="宋体" w:cs="Times New Roman"/>
          <w:spacing w:val="8"/>
          <w:sz w:val="23"/>
          <w:szCs w:val="23"/>
          <w:highlight w:val="none"/>
        </w:rPr>
        <w:t>。</w:t>
      </w:r>
    </w:p>
    <w:p>
      <w:pPr>
        <w:spacing w:before="217" w:line="404" w:lineRule="auto"/>
        <w:ind w:left="22" w:right="63" w:firstLine="48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项目的建</w:t>
      </w:r>
      <w:r>
        <w:rPr>
          <w:rFonts w:hint="default" w:ascii="Times New Roman" w:hAnsi="Times New Roman" w:eastAsia="宋体" w:cs="Times New Roman"/>
          <w:spacing w:val="7"/>
          <w:sz w:val="23"/>
          <w:szCs w:val="23"/>
          <w:highlight w:val="none"/>
        </w:rPr>
        <w:t>设</w:t>
      </w:r>
      <w:r>
        <w:rPr>
          <w:rFonts w:hint="default" w:ascii="Times New Roman" w:hAnsi="Times New Roman" w:eastAsia="宋体" w:cs="Times New Roman"/>
          <w:spacing w:val="6"/>
          <w:sz w:val="23"/>
          <w:szCs w:val="23"/>
          <w:highlight w:val="none"/>
        </w:rPr>
        <w:t>对区域生境不具割裂性，受损物种区域内较常见且受损区域相对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较</w:t>
      </w:r>
      <w:r>
        <w:rPr>
          <w:rFonts w:hint="default" w:ascii="Times New Roman" w:hAnsi="Times New Roman" w:eastAsia="宋体" w:cs="Times New Roman"/>
          <w:spacing w:val="7"/>
          <w:sz w:val="23"/>
          <w:szCs w:val="23"/>
          <w:highlight w:val="none"/>
        </w:rPr>
        <w:t>小，项目占地损失的灌木林植被为荆条等当地常见物种，因此，项目的实施不</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会对区域动植物物种多样性产生明显影响。</w:t>
      </w:r>
    </w:p>
    <w:p>
      <w:pPr>
        <w:spacing w:before="110" w:line="219" w:lineRule="auto"/>
        <w:ind w:left="23"/>
        <w:outlineLvl w:val="2"/>
        <w:rPr>
          <w:rFonts w:hint="default" w:ascii="Times New Roman" w:hAnsi="Times New Roman" w:eastAsia="宋体" w:cs="Times New Roman"/>
          <w:sz w:val="28"/>
          <w:szCs w:val="28"/>
          <w:highlight w:val="none"/>
        </w:rPr>
      </w:pPr>
      <w:bookmarkStart w:id="454" w:name="_Toc28465"/>
      <w:bookmarkStart w:id="455" w:name="_Toc17094"/>
      <w:bookmarkStart w:id="456" w:name="_Toc200"/>
      <w:r>
        <w:rPr>
          <w:rFonts w:hint="default" w:ascii="Times New Roman" w:hAnsi="Times New Roman" w:eastAsia="Times New Roman" w:cs="Times New Roman"/>
          <w:b/>
          <w:bCs/>
          <w:spacing w:val="1"/>
          <w:sz w:val="28"/>
          <w:szCs w:val="28"/>
          <w:highlight w:val="none"/>
        </w:rPr>
        <w:t>5.</w:t>
      </w:r>
      <w:r>
        <w:rPr>
          <w:rFonts w:hint="default" w:ascii="Times New Roman" w:hAnsi="Times New Roman" w:eastAsia="Times New Roman" w:cs="Times New Roman"/>
          <w:b/>
          <w:bCs/>
          <w:sz w:val="28"/>
          <w:szCs w:val="28"/>
          <w:highlight w:val="none"/>
        </w:rPr>
        <w:t>2</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运营期环境影响预测与评价</w:t>
      </w:r>
      <w:bookmarkEnd w:id="454"/>
      <w:bookmarkEnd w:id="455"/>
      <w:bookmarkEnd w:id="456"/>
    </w:p>
    <w:p>
      <w:pPr>
        <w:keepNext w:val="0"/>
        <w:keepLines w:val="0"/>
        <w:pageBreakBefore w:val="0"/>
        <w:widowControl/>
        <w:kinsoku w:val="0"/>
        <w:wordWrap/>
        <w:overflowPunct/>
        <w:topLinePunct w:val="0"/>
        <w:autoSpaceDE w:val="0"/>
        <w:autoSpaceDN w:val="0"/>
        <w:bidi w:val="0"/>
        <w:adjustRightInd w:val="0"/>
        <w:snapToGrid w:val="0"/>
        <w:spacing w:line="460" w:lineRule="exact"/>
        <w:ind w:left="0"/>
        <w:textAlignment w:val="baseline"/>
        <w:outlineLvl w:val="1"/>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pPr>
      <w:bookmarkStart w:id="457" w:name="_Toc30529"/>
      <w:bookmarkStart w:id="458" w:name="_Toc24570"/>
      <w:bookmarkStart w:id="459" w:name="_Toc9082"/>
      <w:r>
        <w:rPr>
          <w:rFonts w:hint="default" w:ascii="Times New Roman" w:hAnsi="Times New Roman" w:eastAsia="Times New Roman" w:cs="Times New Roman"/>
          <w:b/>
          <w:bCs/>
          <w:spacing w:val="14"/>
          <w:sz w:val="23"/>
          <w:szCs w:val="23"/>
          <w:highlight w:val="none"/>
        </w:rPr>
        <w:t>5</w:t>
      </w:r>
      <w:r>
        <w:rPr>
          <w:rFonts w:hint="default" w:ascii="Times New Roman" w:hAnsi="Times New Roman" w:eastAsia="Times New Roman" w:cs="Times New Roman"/>
          <w:b/>
          <w:bCs/>
          <w:spacing w:val="10"/>
          <w:sz w:val="23"/>
          <w:szCs w:val="23"/>
          <w:highlight w:val="none"/>
        </w:rPr>
        <w:t>.</w:t>
      </w:r>
      <w:r>
        <w:rPr>
          <w:rFonts w:hint="default" w:ascii="Times New Roman" w:hAnsi="Times New Roman" w:eastAsia="Times New Roman" w:cs="Times New Roman"/>
          <w:b/>
          <w:bCs/>
          <w:spacing w:val="7"/>
          <w:sz w:val="23"/>
          <w:szCs w:val="23"/>
          <w:highlight w:val="none"/>
        </w:rPr>
        <w:t>2.1</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大气环境影响预测与评价</w:t>
      </w:r>
      <w:bookmarkEnd w:id="457"/>
      <w:bookmarkEnd w:id="458"/>
      <w:bookmarkEnd w:id="459"/>
    </w:p>
    <w:p>
      <w:pPr>
        <w:spacing w:before="75" w:line="385" w:lineRule="auto"/>
        <w:ind w:left="7" w:firstLine="483"/>
        <w:jc w:val="both"/>
        <w:rPr>
          <w:rFonts w:hint="default" w:ascii="Times New Roman" w:hAnsi="Times New Roman" w:eastAsia="宋体" w:cs="Times New Roman"/>
          <w:spacing w:val="6"/>
          <w:sz w:val="23"/>
          <w:szCs w:val="23"/>
          <w:highlight w:val="none"/>
        </w:rPr>
      </w:pPr>
      <w:r>
        <w:rPr>
          <w:rFonts w:hint="default" w:ascii="Times New Roman" w:hAnsi="Times New Roman" w:eastAsia="宋体" w:cs="Times New Roman"/>
          <w:spacing w:val="6"/>
          <w:sz w:val="23"/>
          <w:szCs w:val="23"/>
          <w:highlight w:val="none"/>
        </w:rPr>
        <w:t>按照《环境影响评价技术导则—大气环境》（HJ2.2-2018）中要求，对于二级评价项目可只调查分析项目污染源。本项目</w:t>
      </w:r>
      <w:r>
        <w:rPr>
          <w:rFonts w:hint="eastAsia" w:ascii="Times New Roman" w:hAnsi="Times New Roman" w:eastAsia="宋体" w:cs="Times New Roman"/>
          <w:spacing w:val="6"/>
          <w:sz w:val="23"/>
          <w:szCs w:val="23"/>
          <w:highlight w:val="none"/>
          <w:lang w:val="en-US" w:eastAsia="zh-CN"/>
        </w:rPr>
        <w:t>新增</w:t>
      </w:r>
      <w:r>
        <w:rPr>
          <w:rFonts w:hint="default" w:ascii="Times New Roman" w:hAnsi="Times New Roman" w:eastAsia="宋体" w:cs="Times New Roman"/>
          <w:spacing w:val="6"/>
          <w:sz w:val="23"/>
          <w:szCs w:val="23"/>
          <w:highlight w:val="none"/>
        </w:rPr>
        <w:t>铁矿石处理量</w:t>
      </w:r>
      <w:r>
        <w:rPr>
          <w:rFonts w:hint="eastAsia" w:ascii="Times New Roman" w:hAnsi="Times New Roman" w:eastAsia="宋体" w:cs="Times New Roman"/>
          <w:spacing w:val="6"/>
          <w:sz w:val="23"/>
          <w:szCs w:val="23"/>
          <w:highlight w:val="none"/>
          <w:lang w:val="en-US" w:eastAsia="zh-CN"/>
        </w:rPr>
        <w:t>60</w:t>
      </w:r>
      <w:r>
        <w:rPr>
          <w:rFonts w:hint="default" w:ascii="Times New Roman" w:hAnsi="Times New Roman" w:eastAsia="宋体" w:cs="Times New Roman"/>
          <w:spacing w:val="6"/>
          <w:sz w:val="23"/>
          <w:szCs w:val="23"/>
          <w:highlight w:val="none"/>
        </w:rPr>
        <w:t>万t/a，</w:t>
      </w:r>
      <w:r>
        <w:rPr>
          <w:rFonts w:hint="eastAsia" w:ascii="Times New Roman" w:hAnsi="Times New Roman" w:eastAsia="宋体" w:cs="Times New Roman"/>
          <w:spacing w:val="6"/>
          <w:sz w:val="23"/>
          <w:szCs w:val="23"/>
          <w:highlight w:val="none"/>
          <w:lang w:val="en-US" w:eastAsia="zh-CN"/>
        </w:rPr>
        <w:t>破碎工序</w:t>
      </w:r>
      <w:r>
        <w:rPr>
          <w:rFonts w:hint="default" w:ascii="Times New Roman" w:hAnsi="Times New Roman" w:eastAsia="宋体" w:cs="Times New Roman"/>
          <w:spacing w:val="6"/>
          <w:sz w:val="23"/>
          <w:szCs w:val="23"/>
          <w:highlight w:val="none"/>
        </w:rPr>
        <w:t>年工作时间为</w:t>
      </w:r>
      <w:r>
        <w:rPr>
          <w:rFonts w:hint="eastAsia" w:ascii="Times New Roman" w:hAnsi="Times New Roman" w:eastAsia="宋体" w:cs="Times New Roman"/>
          <w:spacing w:val="6"/>
          <w:sz w:val="23"/>
          <w:szCs w:val="23"/>
          <w:highlight w:val="none"/>
          <w:lang w:val="en-US" w:eastAsia="zh-CN"/>
        </w:rPr>
        <w:t>200</w:t>
      </w:r>
      <w:r>
        <w:rPr>
          <w:rFonts w:hint="default" w:ascii="Times New Roman" w:hAnsi="Times New Roman" w:eastAsia="宋体" w:cs="Times New Roman"/>
          <w:spacing w:val="6"/>
          <w:sz w:val="23"/>
          <w:szCs w:val="23"/>
          <w:highlight w:val="none"/>
        </w:rPr>
        <w:t>0h</w:t>
      </w:r>
      <w:r>
        <w:rPr>
          <w:rFonts w:hint="eastAsia" w:ascii="Times New Roman" w:hAnsi="Times New Roman" w:eastAsia="宋体" w:cs="Times New Roman"/>
          <w:spacing w:val="6"/>
          <w:sz w:val="23"/>
          <w:szCs w:val="23"/>
          <w:highlight w:val="none"/>
          <w:lang w:eastAsia="zh-CN"/>
        </w:rPr>
        <w:t>，</w:t>
      </w:r>
      <w:r>
        <w:rPr>
          <w:rFonts w:hint="default" w:ascii="Times New Roman" w:hAnsi="Times New Roman" w:eastAsia="宋体" w:cs="Times New Roman"/>
          <w:spacing w:val="6"/>
          <w:sz w:val="23"/>
          <w:szCs w:val="23"/>
          <w:highlight w:val="none"/>
        </w:rPr>
        <w:t>大气污染物主要来自矿石破碎过程中产生的颗粒物，属于点源污染源，经离线清灰脉冲布袋除尘器处理后，经1</w:t>
      </w:r>
      <w:r>
        <w:rPr>
          <w:rFonts w:hint="eastAsia" w:ascii="Times New Roman" w:hAnsi="Times New Roman" w:eastAsia="宋体" w:cs="Times New Roman"/>
          <w:spacing w:val="6"/>
          <w:sz w:val="23"/>
          <w:szCs w:val="23"/>
          <w:highlight w:val="none"/>
          <w:lang w:val="en-US" w:eastAsia="zh-CN"/>
        </w:rPr>
        <w:t>9</w:t>
      </w:r>
      <w:r>
        <w:rPr>
          <w:rFonts w:hint="default" w:ascii="Times New Roman" w:hAnsi="Times New Roman" w:eastAsia="宋体" w:cs="Times New Roman"/>
          <w:spacing w:val="6"/>
          <w:sz w:val="23"/>
          <w:szCs w:val="23"/>
          <w:highlight w:val="none"/>
        </w:rPr>
        <w:t>m排气筒排放，除尘器风量</w:t>
      </w:r>
      <w:r>
        <w:rPr>
          <w:rFonts w:hint="eastAsia" w:ascii="Times New Roman" w:hAnsi="Times New Roman" w:eastAsia="宋体" w:cs="Times New Roman"/>
          <w:spacing w:val="6"/>
          <w:sz w:val="23"/>
          <w:szCs w:val="23"/>
          <w:highlight w:val="none"/>
          <w:lang w:val="en-US" w:eastAsia="zh-CN"/>
        </w:rPr>
        <w:t>40</w:t>
      </w:r>
      <w:r>
        <w:rPr>
          <w:rFonts w:hint="default" w:ascii="Times New Roman" w:hAnsi="Times New Roman" w:eastAsia="宋体" w:cs="Times New Roman"/>
          <w:spacing w:val="6"/>
          <w:sz w:val="23"/>
          <w:szCs w:val="23"/>
          <w:highlight w:val="none"/>
        </w:rPr>
        <w:t>000m</w:t>
      </w:r>
      <w:r>
        <w:rPr>
          <w:rFonts w:hint="default" w:ascii="Times New Roman" w:hAnsi="Times New Roman" w:eastAsia="宋体" w:cs="Times New Roman"/>
          <w:spacing w:val="6"/>
          <w:sz w:val="23"/>
          <w:szCs w:val="23"/>
          <w:highlight w:val="none"/>
          <w:vertAlign w:val="superscript"/>
        </w:rPr>
        <w:t>3</w:t>
      </w:r>
      <w:r>
        <w:rPr>
          <w:rFonts w:hint="default" w:ascii="Times New Roman" w:hAnsi="Times New Roman" w:eastAsia="宋体" w:cs="Times New Roman"/>
          <w:spacing w:val="6"/>
          <w:sz w:val="23"/>
          <w:szCs w:val="23"/>
          <w:highlight w:val="none"/>
        </w:rPr>
        <w:t>/h。</w:t>
      </w:r>
    </w:p>
    <w:p>
      <w:pPr>
        <w:spacing w:before="75" w:line="385" w:lineRule="auto"/>
        <w:ind w:left="7" w:firstLine="483"/>
        <w:jc w:val="both"/>
        <w:rPr>
          <w:rFonts w:hint="default" w:ascii="Times New Roman" w:hAnsi="Times New Roman" w:eastAsia="宋体" w:cs="Times New Roman"/>
          <w:spacing w:val="6"/>
          <w:sz w:val="23"/>
          <w:szCs w:val="23"/>
          <w:highlight w:val="none"/>
        </w:rPr>
      </w:pPr>
      <w:r>
        <w:rPr>
          <w:rFonts w:hint="default" w:ascii="Times New Roman" w:hAnsi="Times New Roman" w:eastAsia="宋体" w:cs="Times New Roman"/>
          <w:spacing w:val="6"/>
          <w:sz w:val="23"/>
          <w:szCs w:val="23"/>
          <w:highlight w:val="none"/>
        </w:rPr>
        <w:t>本项目无组织排放颗粒物主要为</w:t>
      </w:r>
      <w:r>
        <w:rPr>
          <w:rFonts w:hint="eastAsia" w:ascii="Times New Roman" w:hAnsi="Times New Roman" w:eastAsia="宋体" w:cs="Times New Roman"/>
          <w:spacing w:val="6"/>
          <w:sz w:val="23"/>
          <w:szCs w:val="23"/>
          <w:highlight w:val="none"/>
          <w:lang w:val="en-US" w:eastAsia="zh-CN"/>
        </w:rPr>
        <w:t>物料</w:t>
      </w:r>
      <w:r>
        <w:rPr>
          <w:rFonts w:hint="default" w:ascii="Times New Roman" w:hAnsi="Times New Roman" w:eastAsia="宋体" w:cs="Times New Roman"/>
          <w:spacing w:val="6"/>
          <w:sz w:val="23"/>
          <w:szCs w:val="23"/>
          <w:highlight w:val="none"/>
        </w:rPr>
        <w:t>在装卸、储存、转运过程均在封闭车间内进行，且配套设置喷雾抑尘装置，以上过程产生的颗粒物以无组织形式排放。选择正常排放的主要污染物及排放参数，采用AERSCREEN估算模式计算各污染物的最大影响程度和最远影响范围，然后按评价工作分级判据进行分级，详见</w:t>
      </w:r>
      <w:r>
        <w:rPr>
          <w:rFonts w:hint="eastAsia" w:ascii="Times New Roman" w:hAnsi="Times New Roman" w:eastAsia="宋体" w:cs="Times New Roman"/>
          <w:spacing w:val="6"/>
          <w:sz w:val="23"/>
          <w:szCs w:val="23"/>
          <w:highlight w:val="none"/>
          <w:lang w:eastAsia="zh-CN"/>
        </w:rPr>
        <w:t>“</w:t>
      </w:r>
      <w:r>
        <w:rPr>
          <w:rFonts w:hint="default" w:ascii="Times New Roman" w:hAnsi="Times New Roman" w:eastAsia="宋体" w:cs="Times New Roman"/>
          <w:spacing w:val="6"/>
          <w:sz w:val="23"/>
          <w:szCs w:val="23"/>
          <w:highlight w:val="none"/>
        </w:rPr>
        <w:t>2.4.1.1大气环境影响评价等级</w:t>
      </w:r>
      <w:r>
        <w:rPr>
          <w:rFonts w:hint="eastAsia" w:ascii="Times New Roman" w:hAnsi="Times New Roman" w:eastAsia="宋体" w:cs="Times New Roman"/>
          <w:spacing w:val="6"/>
          <w:sz w:val="23"/>
          <w:szCs w:val="23"/>
          <w:highlight w:val="none"/>
          <w:lang w:eastAsia="zh-CN"/>
        </w:rPr>
        <w:t>”</w:t>
      </w:r>
      <w:r>
        <w:rPr>
          <w:rFonts w:hint="default" w:ascii="Times New Roman" w:hAnsi="Times New Roman" w:eastAsia="宋体" w:cs="Times New Roman"/>
          <w:spacing w:val="6"/>
          <w:sz w:val="23"/>
          <w:szCs w:val="23"/>
          <w:highlight w:val="none"/>
        </w:rPr>
        <w:t>小节。</w:t>
      </w:r>
    </w:p>
    <w:p>
      <w:pPr>
        <w:spacing w:before="75" w:line="229" w:lineRule="auto"/>
        <w:ind w:left="11"/>
        <w:outlineLvl w:val="2"/>
        <w:rPr>
          <w:rFonts w:hint="default" w:ascii="Times New Roman" w:hAnsi="Times New Roman" w:eastAsia="宋体" w:cs="Times New Roman"/>
          <w:sz w:val="23"/>
          <w:szCs w:val="23"/>
          <w:highlight w:val="none"/>
        </w:rPr>
      </w:pPr>
      <w:bookmarkStart w:id="460" w:name="_Toc2392"/>
      <w:bookmarkStart w:id="461" w:name="_Toc10431"/>
      <w:bookmarkStart w:id="462" w:name="_Toc25352"/>
      <w:r>
        <w:rPr>
          <w:rFonts w:hint="default" w:ascii="Times New Roman" w:hAnsi="Times New Roman" w:eastAsia="Times New Roman" w:cs="Times New Roman"/>
          <w:spacing w:val="8"/>
          <w:sz w:val="23"/>
          <w:szCs w:val="23"/>
          <w:highlight w:val="none"/>
        </w:rPr>
        <w:t>5</w:t>
      </w:r>
      <w:r>
        <w:rPr>
          <w:rFonts w:hint="default" w:ascii="Times New Roman" w:hAnsi="Times New Roman" w:eastAsia="Times New Roman" w:cs="Times New Roman"/>
          <w:spacing w:val="6"/>
          <w:sz w:val="23"/>
          <w:szCs w:val="23"/>
          <w:highlight w:val="none"/>
        </w:rPr>
        <w:t xml:space="preserve">.2.1.2 </w:t>
      </w:r>
      <w:r>
        <w:rPr>
          <w:rFonts w:hint="default" w:ascii="Times New Roman" w:hAnsi="Times New Roman" w:eastAsia="宋体" w:cs="Times New Roman"/>
          <w:spacing w:val="6"/>
          <w:sz w:val="23"/>
          <w:szCs w:val="23"/>
          <w:highlight w:val="none"/>
        </w:rPr>
        <w:t>污染源调查与分析</w:t>
      </w:r>
      <w:bookmarkEnd w:id="460"/>
      <w:bookmarkEnd w:id="461"/>
      <w:bookmarkEnd w:id="462"/>
    </w:p>
    <w:p>
      <w:pPr>
        <w:spacing w:line="245" w:lineRule="auto"/>
        <w:rPr>
          <w:rFonts w:hint="default" w:ascii="Times New Roman" w:hAnsi="Times New Roman" w:cs="Times New Roman"/>
          <w:sz w:val="21"/>
          <w:highlight w:val="none"/>
        </w:rPr>
      </w:pPr>
    </w:p>
    <w:p>
      <w:pPr>
        <w:spacing w:before="75" w:line="385" w:lineRule="auto"/>
        <w:ind w:left="7" w:firstLine="483"/>
        <w:jc w:val="both"/>
        <w:rPr>
          <w:rFonts w:hint="default" w:ascii="Times New Roman" w:hAnsi="Times New Roman" w:eastAsia="宋体" w:cs="Times New Roman"/>
          <w:spacing w:val="6"/>
          <w:sz w:val="23"/>
          <w:szCs w:val="23"/>
          <w:highlight w:val="none"/>
        </w:rPr>
      </w:pPr>
      <w:r>
        <w:rPr>
          <w:rFonts w:hint="default" w:ascii="Times New Roman" w:hAnsi="Times New Roman" w:eastAsia="宋体" w:cs="Times New Roman"/>
          <w:spacing w:val="6"/>
          <w:sz w:val="23"/>
          <w:szCs w:val="23"/>
          <w:highlight w:val="none"/>
        </w:rPr>
        <w:t>正常工况下点源、面源污染源调查清单见表 5.2-</w:t>
      </w:r>
      <w:r>
        <w:rPr>
          <w:rFonts w:hint="eastAsia" w:ascii="Times New Roman" w:hAnsi="Times New Roman" w:eastAsia="宋体" w:cs="Times New Roman"/>
          <w:spacing w:val="6"/>
          <w:sz w:val="23"/>
          <w:szCs w:val="23"/>
          <w:highlight w:val="none"/>
          <w:lang w:val="en-US" w:eastAsia="zh-CN"/>
        </w:rPr>
        <w:t>1</w:t>
      </w:r>
      <w:r>
        <w:rPr>
          <w:rFonts w:hint="default" w:ascii="Times New Roman" w:hAnsi="Times New Roman" w:eastAsia="宋体" w:cs="Times New Roman"/>
          <w:spacing w:val="6"/>
          <w:sz w:val="23"/>
          <w:szCs w:val="23"/>
          <w:highlight w:val="none"/>
        </w:rPr>
        <w:t xml:space="preserve"> 、5.2-</w:t>
      </w:r>
      <w:r>
        <w:rPr>
          <w:rFonts w:hint="eastAsia" w:ascii="Times New Roman" w:hAnsi="Times New Roman" w:eastAsia="宋体" w:cs="Times New Roman"/>
          <w:spacing w:val="6"/>
          <w:sz w:val="23"/>
          <w:szCs w:val="23"/>
          <w:highlight w:val="none"/>
          <w:lang w:val="en-US" w:eastAsia="zh-CN"/>
        </w:rPr>
        <w:t>2</w:t>
      </w:r>
      <w:r>
        <w:rPr>
          <w:rFonts w:hint="default" w:ascii="Times New Roman" w:hAnsi="Times New Roman" w:eastAsia="宋体" w:cs="Times New Roman"/>
          <w:spacing w:val="6"/>
          <w:sz w:val="23"/>
          <w:szCs w:val="23"/>
          <w:highlight w:val="none"/>
        </w:rPr>
        <w:t>。</w:t>
      </w:r>
    </w:p>
    <w:p>
      <w:pPr>
        <w:tabs>
          <w:tab w:val="left" w:pos="1861"/>
        </w:tabs>
        <w:bidi w:val="0"/>
        <w:jc w:val="left"/>
        <w:rPr>
          <w:rFonts w:hint="default" w:ascii="Times New Roman" w:hAnsi="Times New Roman" w:eastAsia="宋体" w:cs="Times New Roman"/>
          <w:sz w:val="23"/>
          <w:szCs w:val="23"/>
          <w:highlight w:val="none"/>
        </w:rPr>
      </w:pPr>
      <w:r>
        <w:rPr>
          <w:rFonts w:hint="eastAsia" w:eastAsia="宋体"/>
          <w:highlight w:val="none"/>
          <w:lang w:eastAsia="zh-CN"/>
        </w:rPr>
        <w:tab/>
      </w:r>
      <w:r>
        <w:rPr>
          <w:rFonts w:hint="default" w:ascii="Times New Roman" w:hAnsi="Times New Roman" w:cs="Times New Roman"/>
          <w:highlight w:val="none"/>
        </w:rPr>
        <w:pict>
          <v:shape id="_x0000_s1202" o:spid="_x0000_s1202" style="position:absolute;left:0pt;margin-left:82.2pt;margin-top:52.5pt;height:0.75pt;width:445.1pt;mso-position-horizontal-relative:page;mso-position-vertical-relative:page;z-index:251729920;mso-width-relative:page;mso-height-relative:page;" fillcolor="#000000" filled="t" stroked="f" coordsize="8902,15" o:allowincell="f" path="m0,0l8901,0,8901,14,0,14,0,0xe">
            <v:path/>
            <v:fill on="t" focussize="0,0"/>
            <v:stroke on="f"/>
            <v:imagedata o:title=""/>
            <o:lock v:ext="edit"/>
          </v:shape>
        </w:pic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5"/>
          <w:sz w:val="23"/>
          <w:szCs w:val="23"/>
          <w:highlight w:val="none"/>
        </w:rPr>
        <w:t xml:space="preserve"> </w:t>
      </w:r>
      <w:r>
        <w:rPr>
          <w:rFonts w:hint="default" w:ascii="Times New Roman" w:hAnsi="Times New Roman" w:eastAsia="Times New Roman" w:cs="Times New Roman"/>
          <w:b/>
          <w:bCs/>
          <w:spacing w:val="5"/>
          <w:sz w:val="23"/>
          <w:szCs w:val="23"/>
          <w:highlight w:val="none"/>
        </w:rPr>
        <w:t>5.2-</w:t>
      </w:r>
      <w:r>
        <w:rPr>
          <w:rFonts w:hint="eastAsia" w:ascii="Times New Roman" w:hAnsi="Times New Roman" w:eastAsia="宋体" w:cs="Times New Roman"/>
          <w:b/>
          <w:bCs/>
          <w:spacing w:val="5"/>
          <w:sz w:val="23"/>
          <w:szCs w:val="23"/>
          <w:highlight w:val="none"/>
          <w:lang w:val="en-US" w:eastAsia="zh-CN"/>
        </w:rPr>
        <w:t>1</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正常工况下项目点源污染源调查清单一览表</w:t>
      </w:r>
    </w:p>
    <w:p>
      <w:pPr>
        <w:spacing w:line="20" w:lineRule="exact"/>
        <w:rPr>
          <w:rFonts w:hint="default" w:ascii="Times New Roman" w:hAnsi="Times New Roman" w:cs="Times New Roman"/>
          <w:highlight w:val="none"/>
        </w:rPr>
      </w:pP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46"/>
        <w:gridCol w:w="1144"/>
        <w:gridCol w:w="1017"/>
        <w:gridCol w:w="751"/>
        <w:gridCol w:w="576"/>
        <w:gridCol w:w="595"/>
        <w:gridCol w:w="541"/>
        <w:gridCol w:w="702"/>
        <w:gridCol w:w="330"/>
        <w:gridCol w:w="427"/>
        <w:gridCol w:w="667"/>
        <w:gridCol w:w="8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9" w:type="pct"/>
            <w:vMerge w:val="restart"/>
            <w:tcBorders>
              <w:lef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污染源名称</w:t>
            </w:r>
          </w:p>
        </w:tc>
        <w:tc>
          <w:tcPr>
            <w:tcW w:w="1195" w:type="pct"/>
            <w:gridSpan w:val="2"/>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排气筒底部中心坐标(o)</w:t>
            </w:r>
          </w:p>
        </w:tc>
        <w:tc>
          <w:tcPr>
            <w:tcW w:w="415"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排气筒底部海拔高度(m)</w:t>
            </w:r>
          </w:p>
        </w:tc>
        <w:tc>
          <w:tcPr>
            <w:tcW w:w="1335" w:type="pct"/>
            <w:gridSpan w:val="4"/>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排气筒参数</w:t>
            </w:r>
          </w:p>
        </w:tc>
        <w:tc>
          <w:tcPr>
            <w:tcW w:w="182" w:type="pct"/>
            <w:vMerge w:val="restart"/>
            <w:vAlign w:val="center"/>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排放</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工况</w:t>
            </w:r>
          </w:p>
        </w:tc>
        <w:tc>
          <w:tcPr>
            <w:tcW w:w="236"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年排放h</w:t>
            </w:r>
          </w:p>
        </w:tc>
        <w:tc>
          <w:tcPr>
            <w:tcW w:w="368"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污染物</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名称</w:t>
            </w:r>
          </w:p>
        </w:tc>
        <w:tc>
          <w:tcPr>
            <w:tcW w:w="466" w:type="pct"/>
            <w:vMerge w:val="restart"/>
            <w:tcBorders>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排放</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9" w:type="pct"/>
            <w:vMerge w:val="continue"/>
            <w:tcBorders>
              <w:lef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632"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经度</w:t>
            </w:r>
          </w:p>
        </w:tc>
        <w:tc>
          <w:tcPr>
            <w:tcW w:w="562"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纬度</w:t>
            </w:r>
          </w:p>
        </w:tc>
        <w:tc>
          <w:tcPr>
            <w:tcW w:w="415"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318"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高度</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(m)</w:t>
            </w:r>
          </w:p>
        </w:tc>
        <w:tc>
          <w:tcPr>
            <w:tcW w:w="328"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内径</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(m)</w:t>
            </w:r>
          </w:p>
        </w:tc>
        <w:tc>
          <w:tcPr>
            <w:tcW w:w="298"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温度</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w:t>
            </w:r>
          </w:p>
        </w:tc>
        <w:tc>
          <w:tcPr>
            <w:tcW w:w="388"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流速</w:t>
            </w:r>
          </w:p>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(m/s)</w:t>
            </w:r>
          </w:p>
        </w:tc>
        <w:tc>
          <w:tcPr>
            <w:tcW w:w="182"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236"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368"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466" w:type="pct"/>
            <w:vMerge w:val="continue"/>
            <w:tcBorders>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trPr>
        <w:tc>
          <w:tcPr>
            <w:tcW w:w="799" w:type="pct"/>
            <w:vMerge w:val="restart"/>
            <w:tcBorders>
              <w:left w:val="single" w:color="auto" w:sz="4" w:space="0"/>
            </w:tcBorders>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eastAsia" w:ascii="Times New Roman" w:hAnsi="Times New Roman" w:eastAsia="宋体" w:cs="Times New Roman"/>
                <w:snapToGrid w:val="0"/>
                <w:sz w:val="21"/>
                <w:szCs w:val="21"/>
                <w:highlight w:val="none"/>
                <w:lang w:val="en-US" w:eastAsia="zh-CN"/>
              </w:rPr>
              <w:t>7#</w:t>
            </w:r>
            <w:r>
              <w:rPr>
                <w:rFonts w:hint="default" w:ascii="Times New Roman" w:hAnsi="Times New Roman" w:cs="Times New Roman"/>
                <w:snapToGrid w:val="0"/>
                <w:sz w:val="21"/>
                <w:szCs w:val="21"/>
                <w:highlight w:val="none"/>
              </w:rPr>
              <w:t>生产线排气筒</w:t>
            </w:r>
          </w:p>
        </w:tc>
        <w:tc>
          <w:tcPr>
            <w:tcW w:w="632" w:type="pct"/>
            <w:vMerge w:val="restart"/>
            <w:vAlign w:val="center"/>
          </w:tcPr>
          <w:p>
            <w:pPr>
              <w:autoSpaceDE w:val="0"/>
              <w:autoSpaceDN w:val="0"/>
              <w:spacing w:line="240" w:lineRule="auto"/>
              <w:ind w:firstLine="0" w:firstLineChars="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cs="Times New Roman"/>
                <w:snapToGrid w:val="0"/>
                <w:sz w:val="21"/>
                <w:szCs w:val="21"/>
                <w:highlight w:val="none"/>
              </w:rPr>
              <w:t>11</w:t>
            </w:r>
            <w:r>
              <w:rPr>
                <w:rFonts w:hint="eastAsia" w:ascii="Times New Roman" w:hAnsi="Times New Roman" w:eastAsia="宋体" w:cs="Times New Roman"/>
                <w:snapToGrid w:val="0"/>
                <w:sz w:val="21"/>
                <w:szCs w:val="21"/>
                <w:highlight w:val="none"/>
                <w:lang w:val="en-US" w:eastAsia="zh-CN"/>
              </w:rPr>
              <w:t>7.97203</w:t>
            </w:r>
          </w:p>
        </w:tc>
        <w:tc>
          <w:tcPr>
            <w:tcW w:w="562" w:type="pct"/>
            <w:vMerge w:val="restart"/>
            <w:vAlign w:val="center"/>
          </w:tcPr>
          <w:p>
            <w:pPr>
              <w:autoSpaceDE w:val="0"/>
              <w:autoSpaceDN w:val="0"/>
              <w:spacing w:line="240" w:lineRule="auto"/>
              <w:ind w:firstLine="0" w:firstLineChars="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cs="Times New Roman"/>
                <w:snapToGrid w:val="0"/>
                <w:sz w:val="21"/>
                <w:szCs w:val="21"/>
                <w:highlight w:val="none"/>
              </w:rPr>
              <w:t>40.</w:t>
            </w:r>
            <w:r>
              <w:rPr>
                <w:rFonts w:hint="eastAsia" w:ascii="Times New Roman" w:hAnsi="Times New Roman" w:eastAsia="宋体" w:cs="Times New Roman"/>
                <w:snapToGrid w:val="0"/>
                <w:sz w:val="21"/>
                <w:szCs w:val="21"/>
                <w:highlight w:val="none"/>
                <w:lang w:val="en-US" w:eastAsia="zh-CN"/>
              </w:rPr>
              <w:t>23694</w:t>
            </w:r>
          </w:p>
        </w:tc>
        <w:tc>
          <w:tcPr>
            <w:tcW w:w="415" w:type="pct"/>
            <w:vMerge w:val="restart"/>
            <w:vAlign w:val="center"/>
          </w:tcPr>
          <w:p>
            <w:pPr>
              <w:autoSpaceDE w:val="0"/>
              <w:autoSpaceDN w:val="0"/>
              <w:spacing w:line="240" w:lineRule="auto"/>
              <w:ind w:firstLine="0" w:firstLineChars="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44.95</w:t>
            </w:r>
          </w:p>
        </w:tc>
        <w:tc>
          <w:tcPr>
            <w:tcW w:w="318"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19</w:t>
            </w:r>
          </w:p>
        </w:tc>
        <w:tc>
          <w:tcPr>
            <w:tcW w:w="328"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1</w:t>
            </w:r>
          </w:p>
        </w:tc>
        <w:tc>
          <w:tcPr>
            <w:tcW w:w="298"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20</w:t>
            </w:r>
          </w:p>
        </w:tc>
        <w:tc>
          <w:tcPr>
            <w:tcW w:w="388" w:type="pct"/>
            <w:vMerge w:val="restart"/>
            <w:vAlign w:val="center"/>
          </w:tcPr>
          <w:p>
            <w:pPr>
              <w:autoSpaceDE w:val="0"/>
              <w:autoSpaceDN w:val="0"/>
              <w:spacing w:line="240" w:lineRule="auto"/>
              <w:ind w:firstLine="0" w:firstLineChars="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15</w:t>
            </w:r>
          </w:p>
        </w:tc>
        <w:tc>
          <w:tcPr>
            <w:tcW w:w="182" w:type="pct"/>
            <w:vMerge w:val="restart"/>
            <w:vAlign w:val="center"/>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正常</w:t>
            </w:r>
          </w:p>
        </w:tc>
        <w:tc>
          <w:tcPr>
            <w:tcW w:w="236" w:type="pct"/>
            <w:vMerge w:val="restar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2000</w:t>
            </w:r>
          </w:p>
        </w:tc>
        <w:tc>
          <w:tcPr>
            <w:tcW w:w="368"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PM</w:t>
            </w:r>
            <w:r>
              <w:rPr>
                <w:rFonts w:hint="default" w:ascii="Times New Roman" w:hAnsi="Times New Roman" w:cs="Times New Roman"/>
                <w:snapToGrid w:val="0"/>
                <w:sz w:val="21"/>
                <w:szCs w:val="21"/>
                <w:highlight w:val="none"/>
                <w:vertAlign w:val="subscript"/>
              </w:rPr>
              <w:t>10</w:t>
            </w:r>
          </w:p>
        </w:tc>
        <w:tc>
          <w:tcPr>
            <w:tcW w:w="845" w:type="dxa"/>
            <w:tcBorders>
              <w:right w:val="single" w:color="auto" w:sz="4" w:space="0"/>
            </w:tcBorders>
            <w:vAlign w:val="center"/>
          </w:tcPr>
          <w:p>
            <w:pPr>
              <w:autoSpaceDE w:val="0"/>
              <w:autoSpaceDN w:val="0"/>
              <w:spacing w:line="240" w:lineRule="auto"/>
              <w:ind w:firstLine="0" w:firstLineChars="0"/>
              <w:jc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cs="Times New Roman"/>
                <w:snapToGrid w:val="0"/>
                <w:sz w:val="21"/>
                <w:szCs w:val="21"/>
                <w:highlight w:val="none"/>
              </w:rPr>
              <w:t>0.</w:t>
            </w:r>
            <w:r>
              <w:rPr>
                <w:rFonts w:hint="eastAsia" w:ascii="Times New Roman" w:hAnsi="Times New Roman" w:eastAsia="宋体" w:cs="Times New Roman"/>
                <w:snapToGrid w:val="0"/>
                <w:sz w:val="21"/>
                <w:szCs w:val="21"/>
                <w:highlight w:val="no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799" w:type="pct"/>
            <w:vMerge w:val="continue"/>
            <w:tcBorders>
              <w:left w:val="single" w:color="auto" w:sz="4" w:space="0"/>
            </w:tcBorders>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lang w:val="en-US" w:eastAsia="zh-CN"/>
              </w:rPr>
            </w:pPr>
          </w:p>
        </w:tc>
        <w:tc>
          <w:tcPr>
            <w:tcW w:w="632" w:type="pct"/>
            <w:vMerge w:val="continue"/>
            <w:vAlign w:val="center"/>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rPr>
            </w:pPr>
          </w:p>
        </w:tc>
        <w:tc>
          <w:tcPr>
            <w:tcW w:w="562" w:type="pct"/>
            <w:vMerge w:val="continue"/>
            <w:vAlign w:val="center"/>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rPr>
            </w:pPr>
          </w:p>
        </w:tc>
        <w:tc>
          <w:tcPr>
            <w:tcW w:w="415"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318" w:type="pct"/>
            <w:vMerge w:val="continue"/>
            <w:vAlign w:val="center"/>
          </w:tcPr>
          <w:p>
            <w:pPr>
              <w:autoSpaceDE w:val="0"/>
              <w:autoSpaceDN w:val="0"/>
              <w:spacing w:line="240" w:lineRule="auto"/>
              <w:ind w:firstLine="0" w:firstLineChars="0"/>
              <w:jc w:val="center"/>
              <w:rPr>
                <w:rFonts w:hint="eastAsia" w:ascii="Times New Roman" w:hAnsi="Times New Roman" w:cs="Times New Roman"/>
                <w:snapToGrid w:val="0"/>
                <w:sz w:val="21"/>
                <w:szCs w:val="21"/>
                <w:highlight w:val="none"/>
                <w:lang w:val="en-US" w:eastAsia="zh-CN"/>
              </w:rPr>
            </w:pPr>
          </w:p>
        </w:tc>
        <w:tc>
          <w:tcPr>
            <w:tcW w:w="328"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298"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388"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182"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236" w:type="pct"/>
            <w:vMerge w:val="continue"/>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rPr>
            </w:pPr>
          </w:p>
        </w:tc>
        <w:tc>
          <w:tcPr>
            <w:tcW w:w="368" w:type="pct"/>
            <w:vAlign w:val="center"/>
          </w:tcPr>
          <w:p>
            <w:pPr>
              <w:autoSpaceDE w:val="0"/>
              <w:autoSpaceDN w:val="0"/>
              <w:spacing w:line="240" w:lineRule="auto"/>
              <w:ind w:firstLine="0" w:firstLineChars="0"/>
              <w:jc w:val="center"/>
              <w:rPr>
                <w:rFonts w:hint="default" w:ascii="Times New Roman" w:hAnsi="Times New Roman" w:cs="Times New Roman"/>
                <w:snapToGrid w:val="0"/>
                <w:sz w:val="21"/>
                <w:szCs w:val="21"/>
                <w:highlight w:val="none"/>
                <w:lang w:val="en-US" w:eastAsia="zh-CN"/>
              </w:rPr>
            </w:pPr>
            <w:r>
              <w:rPr>
                <w:rFonts w:hint="default" w:ascii="Times New Roman" w:hAnsi="Times New Roman" w:cs="Times New Roman"/>
                <w:snapToGrid w:val="0"/>
                <w:sz w:val="21"/>
                <w:szCs w:val="21"/>
                <w:highlight w:val="none"/>
              </w:rPr>
              <w:t>PM</w:t>
            </w:r>
            <w:r>
              <w:rPr>
                <w:rFonts w:hint="eastAsia" w:ascii="Times New Roman" w:hAnsi="Times New Roman" w:cs="Times New Roman"/>
                <w:snapToGrid w:val="0"/>
                <w:sz w:val="21"/>
                <w:szCs w:val="21"/>
                <w:highlight w:val="none"/>
                <w:vertAlign w:val="subscript"/>
                <w:lang w:val="en-US" w:eastAsia="zh-CN"/>
              </w:rPr>
              <w:t>2.5</w:t>
            </w:r>
          </w:p>
        </w:tc>
        <w:tc>
          <w:tcPr>
            <w:tcW w:w="845" w:type="dxa"/>
            <w:tcBorders>
              <w:right w:val="single" w:color="auto" w:sz="4" w:space="0"/>
            </w:tcBorders>
            <w:vAlign w:val="center"/>
          </w:tcPr>
          <w:p>
            <w:pPr>
              <w:autoSpaceDE w:val="0"/>
              <w:autoSpaceDN w:val="0"/>
              <w:spacing w:line="240" w:lineRule="auto"/>
              <w:ind w:firstLine="0" w:firstLineChars="0"/>
              <w:jc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cs="Times New Roman"/>
                <w:snapToGrid w:val="0"/>
                <w:sz w:val="21"/>
                <w:szCs w:val="21"/>
                <w:highlight w:val="none"/>
              </w:rPr>
              <w:t>0.</w:t>
            </w:r>
            <w:r>
              <w:rPr>
                <w:rFonts w:hint="eastAsia" w:ascii="Times New Roman" w:hAnsi="Times New Roman" w:eastAsia="宋体" w:cs="Times New Roman"/>
                <w:snapToGrid w:val="0"/>
                <w:sz w:val="21"/>
                <w:szCs w:val="21"/>
                <w:highlight w:val="none"/>
                <w:lang w:val="en-US" w:eastAsia="zh-CN"/>
              </w:rPr>
              <w:t>1</w:t>
            </w:r>
          </w:p>
        </w:tc>
      </w:tr>
    </w:tbl>
    <w:p>
      <w:pPr>
        <w:spacing w:before="195" w:line="227" w:lineRule="auto"/>
        <w:ind w:left="94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10"/>
          <w:sz w:val="23"/>
          <w:szCs w:val="23"/>
          <w:highlight w:val="none"/>
        </w:rPr>
        <w:t xml:space="preserve"> </w:t>
      </w:r>
      <w:r>
        <w:rPr>
          <w:rFonts w:hint="eastAsia" w:ascii="Times New Roman" w:hAnsi="Times New Roman" w:eastAsia="宋体" w:cs="Times New Roman"/>
          <w:b/>
          <w:bCs/>
          <w:spacing w:val="10"/>
          <w:sz w:val="23"/>
          <w:szCs w:val="23"/>
          <w:highlight w:val="none"/>
          <w:lang w:val="en-US" w:eastAsia="zh-CN"/>
        </w:rPr>
        <w:t>5</w:t>
      </w:r>
      <w:r>
        <w:rPr>
          <w:rFonts w:hint="default" w:ascii="Times New Roman" w:hAnsi="Times New Roman" w:eastAsia="Times New Roman" w:cs="Times New Roman"/>
          <w:b/>
          <w:bCs/>
          <w:spacing w:val="10"/>
          <w:sz w:val="23"/>
          <w:szCs w:val="23"/>
          <w:highlight w:val="none"/>
        </w:rPr>
        <w:t>.</w:t>
      </w:r>
      <w:r>
        <w:rPr>
          <w:rFonts w:hint="eastAsia" w:ascii="Times New Roman" w:hAnsi="Times New Roman" w:eastAsia="宋体" w:cs="Times New Roman"/>
          <w:b/>
          <w:bCs/>
          <w:spacing w:val="10"/>
          <w:sz w:val="23"/>
          <w:szCs w:val="23"/>
          <w:highlight w:val="none"/>
          <w:lang w:val="en-US" w:eastAsia="zh-CN"/>
        </w:rPr>
        <w:t>2</w:t>
      </w:r>
      <w:r>
        <w:rPr>
          <w:rFonts w:hint="default" w:ascii="Times New Roman" w:hAnsi="Times New Roman" w:eastAsia="Times New Roman" w:cs="Times New Roman"/>
          <w:b/>
          <w:bCs/>
          <w:spacing w:val="5"/>
          <w:sz w:val="23"/>
          <w:szCs w:val="23"/>
          <w:highlight w:val="none"/>
        </w:rPr>
        <w:t>-</w:t>
      </w:r>
      <w:r>
        <w:rPr>
          <w:rFonts w:hint="eastAsia" w:ascii="Times New Roman" w:hAnsi="Times New Roman" w:eastAsia="宋体" w:cs="Times New Roman"/>
          <w:b/>
          <w:bCs/>
          <w:spacing w:val="5"/>
          <w:sz w:val="23"/>
          <w:szCs w:val="23"/>
          <w:highlight w:val="none"/>
          <w:lang w:val="en-US" w:eastAsia="zh-CN"/>
        </w:rPr>
        <w:t>2</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面源污染物</w:t>
      </w:r>
      <w:r>
        <w:rPr>
          <w:rFonts w:hint="default" w:ascii="Times New Roman" w:hAnsi="Times New Roman" w:eastAsia="宋体"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(颗粒物)</w:t>
      </w:r>
      <w:r>
        <w:rPr>
          <w:rFonts w:hint="default" w:ascii="Times New Roman" w:hAnsi="Times New Roman" w:eastAsia="宋体"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大气估算模式的相关参数表</w:t>
      </w:r>
    </w:p>
    <w:p>
      <w:pPr>
        <w:spacing w:line="23" w:lineRule="exact"/>
        <w:rPr>
          <w:rFonts w:hint="default" w:ascii="Times New Roman" w:hAnsi="Times New Roman" w:cs="Times New Roman"/>
          <w:highlight w:val="none"/>
        </w:rPr>
      </w:pPr>
    </w:p>
    <w:tbl>
      <w:tblPr>
        <w:tblStyle w:val="15"/>
        <w:tblW w:w="91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719"/>
        <w:gridCol w:w="721"/>
        <w:gridCol w:w="730"/>
        <w:gridCol w:w="637"/>
        <w:gridCol w:w="903"/>
        <w:gridCol w:w="816"/>
        <w:gridCol w:w="564"/>
        <w:gridCol w:w="829"/>
        <w:gridCol w:w="755"/>
        <w:gridCol w:w="10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09"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污染源名称</w:t>
            </w:r>
          </w:p>
        </w:tc>
        <w:tc>
          <w:tcPr>
            <w:tcW w:w="719"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面源形状</w:t>
            </w:r>
          </w:p>
        </w:tc>
        <w:tc>
          <w:tcPr>
            <w:tcW w:w="721"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面源海拔高度/m</w:t>
            </w:r>
          </w:p>
        </w:tc>
        <w:tc>
          <w:tcPr>
            <w:tcW w:w="730"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长度</w:t>
            </w:r>
          </w:p>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w:t>
            </w:r>
          </w:p>
        </w:tc>
        <w:tc>
          <w:tcPr>
            <w:tcW w:w="637"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宽度</w:t>
            </w:r>
            <w:r>
              <w:rPr>
                <w:rFonts w:hint="default" w:ascii="Times New Roman" w:hAnsi="Times New Roman" w:cs="Times New Roman"/>
                <w:sz w:val="21"/>
                <w:szCs w:val="21"/>
                <w:highlight w:val="none"/>
              </w:rPr>
              <w:t>(m)</w:t>
            </w:r>
          </w:p>
        </w:tc>
        <w:tc>
          <w:tcPr>
            <w:tcW w:w="903"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面源初始排放高度</w:t>
            </w:r>
          </w:p>
        </w:tc>
        <w:tc>
          <w:tcPr>
            <w:tcW w:w="816"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与正北方向夹角/°</w:t>
            </w:r>
          </w:p>
        </w:tc>
        <w:tc>
          <w:tcPr>
            <w:tcW w:w="564"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排放工况</w:t>
            </w:r>
          </w:p>
        </w:tc>
        <w:tc>
          <w:tcPr>
            <w:tcW w:w="829"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年排放小时数</w:t>
            </w:r>
          </w:p>
        </w:tc>
        <w:tc>
          <w:tcPr>
            <w:tcW w:w="755"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污染因子</w:t>
            </w:r>
          </w:p>
        </w:tc>
        <w:tc>
          <w:tcPr>
            <w:tcW w:w="1011"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源强（</w:t>
            </w:r>
            <w:r>
              <w:rPr>
                <w:rFonts w:hint="default" w:ascii="Times New Roman" w:hAnsi="Times New Roman" w:cs="Times New Roman"/>
                <w:snapToGrid w:val="0"/>
                <w:sz w:val="21"/>
                <w:szCs w:val="21"/>
                <w:highlight w:val="none"/>
              </w:rPr>
              <w:t>kg/h</w:t>
            </w:r>
            <w:r>
              <w:rPr>
                <w:rFonts w:hint="default" w:ascii="Times New Roman" w:hAnsi="Times New Roman" w:cs="Times New Roman"/>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509"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eastAsia="宋体" w:cs="Times New Roman"/>
                <w:sz w:val="21"/>
                <w:szCs w:val="21"/>
                <w:highlight w:val="none"/>
                <w:lang w:val="en-US" w:eastAsia="zh-CN"/>
              </w:rPr>
              <w:t>5#生产</w:t>
            </w:r>
            <w:r>
              <w:rPr>
                <w:rFonts w:hint="default" w:ascii="Times New Roman" w:hAnsi="Times New Roman" w:cs="Times New Roman"/>
                <w:sz w:val="21"/>
                <w:szCs w:val="21"/>
                <w:highlight w:val="none"/>
              </w:rPr>
              <w:t>车间</w:t>
            </w:r>
          </w:p>
        </w:tc>
        <w:tc>
          <w:tcPr>
            <w:tcW w:w="719"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矩形</w:t>
            </w:r>
          </w:p>
        </w:tc>
        <w:tc>
          <w:tcPr>
            <w:tcW w:w="721"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44.95</w:t>
            </w:r>
          </w:p>
        </w:tc>
        <w:tc>
          <w:tcPr>
            <w:tcW w:w="730" w:type="dxa"/>
            <w:tcBorders>
              <w:tl2br w:val="nil"/>
              <w:tr2bl w:val="nil"/>
            </w:tcBorders>
            <w:vAlign w:val="center"/>
          </w:tcPr>
          <w:p>
            <w:pPr>
              <w:tabs>
                <w:tab w:val="left" w:pos="0"/>
              </w:tabs>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60</w:t>
            </w:r>
          </w:p>
        </w:tc>
        <w:tc>
          <w:tcPr>
            <w:tcW w:w="637" w:type="dxa"/>
            <w:tcBorders>
              <w:tl2br w:val="nil"/>
              <w:tr2bl w:val="nil"/>
            </w:tcBorders>
            <w:vAlign w:val="center"/>
          </w:tcPr>
          <w:p>
            <w:pPr>
              <w:tabs>
                <w:tab w:val="left" w:pos="0"/>
              </w:tabs>
              <w:spacing w:line="240" w:lineRule="auto"/>
              <w:ind w:firstLine="0" w:firstLineChars="0"/>
              <w:jc w:val="center"/>
              <w:rPr>
                <w:rFonts w:hint="default"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30</w:t>
            </w:r>
          </w:p>
        </w:tc>
        <w:tc>
          <w:tcPr>
            <w:tcW w:w="903" w:type="dxa"/>
            <w:tcBorders>
              <w:tl2br w:val="nil"/>
              <w:tr2bl w:val="nil"/>
            </w:tcBorders>
            <w:vAlign w:val="center"/>
          </w:tcPr>
          <w:p>
            <w:pPr>
              <w:tabs>
                <w:tab w:val="left" w:pos="0"/>
              </w:tabs>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w:t>
            </w:r>
          </w:p>
        </w:tc>
        <w:tc>
          <w:tcPr>
            <w:tcW w:w="816"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564"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正常工况</w:t>
            </w:r>
          </w:p>
        </w:tc>
        <w:tc>
          <w:tcPr>
            <w:tcW w:w="829"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eastAsia" w:ascii="Times New Roman" w:hAnsi="Times New Roman" w:eastAsia="宋体" w:cs="Times New Roman"/>
                <w:sz w:val="21"/>
                <w:szCs w:val="21"/>
                <w:highlight w:val="none"/>
                <w:lang w:val="en-US" w:eastAsia="zh-CN"/>
              </w:rPr>
              <w:t>20</w:t>
            </w:r>
            <w:r>
              <w:rPr>
                <w:rFonts w:hint="default" w:ascii="Times New Roman" w:hAnsi="Times New Roman" w:cs="Times New Roman"/>
                <w:sz w:val="21"/>
                <w:szCs w:val="21"/>
                <w:highlight w:val="none"/>
              </w:rPr>
              <w:t>00h</w:t>
            </w:r>
          </w:p>
        </w:tc>
        <w:tc>
          <w:tcPr>
            <w:tcW w:w="755" w:type="dxa"/>
            <w:tcBorders>
              <w:tl2br w:val="nil"/>
              <w:tr2bl w:val="nil"/>
            </w:tcBorders>
            <w:vAlign w:val="center"/>
          </w:tcPr>
          <w:p>
            <w:pPr>
              <w:tabs>
                <w:tab w:val="left" w:pos="0"/>
              </w:tabs>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TSP</w:t>
            </w:r>
          </w:p>
        </w:tc>
        <w:tc>
          <w:tcPr>
            <w:tcW w:w="1011" w:type="dxa"/>
            <w:tcBorders>
              <w:tl2br w:val="nil"/>
              <w:tr2bl w:val="nil"/>
            </w:tcBorders>
            <w:vAlign w:val="center"/>
          </w:tcPr>
          <w:p>
            <w:pPr>
              <w:tabs>
                <w:tab w:val="left" w:pos="0"/>
              </w:tabs>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bl>
    <w:p>
      <w:pPr>
        <w:rPr>
          <w:rFonts w:hint="default" w:ascii="Times New Roman" w:hAnsi="Times New Roman" w:cs="Times New Roman"/>
          <w:sz w:val="21"/>
          <w:highlight w:val="none"/>
        </w:rPr>
      </w:pPr>
    </w:p>
    <w:p>
      <w:pPr>
        <w:spacing w:before="75" w:line="227" w:lineRule="auto"/>
        <w:ind w:left="11"/>
        <w:outlineLvl w:val="2"/>
        <w:rPr>
          <w:rFonts w:hint="default" w:ascii="Times New Roman" w:hAnsi="Times New Roman" w:eastAsia="宋体" w:cs="Times New Roman"/>
          <w:sz w:val="23"/>
          <w:szCs w:val="23"/>
          <w:highlight w:val="none"/>
        </w:rPr>
      </w:pPr>
      <w:bookmarkStart w:id="463" w:name="_Toc16261"/>
      <w:bookmarkStart w:id="464" w:name="_Toc26621"/>
      <w:bookmarkStart w:id="465" w:name="_Toc521"/>
      <w:r>
        <w:rPr>
          <w:rFonts w:hint="default" w:ascii="Times New Roman" w:hAnsi="Times New Roman" w:eastAsia="Times New Roman" w:cs="Times New Roman"/>
          <w:spacing w:val="8"/>
          <w:sz w:val="23"/>
          <w:szCs w:val="23"/>
          <w:highlight w:val="none"/>
        </w:rPr>
        <w:t>5</w:t>
      </w:r>
      <w:r>
        <w:rPr>
          <w:rFonts w:hint="default" w:ascii="Times New Roman" w:hAnsi="Times New Roman" w:eastAsia="Times New Roman" w:cs="Times New Roman"/>
          <w:spacing w:val="6"/>
          <w:sz w:val="23"/>
          <w:szCs w:val="23"/>
          <w:highlight w:val="none"/>
        </w:rPr>
        <w:t xml:space="preserve">.2.1.3 </w:t>
      </w:r>
      <w:r>
        <w:rPr>
          <w:rFonts w:hint="default" w:ascii="Times New Roman" w:hAnsi="Times New Roman" w:eastAsia="宋体" w:cs="Times New Roman"/>
          <w:spacing w:val="6"/>
          <w:sz w:val="23"/>
          <w:szCs w:val="23"/>
          <w:highlight w:val="none"/>
        </w:rPr>
        <w:t>环境空气影响预测</w:t>
      </w:r>
      <w:bookmarkEnd w:id="463"/>
      <w:bookmarkEnd w:id="464"/>
      <w:bookmarkEnd w:id="465"/>
    </w:p>
    <w:p>
      <w:pPr>
        <w:spacing w:line="241" w:lineRule="auto"/>
        <w:rPr>
          <w:rFonts w:hint="default" w:ascii="Times New Roman" w:hAnsi="Times New Roman" w:cs="Times New Roman"/>
          <w:sz w:val="21"/>
          <w:highlight w:val="none"/>
        </w:rPr>
      </w:pPr>
    </w:p>
    <w:p>
      <w:pPr>
        <w:spacing w:before="75" w:line="399" w:lineRule="auto"/>
        <w:ind w:left="11"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本项目大气评级等级为二级，不需要进行进一步预测与评价，按照《环境影响评价技术导则—大气环境》（HJ2.2—2018）中估算模式及参数，计算污染物的最大地面浓度以及占标率Pi</w:t>
      </w:r>
      <w:r>
        <w:rPr>
          <w:rFonts w:hint="default" w:ascii="Times New Roman" w:hAnsi="Times New Roman" w:eastAsia="宋体" w:cs="Times New Roman"/>
          <w:spacing w:val="-4"/>
          <w:sz w:val="23"/>
          <w:szCs w:val="23"/>
          <w:highlight w:val="none"/>
        </w:rPr>
        <w:t>，计算结果</w:t>
      </w:r>
      <w:r>
        <w:rPr>
          <w:rFonts w:hint="default" w:ascii="Times New Roman" w:hAnsi="Times New Roman" w:eastAsia="宋体" w:cs="Times New Roman"/>
          <w:spacing w:val="-2"/>
          <w:sz w:val="23"/>
          <w:szCs w:val="23"/>
          <w:highlight w:val="none"/>
        </w:rPr>
        <w:t xml:space="preserve">见表 </w:t>
      </w:r>
      <w:r>
        <w:rPr>
          <w:rFonts w:hint="default" w:ascii="Times New Roman" w:hAnsi="Times New Roman" w:eastAsia="Times New Roman" w:cs="Times New Roman"/>
          <w:spacing w:val="-2"/>
          <w:sz w:val="23"/>
          <w:szCs w:val="23"/>
          <w:highlight w:val="none"/>
        </w:rPr>
        <w:t>5.2-</w:t>
      </w:r>
      <w:r>
        <w:rPr>
          <w:rFonts w:hint="eastAsia" w:ascii="Times New Roman" w:hAnsi="Times New Roman" w:eastAsia="宋体" w:cs="Times New Roman"/>
          <w:spacing w:val="-2"/>
          <w:sz w:val="23"/>
          <w:szCs w:val="23"/>
          <w:highlight w:val="none"/>
          <w:lang w:val="en-US" w:eastAsia="zh-CN"/>
        </w:rPr>
        <w:t>3</w:t>
      </w:r>
      <w:r>
        <w:rPr>
          <w:rFonts w:hint="default" w:ascii="Times New Roman" w:hAnsi="Times New Roman" w:eastAsia="宋体" w:cs="Times New Roman"/>
          <w:spacing w:val="-2"/>
          <w:sz w:val="23"/>
          <w:szCs w:val="23"/>
          <w:highlight w:val="none"/>
        </w:rPr>
        <w:t>。</w:t>
      </w:r>
    </w:p>
    <w:p>
      <w:pPr>
        <w:tabs>
          <w:tab w:val="left" w:pos="1244"/>
        </w:tabs>
        <w:bidi w:val="0"/>
        <w:jc w:val="left"/>
        <w:rPr>
          <w:rFonts w:hint="default" w:ascii="Times New Roman" w:hAnsi="Times New Roman" w:eastAsia="宋体" w:cs="Times New Roman"/>
          <w:sz w:val="23"/>
          <w:szCs w:val="23"/>
          <w:highlight w:val="none"/>
        </w:rPr>
      </w:pPr>
      <w:r>
        <w:rPr>
          <w:rFonts w:hint="eastAsia" w:eastAsia="宋体"/>
          <w:highlight w:val="none"/>
          <w:lang w:eastAsia="zh-CN"/>
        </w:rPr>
        <w:tab/>
      </w:r>
      <w:r>
        <w:rPr>
          <w:rFonts w:hint="default" w:ascii="Times New Roman" w:hAnsi="Times New Roman" w:cs="Times New Roman"/>
          <w:highlight w:val="none"/>
        </w:rPr>
        <w:pict>
          <v:rect id="_x0000_s1203" o:spid="_x0000_s1203" o:spt="1" style="position:absolute;left:0pt;margin-left:82.2pt;margin-top:790.05pt;height:0.75pt;width:445.1pt;mso-position-horizontal-relative:page;mso-position-vertical-relative:page;z-index:251730944;mso-width-relative:page;mso-height-relative:page;" filled="f" stroked="f" coordsize="21600,21600" o:allowincell="f">
            <v:path/>
            <v:fill on="f" focussize="0,0"/>
            <v:stroke on="f"/>
            <v:imagedata o:title=""/>
            <o:lock v:ext="edit" aspectratio="f"/>
          </v:rect>
        </w:pict>
      </w:r>
      <w:r>
        <w:rPr>
          <w:rFonts w:hint="default" w:ascii="Times New Roman" w:hAnsi="Times New Roman" w:cs="Times New Roman"/>
          <w:highlight w:val="none"/>
        </w:rPr>
        <w:pict>
          <v:shape id="_x0000_s1204" o:spid="_x0000_s1204" style="position:absolute;left:0pt;margin-left:82.2pt;margin-top:52.5pt;height:0.75pt;width:445.1pt;mso-position-horizontal-relative:page;mso-position-vertical-relative:page;z-index:251731968;mso-width-relative:page;mso-height-relative:page;" fillcolor="#000000" filled="t" stroked="f" coordsize="8902,15" o:allowincell="f" path="m0,0l8901,0,8901,14,0,14,0,0xe">
            <v:path/>
            <v:fill on="t" focussize="0,0"/>
            <v:stroke on="f"/>
            <v:imagedata o:title=""/>
            <o:lock v:ext="edit"/>
          </v:shape>
        </w:pic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3"/>
          <w:sz w:val="23"/>
          <w:szCs w:val="23"/>
          <w:highlight w:val="none"/>
        </w:rPr>
        <w:t xml:space="preserve"> </w:t>
      </w:r>
      <w:r>
        <w:rPr>
          <w:rFonts w:hint="default" w:ascii="Times New Roman" w:hAnsi="Times New Roman" w:eastAsia="Times New Roman" w:cs="Times New Roman"/>
          <w:b/>
          <w:bCs/>
          <w:spacing w:val="3"/>
          <w:sz w:val="23"/>
          <w:szCs w:val="23"/>
          <w:highlight w:val="none"/>
        </w:rPr>
        <w:t>5.2-</w:t>
      </w:r>
      <w:r>
        <w:rPr>
          <w:rFonts w:hint="eastAsia" w:ascii="Times New Roman" w:hAnsi="Times New Roman" w:eastAsia="宋体" w:cs="Times New Roman"/>
          <w:b/>
          <w:bCs/>
          <w:spacing w:val="3"/>
          <w:sz w:val="23"/>
          <w:szCs w:val="23"/>
          <w:highlight w:val="none"/>
          <w:lang w:val="en-US" w:eastAsia="zh-CN"/>
        </w:rPr>
        <w:t>3</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污染物最大地面浓度及占标率一览表</w:t>
      </w:r>
    </w:p>
    <w:p>
      <w:pPr>
        <w:spacing w:line="20" w:lineRule="exact"/>
        <w:rPr>
          <w:rFonts w:hint="default" w:ascii="Times New Roman" w:hAnsi="Times New Roman" w:cs="Times New Roman"/>
          <w:highlight w:val="none"/>
        </w:rPr>
      </w:pPr>
    </w:p>
    <w:tbl>
      <w:tblPr>
        <w:tblStyle w:val="15"/>
        <w:tblW w:w="8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7"/>
        <w:gridCol w:w="603"/>
        <w:gridCol w:w="679"/>
        <w:gridCol w:w="2045"/>
        <w:gridCol w:w="1601"/>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89" w:type="dxa"/>
            <w:gridSpan w:val="3"/>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污染源名称</w:t>
            </w:r>
          </w:p>
        </w:tc>
        <w:tc>
          <w:tcPr>
            <w:tcW w:w="2045" w:type="dxa"/>
            <w:tcBorders>
              <w:tl2br w:val="nil"/>
              <w:tr2bl w:val="nil"/>
            </w:tcBorders>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Cmax</w:t>
            </w:r>
          </w:p>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w:t>
            </w:r>
            <w:r>
              <w:rPr>
                <w:rFonts w:hint="default" w:ascii="Times New Roman" w:hAnsi="Times New Roman" w:eastAsia="宋体" w:cs="Times New Roman"/>
                <w:sz w:val="21"/>
                <w:szCs w:val="21"/>
                <w:highlight w:val="none"/>
              </w:rPr>
              <w:t>μg/m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kern w:val="2"/>
                <w:sz w:val="21"/>
                <w:szCs w:val="21"/>
                <w:highlight w:val="none"/>
              </w:rPr>
              <w:t>）</w:t>
            </w:r>
          </w:p>
        </w:tc>
        <w:tc>
          <w:tcPr>
            <w:tcW w:w="1601" w:type="dxa"/>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Pmax</w:t>
            </w:r>
          </w:p>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w:t>
            </w:r>
          </w:p>
        </w:tc>
        <w:tc>
          <w:tcPr>
            <w:tcW w:w="1396" w:type="dxa"/>
            <w:tcBorders>
              <w:tl2br w:val="nil"/>
              <w:tr2bl w:val="nil"/>
            </w:tcBorders>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D10%</w:t>
            </w:r>
          </w:p>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07" w:type="dxa"/>
            <w:vMerge w:val="restart"/>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7#</w:t>
            </w:r>
            <w:r>
              <w:rPr>
                <w:rFonts w:hint="default" w:ascii="Times New Roman" w:hAnsi="Times New Roman" w:eastAsia="宋体" w:cs="Times New Roman"/>
                <w:kern w:val="2"/>
                <w:sz w:val="21"/>
                <w:szCs w:val="21"/>
                <w:highlight w:val="none"/>
              </w:rPr>
              <w:t>生产线</w:t>
            </w:r>
          </w:p>
        </w:tc>
        <w:tc>
          <w:tcPr>
            <w:tcW w:w="603" w:type="dxa"/>
            <w:vMerge w:val="restart"/>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点源</w:t>
            </w:r>
          </w:p>
        </w:tc>
        <w:tc>
          <w:tcPr>
            <w:tcW w:w="679" w:type="dxa"/>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PM</w:t>
            </w:r>
            <w:r>
              <w:rPr>
                <w:rFonts w:hint="default" w:ascii="Times New Roman" w:hAnsi="Times New Roman" w:eastAsia="宋体" w:cs="Times New Roman"/>
                <w:kern w:val="2"/>
                <w:sz w:val="21"/>
                <w:szCs w:val="21"/>
                <w:highlight w:val="none"/>
                <w:vertAlign w:val="subscript"/>
              </w:rPr>
              <w:t>10</w:t>
            </w:r>
          </w:p>
        </w:tc>
        <w:tc>
          <w:tcPr>
            <w:tcW w:w="2045" w:type="dxa"/>
            <w:tcBorders>
              <w:tl2br w:val="nil"/>
              <w:tr2bl w:val="nil"/>
            </w:tcBorders>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7.88</w:t>
            </w:r>
          </w:p>
        </w:tc>
        <w:tc>
          <w:tcPr>
            <w:tcW w:w="1601" w:type="dxa"/>
            <w:tcBorders>
              <w:tl2br w:val="nil"/>
              <w:tr2bl w:val="nil"/>
            </w:tcBorders>
            <w:tcMar>
              <w:left w:w="28" w:type="dxa"/>
              <w:right w:w="28" w:type="dxa"/>
            </w:tcMar>
            <w:vAlign w:val="center"/>
          </w:tcPr>
          <w:p>
            <w:pPr>
              <w:widowControl/>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1.76</w:t>
            </w:r>
          </w:p>
        </w:tc>
        <w:tc>
          <w:tcPr>
            <w:tcW w:w="1396"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07" w:type="dxa"/>
            <w:vMerge w:val="continue"/>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603" w:type="dxa"/>
            <w:vMerge w:val="continue"/>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p>
        </w:tc>
        <w:tc>
          <w:tcPr>
            <w:tcW w:w="679" w:type="dxa"/>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PM</w:t>
            </w:r>
            <w:r>
              <w:rPr>
                <w:rFonts w:hint="default" w:ascii="Times New Roman" w:hAnsi="Times New Roman" w:eastAsia="宋体" w:cs="Times New Roman"/>
                <w:kern w:val="2"/>
                <w:sz w:val="21"/>
                <w:szCs w:val="21"/>
                <w:highlight w:val="none"/>
                <w:vertAlign w:val="subscript"/>
              </w:rPr>
              <w:t>2.5</w:t>
            </w:r>
          </w:p>
        </w:tc>
        <w:tc>
          <w:tcPr>
            <w:tcW w:w="2045" w:type="dxa"/>
            <w:tcBorders>
              <w:tl2br w:val="nil"/>
              <w:tr2bl w:val="nil"/>
            </w:tcBorders>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3.96</w:t>
            </w:r>
          </w:p>
        </w:tc>
        <w:tc>
          <w:tcPr>
            <w:tcW w:w="1601" w:type="dxa"/>
            <w:tcBorders>
              <w:tl2br w:val="nil"/>
              <w:tr2bl w:val="nil"/>
            </w:tcBorders>
            <w:tcMar>
              <w:left w:w="28" w:type="dxa"/>
              <w:right w:w="28" w:type="dxa"/>
            </w:tcMar>
            <w:vAlign w:val="center"/>
          </w:tcPr>
          <w:p>
            <w:pPr>
              <w:widowControl/>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1.76</w:t>
            </w:r>
          </w:p>
        </w:tc>
        <w:tc>
          <w:tcPr>
            <w:tcW w:w="1396" w:type="dxa"/>
            <w:tcBorders>
              <w:tl2br w:val="nil"/>
              <w:tr2bl w:val="nil"/>
            </w:tcBorders>
            <w:vAlign w:val="center"/>
          </w:tcPr>
          <w:p>
            <w:pPr>
              <w:widowControl/>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07" w:type="dxa"/>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5#生产</w:t>
            </w:r>
            <w:r>
              <w:rPr>
                <w:rFonts w:hint="default" w:ascii="Times New Roman" w:hAnsi="Times New Roman" w:eastAsia="宋体" w:cs="Times New Roman"/>
                <w:kern w:val="2"/>
                <w:sz w:val="21"/>
                <w:szCs w:val="21"/>
                <w:highlight w:val="none"/>
              </w:rPr>
              <w:t>车间</w:t>
            </w:r>
          </w:p>
        </w:tc>
        <w:tc>
          <w:tcPr>
            <w:tcW w:w="1282" w:type="dxa"/>
            <w:gridSpan w:val="2"/>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面源</w:t>
            </w:r>
          </w:p>
        </w:tc>
        <w:tc>
          <w:tcPr>
            <w:tcW w:w="2045" w:type="dxa"/>
            <w:tcBorders>
              <w:tl2br w:val="nil"/>
              <w:tr2bl w:val="nil"/>
            </w:tcBorders>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47.02</w:t>
            </w:r>
          </w:p>
        </w:tc>
        <w:tc>
          <w:tcPr>
            <w:tcW w:w="1601" w:type="dxa"/>
            <w:tcBorders>
              <w:tl2br w:val="nil"/>
              <w:tr2bl w:val="nil"/>
            </w:tcBorders>
            <w:tcMar>
              <w:left w:w="28" w:type="dxa"/>
              <w:right w:w="28" w:type="dxa"/>
            </w:tcMar>
            <w:vAlign w:val="center"/>
          </w:tcPr>
          <w:p>
            <w:pPr>
              <w:widowControl/>
              <w:autoSpaceDE w:val="0"/>
              <w:autoSpaceDN w:val="0"/>
              <w:adjustRightIn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5.22</w:t>
            </w:r>
          </w:p>
        </w:tc>
        <w:tc>
          <w:tcPr>
            <w:tcW w:w="1396" w:type="dxa"/>
            <w:tcBorders>
              <w:tl2br w:val="nil"/>
              <w:tr2bl w:val="nil"/>
            </w:tcBorders>
          </w:tcPr>
          <w:p>
            <w:pPr>
              <w:widowControl/>
              <w:spacing w:line="240" w:lineRule="auto"/>
              <w:ind w:firstLine="0" w:firstLineChars="0"/>
              <w:jc w:val="center"/>
              <w:textAlignment w:val="auto"/>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rPr>
              <w:t>—</w:t>
            </w:r>
          </w:p>
        </w:tc>
      </w:tr>
    </w:tbl>
    <w:p>
      <w:pPr>
        <w:spacing w:before="160" w:line="401" w:lineRule="auto"/>
        <w:ind w:left="134" w:right="120"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按估算模式进</w:t>
      </w:r>
      <w:r>
        <w:rPr>
          <w:rFonts w:hint="default" w:ascii="Times New Roman" w:hAnsi="Times New Roman" w:eastAsia="宋体" w:cs="Times New Roman"/>
          <w:spacing w:val="6"/>
          <w:sz w:val="23"/>
          <w:szCs w:val="23"/>
          <w:highlight w:val="none"/>
        </w:rPr>
        <w:t>行</w:t>
      </w:r>
      <w:r>
        <w:rPr>
          <w:rFonts w:hint="default" w:ascii="Times New Roman" w:hAnsi="Times New Roman" w:eastAsia="宋体" w:cs="Times New Roman"/>
          <w:spacing w:val="5"/>
          <w:sz w:val="23"/>
          <w:szCs w:val="23"/>
          <w:highlight w:val="none"/>
        </w:rPr>
        <w:t>计算，有组织</w:t>
      </w:r>
      <w:r>
        <w:rPr>
          <w:rFonts w:hint="eastAsia" w:ascii="Times New Roman" w:hAnsi="Times New Roman" w:eastAsia="宋体" w:cs="Times New Roman"/>
          <w:spacing w:val="5"/>
          <w:sz w:val="23"/>
          <w:szCs w:val="23"/>
          <w:highlight w:val="none"/>
          <w:lang w:val="en-US" w:eastAsia="zh-CN"/>
        </w:rPr>
        <w:t>废气PM</w:t>
      </w:r>
      <w:r>
        <w:rPr>
          <w:rFonts w:hint="eastAsia" w:ascii="Times New Roman" w:hAnsi="Times New Roman" w:eastAsia="宋体" w:cs="Times New Roman"/>
          <w:spacing w:val="5"/>
          <w:sz w:val="23"/>
          <w:szCs w:val="23"/>
          <w:highlight w:val="none"/>
          <w:vertAlign w:val="subscript"/>
          <w:lang w:val="en-US" w:eastAsia="zh-CN"/>
        </w:rPr>
        <w:t>10</w:t>
      </w:r>
      <w:r>
        <w:rPr>
          <w:rFonts w:hint="default" w:ascii="Times New Roman" w:hAnsi="Times New Roman" w:eastAsia="宋体" w:cs="Times New Roman"/>
          <w:spacing w:val="5"/>
          <w:sz w:val="23"/>
          <w:szCs w:val="23"/>
          <w:highlight w:val="none"/>
        </w:rPr>
        <w:t xml:space="preserve">最大落地浓度为 </w:t>
      </w:r>
      <w:r>
        <w:rPr>
          <w:rFonts w:hint="default" w:ascii="Times New Roman" w:hAnsi="Times New Roman" w:eastAsia="Times New Roman" w:cs="Times New Roman"/>
          <w:spacing w:val="5"/>
          <w:sz w:val="23"/>
          <w:szCs w:val="23"/>
          <w:highlight w:val="none"/>
        </w:rPr>
        <w:t>0.0</w:t>
      </w:r>
      <w:r>
        <w:rPr>
          <w:rFonts w:hint="eastAsia" w:ascii="Times New Roman" w:hAnsi="Times New Roman" w:eastAsia="宋体" w:cs="Times New Roman"/>
          <w:spacing w:val="5"/>
          <w:sz w:val="23"/>
          <w:szCs w:val="23"/>
          <w:highlight w:val="none"/>
          <w:lang w:val="en-US" w:eastAsia="zh-CN"/>
        </w:rPr>
        <w:t>0788</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position w:val="8"/>
          <w:sz w:val="15"/>
          <w:szCs w:val="15"/>
          <w:highlight w:val="none"/>
        </w:rPr>
        <w:t xml:space="preserve">3 </w:t>
      </w:r>
      <w:r>
        <w:rPr>
          <w:rFonts w:hint="default" w:ascii="Times New Roman" w:hAnsi="Times New Roman" w:eastAsia="宋体" w:cs="Times New Roman"/>
          <w:spacing w:val="5"/>
          <w:sz w:val="23"/>
          <w:szCs w:val="23"/>
          <w:highlight w:val="none"/>
        </w:rPr>
        <w:t>，最大占标率</w:t>
      </w:r>
      <w:r>
        <w:rPr>
          <w:rFonts w:hint="default" w:ascii="Times New Roman" w:hAnsi="Times New Roman" w:eastAsia="宋体" w:cs="Times New Roman"/>
          <w:spacing w:val="6"/>
          <w:sz w:val="23"/>
          <w:szCs w:val="23"/>
          <w:highlight w:val="none"/>
        </w:rPr>
        <w:t>为</w:t>
      </w:r>
      <w:r>
        <w:rPr>
          <w:rFonts w:hint="eastAsia" w:ascii="Times New Roman" w:hAnsi="Times New Roman" w:eastAsia="宋体" w:cs="Times New Roman"/>
          <w:spacing w:val="5"/>
          <w:sz w:val="23"/>
          <w:szCs w:val="23"/>
          <w:highlight w:val="none"/>
          <w:lang w:val="en-US" w:eastAsia="zh-CN"/>
        </w:rPr>
        <w:t>176</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3"/>
          <w:position w:val="-1"/>
          <w:sz w:val="15"/>
          <w:szCs w:val="15"/>
          <w:highlight w:val="none"/>
        </w:rPr>
        <w:t>10%</w:t>
      </w:r>
      <w:r>
        <w:rPr>
          <w:rFonts w:hint="default" w:ascii="Times New Roman" w:hAnsi="Times New Roman" w:eastAsia="宋体" w:cs="Times New Roman"/>
          <w:spacing w:val="3"/>
          <w:sz w:val="23"/>
          <w:szCs w:val="23"/>
          <w:highlight w:val="none"/>
        </w:rPr>
        <w:t>未出现</w:t>
      </w:r>
      <w:r>
        <w:rPr>
          <w:rFonts w:hint="eastAsia" w:ascii="Times New Roman" w:hAnsi="Times New Roman" w:eastAsia="宋体" w:cs="Times New Roman"/>
          <w:spacing w:val="3"/>
          <w:sz w:val="23"/>
          <w:szCs w:val="23"/>
          <w:highlight w:val="none"/>
          <w:lang w:eastAsia="zh-CN"/>
        </w:rPr>
        <w:t>，</w:t>
      </w:r>
      <w:r>
        <w:rPr>
          <w:rFonts w:hint="default" w:ascii="Times New Roman" w:hAnsi="Times New Roman" w:eastAsia="宋体" w:cs="Times New Roman"/>
          <w:spacing w:val="5"/>
          <w:sz w:val="23"/>
          <w:szCs w:val="23"/>
          <w:highlight w:val="none"/>
        </w:rPr>
        <w:t>有组织</w:t>
      </w:r>
      <w:r>
        <w:rPr>
          <w:rFonts w:hint="eastAsia" w:ascii="Times New Roman" w:hAnsi="Times New Roman" w:eastAsia="宋体" w:cs="Times New Roman"/>
          <w:spacing w:val="5"/>
          <w:sz w:val="23"/>
          <w:szCs w:val="23"/>
          <w:highlight w:val="none"/>
          <w:lang w:val="en-US" w:eastAsia="zh-CN"/>
        </w:rPr>
        <w:t>废气PM</w:t>
      </w:r>
      <w:r>
        <w:rPr>
          <w:rFonts w:hint="eastAsia" w:ascii="Times New Roman" w:hAnsi="Times New Roman" w:eastAsia="宋体" w:cs="Times New Roman"/>
          <w:spacing w:val="5"/>
          <w:sz w:val="23"/>
          <w:szCs w:val="23"/>
          <w:highlight w:val="none"/>
          <w:vertAlign w:val="subscript"/>
          <w:lang w:val="en-US" w:eastAsia="zh-CN"/>
        </w:rPr>
        <w:t>2.5</w:t>
      </w:r>
      <w:r>
        <w:rPr>
          <w:rFonts w:hint="default" w:ascii="Times New Roman" w:hAnsi="Times New Roman" w:eastAsia="宋体" w:cs="Times New Roman"/>
          <w:spacing w:val="5"/>
          <w:sz w:val="23"/>
          <w:szCs w:val="23"/>
          <w:highlight w:val="none"/>
        </w:rPr>
        <w:t xml:space="preserve">最大落地浓度为 </w:t>
      </w:r>
      <w:r>
        <w:rPr>
          <w:rFonts w:hint="default" w:ascii="Times New Roman" w:hAnsi="Times New Roman" w:eastAsia="Times New Roman" w:cs="Times New Roman"/>
          <w:spacing w:val="5"/>
          <w:sz w:val="23"/>
          <w:szCs w:val="23"/>
          <w:highlight w:val="none"/>
        </w:rPr>
        <w:t>0.0</w:t>
      </w:r>
      <w:r>
        <w:rPr>
          <w:rFonts w:hint="eastAsia" w:ascii="Times New Roman" w:hAnsi="Times New Roman" w:eastAsia="宋体" w:cs="Times New Roman"/>
          <w:spacing w:val="5"/>
          <w:sz w:val="23"/>
          <w:szCs w:val="23"/>
          <w:highlight w:val="none"/>
          <w:lang w:val="en-US" w:eastAsia="zh-CN"/>
        </w:rPr>
        <w:t>0396</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position w:val="8"/>
          <w:sz w:val="15"/>
          <w:szCs w:val="15"/>
          <w:highlight w:val="none"/>
        </w:rPr>
        <w:t xml:space="preserve">3 </w:t>
      </w:r>
      <w:r>
        <w:rPr>
          <w:rFonts w:hint="default" w:ascii="Times New Roman" w:hAnsi="Times New Roman" w:eastAsia="宋体" w:cs="Times New Roman"/>
          <w:spacing w:val="5"/>
          <w:sz w:val="23"/>
          <w:szCs w:val="23"/>
          <w:highlight w:val="none"/>
        </w:rPr>
        <w:t>，最大占标率</w:t>
      </w:r>
      <w:r>
        <w:rPr>
          <w:rFonts w:hint="default" w:ascii="Times New Roman" w:hAnsi="Times New Roman" w:eastAsia="宋体" w:cs="Times New Roman"/>
          <w:spacing w:val="6"/>
          <w:sz w:val="23"/>
          <w:szCs w:val="23"/>
          <w:highlight w:val="none"/>
        </w:rPr>
        <w:t>为</w:t>
      </w:r>
      <w:r>
        <w:rPr>
          <w:rFonts w:hint="eastAsia" w:ascii="Times New Roman" w:hAnsi="Times New Roman" w:eastAsia="宋体" w:cs="Times New Roman"/>
          <w:spacing w:val="5"/>
          <w:sz w:val="23"/>
          <w:szCs w:val="23"/>
          <w:highlight w:val="none"/>
          <w:lang w:val="en-US" w:eastAsia="zh-CN"/>
        </w:rPr>
        <w:t>1.76</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3"/>
          <w:position w:val="-1"/>
          <w:sz w:val="15"/>
          <w:szCs w:val="15"/>
          <w:highlight w:val="none"/>
        </w:rPr>
        <w:t>10%</w:t>
      </w:r>
      <w:r>
        <w:rPr>
          <w:rFonts w:hint="default" w:ascii="Times New Roman" w:hAnsi="Times New Roman" w:eastAsia="宋体" w:cs="Times New Roman"/>
          <w:spacing w:val="3"/>
          <w:sz w:val="23"/>
          <w:szCs w:val="23"/>
          <w:highlight w:val="none"/>
        </w:rPr>
        <w:t xml:space="preserve">未出现；颗粒物无组织最大落地浓度为 </w:t>
      </w:r>
      <w:r>
        <w:rPr>
          <w:rFonts w:hint="default" w:ascii="Times New Roman" w:hAnsi="Times New Roman" w:eastAsia="Times New Roman" w:cs="Times New Roman"/>
          <w:spacing w:val="3"/>
          <w:sz w:val="23"/>
          <w:szCs w:val="23"/>
          <w:highlight w:val="none"/>
        </w:rPr>
        <w:t>0.0</w:t>
      </w:r>
      <w:r>
        <w:rPr>
          <w:rFonts w:hint="eastAsia" w:ascii="Times New Roman" w:hAnsi="Times New Roman" w:eastAsia="宋体" w:cs="Times New Roman"/>
          <w:spacing w:val="3"/>
          <w:sz w:val="23"/>
          <w:szCs w:val="23"/>
          <w:highlight w:val="none"/>
          <w:lang w:val="en-US" w:eastAsia="zh-CN"/>
        </w:rPr>
        <w:t>4702</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position w:val="8"/>
          <w:sz w:val="15"/>
          <w:szCs w:val="15"/>
          <w:highlight w:val="none"/>
        </w:rPr>
        <w:t xml:space="preserve">3 </w:t>
      </w:r>
      <w:r>
        <w:rPr>
          <w:rFonts w:hint="default" w:ascii="Times New Roman" w:hAnsi="Times New Roman" w:eastAsia="宋体" w:cs="Times New Roman"/>
          <w:spacing w:val="3"/>
          <w:sz w:val="23"/>
          <w:szCs w:val="23"/>
          <w:highlight w:val="none"/>
        </w:rPr>
        <w:t>，最大占标率为</w:t>
      </w:r>
      <w:r>
        <w:rPr>
          <w:rFonts w:hint="default" w:ascii="Times New Roman" w:hAnsi="Times New Roman" w:eastAsia="宋体" w:cs="Times New Roman"/>
          <w:sz w:val="23"/>
          <w:szCs w:val="23"/>
          <w:highlight w:val="none"/>
        </w:rPr>
        <w:t xml:space="preserve"> </w:t>
      </w:r>
      <w:r>
        <w:rPr>
          <w:rFonts w:hint="eastAsia" w:ascii="Times New Roman" w:hAnsi="Times New Roman" w:eastAsia="宋体" w:cs="Times New Roman"/>
          <w:spacing w:val="12"/>
          <w:sz w:val="23"/>
          <w:szCs w:val="23"/>
          <w:highlight w:val="none"/>
          <w:lang w:val="en-US" w:eastAsia="zh-CN"/>
        </w:rPr>
        <w:t>5.22</w:t>
      </w:r>
      <w:r>
        <w:rPr>
          <w:rFonts w:hint="default" w:ascii="Times New Roman" w:hAnsi="Times New Roman" w:eastAsia="Times New Roman" w:cs="Times New Roman"/>
          <w:spacing w:val="6"/>
          <w:sz w:val="23"/>
          <w:szCs w:val="23"/>
          <w:highlight w:val="none"/>
        </w:rPr>
        <w:t>%</w:t>
      </w:r>
      <w:r>
        <w:rPr>
          <w:rFonts w:hint="default" w:ascii="Times New Roman" w:hAnsi="Times New Roman" w:eastAsia="宋体" w:cs="Times New Roman"/>
          <w:spacing w:val="6"/>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6"/>
          <w:position w:val="-1"/>
          <w:sz w:val="15"/>
          <w:szCs w:val="15"/>
          <w:highlight w:val="none"/>
        </w:rPr>
        <w:t>10%</w:t>
      </w:r>
      <w:r>
        <w:rPr>
          <w:rFonts w:hint="default" w:ascii="Times New Roman" w:hAnsi="Times New Roman" w:eastAsia="宋体" w:cs="Times New Roman"/>
          <w:spacing w:val="6"/>
          <w:sz w:val="23"/>
          <w:szCs w:val="23"/>
          <w:highlight w:val="none"/>
        </w:rPr>
        <w:t>未出现。分析预测结果表明，项目实施后，不会对周围环境空气质量产生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明显污染影响</w:t>
      </w:r>
      <w:r>
        <w:rPr>
          <w:rFonts w:hint="default" w:ascii="Times New Roman" w:hAnsi="Times New Roman" w:eastAsia="宋体" w:cs="Times New Roman"/>
          <w:spacing w:val="5"/>
          <w:sz w:val="23"/>
          <w:szCs w:val="23"/>
          <w:highlight w:val="none"/>
        </w:rPr>
        <w:t>。</w:t>
      </w:r>
    </w:p>
    <w:p>
      <w:pPr>
        <w:spacing w:before="157" w:line="227" w:lineRule="auto"/>
        <w:ind w:left="133"/>
        <w:outlineLvl w:val="2"/>
        <w:rPr>
          <w:rFonts w:hint="default" w:ascii="Times New Roman" w:hAnsi="Times New Roman" w:eastAsia="宋体" w:cs="Times New Roman"/>
          <w:sz w:val="23"/>
          <w:szCs w:val="23"/>
          <w:highlight w:val="none"/>
          <w:lang w:val="en-US" w:eastAsia="zh-CN"/>
        </w:rPr>
      </w:pPr>
      <w:bookmarkStart w:id="466" w:name="_Toc20020"/>
      <w:bookmarkStart w:id="467" w:name="_Toc8356"/>
      <w:bookmarkStart w:id="468" w:name="_Toc25286"/>
      <w:r>
        <w:rPr>
          <w:rFonts w:hint="default" w:ascii="Times New Roman" w:hAnsi="Times New Roman" w:eastAsia="Times New Roman" w:cs="Times New Roman"/>
          <w:spacing w:val="10"/>
          <w:sz w:val="23"/>
          <w:szCs w:val="23"/>
          <w:highlight w:val="none"/>
        </w:rPr>
        <w:t>5</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pacing w:val="5"/>
          <w:sz w:val="23"/>
          <w:szCs w:val="23"/>
          <w:highlight w:val="none"/>
        </w:rPr>
        <w:t xml:space="preserve">2.1.4 </w:t>
      </w:r>
      <w:r>
        <w:rPr>
          <w:rFonts w:hint="default" w:ascii="Times New Roman" w:hAnsi="Times New Roman" w:eastAsia="宋体" w:cs="Times New Roman"/>
          <w:spacing w:val="5"/>
          <w:sz w:val="23"/>
          <w:szCs w:val="23"/>
          <w:highlight w:val="none"/>
        </w:rPr>
        <w:t>大气</w:t>
      </w:r>
      <w:r>
        <w:rPr>
          <w:rFonts w:hint="eastAsia" w:ascii="Times New Roman" w:hAnsi="Times New Roman" w:eastAsia="宋体" w:cs="Times New Roman"/>
          <w:spacing w:val="5"/>
          <w:sz w:val="23"/>
          <w:szCs w:val="23"/>
          <w:highlight w:val="none"/>
          <w:lang w:val="en-US" w:eastAsia="zh-CN"/>
        </w:rPr>
        <w:t>污染物排放量核算</w:t>
      </w:r>
      <w:bookmarkEnd w:id="466"/>
      <w:bookmarkEnd w:id="467"/>
      <w:bookmarkEnd w:id="468"/>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84" w:firstLineChars="200"/>
        <w:jc w:val="both"/>
        <w:textAlignment w:val="baseline"/>
        <w:rPr>
          <w:rFonts w:hint="default" w:ascii="Times New Roman" w:hAnsi="Times New Roman" w:eastAsia="宋体" w:cs="Times New Roman"/>
          <w:spacing w:val="6"/>
          <w:sz w:val="23"/>
          <w:szCs w:val="23"/>
          <w:highlight w:val="none"/>
          <w:lang w:val="en-US" w:eastAsia="zh-CN"/>
        </w:rPr>
      </w:pPr>
      <w:r>
        <w:rPr>
          <w:rFonts w:hint="default" w:ascii="Times New Roman" w:hAnsi="Times New Roman" w:eastAsia="宋体" w:cs="Times New Roman"/>
          <w:spacing w:val="6"/>
          <w:sz w:val="23"/>
          <w:szCs w:val="23"/>
          <w:highlight w:val="none"/>
        </w:rPr>
        <w:t>（</w:t>
      </w:r>
      <w:r>
        <w:rPr>
          <w:rFonts w:hint="eastAsia" w:ascii="Times New Roman" w:hAnsi="Times New Roman" w:eastAsia="宋体" w:cs="Times New Roman"/>
          <w:spacing w:val="6"/>
          <w:sz w:val="23"/>
          <w:szCs w:val="23"/>
          <w:highlight w:val="none"/>
          <w:lang w:val="en-US" w:eastAsia="zh-CN"/>
        </w:rPr>
        <w:t>1</w:t>
      </w:r>
      <w:r>
        <w:rPr>
          <w:rFonts w:hint="default" w:ascii="Times New Roman" w:hAnsi="Times New Roman" w:eastAsia="宋体" w:cs="Times New Roman"/>
          <w:spacing w:val="6"/>
          <w:sz w:val="23"/>
          <w:szCs w:val="23"/>
          <w:highlight w:val="none"/>
        </w:rPr>
        <w:t>）大气</w:t>
      </w:r>
      <w:r>
        <w:rPr>
          <w:rFonts w:hint="eastAsia" w:ascii="Times New Roman" w:hAnsi="Times New Roman" w:eastAsia="宋体" w:cs="Times New Roman"/>
          <w:spacing w:val="6"/>
          <w:sz w:val="23"/>
          <w:szCs w:val="23"/>
          <w:highlight w:val="none"/>
          <w:lang w:val="en-US" w:eastAsia="zh-CN"/>
        </w:rPr>
        <w:t>污染物排放量核算</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84" w:firstLineChars="200"/>
        <w:jc w:val="both"/>
        <w:textAlignment w:val="baseline"/>
        <w:rPr>
          <w:rFonts w:hint="default" w:ascii="Times New Roman" w:hAnsi="Times New Roman" w:eastAsia="宋体" w:cs="Times New Roman"/>
          <w:spacing w:val="6"/>
          <w:sz w:val="23"/>
          <w:szCs w:val="23"/>
          <w:highlight w:val="none"/>
        </w:rPr>
      </w:pPr>
      <w:r>
        <w:rPr>
          <w:rFonts w:hint="default" w:ascii="Times New Roman" w:hAnsi="Times New Roman" w:eastAsia="宋体" w:cs="Times New Roman"/>
          <w:spacing w:val="6"/>
          <w:sz w:val="23"/>
          <w:szCs w:val="23"/>
          <w:highlight w:val="none"/>
        </w:rPr>
        <w:t>本次评价对本项目排放的污染物排放浓度、排放量分析见“3.</w:t>
      </w:r>
      <w:r>
        <w:rPr>
          <w:rFonts w:hint="eastAsia" w:ascii="Times New Roman" w:hAnsi="Times New Roman" w:eastAsia="宋体" w:cs="Times New Roman"/>
          <w:spacing w:val="6"/>
          <w:sz w:val="23"/>
          <w:szCs w:val="23"/>
          <w:highlight w:val="none"/>
          <w:lang w:val="en-US" w:eastAsia="zh-CN"/>
        </w:rPr>
        <w:t>3</w:t>
      </w:r>
      <w:r>
        <w:rPr>
          <w:rFonts w:hint="default" w:ascii="Times New Roman" w:hAnsi="Times New Roman" w:eastAsia="宋体" w:cs="Times New Roman"/>
          <w:spacing w:val="6"/>
          <w:sz w:val="23"/>
          <w:szCs w:val="23"/>
          <w:highlight w:val="none"/>
        </w:rPr>
        <w:t>.</w:t>
      </w:r>
      <w:r>
        <w:rPr>
          <w:rFonts w:hint="eastAsia" w:ascii="Times New Roman" w:hAnsi="Times New Roman" w:eastAsia="宋体" w:cs="Times New Roman"/>
          <w:spacing w:val="6"/>
          <w:sz w:val="23"/>
          <w:szCs w:val="23"/>
          <w:highlight w:val="none"/>
          <w:lang w:val="en-US" w:eastAsia="zh-CN"/>
        </w:rPr>
        <w:t>2.</w:t>
      </w:r>
      <w:r>
        <w:rPr>
          <w:rFonts w:hint="default" w:ascii="Times New Roman" w:hAnsi="Times New Roman" w:eastAsia="宋体" w:cs="Times New Roman"/>
          <w:spacing w:val="6"/>
          <w:sz w:val="23"/>
          <w:szCs w:val="23"/>
          <w:highlight w:val="none"/>
        </w:rPr>
        <w:t>1废气”小节。本项目污染物排放量核算表如下。</w:t>
      </w:r>
    </w:p>
    <w:p>
      <w:pPr>
        <w:tabs>
          <w:tab w:val="left" w:pos="1244"/>
        </w:tabs>
        <w:bidi w:val="0"/>
        <w:jc w:val="cente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表5.2-</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4</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     </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大气污染物有组织排放量核算表</w:t>
      </w:r>
    </w:p>
    <w:tbl>
      <w:tblPr>
        <w:tblStyle w:val="15"/>
        <w:tblW w:w="919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7"/>
        <w:gridCol w:w="1453"/>
        <w:gridCol w:w="1209"/>
        <w:gridCol w:w="969"/>
        <w:gridCol w:w="1678"/>
        <w:gridCol w:w="1707"/>
        <w:gridCol w:w="14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27"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序号</w:t>
            </w:r>
          </w:p>
        </w:tc>
        <w:tc>
          <w:tcPr>
            <w:tcW w:w="1453"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排放口编号</w:t>
            </w:r>
          </w:p>
        </w:tc>
        <w:tc>
          <w:tcPr>
            <w:tcW w:w="1209"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产污环节</w:t>
            </w:r>
          </w:p>
        </w:tc>
        <w:tc>
          <w:tcPr>
            <w:tcW w:w="969"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污染物</w:t>
            </w:r>
          </w:p>
        </w:tc>
        <w:tc>
          <w:tcPr>
            <w:tcW w:w="1678"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核算排放</w:t>
            </w:r>
          </w:p>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浓度/mg/m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1707"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核算排放速率</w:t>
            </w:r>
          </w:p>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限值/（kg/h）</w:t>
            </w:r>
          </w:p>
        </w:tc>
        <w:tc>
          <w:tcPr>
            <w:tcW w:w="1451"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核算年排放</w:t>
            </w:r>
          </w:p>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27"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453"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209"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969"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678"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707"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451" w:type="dxa"/>
            <w:vMerge w:val="continue"/>
            <w:noWrap w:val="0"/>
            <w:vAlign w:val="center"/>
          </w:tcPr>
          <w:p>
            <w:pPr>
              <w:spacing w:line="240" w:lineRule="auto"/>
              <w:jc w:val="center"/>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1" w:hRule="atLeast"/>
        </w:trPr>
        <w:tc>
          <w:tcPr>
            <w:tcW w:w="727"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453" w:type="dxa"/>
            <w:noWrap w:val="0"/>
            <w:vAlign w:val="center"/>
          </w:tcPr>
          <w:p>
            <w:pPr>
              <w:spacing w:line="240" w:lineRule="auto"/>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7#生产线</w:t>
            </w:r>
          </w:p>
        </w:tc>
        <w:tc>
          <w:tcPr>
            <w:tcW w:w="1209"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鄂破、</w:t>
            </w:r>
            <w:r>
              <w:rPr>
                <w:rFonts w:hint="eastAsia" w:ascii="Times New Roman" w:hAnsi="Times New Roman" w:eastAsia="宋体" w:cs="Times New Roman"/>
                <w:sz w:val="21"/>
                <w:szCs w:val="21"/>
                <w:highlight w:val="none"/>
                <w:lang w:val="en-US" w:eastAsia="zh-CN"/>
              </w:rPr>
              <w:t>圆锥</w:t>
            </w:r>
            <w:r>
              <w:rPr>
                <w:rFonts w:hint="default" w:ascii="Times New Roman" w:hAnsi="Times New Roman" w:cs="Times New Roman"/>
                <w:sz w:val="21"/>
                <w:szCs w:val="21"/>
                <w:highlight w:val="none"/>
              </w:rPr>
              <w:t>破</w:t>
            </w:r>
            <w:r>
              <w:rPr>
                <w:rFonts w:hint="eastAsia"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val="en-US" w:eastAsia="zh-CN"/>
              </w:rPr>
              <w:t>筛分等</w:t>
            </w:r>
          </w:p>
        </w:tc>
        <w:tc>
          <w:tcPr>
            <w:tcW w:w="969"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颗粒物</w:t>
            </w:r>
          </w:p>
        </w:tc>
        <w:tc>
          <w:tcPr>
            <w:tcW w:w="1678"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5.06</w:t>
            </w:r>
          </w:p>
        </w:tc>
        <w:tc>
          <w:tcPr>
            <w:tcW w:w="1707"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0.2</w:t>
            </w:r>
          </w:p>
        </w:tc>
        <w:tc>
          <w:tcPr>
            <w:tcW w:w="1451" w:type="dxa"/>
            <w:noWrap w:val="0"/>
            <w:vAlign w:val="center"/>
          </w:tcPr>
          <w:p>
            <w:pPr>
              <w:spacing w:line="240" w:lineRule="auto"/>
              <w:jc w:val="center"/>
              <w:rPr>
                <w:rFonts w:hint="default" w:ascii="Times New Roman" w:hAnsi="Times New Roman" w:cs="Times New Roman"/>
                <w:sz w:val="21"/>
                <w:szCs w:val="21"/>
                <w:highlight w:val="none"/>
                <w:lang w:val="en-US"/>
              </w:rPr>
            </w:pPr>
            <w:r>
              <w:rPr>
                <w:rFonts w:hint="eastAsia" w:ascii="Times New Roman" w:hAnsi="Times New Roman"/>
                <w:color w:val="auto"/>
                <w:sz w:val="21"/>
                <w:szCs w:val="21"/>
                <w:highlight w:val="none"/>
                <w:lang w:val="en-US" w:eastAsia="zh-CN"/>
              </w:rPr>
              <w:t>0.4045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2180" w:type="dxa"/>
            <w:gridSpan w:val="2"/>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有组织排放合计</w:t>
            </w:r>
          </w:p>
        </w:tc>
        <w:tc>
          <w:tcPr>
            <w:tcW w:w="5563" w:type="dxa"/>
            <w:gridSpan w:val="4"/>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颗粒物</w:t>
            </w:r>
          </w:p>
        </w:tc>
        <w:tc>
          <w:tcPr>
            <w:tcW w:w="1451" w:type="dxa"/>
            <w:noWrap w:val="0"/>
            <w:vAlign w:val="center"/>
          </w:tcPr>
          <w:p>
            <w:pPr>
              <w:spacing w:line="240" w:lineRule="auto"/>
              <w:jc w:val="center"/>
              <w:rPr>
                <w:rFonts w:hint="default" w:ascii="Times New Roman" w:hAnsi="Times New Roman" w:cs="Times New Roman"/>
                <w:sz w:val="21"/>
                <w:szCs w:val="21"/>
                <w:highlight w:val="none"/>
                <w:lang w:val="en-US"/>
              </w:rPr>
            </w:pPr>
            <w:r>
              <w:rPr>
                <w:rFonts w:hint="eastAsia" w:ascii="Times New Roman" w:hAnsi="Times New Roman"/>
                <w:color w:val="auto"/>
                <w:sz w:val="21"/>
                <w:szCs w:val="21"/>
                <w:highlight w:val="none"/>
                <w:lang w:val="en-US" w:eastAsia="zh-CN"/>
              </w:rPr>
              <w:t>0.4045</w:t>
            </w:r>
          </w:p>
        </w:tc>
      </w:tr>
    </w:tbl>
    <w:p>
      <w:pPr>
        <w:tabs>
          <w:tab w:val="left" w:pos="1244"/>
        </w:tabs>
        <w:bidi w:val="0"/>
        <w:jc w:val="cente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表5.2-</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5</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    </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 大气污染物无组织排放量核算表</w:t>
      </w:r>
    </w:p>
    <w:tbl>
      <w:tblPr>
        <w:tblStyle w:val="15"/>
        <w:tblW w:w="919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571"/>
        <w:gridCol w:w="947"/>
        <w:gridCol w:w="1825"/>
        <w:gridCol w:w="1987"/>
        <w:gridCol w:w="1225"/>
        <w:gridCol w:w="11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序号</w:t>
            </w:r>
          </w:p>
        </w:tc>
        <w:tc>
          <w:tcPr>
            <w:tcW w:w="1571"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产污环节</w:t>
            </w:r>
          </w:p>
        </w:tc>
        <w:tc>
          <w:tcPr>
            <w:tcW w:w="947"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污染物种类</w:t>
            </w:r>
          </w:p>
        </w:tc>
        <w:tc>
          <w:tcPr>
            <w:tcW w:w="1825"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主要污染防治措施</w:t>
            </w:r>
          </w:p>
        </w:tc>
        <w:tc>
          <w:tcPr>
            <w:tcW w:w="3212" w:type="dxa"/>
            <w:gridSpan w:val="2"/>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国家或地方污染物排放标准</w:t>
            </w:r>
          </w:p>
        </w:tc>
        <w:tc>
          <w:tcPr>
            <w:tcW w:w="1129"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571"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947"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825"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987"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标准名称</w:t>
            </w:r>
          </w:p>
        </w:tc>
        <w:tc>
          <w:tcPr>
            <w:tcW w:w="1225"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浓度限值/（mg/m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1129" w:type="dxa"/>
            <w:vMerge w:val="continue"/>
            <w:noWrap w:val="0"/>
            <w:vAlign w:val="center"/>
          </w:tcPr>
          <w:p>
            <w:pPr>
              <w:spacing w:line="240" w:lineRule="auto"/>
              <w:jc w:val="center"/>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571"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947"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825"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987"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225"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129" w:type="dxa"/>
            <w:vMerge w:val="continue"/>
            <w:noWrap w:val="0"/>
            <w:vAlign w:val="center"/>
          </w:tcPr>
          <w:p>
            <w:pPr>
              <w:spacing w:line="240" w:lineRule="auto"/>
              <w:jc w:val="center"/>
              <w:rPr>
                <w:rFonts w:hint="default"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9"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571" w:type="dxa"/>
            <w:noWrap w:val="0"/>
            <w:vAlign w:val="center"/>
          </w:tcPr>
          <w:p>
            <w:pPr>
              <w:spacing w:line="240" w:lineRule="auto"/>
              <w:jc w:val="center"/>
              <w:rPr>
                <w:rFonts w:hint="default" w:ascii="Times New Roman" w:hAnsi="Times New Roman" w:cs="Times New Roman"/>
                <w:sz w:val="21"/>
                <w:szCs w:val="21"/>
                <w:highlight w:val="none"/>
                <w:lang w:val="en-US"/>
              </w:rPr>
            </w:pPr>
            <w:r>
              <w:rPr>
                <w:rFonts w:hint="eastAsia" w:ascii="Times New Roman" w:hAnsi="Times New Roman" w:cs="Times New Roman"/>
                <w:sz w:val="21"/>
                <w:szCs w:val="21"/>
                <w:highlight w:val="none"/>
                <w:lang w:val="en-US" w:eastAsia="zh-CN"/>
              </w:rPr>
              <w:t>物料装卸存储</w:t>
            </w:r>
          </w:p>
          <w:p>
            <w:pPr>
              <w:spacing w:line="240"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val="en-US" w:eastAsia="zh-CN"/>
              </w:rPr>
              <w:t>无组织</w:t>
            </w:r>
          </w:p>
        </w:tc>
        <w:tc>
          <w:tcPr>
            <w:tcW w:w="947"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颗粒物</w:t>
            </w:r>
          </w:p>
        </w:tc>
        <w:tc>
          <w:tcPr>
            <w:tcW w:w="182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封闭库房</w:t>
            </w:r>
            <w:r>
              <w:rPr>
                <w:rFonts w:hint="default" w:ascii="Times New Roman" w:hAnsi="Times New Roman" w:cs="Times New Roman"/>
                <w:sz w:val="21"/>
                <w:szCs w:val="21"/>
                <w:highlight w:val="none"/>
                <w:lang w:bidi="ar"/>
              </w:rPr>
              <w:t>，设置喷淋抑尘装置</w:t>
            </w:r>
          </w:p>
        </w:tc>
        <w:tc>
          <w:tcPr>
            <w:tcW w:w="1987" w:type="dxa"/>
            <w:vMerge w:val="restart"/>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《铁矿采选工业污染物排放标准》（GB28661-2012）</w:t>
            </w:r>
          </w:p>
        </w:tc>
        <w:tc>
          <w:tcPr>
            <w:tcW w:w="122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c>
          <w:tcPr>
            <w:tcW w:w="1129" w:type="dxa"/>
            <w:noWrap w:val="0"/>
            <w:vAlign w:val="center"/>
          </w:tcPr>
          <w:p>
            <w:pPr>
              <w:spacing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1571"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5#生产车间无组织</w:t>
            </w:r>
          </w:p>
        </w:tc>
        <w:tc>
          <w:tcPr>
            <w:tcW w:w="947"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825" w:type="dxa"/>
            <w:noWrap w:val="0"/>
            <w:vAlign w:val="center"/>
          </w:tcPr>
          <w:p>
            <w:pPr>
              <w:spacing w:line="240" w:lineRule="auto"/>
              <w:jc w:val="both"/>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车间封闭</w:t>
            </w:r>
            <w:r>
              <w:rPr>
                <w:rFonts w:hint="default" w:ascii="Times New Roman" w:hAnsi="Times New Roman" w:cs="Times New Roman"/>
                <w:sz w:val="21"/>
                <w:szCs w:val="21"/>
                <w:highlight w:val="none"/>
              </w:rPr>
              <w:t>，设置喷雾抑尘装置</w:t>
            </w:r>
          </w:p>
        </w:tc>
        <w:tc>
          <w:tcPr>
            <w:tcW w:w="1987" w:type="dxa"/>
            <w:vMerge w:val="continue"/>
            <w:noWrap w:val="0"/>
            <w:vAlign w:val="center"/>
          </w:tcPr>
          <w:p>
            <w:pPr>
              <w:spacing w:line="240" w:lineRule="auto"/>
              <w:jc w:val="center"/>
              <w:rPr>
                <w:rFonts w:hint="default" w:ascii="Times New Roman" w:hAnsi="Times New Roman" w:cs="Times New Roman"/>
                <w:sz w:val="21"/>
                <w:szCs w:val="21"/>
                <w:highlight w:val="none"/>
              </w:rPr>
            </w:pPr>
          </w:p>
        </w:tc>
        <w:tc>
          <w:tcPr>
            <w:tcW w:w="122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c>
          <w:tcPr>
            <w:tcW w:w="1129" w:type="dxa"/>
            <w:noWrap w:val="0"/>
            <w:vAlign w:val="center"/>
          </w:tcPr>
          <w:p>
            <w:pPr>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bidi="ar"/>
              </w:rPr>
              <w:t>0.213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dxa"/>
            <w:noWrap w:val="0"/>
            <w:vAlign w:val="center"/>
          </w:tcPr>
          <w:p>
            <w:pPr>
              <w:spacing w:line="240"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3</w:t>
            </w:r>
          </w:p>
        </w:tc>
        <w:tc>
          <w:tcPr>
            <w:tcW w:w="1571"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合计</w:t>
            </w:r>
          </w:p>
        </w:tc>
        <w:tc>
          <w:tcPr>
            <w:tcW w:w="947"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82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987"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225"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129" w:type="dxa"/>
            <w:noWrap w:val="0"/>
            <w:vAlign w:val="center"/>
          </w:tcPr>
          <w:p>
            <w:pPr>
              <w:pStyle w:val="26"/>
              <w:tabs>
                <w:tab w:val="center" w:pos="4153"/>
                <w:tab w:val="right" w:pos="8306"/>
              </w:tabs>
              <w:spacing w:line="240" w:lineRule="auto"/>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0.391</w:t>
            </w:r>
          </w:p>
        </w:tc>
      </w:tr>
    </w:tbl>
    <w:p>
      <w:pPr>
        <w:ind w:firstLine="472" w:firstLineChars="200"/>
        <w:jc w:val="cente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p>
    <w:p>
      <w:pPr>
        <w:ind w:firstLine="472" w:firstLineChars="200"/>
        <w:jc w:val="center"/>
        <w:rPr>
          <w:rFonts w:hint="default" w:ascii="Times New Roman" w:hAnsi="Times New Roman" w:cs="Times New Roman"/>
          <w:highlight w:val="none"/>
        </w:rPr>
      </w:pP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表5.2-</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6</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   </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大气污染物排放量核算表</w:t>
      </w:r>
    </w:p>
    <w:tbl>
      <w:tblPr>
        <w:tblStyle w:val="15"/>
        <w:tblW w:w="91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554"/>
        <w:gridCol w:w="2852"/>
        <w:gridCol w:w="2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66" w:type="dxa"/>
            <w:vMerge w:val="restart"/>
            <w:noWrap w:val="0"/>
            <w:vAlign w:val="center"/>
          </w:tcPr>
          <w:p>
            <w:pPr>
              <w:spacing w:line="240" w:lineRule="atLeast"/>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序号</w:t>
            </w:r>
          </w:p>
        </w:tc>
        <w:tc>
          <w:tcPr>
            <w:tcW w:w="2554" w:type="dxa"/>
            <w:vMerge w:val="restart"/>
            <w:noWrap w:val="0"/>
            <w:vAlign w:val="center"/>
          </w:tcPr>
          <w:p>
            <w:pPr>
              <w:spacing w:line="240" w:lineRule="atLeast"/>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有组织废气排放量（t/a）</w:t>
            </w:r>
          </w:p>
        </w:tc>
        <w:tc>
          <w:tcPr>
            <w:tcW w:w="2852" w:type="dxa"/>
            <w:vMerge w:val="restart"/>
            <w:noWrap w:val="0"/>
            <w:vAlign w:val="center"/>
          </w:tcPr>
          <w:p>
            <w:pPr>
              <w:spacing w:line="240" w:lineRule="atLeast"/>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无组织废气排放量（t/a）</w:t>
            </w:r>
          </w:p>
        </w:tc>
        <w:tc>
          <w:tcPr>
            <w:tcW w:w="2524" w:type="dxa"/>
            <w:vMerge w:val="restart"/>
            <w:noWrap w:val="0"/>
            <w:vAlign w:val="center"/>
          </w:tcPr>
          <w:p>
            <w:pPr>
              <w:spacing w:line="240" w:lineRule="atLeast"/>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合计排放量（t/a）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66" w:type="dxa"/>
            <w:vMerge w:val="continue"/>
            <w:noWrap w:val="0"/>
            <w:vAlign w:val="center"/>
          </w:tcPr>
          <w:p>
            <w:pPr>
              <w:spacing w:line="240" w:lineRule="atLeast"/>
              <w:jc w:val="center"/>
              <w:rPr>
                <w:rFonts w:hint="default" w:ascii="Times New Roman" w:hAnsi="Times New Roman" w:cs="Times New Roman"/>
                <w:sz w:val="21"/>
                <w:szCs w:val="21"/>
                <w:highlight w:val="none"/>
                <w:lang w:bidi="ar"/>
              </w:rPr>
            </w:pPr>
          </w:p>
        </w:tc>
        <w:tc>
          <w:tcPr>
            <w:tcW w:w="2554" w:type="dxa"/>
            <w:vMerge w:val="continue"/>
            <w:noWrap w:val="0"/>
            <w:vAlign w:val="center"/>
          </w:tcPr>
          <w:p>
            <w:pPr>
              <w:spacing w:line="240" w:lineRule="atLeast"/>
              <w:jc w:val="center"/>
              <w:rPr>
                <w:rFonts w:hint="default" w:ascii="Times New Roman" w:hAnsi="Times New Roman" w:cs="Times New Roman"/>
                <w:sz w:val="21"/>
                <w:szCs w:val="21"/>
                <w:highlight w:val="none"/>
                <w:lang w:bidi="ar"/>
              </w:rPr>
            </w:pPr>
          </w:p>
        </w:tc>
        <w:tc>
          <w:tcPr>
            <w:tcW w:w="2852" w:type="dxa"/>
            <w:vMerge w:val="continue"/>
            <w:noWrap w:val="0"/>
            <w:vAlign w:val="center"/>
          </w:tcPr>
          <w:p>
            <w:pPr>
              <w:spacing w:line="240" w:lineRule="atLeast"/>
              <w:jc w:val="center"/>
              <w:rPr>
                <w:rFonts w:hint="default" w:ascii="Times New Roman" w:hAnsi="Times New Roman" w:cs="Times New Roman"/>
                <w:sz w:val="21"/>
                <w:szCs w:val="21"/>
                <w:highlight w:val="none"/>
                <w:lang w:bidi="ar"/>
              </w:rPr>
            </w:pPr>
          </w:p>
        </w:tc>
        <w:tc>
          <w:tcPr>
            <w:tcW w:w="2524" w:type="dxa"/>
            <w:vMerge w:val="continue"/>
            <w:noWrap w:val="0"/>
            <w:vAlign w:val="center"/>
          </w:tcPr>
          <w:p>
            <w:pPr>
              <w:spacing w:line="240" w:lineRule="atLeast"/>
              <w:jc w:val="center"/>
              <w:rPr>
                <w:rFonts w:hint="default" w:ascii="Times New Roman" w:hAnsi="Times New Roman" w:cs="Times New Roman"/>
                <w:sz w:val="21"/>
                <w:szCs w:val="21"/>
                <w:highlight w:val="none"/>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266" w:type="dxa"/>
            <w:noWrap w:val="0"/>
            <w:vAlign w:val="center"/>
          </w:tcPr>
          <w:p>
            <w:pPr>
              <w:spacing w:line="240" w:lineRule="atLeast"/>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1</w:t>
            </w:r>
          </w:p>
        </w:tc>
        <w:tc>
          <w:tcPr>
            <w:tcW w:w="2554" w:type="dxa"/>
            <w:noWrap w:val="0"/>
            <w:vAlign w:val="center"/>
          </w:tcPr>
          <w:p>
            <w:pPr>
              <w:spacing w:line="240" w:lineRule="atLeast"/>
              <w:jc w:val="center"/>
              <w:rPr>
                <w:rFonts w:hint="default" w:ascii="Times New Roman" w:hAnsi="Times New Roman" w:eastAsia="宋体" w:cs="Times New Roman"/>
                <w:sz w:val="21"/>
                <w:szCs w:val="21"/>
                <w:highlight w:val="none"/>
                <w:lang w:val="en-US" w:eastAsia="zh-CN" w:bidi="ar"/>
              </w:rPr>
            </w:pPr>
            <w:r>
              <w:rPr>
                <w:rFonts w:hint="eastAsia" w:ascii="Times New Roman" w:hAnsi="Times New Roman" w:cs="Times New Roman"/>
                <w:sz w:val="21"/>
                <w:szCs w:val="21"/>
                <w:highlight w:val="none"/>
                <w:lang w:val="en-US" w:eastAsia="zh-CN" w:bidi="ar"/>
              </w:rPr>
              <w:t>0.49（含干选废石加工粉尘排放量0.09）</w:t>
            </w:r>
          </w:p>
        </w:tc>
        <w:tc>
          <w:tcPr>
            <w:tcW w:w="2852" w:type="dxa"/>
            <w:noWrap w:val="0"/>
            <w:vAlign w:val="center"/>
          </w:tcPr>
          <w:p>
            <w:pPr>
              <w:spacing w:line="240" w:lineRule="atLeast"/>
              <w:jc w:val="center"/>
              <w:rPr>
                <w:rFonts w:hint="default" w:ascii="Times New Roman" w:hAnsi="Times New Roman" w:eastAsia="宋体" w:cs="Times New Roman"/>
                <w:sz w:val="21"/>
                <w:szCs w:val="21"/>
                <w:highlight w:val="none"/>
                <w:lang w:val="en-US" w:eastAsia="zh-CN" w:bidi="ar"/>
              </w:rPr>
            </w:pPr>
            <w:r>
              <w:rPr>
                <w:rFonts w:hint="eastAsia" w:ascii="Times New Roman" w:hAnsi="Times New Roman" w:cs="Times New Roman"/>
                <w:sz w:val="21"/>
                <w:szCs w:val="21"/>
                <w:highlight w:val="none"/>
                <w:lang w:val="en-US" w:eastAsia="zh-CN" w:bidi="ar"/>
              </w:rPr>
              <w:t>0.391</w:t>
            </w:r>
          </w:p>
        </w:tc>
        <w:tc>
          <w:tcPr>
            <w:tcW w:w="2524" w:type="dxa"/>
            <w:noWrap w:val="0"/>
            <w:vAlign w:val="center"/>
          </w:tcPr>
          <w:p>
            <w:pPr>
              <w:spacing w:line="240" w:lineRule="atLeast"/>
              <w:jc w:val="center"/>
              <w:rPr>
                <w:rFonts w:hint="default" w:ascii="Times New Roman" w:hAnsi="Times New Roman" w:eastAsia="宋体" w:cs="Times New Roman"/>
                <w:sz w:val="21"/>
                <w:szCs w:val="21"/>
                <w:highlight w:val="none"/>
                <w:lang w:val="en-US" w:eastAsia="zh-CN" w:bidi="ar"/>
              </w:rPr>
            </w:pPr>
            <w:r>
              <w:rPr>
                <w:rFonts w:hint="eastAsia" w:ascii="Times New Roman" w:hAnsi="Times New Roman" w:cs="Times New Roman"/>
                <w:sz w:val="21"/>
                <w:szCs w:val="21"/>
                <w:highlight w:val="none"/>
                <w:lang w:val="en-US" w:eastAsia="zh-CN" w:bidi="ar"/>
              </w:rPr>
              <w:t>0.881</w:t>
            </w:r>
          </w:p>
        </w:tc>
      </w:tr>
    </w:tbl>
    <w:p>
      <w:pPr>
        <w:widowControl w:val="0"/>
        <w:spacing w:line="480" w:lineRule="exact"/>
        <w:rPr>
          <w:rFonts w:hint="default" w:ascii="Times New Roman" w:hAnsi="Times New Roman" w:cs="Times New Roman"/>
          <w:highlight w:val="none"/>
        </w:rPr>
      </w:pPr>
      <w:r>
        <w:rPr>
          <w:rFonts w:hint="default" w:ascii="Times New Roman" w:hAnsi="Times New Roman" w:cs="Times New Roman"/>
          <w:highlight w:val="none"/>
        </w:rPr>
        <w:t>（2）大气环境影响自查表</w:t>
      </w:r>
    </w:p>
    <w:p>
      <w:pPr>
        <w:widowControl w:val="0"/>
        <w:spacing w:line="480" w:lineRule="exact"/>
        <w:ind w:firstLine="480"/>
        <w:rPr>
          <w:rFonts w:hint="default" w:ascii="Times New Roman" w:hAnsi="Times New Roman" w:cs="Times New Roman"/>
          <w:highlight w:val="none"/>
        </w:rPr>
      </w:pPr>
      <w:r>
        <w:rPr>
          <w:rFonts w:hint="default" w:ascii="Times New Roman" w:hAnsi="Times New Roman" w:cs="Times New Roman"/>
          <w:highlight w:val="none"/>
        </w:rPr>
        <w:t>大气环境影响自查表见下表。</w:t>
      </w:r>
    </w:p>
    <w:p>
      <w:pPr>
        <w:ind w:firstLine="472" w:firstLineChars="200"/>
        <w:jc w:val="cente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表5.2-</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 xml:space="preserve">7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 大气环境影响评价自查表</w:t>
      </w:r>
    </w:p>
    <w:tbl>
      <w:tblPr>
        <w:tblStyle w:val="15"/>
        <w:tblW w:w="91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1"/>
        <w:gridCol w:w="93"/>
        <w:gridCol w:w="1490"/>
        <w:gridCol w:w="1127"/>
        <w:gridCol w:w="647"/>
        <w:gridCol w:w="176"/>
        <w:gridCol w:w="1326"/>
        <w:gridCol w:w="139"/>
        <w:gridCol w:w="412"/>
        <w:gridCol w:w="300"/>
        <w:gridCol w:w="303"/>
        <w:gridCol w:w="403"/>
        <w:gridCol w:w="497"/>
        <w:gridCol w:w="642"/>
        <w:gridCol w:w="70"/>
        <w:gridCol w:w="574"/>
        <w:gridCol w:w="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4"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工作内容</w:t>
            </w:r>
          </w:p>
        </w:tc>
        <w:tc>
          <w:tcPr>
            <w:tcW w:w="7042" w:type="dxa"/>
            <w:gridSpan w:val="1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gridSpan w:val="2"/>
            <w:vMerge w:val="restart"/>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评价等级评价范围</w:t>
            </w: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评价等级</w:t>
            </w:r>
          </w:p>
        </w:tc>
        <w:tc>
          <w:tcPr>
            <w:tcW w:w="1950"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一级</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3380"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二级</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三级</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664" w:type="dxa"/>
            <w:gridSpan w:val="2"/>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评价范围</w:t>
            </w:r>
          </w:p>
        </w:tc>
        <w:tc>
          <w:tcPr>
            <w:tcW w:w="1950"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边长=50km</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3380"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边长5~50km</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边长=50km</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664" w:type="dxa"/>
            <w:gridSpan w:val="2"/>
            <w:vMerge w:val="restart"/>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评价因子</w:t>
            </w: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r>
              <w:rPr>
                <w:rFonts w:hint="default" w:ascii="Times New Roman" w:hAnsi="Times New Roman" w:cs="Times New Roman"/>
                <w:sz w:val="21"/>
                <w:szCs w:val="21"/>
                <w:highlight w:val="none"/>
              </w:rPr>
              <w:t>+NOx排放量</w:t>
            </w:r>
          </w:p>
        </w:tc>
        <w:tc>
          <w:tcPr>
            <w:tcW w:w="1950"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≥2000t/a</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3380"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500~2000t/a</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＜500t/a</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64" w:type="dxa"/>
            <w:gridSpan w:val="2"/>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评价因子</w:t>
            </w:r>
          </w:p>
        </w:tc>
        <w:tc>
          <w:tcPr>
            <w:tcW w:w="5330" w:type="dxa"/>
            <w:gridSpan w:val="10"/>
            <w:noWrap w:val="0"/>
            <w:vAlign w:val="center"/>
          </w:tcPr>
          <w:p>
            <w:pPr>
              <w:adjustRightInd w:val="0"/>
              <w:snapToGrid w:val="0"/>
              <w:spacing w:line="24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基本污染物(SO</w:t>
            </w:r>
            <w:r>
              <w:rPr>
                <w:rFonts w:hint="default" w:ascii="Times New Roman" w:hAnsi="Times New Roman" w:cs="Times New Roman"/>
                <w:sz w:val="21"/>
                <w:szCs w:val="21"/>
                <w:highlight w:val="none"/>
                <w:vertAlign w:val="subscript"/>
              </w:rPr>
              <w:t>2</w:t>
            </w:r>
            <w:r>
              <w:rPr>
                <w:rFonts w:hint="default" w:ascii="Times New Roman" w:hAnsi="Times New Roman" w:cs="Times New Roman"/>
                <w:sz w:val="21"/>
                <w:szCs w:val="21"/>
                <w:highlight w:val="none"/>
              </w:rPr>
              <w:t>、NO</w:t>
            </w:r>
            <w:r>
              <w:rPr>
                <w:rFonts w:hint="default" w:ascii="Times New Roman" w:hAnsi="Times New Roman" w:cs="Times New Roman"/>
                <w:sz w:val="21"/>
                <w:szCs w:val="21"/>
                <w:highlight w:val="none"/>
                <w:vertAlign w:val="subscript"/>
              </w:rPr>
              <w:t>2</w:t>
            </w:r>
            <w:r>
              <w:rPr>
                <w:rFonts w:hint="default" w:ascii="Times New Roman" w:hAnsi="Times New Roman" w:cs="Times New Roman"/>
                <w:sz w:val="21"/>
                <w:szCs w:val="21"/>
                <w:highlight w:val="none"/>
              </w:rPr>
              <w:t>、PM</w:t>
            </w:r>
            <w:r>
              <w:rPr>
                <w:rFonts w:hint="default" w:ascii="Times New Roman" w:hAnsi="Times New Roman" w:cs="Times New Roman"/>
                <w:sz w:val="21"/>
                <w:szCs w:val="21"/>
                <w:highlight w:val="none"/>
                <w:vertAlign w:val="subscript"/>
              </w:rPr>
              <w:t>10</w:t>
            </w:r>
            <w:r>
              <w:rPr>
                <w:rFonts w:hint="default" w:ascii="Times New Roman" w:hAnsi="Times New Roman" w:cs="Times New Roman"/>
                <w:sz w:val="21"/>
                <w:szCs w:val="21"/>
                <w:highlight w:val="none"/>
              </w:rPr>
              <w:t>、PM</w:t>
            </w:r>
            <w:r>
              <w:rPr>
                <w:rFonts w:hint="default" w:ascii="Times New Roman" w:hAnsi="Times New Roman" w:cs="Times New Roman"/>
                <w:sz w:val="21"/>
                <w:szCs w:val="21"/>
                <w:highlight w:val="none"/>
                <w:vertAlign w:val="subscript"/>
              </w:rPr>
              <w:t>2.5</w:t>
            </w:r>
            <w:r>
              <w:rPr>
                <w:rFonts w:hint="default" w:ascii="Times New Roman" w:hAnsi="Times New Roman" w:cs="Times New Roman"/>
                <w:sz w:val="21"/>
                <w:szCs w:val="21"/>
                <w:highlight w:val="none"/>
              </w:rPr>
              <w:t>、O</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rPr>
              <w:t>、CO)</w:t>
            </w:r>
          </w:p>
          <w:p>
            <w:pPr>
              <w:adjustRightInd w:val="0"/>
              <w:snapToGrid w:val="0"/>
              <w:spacing w:line="24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其他污染物(TSP)</w:t>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包括二次PM</w:t>
            </w:r>
            <w:r>
              <w:rPr>
                <w:rFonts w:hint="default" w:ascii="Times New Roman" w:hAnsi="Times New Roman" w:cs="Times New Roman"/>
                <w:sz w:val="21"/>
                <w:szCs w:val="21"/>
                <w:highlight w:val="none"/>
                <w:vertAlign w:val="subscript"/>
              </w:rPr>
              <w:t>2.5</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不包括二次PM</w:t>
            </w:r>
            <w:r>
              <w:rPr>
                <w:rFonts w:hint="default" w:ascii="Times New Roman" w:hAnsi="Times New Roman" w:cs="Times New Roman"/>
                <w:sz w:val="21"/>
                <w:szCs w:val="21"/>
                <w:highlight w:val="none"/>
                <w:vertAlign w:val="subscript"/>
              </w:rPr>
              <w:t>2.5</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664"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评价标准</w:t>
            </w: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评价标准</w:t>
            </w:r>
          </w:p>
        </w:tc>
        <w:tc>
          <w:tcPr>
            <w:tcW w:w="1950"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国家标准</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877"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地方标准</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503"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附录D</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其它标准</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664" w:type="dxa"/>
            <w:gridSpan w:val="2"/>
            <w:vMerge w:val="restart"/>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现状评价</w:t>
            </w: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环境功能区</w:t>
            </w:r>
          </w:p>
        </w:tc>
        <w:tc>
          <w:tcPr>
            <w:tcW w:w="1950"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一类区</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3380"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二类区</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一类区和二类区</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gridSpan w:val="2"/>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评价基准年</w:t>
            </w:r>
          </w:p>
        </w:tc>
        <w:tc>
          <w:tcPr>
            <w:tcW w:w="7042" w:type="dxa"/>
            <w:gridSpan w:val="1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20</w:t>
            </w:r>
            <w:r>
              <w:rPr>
                <w:rFonts w:hint="eastAsia" w:ascii="Times New Roman" w:hAnsi="Times New Roman" w:cs="Times New Roman"/>
                <w:sz w:val="21"/>
                <w:szCs w:val="21"/>
                <w:highlight w:val="none"/>
                <w:lang w:val="en-US" w:eastAsia="zh-CN"/>
              </w:rPr>
              <w:t>22</w:t>
            </w:r>
            <w:r>
              <w:rPr>
                <w:rFonts w:hint="default" w:ascii="Times New Roman" w:hAnsi="Times New Roman" w:cs="Times New Roman"/>
                <w:sz w:val="21"/>
                <w:szCs w:val="21"/>
                <w:highlight w:val="none"/>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64" w:type="dxa"/>
            <w:gridSpan w:val="2"/>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环境空气质量现状调查数据来源</w:t>
            </w:r>
          </w:p>
        </w:tc>
        <w:tc>
          <w:tcPr>
            <w:tcW w:w="1950"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长期例行监测数据</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3380"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主管部门发布的数据</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现状补充监测</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gridSpan w:val="2"/>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现状评价</w:t>
            </w:r>
          </w:p>
        </w:tc>
        <w:tc>
          <w:tcPr>
            <w:tcW w:w="3827" w:type="dxa"/>
            <w:gridSpan w:val="6"/>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达标区</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3215" w:type="dxa"/>
            <w:gridSpan w:val="8"/>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不达标区</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4"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污染源调查内容</w:t>
            </w: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调查内容</w:t>
            </w:r>
          </w:p>
        </w:tc>
        <w:tc>
          <w:tcPr>
            <w:tcW w:w="1950"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本项目正常排放源</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本项目非正常排放源</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现有污染源</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877"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拟替代的污染源</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503"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其他在建、拟建项目污染源</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区域污染源</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gridSpan w:val="2"/>
            <w:vMerge w:val="restart"/>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大气环境影响预测与评价</w:t>
            </w: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预测模型</w:t>
            </w:r>
          </w:p>
        </w:tc>
        <w:tc>
          <w:tcPr>
            <w:tcW w:w="1127"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AERMOD</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823"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ADMS</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465"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AUSTAL2000</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418"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EDMS/AEDT</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139"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CALPUFF</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644"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网格模型</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426"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其他</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gridSpan w:val="2"/>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预测范围</w:t>
            </w:r>
          </w:p>
        </w:tc>
        <w:tc>
          <w:tcPr>
            <w:tcW w:w="1950"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边长≥50km</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3380"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边长5~50km</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边长=50km</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64" w:type="dxa"/>
            <w:gridSpan w:val="2"/>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预测因子</w:t>
            </w:r>
          </w:p>
        </w:tc>
        <w:tc>
          <w:tcPr>
            <w:tcW w:w="5330" w:type="dxa"/>
            <w:gridSpan w:val="10"/>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预测因子（）</w:t>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包括二次PM</w:t>
            </w:r>
            <w:r>
              <w:rPr>
                <w:rFonts w:hint="default" w:ascii="Times New Roman" w:hAnsi="Times New Roman" w:cs="Times New Roman"/>
                <w:sz w:val="21"/>
                <w:szCs w:val="21"/>
                <w:highlight w:val="none"/>
                <w:vertAlign w:val="subscript"/>
              </w:rPr>
              <w:t>2.5</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不包括二次PM</w:t>
            </w:r>
            <w:r>
              <w:rPr>
                <w:rFonts w:hint="default" w:ascii="Times New Roman" w:hAnsi="Times New Roman" w:cs="Times New Roman"/>
                <w:sz w:val="21"/>
                <w:szCs w:val="21"/>
                <w:highlight w:val="none"/>
                <w:vertAlign w:val="subscript"/>
              </w:rPr>
              <w:t>2.5</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664" w:type="dxa"/>
            <w:gridSpan w:val="2"/>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490"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正常排放短期浓度贡献值</w:t>
            </w:r>
          </w:p>
        </w:tc>
        <w:tc>
          <w:tcPr>
            <w:tcW w:w="4430" w:type="dxa"/>
            <w:gridSpan w:val="8"/>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w:t>
            </w:r>
            <w:r>
              <w:rPr>
                <w:rFonts w:hint="default" w:ascii="Times New Roman" w:hAnsi="Times New Roman" w:cs="Times New Roman"/>
                <w:sz w:val="21"/>
                <w:szCs w:val="21"/>
                <w:highlight w:val="none"/>
                <w:vertAlign w:val="subscript"/>
              </w:rPr>
              <w:t>本项目</w:t>
            </w:r>
            <w:r>
              <w:rPr>
                <w:rFonts w:hint="default" w:ascii="Times New Roman" w:hAnsi="Times New Roman" w:cs="Times New Roman"/>
                <w:sz w:val="21"/>
                <w:szCs w:val="21"/>
                <w:highlight w:val="none"/>
              </w:rPr>
              <w:t>最大占标率≤100%</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2612" w:type="dxa"/>
            <w:gridSpan w:val="6"/>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w:t>
            </w:r>
            <w:r>
              <w:rPr>
                <w:rFonts w:hint="default" w:ascii="Times New Roman" w:hAnsi="Times New Roman" w:cs="Times New Roman"/>
                <w:sz w:val="21"/>
                <w:szCs w:val="21"/>
                <w:highlight w:val="none"/>
                <w:vertAlign w:val="subscript"/>
              </w:rPr>
              <w:t>本项目</w:t>
            </w:r>
            <w:r>
              <w:rPr>
                <w:rFonts w:hint="default" w:ascii="Times New Roman" w:hAnsi="Times New Roman" w:cs="Times New Roman"/>
                <w:sz w:val="21"/>
                <w:szCs w:val="21"/>
                <w:highlight w:val="none"/>
              </w:rPr>
              <w:t>最大占标率＞100%</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571" w:type="dxa"/>
            <w:vMerge w:val="restart"/>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583" w:type="dxa"/>
            <w:gridSpan w:val="2"/>
            <w:vMerge w:val="restart"/>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正常排放年均浓度贡献值</w:t>
            </w:r>
          </w:p>
        </w:tc>
        <w:tc>
          <w:tcPr>
            <w:tcW w:w="1127"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一类区</w:t>
            </w:r>
          </w:p>
        </w:tc>
        <w:tc>
          <w:tcPr>
            <w:tcW w:w="3303"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w:t>
            </w:r>
            <w:r>
              <w:rPr>
                <w:rFonts w:hint="default" w:ascii="Times New Roman" w:hAnsi="Times New Roman" w:cs="Times New Roman"/>
                <w:sz w:val="21"/>
                <w:szCs w:val="21"/>
                <w:highlight w:val="none"/>
                <w:vertAlign w:val="subscript"/>
              </w:rPr>
              <w:t>本项目</w:t>
            </w:r>
            <w:r>
              <w:rPr>
                <w:rFonts w:hint="default" w:ascii="Times New Roman" w:hAnsi="Times New Roman" w:cs="Times New Roman"/>
                <w:sz w:val="21"/>
                <w:szCs w:val="21"/>
                <w:highlight w:val="none"/>
              </w:rPr>
              <w:t>最大占标率≤10%</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2612" w:type="dxa"/>
            <w:gridSpan w:val="6"/>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w:t>
            </w:r>
            <w:r>
              <w:rPr>
                <w:rFonts w:hint="default" w:ascii="Times New Roman" w:hAnsi="Times New Roman" w:cs="Times New Roman"/>
                <w:sz w:val="21"/>
                <w:szCs w:val="21"/>
                <w:highlight w:val="none"/>
                <w:vertAlign w:val="subscript"/>
              </w:rPr>
              <w:t>本项目</w:t>
            </w:r>
            <w:r>
              <w:rPr>
                <w:rFonts w:hint="default" w:ascii="Times New Roman" w:hAnsi="Times New Roman" w:cs="Times New Roman"/>
                <w:sz w:val="21"/>
                <w:szCs w:val="21"/>
                <w:highlight w:val="none"/>
              </w:rPr>
              <w:t>最大占标率＞10%</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571" w:type="dxa"/>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583" w:type="dxa"/>
            <w:gridSpan w:val="2"/>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127" w:type="dxa"/>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二类区</w:t>
            </w:r>
          </w:p>
        </w:tc>
        <w:tc>
          <w:tcPr>
            <w:tcW w:w="3303"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w:t>
            </w:r>
            <w:r>
              <w:rPr>
                <w:rFonts w:hint="default" w:ascii="Times New Roman" w:hAnsi="Times New Roman" w:cs="Times New Roman"/>
                <w:sz w:val="21"/>
                <w:szCs w:val="21"/>
                <w:highlight w:val="none"/>
                <w:vertAlign w:val="subscript"/>
              </w:rPr>
              <w:t>本项目</w:t>
            </w:r>
            <w:r>
              <w:rPr>
                <w:rFonts w:hint="default" w:ascii="Times New Roman" w:hAnsi="Times New Roman" w:cs="Times New Roman"/>
                <w:sz w:val="21"/>
                <w:szCs w:val="21"/>
                <w:highlight w:val="none"/>
              </w:rPr>
              <w:t>最大占标率≤30%</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2612" w:type="dxa"/>
            <w:gridSpan w:val="6"/>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w:t>
            </w:r>
            <w:r>
              <w:rPr>
                <w:rFonts w:hint="default" w:ascii="Times New Roman" w:hAnsi="Times New Roman" w:cs="Times New Roman"/>
                <w:sz w:val="21"/>
                <w:szCs w:val="21"/>
                <w:highlight w:val="none"/>
                <w:vertAlign w:val="subscript"/>
              </w:rPr>
              <w:t>本项目</w:t>
            </w:r>
            <w:r>
              <w:rPr>
                <w:rFonts w:hint="default" w:ascii="Times New Roman" w:hAnsi="Times New Roman" w:cs="Times New Roman"/>
                <w:sz w:val="21"/>
                <w:szCs w:val="21"/>
                <w:highlight w:val="none"/>
              </w:rPr>
              <w:t>最大占标率＞30%</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571" w:type="dxa"/>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583"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非正常排放1h浓度贡献值</w:t>
            </w:r>
          </w:p>
        </w:tc>
        <w:tc>
          <w:tcPr>
            <w:tcW w:w="1950"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非正常持续时长</w:t>
            </w:r>
          </w:p>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（1）h</w:t>
            </w:r>
          </w:p>
        </w:tc>
        <w:tc>
          <w:tcPr>
            <w:tcW w:w="3380"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w:t>
            </w:r>
            <w:r>
              <w:rPr>
                <w:rFonts w:hint="default" w:ascii="Times New Roman" w:hAnsi="Times New Roman" w:cs="Times New Roman"/>
                <w:sz w:val="21"/>
                <w:szCs w:val="21"/>
                <w:highlight w:val="none"/>
                <w:vertAlign w:val="subscript"/>
              </w:rPr>
              <w:t>非正常</w:t>
            </w:r>
            <w:r>
              <w:rPr>
                <w:rFonts w:hint="default" w:ascii="Times New Roman" w:hAnsi="Times New Roman" w:cs="Times New Roman"/>
                <w:sz w:val="21"/>
                <w:szCs w:val="21"/>
                <w:highlight w:val="none"/>
              </w:rPr>
              <w:t>占标率≤100%</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w:t>
            </w:r>
            <w:r>
              <w:rPr>
                <w:rFonts w:hint="default" w:ascii="Times New Roman" w:hAnsi="Times New Roman" w:cs="Times New Roman"/>
                <w:sz w:val="21"/>
                <w:szCs w:val="21"/>
                <w:highlight w:val="none"/>
                <w:vertAlign w:val="subscript"/>
              </w:rPr>
              <w:t>非正常</w:t>
            </w:r>
            <w:r>
              <w:rPr>
                <w:rFonts w:hint="default" w:ascii="Times New Roman" w:hAnsi="Times New Roman" w:cs="Times New Roman"/>
                <w:sz w:val="21"/>
                <w:szCs w:val="21"/>
                <w:highlight w:val="none"/>
              </w:rPr>
              <w:t>占标率＞100%</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71" w:type="dxa"/>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583"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保证率日平均浓度和年平均浓度叠加值</w:t>
            </w:r>
          </w:p>
        </w:tc>
        <w:tc>
          <w:tcPr>
            <w:tcW w:w="4127"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w:t>
            </w:r>
            <w:r>
              <w:rPr>
                <w:rFonts w:hint="default" w:ascii="Times New Roman" w:hAnsi="Times New Roman" w:cs="Times New Roman"/>
                <w:sz w:val="21"/>
                <w:szCs w:val="21"/>
                <w:highlight w:val="none"/>
                <w:vertAlign w:val="subscript"/>
              </w:rPr>
              <w:t>叠加</w:t>
            </w:r>
            <w:r>
              <w:rPr>
                <w:rFonts w:hint="default" w:ascii="Times New Roman" w:hAnsi="Times New Roman" w:cs="Times New Roman"/>
                <w:sz w:val="21"/>
                <w:szCs w:val="21"/>
                <w:highlight w:val="none"/>
              </w:rPr>
              <w:t>达标</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2915"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w:t>
            </w:r>
            <w:r>
              <w:rPr>
                <w:rFonts w:hint="default" w:ascii="Times New Roman" w:hAnsi="Times New Roman" w:cs="Times New Roman"/>
                <w:sz w:val="21"/>
                <w:szCs w:val="21"/>
                <w:highlight w:val="none"/>
                <w:vertAlign w:val="subscript"/>
              </w:rPr>
              <w:t>叠加不</w:t>
            </w:r>
            <w:r>
              <w:rPr>
                <w:rFonts w:hint="default" w:ascii="Times New Roman" w:hAnsi="Times New Roman" w:cs="Times New Roman"/>
                <w:sz w:val="21"/>
                <w:szCs w:val="21"/>
                <w:highlight w:val="none"/>
              </w:rPr>
              <w:t>达标</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71" w:type="dxa"/>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583"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区域环境质量的整体变化情况</w:t>
            </w:r>
          </w:p>
        </w:tc>
        <w:tc>
          <w:tcPr>
            <w:tcW w:w="4127"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K≤-20%</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2915"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K＞-20%</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571" w:type="dxa"/>
            <w:vMerge w:val="restart"/>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环境监测计划</w:t>
            </w:r>
          </w:p>
        </w:tc>
        <w:tc>
          <w:tcPr>
            <w:tcW w:w="1583"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污染源监测</w:t>
            </w:r>
          </w:p>
        </w:tc>
        <w:tc>
          <w:tcPr>
            <w:tcW w:w="3276"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监测因子：颗粒物</w:t>
            </w:r>
          </w:p>
        </w:tc>
        <w:tc>
          <w:tcPr>
            <w:tcW w:w="2766" w:type="dxa"/>
            <w:gridSpan w:val="8"/>
            <w:noWrap w:val="0"/>
            <w:vAlign w:val="center"/>
          </w:tcPr>
          <w:p>
            <w:pPr>
              <w:adjustRightInd w:val="0"/>
              <w:snapToGrid w:val="0"/>
              <w:spacing w:line="240" w:lineRule="auto"/>
              <w:jc w:val="center"/>
              <w:rPr>
                <w:rFonts w:hint="default" w:ascii="Times New Roman" w:hAnsi="Times New Roman" w:cs="Times New Roman"/>
                <w:bCs/>
                <w:snapToGrid w:val="0"/>
                <w:sz w:val="21"/>
                <w:szCs w:val="21"/>
                <w:highlight w:val="none"/>
              </w:rPr>
            </w:pPr>
            <w:r>
              <w:rPr>
                <w:rFonts w:hint="default" w:ascii="Times New Roman" w:hAnsi="Times New Roman" w:cs="Times New Roman"/>
                <w:sz w:val="21"/>
                <w:szCs w:val="21"/>
                <w:highlight w:val="none"/>
              </w:rPr>
              <w:t>有组织废气监测</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无组织废气监测</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1000"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无监测</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571" w:type="dxa"/>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583"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环境质量监测</w:t>
            </w:r>
          </w:p>
        </w:tc>
        <w:tc>
          <w:tcPr>
            <w:tcW w:w="1950" w:type="dxa"/>
            <w:gridSpan w:val="3"/>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监测因子：</w:t>
            </w:r>
          </w:p>
        </w:tc>
        <w:tc>
          <w:tcPr>
            <w:tcW w:w="3380"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监测点位数（）</w:t>
            </w:r>
          </w:p>
        </w:tc>
        <w:tc>
          <w:tcPr>
            <w:tcW w:w="1712" w:type="dxa"/>
            <w:gridSpan w:val="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无监测</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1" w:type="dxa"/>
            <w:vMerge w:val="restart"/>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评价结论</w:t>
            </w:r>
          </w:p>
        </w:tc>
        <w:tc>
          <w:tcPr>
            <w:tcW w:w="1583"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环境影响</w:t>
            </w:r>
          </w:p>
        </w:tc>
        <w:tc>
          <w:tcPr>
            <w:tcW w:w="4127"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可以接受</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c>
          <w:tcPr>
            <w:tcW w:w="2915" w:type="dxa"/>
            <w:gridSpan w:val="7"/>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不可以接受</w:t>
            </w:r>
            <w:r>
              <w:rPr>
                <w:rFonts w:hint="default" w:ascii="Times New Roman" w:hAnsi="Times New Roman" w:cs="Times New Roman"/>
                <w:bCs/>
                <w:snapToGrid w:val="0"/>
                <w:sz w:val="21"/>
                <w:szCs w:val="21"/>
                <w:highlight w:val="none"/>
              </w:rPr>
              <w:fldChar w:fldCharType="begin"/>
            </w:r>
            <w:r>
              <w:rPr>
                <w:rFonts w:hint="default" w:ascii="Times New Roman" w:hAnsi="Times New Roman" w:cs="Times New Roman"/>
                <w:bCs/>
                <w:snapToGrid w:val="0"/>
                <w:sz w:val="21"/>
                <w:szCs w:val="21"/>
                <w:highlight w:val="none"/>
              </w:rPr>
              <w:instrText xml:space="preserve"> eq \o\ac(</w:instrText>
            </w:r>
            <w:r>
              <w:rPr>
                <w:rFonts w:hint="default" w:ascii="Times New Roman" w:hAnsi="Times New Roman" w:cs="Times New Roman"/>
                <w:bCs/>
                <w:snapToGrid w:val="0"/>
                <w:position w:val="-4"/>
                <w:sz w:val="31"/>
                <w:szCs w:val="21"/>
                <w:highlight w:val="none"/>
              </w:rPr>
              <w:instrText xml:space="preserve">□</w:instrText>
            </w:r>
            <w:r>
              <w:rPr>
                <w:rFonts w:hint="default" w:ascii="Times New Roman" w:hAnsi="Times New Roman" w:cs="Times New Roman"/>
                <w:bCs/>
                <w:snapToGrid w:val="0"/>
                <w:sz w:val="21"/>
                <w:szCs w:val="21"/>
                <w:highlight w:val="none"/>
              </w:rPr>
              <w:instrText xml:space="preserve">)</w:instrText>
            </w:r>
            <w:r>
              <w:rPr>
                <w:rFonts w:hint="default" w:ascii="Times New Roman" w:hAnsi="Times New Roman" w:cs="Times New Roman"/>
                <w:bCs/>
                <w:snapToGrid w:val="0"/>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1" w:type="dxa"/>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583"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大气环境防护距离</w:t>
            </w:r>
          </w:p>
        </w:tc>
        <w:tc>
          <w:tcPr>
            <w:tcW w:w="7042" w:type="dxa"/>
            <w:gridSpan w:val="14"/>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不需要设置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571" w:type="dxa"/>
            <w:vMerge w:val="continue"/>
            <w:noWrap w:val="0"/>
            <w:vAlign w:val="center"/>
          </w:tcPr>
          <w:p>
            <w:pPr>
              <w:adjustRightInd w:val="0"/>
              <w:snapToGrid w:val="0"/>
              <w:spacing w:line="240" w:lineRule="auto"/>
              <w:jc w:val="center"/>
              <w:rPr>
                <w:rFonts w:hint="default" w:ascii="Times New Roman" w:hAnsi="Times New Roman" w:cs="Times New Roman"/>
                <w:sz w:val="21"/>
                <w:szCs w:val="21"/>
                <w:highlight w:val="none"/>
              </w:rPr>
            </w:pPr>
          </w:p>
        </w:tc>
        <w:tc>
          <w:tcPr>
            <w:tcW w:w="1583"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污染源年排放量</w:t>
            </w:r>
          </w:p>
        </w:tc>
        <w:tc>
          <w:tcPr>
            <w:tcW w:w="1774"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SO</w:t>
            </w:r>
            <w:r>
              <w:rPr>
                <w:rFonts w:hint="default" w:ascii="Times New Roman" w:hAnsi="Times New Roman" w:cs="Times New Roman"/>
                <w:sz w:val="21"/>
                <w:szCs w:val="21"/>
                <w:highlight w:val="none"/>
                <w:vertAlign w:val="subscript"/>
              </w:rPr>
              <w:t>2</w:t>
            </w:r>
            <w:r>
              <w:rPr>
                <w:rFonts w:hint="default" w:ascii="Times New Roman" w:hAnsi="Times New Roman" w:cs="Times New Roman"/>
                <w:sz w:val="21"/>
                <w:szCs w:val="21"/>
                <w:highlight w:val="none"/>
              </w:rPr>
              <w:t>：0</w:t>
            </w:r>
          </w:p>
        </w:tc>
        <w:tc>
          <w:tcPr>
            <w:tcW w:w="2353" w:type="dxa"/>
            <w:gridSpan w:val="5"/>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NOx：0</w:t>
            </w:r>
          </w:p>
        </w:tc>
        <w:tc>
          <w:tcPr>
            <w:tcW w:w="1915" w:type="dxa"/>
            <w:gridSpan w:val="5"/>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颗粒物：</w:t>
            </w:r>
            <w:r>
              <w:rPr>
                <w:rFonts w:hint="eastAsia" w:ascii="Times New Roman" w:hAnsi="Times New Roman" w:cs="Times New Roman"/>
                <w:sz w:val="21"/>
                <w:szCs w:val="21"/>
                <w:highlight w:val="none"/>
                <w:lang w:val="en-US" w:eastAsia="zh-CN"/>
              </w:rPr>
              <w:t>0.881</w:t>
            </w:r>
          </w:p>
        </w:tc>
        <w:tc>
          <w:tcPr>
            <w:tcW w:w="1000" w:type="dxa"/>
            <w:gridSpan w:val="2"/>
            <w:noWrap w:val="0"/>
            <w:vAlign w:val="center"/>
          </w:tcPr>
          <w:p>
            <w:pPr>
              <w:adjustRightInd w:val="0"/>
              <w:snapToGrid w:val="0"/>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VOCs：0</w:t>
            </w:r>
          </w:p>
        </w:tc>
      </w:tr>
    </w:tbl>
    <w:p>
      <w:pPr>
        <w:spacing w:before="104" w:line="229" w:lineRule="auto"/>
        <w:ind w:left="133"/>
        <w:outlineLvl w:val="2"/>
        <w:rPr>
          <w:rFonts w:hint="default" w:ascii="Times New Roman" w:hAnsi="Times New Roman" w:eastAsia="宋体" w:cs="Times New Roman"/>
          <w:spacing w:val="5"/>
          <w:sz w:val="23"/>
          <w:szCs w:val="23"/>
          <w:highlight w:val="none"/>
        </w:rPr>
      </w:pPr>
      <w:bookmarkStart w:id="469" w:name="_Toc31088"/>
      <w:bookmarkStart w:id="470" w:name="_Toc353"/>
      <w:bookmarkStart w:id="471" w:name="_Toc15773"/>
      <w:r>
        <w:rPr>
          <w:rFonts w:hint="default" w:ascii="Times New Roman" w:hAnsi="Times New Roman" w:eastAsia="Times New Roman" w:cs="Times New Roman"/>
          <w:spacing w:val="10"/>
          <w:sz w:val="23"/>
          <w:szCs w:val="23"/>
          <w:highlight w:val="none"/>
        </w:rPr>
        <w:t>5</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pacing w:val="5"/>
          <w:sz w:val="23"/>
          <w:szCs w:val="23"/>
          <w:highlight w:val="none"/>
        </w:rPr>
        <w:t xml:space="preserve">2.1.5 </w:t>
      </w:r>
      <w:r>
        <w:rPr>
          <w:rFonts w:hint="default" w:ascii="Times New Roman" w:hAnsi="Times New Roman" w:eastAsia="宋体" w:cs="Times New Roman"/>
          <w:spacing w:val="5"/>
          <w:sz w:val="23"/>
          <w:szCs w:val="23"/>
          <w:highlight w:val="none"/>
        </w:rPr>
        <w:t>非正常工况大气环境影响分析</w:t>
      </w:r>
      <w:bookmarkEnd w:id="469"/>
      <w:bookmarkEnd w:id="470"/>
      <w:bookmarkEnd w:id="471"/>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本项目废气发生非正常排放主要有以下几种情况：</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eastAsia" w:ascii="Times New Roman" w:hAnsi="Times New Roman" w:eastAsia="宋体" w:cs="Times New Roman"/>
          <w:spacing w:val="3"/>
          <w:sz w:val="23"/>
          <w:szCs w:val="23"/>
          <w:highlight w:val="none"/>
          <w:lang w:eastAsia="zh-CN"/>
        </w:rPr>
        <w:t>（</w:t>
      </w:r>
      <w:r>
        <w:rPr>
          <w:rFonts w:hint="eastAsia" w:ascii="Times New Roman" w:hAnsi="Times New Roman" w:eastAsia="宋体" w:cs="Times New Roman"/>
          <w:spacing w:val="3"/>
          <w:sz w:val="23"/>
          <w:szCs w:val="23"/>
          <w:highlight w:val="none"/>
          <w:lang w:val="en-US" w:eastAsia="zh-CN"/>
        </w:rPr>
        <w:t>1</w:t>
      </w:r>
      <w:r>
        <w:rPr>
          <w:rFonts w:hint="eastAsia" w:ascii="Times New Roman" w:hAnsi="Times New Roman" w:eastAsia="宋体" w:cs="Times New Roman"/>
          <w:spacing w:val="3"/>
          <w:sz w:val="23"/>
          <w:szCs w:val="23"/>
          <w:highlight w:val="none"/>
          <w:lang w:eastAsia="zh-CN"/>
        </w:rPr>
        <w:t>）</w:t>
      </w:r>
      <w:r>
        <w:rPr>
          <w:rFonts w:hint="default" w:ascii="Times New Roman" w:hAnsi="Times New Roman" w:eastAsia="宋体" w:cs="Times New Roman"/>
          <w:spacing w:val="3"/>
          <w:sz w:val="23"/>
          <w:szCs w:val="23"/>
          <w:highlight w:val="none"/>
        </w:rPr>
        <w:t>废气处理系统出现故障时，未经处理的废气直接排入大气环境中；</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eastAsia" w:ascii="Times New Roman" w:hAnsi="Times New Roman" w:eastAsia="宋体" w:cs="Times New Roman"/>
          <w:spacing w:val="3"/>
          <w:sz w:val="23"/>
          <w:szCs w:val="23"/>
          <w:highlight w:val="none"/>
          <w:lang w:eastAsia="zh-CN"/>
        </w:rPr>
        <w:t>（</w:t>
      </w:r>
      <w:r>
        <w:rPr>
          <w:rFonts w:hint="eastAsia" w:ascii="Times New Roman" w:hAnsi="Times New Roman" w:eastAsia="宋体" w:cs="Times New Roman"/>
          <w:spacing w:val="3"/>
          <w:sz w:val="23"/>
          <w:szCs w:val="23"/>
          <w:highlight w:val="none"/>
          <w:lang w:val="en-US" w:eastAsia="zh-CN"/>
        </w:rPr>
        <w:t>2</w:t>
      </w:r>
      <w:r>
        <w:rPr>
          <w:rFonts w:hint="eastAsia" w:ascii="Times New Roman" w:hAnsi="Times New Roman" w:eastAsia="宋体" w:cs="Times New Roman"/>
          <w:spacing w:val="3"/>
          <w:sz w:val="23"/>
          <w:szCs w:val="23"/>
          <w:highlight w:val="none"/>
          <w:lang w:eastAsia="zh-CN"/>
        </w:rPr>
        <w:t>）</w:t>
      </w:r>
      <w:r>
        <w:rPr>
          <w:rFonts w:hint="default" w:ascii="Times New Roman" w:hAnsi="Times New Roman" w:eastAsia="宋体" w:cs="Times New Roman"/>
          <w:spacing w:val="3"/>
          <w:sz w:val="23"/>
          <w:szCs w:val="23"/>
          <w:highlight w:val="none"/>
        </w:rPr>
        <w:t>管理操作人员的疏忽和失职，导致污染物超标排放。</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本着最不利影响原则，本项目将污染物不经任何处理的直接排放量定为非正常工况下的废气排放源强，及排气筒废气未经处理直接排放，源强为</w:t>
      </w:r>
      <w:r>
        <w:rPr>
          <w:rFonts w:hint="eastAsia" w:ascii="Times New Roman" w:hAnsi="Times New Roman" w:eastAsia="宋体" w:cs="Times New Roman"/>
          <w:spacing w:val="3"/>
          <w:sz w:val="23"/>
          <w:szCs w:val="23"/>
          <w:highlight w:val="none"/>
          <w:lang w:val="en-US" w:eastAsia="zh-CN"/>
        </w:rPr>
        <w:t>112.4</w:t>
      </w:r>
      <w:r>
        <w:rPr>
          <w:rFonts w:hint="default" w:ascii="Times New Roman" w:hAnsi="Times New Roman" w:eastAsia="宋体" w:cs="Times New Roman"/>
          <w:spacing w:val="3"/>
          <w:sz w:val="23"/>
          <w:szCs w:val="23"/>
          <w:highlight w:val="none"/>
        </w:rPr>
        <w:t>kg/h。</w:t>
      </w:r>
    </w:p>
    <w:p>
      <w:pPr>
        <w:ind w:firstLine="472" w:firstLineChars="200"/>
        <w:jc w:val="cente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表5.2-</w:t>
      </w:r>
      <w:r>
        <w:rPr>
          <w:rFonts w:hint="eastAsia" w:ascii="Times New Roman" w:hAnsi="Times New Roman" w:eastAsia="宋体" w:cs="Times New Roman"/>
          <w:spacing w:val="3"/>
          <w:sz w:val="23"/>
          <w:szCs w:val="23"/>
          <w:highlight w:val="none"/>
          <w:lang w:val="en-US" w:eastAsia="zh-CN"/>
          <w14:textOutline w14:w="4358" w14:cap="sq" w14:cmpd="sng">
            <w14:solidFill>
              <w14:srgbClr w14:val="000000"/>
            </w14:solidFill>
            <w14:prstDash w14:val="solid"/>
            <w14:bevel/>
          </w14:textOutline>
        </w:rPr>
        <w:t>8</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 xml:space="preserve">     非正常工况污染物排放量核算表</w:t>
      </w:r>
    </w:p>
    <w:tbl>
      <w:tblPr>
        <w:tblStyle w:val="15"/>
        <w:tblW w:w="919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6"/>
        <w:gridCol w:w="1178"/>
        <w:gridCol w:w="1533"/>
        <w:gridCol w:w="1334"/>
        <w:gridCol w:w="1359"/>
        <w:gridCol w:w="14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306"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w:t>
            </w:r>
          </w:p>
        </w:tc>
        <w:tc>
          <w:tcPr>
            <w:tcW w:w="1178"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非正常排放原因</w:t>
            </w:r>
          </w:p>
        </w:tc>
        <w:tc>
          <w:tcPr>
            <w:tcW w:w="1533"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非正常排放速率（kg/h）</w:t>
            </w:r>
          </w:p>
        </w:tc>
        <w:tc>
          <w:tcPr>
            <w:tcW w:w="1334"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单次持续时间（h）</w:t>
            </w:r>
          </w:p>
        </w:tc>
        <w:tc>
          <w:tcPr>
            <w:tcW w:w="1359"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年发生频次（次）</w:t>
            </w:r>
          </w:p>
        </w:tc>
        <w:tc>
          <w:tcPr>
            <w:tcW w:w="1486"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306" w:type="dxa"/>
            <w:noWrap w:val="0"/>
            <w:vAlign w:val="center"/>
          </w:tcPr>
          <w:p>
            <w:pPr>
              <w:spacing w:line="240" w:lineRule="auto"/>
              <w:jc w:val="center"/>
              <w:rPr>
                <w:rFonts w:hint="default" w:ascii="Times New Roman" w:hAnsi="Times New Roman" w:cs="Times New Roman"/>
                <w:sz w:val="21"/>
                <w:szCs w:val="21"/>
                <w:highlight w:val="none"/>
              </w:rPr>
            </w:pPr>
            <w:r>
              <w:rPr>
                <w:rFonts w:hint="eastAsia" w:ascii="Times New Roman" w:hAnsi="Times New Roman" w:eastAsia="宋体" w:cs="Times New Roman"/>
                <w:sz w:val="21"/>
                <w:szCs w:val="21"/>
                <w:highlight w:val="none"/>
                <w:lang w:val="en-US" w:eastAsia="zh-CN"/>
              </w:rPr>
              <w:t>破碎</w:t>
            </w:r>
            <w:r>
              <w:rPr>
                <w:rFonts w:hint="default" w:ascii="Times New Roman" w:hAnsi="Times New Roman" w:cs="Times New Roman"/>
                <w:sz w:val="21"/>
                <w:szCs w:val="21"/>
                <w:highlight w:val="none"/>
              </w:rPr>
              <w:t>、筛分等过程排放粉尘</w:t>
            </w:r>
          </w:p>
        </w:tc>
        <w:tc>
          <w:tcPr>
            <w:tcW w:w="1178"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除尘器</w:t>
            </w:r>
          </w:p>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故障</w:t>
            </w:r>
          </w:p>
        </w:tc>
        <w:tc>
          <w:tcPr>
            <w:tcW w:w="1533" w:type="dxa"/>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202.36</w:t>
            </w:r>
          </w:p>
        </w:tc>
        <w:tc>
          <w:tcPr>
            <w:tcW w:w="1334"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359"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486" w:type="dxa"/>
            <w:noWrap w:val="0"/>
            <w:vAlign w:val="center"/>
          </w:tcPr>
          <w:p>
            <w:pPr>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停止作业，马上检修设备</w:t>
            </w:r>
          </w:p>
        </w:tc>
      </w:tr>
    </w:tbl>
    <w:p>
      <w:pPr>
        <w:spacing w:before="157" w:line="227" w:lineRule="auto"/>
        <w:ind w:left="133"/>
        <w:outlineLvl w:val="2"/>
        <w:rPr>
          <w:rFonts w:hint="default" w:ascii="Times New Roman" w:hAnsi="Times New Roman" w:eastAsia="宋体" w:cs="Times New Roman"/>
          <w:spacing w:val="5"/>
          <w:sz w:val="23"/>
          <w:szCs w:val="23"/>
          <w:highlight w:val="none"/>
          <w:lang w:val="en-US" w:eastAsia="zh-CN"/>
        </w:rPr>
      </w:pPr>
      <w:bookmarkStart w:id="472" w:name="_Toc17753"/>
      <w:bookmarkStart w:id="473" w:name="_Toc32467"/>
      <w:bookmarkStart w:id="474" w:name="_Toc13710"/>
      <w:r>
        <w:rPr>
          <w:rFonts w:hint="default" w:ascii="Times New Roman" w:hAnsi="Times New Roman" w:eastAsia="宋体" w:cs="Times New Roman"/>
          <w:spacing w:val="5"/>
          <w:sz w:val="23"/>
          <w:szCs w:val="23"/>
          <w:highlight w:val="none"/>
          <w:lang w:val="en-US" w:eastAsia="zh-CN"/>
        </w:rPr>
        <w:t>5.2.1.</w:t>
      </w:r>
      <w:r>
        <w:rPr>
          <w:rFonts w:hint="eastAsia" w:ascii="Times New Roman" w:hAnsi="Times New Roman" w:eastAsia="宋体" w:cs="Times New Roman"/>
          <w:spacing w:val="5"/>
          <w:sz w:val="23"/>
          <w:szCs w:val="23"/>
          <w:highlight w:val="none"/>
          <w:lang w:val="en-US" w:eastAsia="zh-CN"/>
        </w:rPr>
        <w:t>6</w:t>
      </w:r>
      <w:r>
        <w:rPr>
          <w:rFonts w:hint="default" w:ascii="Times New Roman" w:hAnsi="Times New Roman" w:eastAsia="宋体" w:cs="Times New Roman"/>
          <w:spacing w:val="5"/>
          <w:sz w:val="23"/>
          <w:szCs w:val="23"/>
          <w:highlight w:val="none"/>
          <w:lang w:val="en-US" w:eastAsia="zh-CN"/>
        </w:rPr>
        <w:t xml:space="preserve"> 信息报告和信息公开</w:t>
      </w:r>
      <w:bookmarkEnd w:id="472"/>
      <w:bookmarkEnd w:id="473"/>
      <w:bookmarkEnd w:id="474"/>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排污单位应按照《排污单位自行监测技术指南 总则》（HJ819-2017）执行信息报告和信息公开。</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（1）信息报告</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①排污单位应编写自行监测年度报告，年度报告至少应包含以下内容：</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②监测方案的调整变化情况及变更原因；</w:t>
      </w:r>
    </w:p>
    <w:p>
      <w:pPr>
        <w:keepNext w:val="0"/>
        <w:keepLines w:val="0"/>
        <w:pageBreakBefore w:val="0"/>
        <w:widowControl/>
        <w:kinsoku w:val="0"/>
        <w:wordWrap/>
        <w:overflowPunct/>
        <w:topLinePunct w:val="0"/>
        <w:autoSpaceDE w:val="0"/>
        <w:autoSpaceDN w:val="0"/>
        <w:bidi w:val="0"/>
        <w:adjustRightInd w:val="0"/>
        <w:snapToGrid w:val="0"/>
        <w:spacing w:line="460" w:lineRule="exact"/>
        <w:ind w:right="12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③企业及各主要生产设施（至少涵盖废气主要污染源相关生产设施）全年运行天数，各监测点、各监测指标全年监测次数、超标情况、浓度分布情况；</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34" w:right="12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④按要求开展的周边环境质量影响状况监测结果；</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34" w:right="12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⑤自行监测开展的其他情况说明；</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⑥排污单位实现达标排放所采取的主要措施。</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（2）信息公开</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排污单位自行监测信息公开内容及方式按照《企业事业单位环境信息公开办法》（环境保护部令 第 31 号）及《国家重点监控企业自行监测及信息公开办法（试行）》（环发〔2013〕81号）执行。非重点排污单位的信息公开要求由地方环境保护主管部门确定。</w:t>
      </w:r>
    </w:p>
    <w:p>
      <w:pPr>
        <w:spacing w:before="157" w:line="227" w:lineRule="auto"/>
        <w:ind w:left="133"/>
        <w:outlineLvl w:val="2"/>
        <w:rPr>
          <w:rFonts w:hint="default" w:ascii="Times New Roman" w:hAnsi="Times New Roman" w:eastAsia="宋体" w:cs="Times New Roman"/>
          <w:spacing w:val="5"/>
          <w:sz w:val="23"/>
          <w:szCs w:val="23"/>
          <w:highlight w:val="none"/>
          <w:lang w:val="en-US" w:eastAsia="zh-CN"/>
        </w:rPr>
      </w:pPr>
      <w:bookmarkStart w:id="475" w:name="_Toc14134"/>
      <w:bookmarkStart w:id="476" w:name="_Toc11720"/>
      <w:bookmarkStart w:id="477" w:name="_Toc30515"/>
      <w:r>
        <w:rPr>
          <w:rFonts w:hint="default" w:ascii="Times New Roman" w:hAnsi="Times New Roman" w:eastAsia="宋体" w:cs="Times New Roman"/>
          <w:spacing w:val="5"/>
          <w:sz w:val="23"/>
          <w:szCs w:val="23"/>
          <w:highlight w:val="none"/>
          <w:lang w:val="en-US" w:eastAsia="zh-CN"/>
        </w:rPr>
        <w:t>5.2.1.5结论</w:t>
      </w:r>
      <w:bookmarkEnd w:id="475"/>
      <w:bookmarkEnd w:id="476"/>
      <w:bookmarkEnd w:id="477"/>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本项目所在区域处于不达标区，本项目为二级评价，按估算模式进行计算，颗粒物有组织排放浓度最大占标率小于10%；颗粒物无组织排放浓度最大占标率小于10%。分析预测结果表明，项目实施后，不会对周围环境空气质量产生明显污染影响。</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72"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
          <w:sz w:val="23"/>
          <w:szCs w:val="23"/>
          <w:highlight w:val="none"/>
        </w:rPr>
        <w:t>因此，本项目运行后对周围大气环境影响较小，环境影响可以接受。</w:t>
      </w:r>
    </w:p>
    <w:p>
      <w:pPr>
        <w:spacing w:before="139" w:line="228" w:lineRule="auto"/>
        <w:ind w:left="8"/>
        <w:outlineLvl w:val="1"/>
        <w:rPr>
          <w:rFonts w:hint="default" w:ascii="Times New Roman" w:hAnsi="Times New Roman" w:eastAsia="宋体" w:cs="Times New Roman"/>
          <w:sz w:val="23"/>
          <w:szCs w:val="23"/>
          <w:highlight w:val="none"/>
        </w:rPr>
      </w:pPr>
      <w:bookmarkStart w:id="478" w:name="_Toc26026"/>
      <w:bookmarkStart w:id="479" w:name="_Toc1625"/>
      <w:bookmarkStart w:id="480" w:name="_Toc32521"/>
      <w:r>
        <w:rPr>
          <w:rFonts w:hint="default" w:ascii="Times New Roman" w:hAnsi="Times New Roman" w:eastAsia="Times New Roman" w:cs="Times New Roman"/>
          <w:b/>
          <w:bCs/>
          <w:spacing w:val="9"/>
          <w:sz w:val="23"/>
          <w:szCs w:val="23"/>
          <w:highlight w:val="none"/>
        </w:rPr>
        <w:t>5</w:t>
      </w:r>
      <w:r>
        <w:rPr>
          <w:rFonts w:hint="default" w:ascii="Times New Roman" w:hAnsi="Times New Roman" w:eastAsia="Times New Roman" w:cs="Times New Roman"/>
          <w:b/>
          <w:bCs/>
          <w:spacing w:val="7"/>
          <w:sz w:val="23"/>
          <w:szCs w:val="23"/>
          <w:highlight w:val="none"/>
        </w:rPr>
        <w:t>.2.2</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地表水环境影响分析</w:t>
      </w:r>
      <w:bookmarkEnd w:id="478"/>
      <w:bookmarkEnd w:id="479"/>
      <w:bookmarkEnd w:id="480"/>
    </w:p>
    <w:p>
      <w:pPr>
        <w:spacing w:before="75" w:line="402" w:lineRule="auto"/>
        <w:ind w:left="11" w:right="81"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本</w:t>
      </w:r>
      <w:r>
        <w:rPr>
          <w:rFonts w:hint="default" w:ascii="Times New Roman" w:hAnsi="Times New Roman" w:eastAsia="宋体" w:cs="Times New Roman"/>
          <w:spacing w:val="11"/>
          <w:sz w:val="23"/>
          <w:szCs w:val="23"/>
          <w:highlight w:val="none"/>
        </w:rPr>
        <w:t>项</w:t>
      </w:r>
      <w:r>
        <w:rPr>
          <w:rFonts w:hint="default" w:ascii="Times New Roman" w:hAnsi="Times New Roman" w:eastAsia="宋体" w:cs="Times New Roman"/>
          <w:spacing w:val="10"/>
          <w:sz w:val="23"/>
          <w:szCs w:val="23"/>
          <w:highlight w:val="none"/>
        </w:rPr>
        <w:t>目生产废水污染源为矿石加工过程中将产生大量选矿废水。选矿废水中主要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污</w:t>
      </w:r>
      <w:r>
        <w:rPr>
          <w:rFonts w:hint="default" w:ascii="Times New Roman" w:hAnsi="Times New Roman" w:eastAsia="宋体" w:cs="Times New Roman"/>
          <w:spacing w:val="11"/>
          <w:sz w:val="23"/>
          <w:szCs w:val="23"/>
          <w:highlight w:val="none"/>
        </w:rPr>
        <w:t>染</w:t>
      </w:r>
      <w:r>
        <w:rPr>
          <w:rFonts w:hint="default" w:ascii="Times New Roman" w:hAnsi="Times New Roman" w:eastAsia="宋体" w:cs="Times New Roman"/>
          <w:spacing w:val="9"/>
          <w:sz w:val="23"/>
          <w:szCs w:val="23"/>
          <w:highlight w:val="none"/>
        </w:rPr>
        <w:t>物为悬浮物及固体颗粒。生产废水正常生产时不外排，全部循环利用。</w:t>
      </w:r>
    </w:p>
    <w:p>
      <w:pPr>
        <w:spacing w:before="2" w:line="400" w:lineRule="auto"/>
        <w:ind w:left="11"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本</w:t>
      </w:r>
      <w:r>
        <w:rPr>
          <w:rFonts w:hint="default" w:ascii="Times New Roman" w:hAnsi="Times New Roman" w:eastAsia="宋体" w:cs="Times New Roman"/>
          <w:spacing w:val="10"/>
          <w:sz w:val="23"/>
          <w:szCs w:val="23"/>
          <w:highlight w:val="none"/>
        </w:rPr>
        <w:t>项目</w:t>
      </w:r>
      <w:r>
        <w:rPr>
          <w:rFonts w:hint="eastAsia" w:ascii="Times New Roman" w:hAnsi="Times New Roman" w:eastAsia="宋体" w:cs="Times New Roman"/>
          <w:spacing w:val="10"/>
          <w:sz w:val="23"/>
          <w:szCs w:val="23"/>
          <w:highlight w:val="none"/>
          <w:lang w:val="en-US" w:eastAsia="zh-CN"/>
        </w:rPr>
        <w:t>不新增生活污水产生量，现有</w:t>
      </w:r>
      <w:r>
        <w:rPr>
          <w:rFonts w:hint="default" w:ascii="Times New Roman" w:hAnsi="Times New Roman" w:eastAsia="宋体" w:cs="Times New Roman"/>
          <w:spacing w:val="10"/>
          <w:sz w:val="23"/>
          <w:szCs w:val="23"/>
          <w:highlight w:val="none"/>
        </w:rPr>
        <w:t>生活污水</w:t>
      </w:r>
      <w:r>
        <w:rPr>
          <w:rFonts w:hint="default" w:ascii="Times New Roman" w:hAnsi="Times New Roman" w:eastAsia="宋体" w:cs="Times New Roman"/>
          <w:spacing w:val="6"/>
          <w:sz w:val="23"/>
          <w:szCs w:val="23"/>
          <w:highlight w:val="none"/>
        </w:rPr>
        <w:t>排入防渗化粪池，由环卫部门定期清运。</w:t>
      </w:r>
    </w:p>
    <w:p>
      <w:pPr>
        <w:spacing w:before="1" w:line="401" w:lineRule="auto"/>
        <w:ind w:left="9" w:right="81" w:firstLine="48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项</w:t>
      </w:r>
      <w:r>
        <w:rPr>
          <w:rFonts w:hint="default" w:ascii="Times New Roman" w:hAnsi="Times New Roman" w:eastAsia="宋体" w:cs="Times New Roman"/>
          <w:spacing w:val="10"/>
          <w:sz w:val="23"/>
          <w:szCs w:val="23"/>
          <w:highlight w:val="none"/>
        </w:rPr>
        <w:t>目厂区进出口设置洗车平台清洗运输车辆，洗车平台四周应设置防溢座，洗车</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过</w:t>
      </w:r>
      <w:r>
        <w:rPr>
          <w:rFonts w:hint="default" w:ascii="Times New Roman" w:hAnsi="Times New Roman" w:eastAsia="宋体" w:cs="Times New Roman"/>
          <w:spacing w:val="12"/>
          <w:sz w:val="23"/>
          <w:szCs w:val="23"/>
          <w:highlight w:val="none"/>
        </w:rPr>
        <w:t>程</w:t>
      </w:r>
      <w:r>
        <w:rPr>
          <w:rFonts w:hint="default" w:ascii="Times New Roman" w:hAnsi="Times New Roman" w:eastAsia="宋体" w:cs="Times New Roman"/>
          <w:spacing w:val="10"/>
          <w:sz w:val="23"/>
          <w:szCs w:val="23"/>
          <w:highlight w:val="none"/>
        </w:rPr>
        <w:t>中产生的废水经废水导流渠流入沉淀池内，经沉淀后的洗车废水流入清水池内，</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循环使用，不外排</w:t>
      </w:r>
      <w:r>
        <w:rPr>
          <w:rFonts w:hint="default" w:ascii="Times New Roman" w:hAnsi="Times New Roman" w:eastAsia="宋体" w:cs="Times New Roman"/>
          <w:spacing w:val="6"/>
          <w:sz w:val="23"/>
          <w:szCs w:val="23"/>
          <w:highlight w:val="none"/>
        </w:rPr>
        <w:t>。</w:t>
      </w:r>
    </w:p>
    <w:p>
      <w:pPr>
        <w:spacing w:before="7" w:line="402" w:lineRule="auto"/>
        <w:ind w:left="9" w:right="81" w:firstLine="49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本项目无废水外排，正常情况下不会对地表水产生污染影响。本项目非正</w:t>
      </w:r>
      <w:r>
        <w:rPr>
          <w:rFonts w:hint="default" w:ascii="Times New Roman" w:hAnsi="Times New Roman" w:eastAsia="宋体" w:cs="Times New Roman"/>
          <w:spacing w:val="3"/>
          <w:sz w:val="23"/>
          <w:szCs w:val="23"/>
          <w:highlight w:val="none"/>
        </w:rPr>
        <w:t>常</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排</w:t>
      </w:r>
      <w:r>
        <w:rPr>
          <w:rFonts w:hint="default" w:ascii="Times New Roman" w:hAnsi="Times New Roman" w:eastAsia="宋体" w:cs="Times New Roman"/>
          <w:spacing w:val="12"/>
          <w:sz w:val="23"/>
          <w:szCs w:val="23"/>
          <w:highlight w:val="none"/>
        </w:rPr>
        <w:t>放</w:t>
      </w:r>
      <w:r>
        <w:rPr>
          <w:rFonts w:hint="default" w:ascii="Times New Roman" w:hAnsi="Times New Roman" w:eastAsia="宋体" w:cs="Times New Roman"/>
          <w:spacing w:val="10"/>
          <w:sz w:val="23"/>
          <w:szCs w:val="23"/>
          <w:highlight w:val="none"/>
        </w:rPr>
        <w:t>主要为生产设备损坏、管道泄漏、事故停车、停电等原因导致系统运行不正常，</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尾</w:t>
      </w:r>
      <w:r>
        <w:rPr>
          <w:rFonts w:hint="default" w:ascii="Times New Roman" w:hAnsi="Times New Roman" w:eastAsia="宋体" w:cs="Times New Roman"/>
          <w:spacing w:val="12"/>
          <w:sz w:val="23"/>
          <w:szCs w:val="23"/>
          <w:highlight w:val="none"/>
        </w:rPr>
        <w:t>矿</w:t>
      </w:r>
      <w:r>
        <w:rPr>
          <w:rFonts w:hint="default" w:ascii="Times New Roman" w:hAnsi="Times New Roman" w:eastAsia="宋体" w:cs="Times New Roman"/>
          <w:spacing w:val="10"/>
          <w:sz w:val="23"/>
          <w:szCs w:val="23"/>
          <w:highlight w:val="none"/>
        </w:rPr>
        <w:t>浆输送管道倒空管段内的尾矿浆回流或球磨设备内未经磁选的矿浆事故排放，发</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生事故时</w:t>
      </w:r>
      <w:r>
        <w:rPr>
          <w:rFonts w:hint="default" w:ascii="Times New Roman" w:hAnsi="Times New Roman" w:eastAsia="宋体" w:cs="Times New Roman"/>
          <w:spacing w:val="9"/>
          <w:sz w:val="23"/>
          <w:szCs w:val="23"/>
          <w:highlight w:val="none"/>
        </w:rPr>
        <w:t>矿</w:t>
      </w:r>
      <w:r>
        <w:rPr>
          <w:rFonts w:hint="default" w:ascii="Times New Roman" w:hAnsi="Times New Roman" w:eastAsia="宋体" w:cs="Times New Roman"/>
          <w:spacing w:val="7"/>
          <w:sz w:val="23"/>
          <w:szCs w:val="23"/>
          <w:highlight w:val="none"/>
        </w:rPr>
        <w:t>浆由水泥沟槽自流</w:t>
      </w:r>
      <w:r>
        <w:rPr>
          <w:rFonts w:hint="eastAsia" w:ascii="Times New Roman" w:hAnsi="Times New Roman" w:eastAsia="宋体" w:cs="Times New Roman"/>
          <w:spacing w:val="7"/>
          <w:sz w:val="23"/>
          <w:szCs w:val="23"/>
          <w:highlight w:val="none"/>
          <w:lang w:val="en-US" w:eastAsia="zh-CN"/>
        </w:rPr>
        <w:t>至</w:t>
      </w:r>
      <w:r>
        <w:rPr>
          <w:rFonts w:hint="default" w:ascii="Times New Roman" w:hAnsi="Times New Roman" w:eastAsia="宋体" w:cs="Times New Roman"/>
          <w:spacing w:val="7"/>
          <w:sz w:val="23"/>
          <w:szCs w:val="23"/>
          <w:highlight w:val="none"/>
        </w:rPr>
        <w:t>事故池内</w:t>
      </w:r>
      <w:r>
        <w:rPr>
          <w:rFonts w:hint="default" w:ascii="Times New Roman" w:hAnsi="Times New Roman" w:eastAsia="宋体" w:cs="Times New Roman"/>
          <w:spacing w:val="11"/>
          <w:sz w:val="23"/>
          <w:szCs w:val="23"/>
          <w:highlight w:val="none"/>
        </w:rPr>
        <w:t>，可避免事故排放矿浆直接排入</w:t>
      </w:r>
      <w:r>
        <w:rPr>
          <w:rFonts w:hint="default" w:ascii="Times New Roman" w:hAnsi="Times New Roman" w:eastAsia="宋体" w:cs="Times New Roman"/>
          <w:spacing w:val="20"/>
          <w:sz w:val="23"/>
          <w:szCs w:val="23"/>
          <w:highlight w:val="none"/>
        </w:rPr>
        <w:t>厂</w:t>
      </w:r>
      <w:r>
        <w:rPr>
          <w:rFonts w:hint="default" w:ascii="Times New Roman" w:hAnsi="Times New Roman" w:eastAsia="宋体" w:cs="Times New Roman"/>
          <w:spacing w:val="12"/>
          <w:sz w:val="23"/>
          <w:szCs w:val="23"/>
          <w:highlight w:val="none"/>
        </w:rPr>
        <w:t>区</w:t>
      </w:r>
      <w:r>
        <w:rPr>
          <w:rFonts w:hint="default" w:ascii="Times New Roman" w:hAnsi="Times New Roman" w:eastAsia="宋体" w:cs="Times New Roman"/>
          <w:spacing w:val="10"/>
          <w:sz w:val="23"/>
          <w:szCs w:val="23"/>
          <w:highlight w:val="none"/>
        </w:rPr>
        <w:t>外，事故池中矿浆经磁选后尾矿浆再被打入浓密池内。因此，在非事故状态下也</w:t>
      </w:r>
      <w:r>
        <w:rPr>
          <w:rFonts w:hint="default" w:ascii="Times New Roman" w:hAnsi="Times New Roman" w:eastAsia="宋体" w:cs="Times New Roman"/>
          <w:spacing w:val="14"/>
          <w:sz w:val="23"/>
          <w:szCs w:val="23"/>
          <w:highlight w:val="none"/>
        </w:rPr>
        <w:t>不</w:t>
      </w:r>
      <w:r>
        <w:rPr>
          <w:rFonts w:hint="default" w:ascii="Times New Roman" w:hAnsi="Times New Roman" w:eastAsia="宋体" w:cs="Times New Roman"/>
          <w:spacing w:val="8"/>
          <w:sz w:val="23"/>
          <w:szCs w:val="23"/>
          <w:highlight w:val="none"/>
        </w:rPr>
        <w:t>会对地表水产生污染影响。</w:t>
      </w:r>
    </w:p>
    <w:p>
      <w:pPr>
        <w:spacing w:before="108" w:line="227" w:lineRule="auto"/>
        <w:ind w:left="8"/>
        <w:outlineLvl w:val="1"/>
        <w:rPr>
          <w:rFonts w:hint="default" w:ascii="Times New Roman" w:hAnsi="Times New Roman" w:eastAsia="宋体" w:cs="Times New Roman"/>
          <w:sz w:val="23"/>
          <w:szCs w:val="23"/>
          <w:highlight w:val="none"/>
        </w:rPr>
      </w:pPr>
      <w:bookmarkStart w:id="481" w:name="_Toc13545"/>
      <w:bookmarkStart w:id="482" w:name="_Toc31289"/>
      <w:bookmarkStart w:id="483" w:name="_Toc12451"/>
      <w:r>
        <w:rPr>
          <w:rFonts w:hint="default" w:ascii="Times New Roman" w:hAnsi="Times New Roman" w:eastAsia="Times New Roman" w:cs="Times New Roman"/>
          <w:b/>
          <w:bCs/>
          <w:spacing w:val="9"/>
          <w:sz w:val="23"/>
          <w:szCs w:val="23"/>
          <w:highlight w:val="none"/>
        </w:rPr>
        <w:t>5</w:t>
      </w:r>
      <w:r>
        <w:rPr>
          <w:rFonts w:hint="default" w:ascii="Times New Roman" w:hAnsi="Times New Roman" w:eastAsia="Times New Roman" w:cs="Times New Roman"/>
          <w:b/>
          <w:bCs/>
          <w:spacing w:val="7"/>
          <w:sz w:val="23"/>
          <w:szCs w:val="23"/>
          <w:highlight w:val="none"/>
        </w:rPr>
        <w:t>.2.3</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地下水环境影响评价</w:t>
      </w:r>
      <w:bookmarkEnd w:id="481"/>
      <w:bookmarkEnd w:id="482"/>
      <w:bookmarkEnd w:id="483"/>
    </w:p>
    <w:p>
      <w:pPr>
        <w:spacing w:before="76" w:line="228" w:lineRule="auto"/>
        <w:ind w:left="11"/>
        <w:outlineLvl w:val="2"/>
        <w:rPr>
          <w:rFonts w:hint="default" w:ascii="Times New Roman" w:hAnsi="Times New Roman" w:eastAsia="宋体" w:cs="Times New Roman"/>
          <w:sz w:val="23"/>
          <w:szCs w:val="23"/>
          <w:highlight w:val="none"/>
        </w:rPr>
      </w:pPr>
      <w:bookmarkStart w:id="484" w:name="_Toc25934"/>
      <w:bookmarkStart w:id="485" w:name="_Toc23596"/>
      <w:bookmarkStart w:id="486" w:name="_Toc20496"/>
      <w:r>
        <w:rPr>
          <w:rFonts w:hint="default" w:ascii="Times New Roman" w:hAnsi="Times New Roman" w:eastAsia="Times New Roman" w:cs="Times New Roman"/>
          <w:spacing w:val="8"/>
          <w:sz w:val="23"/>
          <w:szCs w:val="23"/>
          <w:highlight w:val="none"/>
        </w:rPr>
        <w:t>5</w:t>
      </w:r>
      <w:r>
        <w:rPr>
          <w:rFonts w:hint="default" w:ascii="Times New Roman" w:hAnsi="Times New Roman" w:eastAsia="Times New Roman" w:cs="Times New Roman"/>
          <w:spacing w:val="6"/>
          <w:sz w:val="23"/>
          <w:szCs w:val="23"/>
          <w:highlight w:val="none"/>
        </w:rPr>
        <w:t xml:space="preserve">.2.3.1 </w:t>
      </w:r>
      <w:r>
        <w:rPr>
          <w:rFonts w:hint="default" w:ascii="Times New Roman" w:hAnsi="Times New Roman" w:eastAsia="宋体" w:cs="Times New Roman"/>
          <w:spacing w:val="6"/>
          <w:sz w:val="23"/>
          <w:szCs w:val="23"/>
          <w:highlight w:val="none"/>
        </w:rPr>
        <w:t>区域水文地质条件</w:t>
      </w:r>
      <w:bookmarkEnd w:id="484"/>
      <w:bookmarkEnd w:id="485"/>
      <w:bookmarkEnd w:id="486"/>
    </w:p>
    <w:p>
      <w:pPr>
        <w:spacing w:before="74"/>
        <w:ind w:left="481"/>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、地</w:t>
      </w:r>
      <w:r>
        <w:rPr>
          <w:rFonts w:hint="default" w:ascii="Times New Roman" w:hAnsi="Times New Roman" w:eastAsia="宋体" w:cs="Times New Roman"/>
          <w:sz w:val="23"/>
          <w:szCs w:val="23"/>
          <w:highlight w:val="none"/>
        </w:rPr>
        <w:t>形地貌</w:t>
      </w:r>
    </w:p>
    <w:p>
      <w:pPr>
        <w:tabs>
          <w:tab w:val="left" w:pos="135"/>
        </w:tabs>
        <w:spacing w:before="201" w:line="401" w:lineRule="auto"/>
        <w:ind w:left="9" w:right="76"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sz w:val="23"/>
          <w:szCs w:val="23"/>
          <w:highlight w:val="none"/>
        </w:rPr>
        <w:t>遵化市位于河北省东北部燕山南麓古长城脚下，素有</w:t>
      </w:r>
      <w:r>
        <w:rPr>
          <w:rFonts w:hint="default" w:ascii="Times New Roman" w:hAnsi="Times New Roman" w:eastAsia="Times New Roman" w:cs="Times New Roman"/>
          <w:spacing w:val="11"/>
          <w:sz w:val="23"/>
          <w:szCs w:val="23"/>
          <w:highlight w:val="none"/>
        </w:rPr>
        <w:t>“</w:t>
      </w:r>
      <w:r>
        <w:rPr>
          <w:rFonts w:hint="default" w:ascii="Times New Roman" w:hAnsi="Times New Roman" w:eastAsia="宋体" w:cs="Times New Roman"/>
          <w:spacing w:val="11"/>
          <w:sz w:val="23"/>
          <w:szCs w:val="23"/>
          <w:highlight w:val="none"/>
        </w:rPr>
        <w:t>畿东第一城</w:t>
      </w:r>
      <w:r>
        <w:rPr>
          <w:rFonts w:hint="default" w:ascii="Times New Roman" w:hAnsi="Times New Roman" w:eastAsia="Times New Roman" w:cs="Times New Roman"/>
          <w:spacing w:val="11"/>
          <w:sz w:val="23"/>
          <w:szCs w:val="23"/>
          <w:highlight w:val="none"/>
        </w:rPr>
        <w:t>”</w:t>
      </w:r>
      <w:r>
        <w:rPr>
          <w:rFonts w:hint="default" w:ascii="Times New Roman" w:hAnsi="Times New Roman" w:eastAsia="宋体" w:cs="Times New Roman"/>
          <w:spacing w:val="11"/>
          <w:sz w:val="23"/>
          <w:szCs w:val="23"/>
          <w:highlight w:val="none"/>
        </w:rPr>
        <w:t>之称。其地</w:t>
      </w:r>
      <w:r>
        <w:rPr>
          <w:rFonts w:hint="default" w:ascii="Times New Roman" w:hAnsi="Times New Roman" w:eastAsia="宋体" w:cs="Times New Roman"/>
          <w:spacing w:val="3"/>
          <w:sz w:val="23"/>
          <w:szCs w:val="23"/>
          <w:highlight w:val="none"/>
        </w:rPr>
        <w:t>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 xml:space="preserve">位置位于东经 </w:t>
      </w:r>
      <w:r>
        <w:rPr>
          <w:rFonts w:hint="default" w:ascii="Times New Roman" w:hAnsi="Times New Roman" w:eastAsia="Times New Roman" w:cs="Times New Roman"/>
          <w:spacing w:val="1"/>
          <w:sz w:val="23"/>
          <w:szCs w:val="23"/>
          <w:highlight w:val="none"/>
        </w:rPr>
        <w:t>117°34′</w:t>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pacing w:val="1"/>
          <w:sz w:val="23"/>
          <w:szCs w:val="23"/>
          <w:highlight w:val="none"/>
        </w:rPr>
        <w:t xml:space="preserve">118°14′ </w:t>
      </w:r>
      <w:r>
        <w:rPr>
          <w:rFonts w:hint="default" w:ascii="Times New Roman" w:hAnsi="Times New Roman" w:eastAsia="宋体" w:cs="Times New Roman"/>
          <w:spacing w:val="1"/>
          <w:sz w:val="23"/>
          <w:szCs w:val="23"/>
          <w:highlight w:val="none"/>
        </w:rPr>
        <w:t>，北纬</w:t>
      </w:r>
      <w:r>
        <w:rPr>
          <w:rFonts w:hint="default" w:ascii="Times New Roman" w:hAnsi="Times New Roman" w:eastAsia="Times New Roman" w:cs="Times New Roman"/>
          <w:spacing w:val="1"/>
          <w:sz w:val="23"/>
          <w:szCs w:val="23"/>
          <w:highlight w:val="none"/>
        </w:rPr>
        <w:t>39°55′</w:t>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pacing w:val="1"/>
          <w:sz w:val="23"/>
          <w:szCs w:val="23"/>
          <w:highlight w:val="none"/>
        </w:rPr>
        <w:t xml:space="preserve">40°22′ </w:t>
      </w:r>
      <w:r>
        <w:rPr>
          <w:rFonts w:hint="default" w:ascii="Times New Roman" w:hAnsi="Times New Roman" w:eastAsia="宋体" w:cs="Times New Roman"/>
          <w:spacing w:val="1"/>
          <w:sz w:val="23"/>
          <w:szCs w:val="23"/>
          <w:highlight w:val="none"/>
        </w:rPr>
        <w:t>。北以长城与兴</w:t>
      </w:r>
      <w:r>
        <w:rPr>
          <w:rFonts w:hint="default" w:ascii="Times New Roman" w:hAnsi="Times New Roman" w:eastAsia="宋体" w:cs="Times New Roman"/>
          <w:sz w:val="23"/>
          <w:szCs w:val="23"/>
          <w:highlight w:val="none"/>
        </w:rPr>
        <w:t xml:space="preserve">隆县为界，南、西 </w:t>
      </w:r>
      <w:r>
        <w:rPr>
          <w:rFonts w:hint="default" w:ascii="Times New Roman" w:hAnsi="Times New Roman" w:eastAsia="宋体" w:cs="Times New Roman"/>
          <w:spacing w:val="14"/>
          <w:sz w:val="23"/>
          <w:szCs w:val="23"/>
          <w:highlight w:val="none"/>
        </w:rPr>
        <w:t>南与玉田</w:t>
      </w:r>
      <w:r>
        <w:rPr>
          <w:rFonts w:hint="default" w:ascii="Times New Roman" w:hAnsi="Times New Roman" w:eastAsia="宋体" w:cs="Times New Roman"/>
          <w:spacing w:val="8"/>
          <w:sz w:val="23"/>
          <w:szCs w:val="23"/>
          <w:highlight w:val="none"/>
        </w:rPr>
        <w:t>县</w:t>
      </w:r>
      <w:r>
        <w:rPr>
          <w:rFonts w:hint="default" w:ascii="Times New Roman" w:hAnsi="Times New Roman" w:eastAsia="宋体" w:cs="Times New Roman"/>
          <w:spacing w:val="7"/>
          <w:sz w:val="23"/>
          <w:szCs w:val="23"/>
          <w:highlight w:val="none"/>
        </w:rPr>
        <w:t xml:space="preserve">、丰润区相邻，东与迁西县相接，西与天津蓟县搭界，总面积 </w:t>
      </w:r>
      <w:r>
        <w:rPr>
          <w:rFonts w:hint="default" w:ascii="Times New Roman" w:hAnsi="Times New Roman" w:eastAsia="Times New Roman" w:cs="Times New Roman"/>
          <w:spacing w:val="7"/>
          <w:sz w:val="23"/>
          <w:szCs w:val="23"/>
          <w:highlight w:val="none"/>
        </w:rPr>
        <w:t xml:space="preserve">1509 </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7"/>
          <w:sz w:val="23"/>
          <w:szCs w:val="23"/>
          <w:highlight w:val="none"/>
        </w:rPr>
        <w:t>²</w:t>
      </w:r>
      <w:r>
        <w:rPr>
          <w:rFonts w:hint="default" w:ascii="Times New Roman" w:hAnsi="Times New Roman" w:eastAsia="Times New Roman" w:cs="Times New Roman"/>
          <w:sz w:val="23"/>
          <w:szCs w:val="23"/>
          <w:highlight w:val="none"/>
        </w:rPr>
        <w:t xml:space="preserve"> </w:t>
      </w:r>
      <w:r>
        <w:rPr>
          <w:rFonts w:hint="default" w:ascii="Times New Roman" w:hAnsi="Times New Roman" w:eastAsia="宋体" w:cs="Times New Roman"/>
          <w:spacing w:val="-2"/>
          <w:sz w:val="23"/>
          <w:szCs w:val="23"/>
          <w:highlight w:val="none"/>
        </w:rPr>
        <w:t>。</w:t>
      </w:r>
    </w:p>
    <w:p>
      <w:pPr>
        <w:rPr>
          <w:rFonts w:hint="default" w:ascii="Times New Roman" w:hAnsi="Times New Roman" w:cs="Times New Roman"/>
          <w:highlight w:val="none"/>
        </w:rPr>
        <w:sectPr>
          <w:headerReference r:id="rId70" w:type="default"/>
          <w:footerReference r:id="rId71" w:type="default"/>
          <w:pgSz w:w="11907" w:h="16840"/>
          <w:pgMar w:top="1036" w:right="1280" w:bottom="904" w:left="1643" w:header="767" w:footer="743" w:gutter="0"/>
          <w:pgBorders>
            <w:top w:val="none" w:sz="0" w:space="0"/>
            <w:left w:val="none" w:sz="0" w:space="0"/>
            <w:bottom w:val="none" w:sz="0" w:space="0"/>
            <w:right w:val="none" w:sz="0" w:space="0"/>
          </w:pgBorders>
          <w:pgNumType w:fmt="decimal"/>
          <w:cols w:space="720" w:num="1"/>
        </w:sectPr>
      </w:pPr>
    </w:p>
    <w:p>
      <w:pPr>
        <w:spacing w:line="322"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208" o:spid="_x0000_s1208" style="position:absolute;left:0pt;margin-left:82.2pt;margin-top:52.5pt;height:0.75pt;width:445.1pt;mso-position-horizontal-relative:page;mso-position-vertical-relative:page;z-index:251732992;mso-width-relative:page;mso-height-relative:page;" fillcolor="#000000" filled="t" stroked="f" coordsize="8902,15" o:allowincell="f" path="m0,0l8901,0,8901,14,0,14,0,0xe">
            <v:path/>
            <v:fill on="t" focussize="0,0"/>
            <v:stroke on="f"/>
            <v:imagedata o:title=""/>
            <o:lock v:ext="edit"/>
          </v:shape>
        </w:pict>
      </w:r>
    </w:p>
    <w:p>
      <w:pPr>
        <w:spacing w:before="185" w:line="401" w:lineRule="auto"/>
        <w:ind w:left="9"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sz w:val="23"/>
          <w:szCs w:val="23"/>
          <w:highlight w:val="none"/>
        </w:rPr>
        <w:t>遵化市全境由山区、丘陵、平原三种地貌组成。境内四周环山，中间为一平原</w:t>
      </w:r>
      <w:r>
        <w:rPr>
          <w:rFonts w:hint="default" w:ascii="Times New Roman" w:hAnsi="Times New Roman" w:eastAsia="宋体" w:cs="Times New Roman"/>
          <w:spacing w:val="5"/>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形</w:t>
      </w:r>
      <w:r>
        <w:rPr>
          <w:rFonts w:hint="default" w:ascii="Times New Roman" w:hAnsi="Times New Roman" w:eastAsia="宋体" w:cs="Times New Roman"/>
          <w:spacing w:val="10"/>
          <w:sz w:val="23"/>
          <w:szCs w:val="23"/>
          <w:highlight w:val="none"/>
        </w:rPr>
        <w:t xml:space="preserve">成了遵化市三山两川的盆地地形。北部山势挺拔，山峰海拔高度多在 </w:t>
      </w:r>
      <w:r>
        <w:rPr>
          <w:rFonts w:hint="default" w:ascii="Times New Roman" w:hAnsi="Times New Roman" w:eastAsia="Times New Roman" w:cs="Times New Roman"/>
          <w:spacing w:val="10"/>
          <w:sz w:val="23"/>
          <w:szCs w:val="23"/>
          <w:highlight w:val="none"/>
        </w:rPr>
        <w:t>500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0"/>
          <w:sz w:val="23"/>
          <w:szCs w:val="23"/>
          <w:highlight w:val="none"/>
        </w:rPr>
        <w:t xml:space="preserve"> </w:t>
      </w:r>
      <w:r>
        <w:rPr>
          <w:rFonts w:hint="default" w:ascii="Times New Roman" w:hAnsi="Times New Roman" w:eastAsia="宋体" w:cs="Times New Roman"/>
          <w:spacing w:val="10"/>
          <w:sz w:val="23"/>
          <w:szCs w:val="23"/>
          <w:highlight w:val="none"/>
        </w:rPr>
        <w:t>以下，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个别山峰海拔高度</w:t>
      </w:r>
      <w:r>
        <w:rPr>
          <w:rFonts w:hint="default" w:ascii="Times New Roman" w:hAnsi="Times New Roman" w:eastAsia="Times New Roman" w:cs="Times New Roman"/>
          <w:spacing w:val="9"/>
          <w:sz w:val="23"/>
          <w:szCs w:val="23"/>
          <w:highlight w:val="none"/>
        </w:rPr>
        <w:t>700</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900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 xml:space="preserve">，山峦层叠，地面坡降达 </w:t>
      </w:r>
      <w:r>
        <w:rPr>
          <w:rFonts w:hint="default" w:ascii="Times New Roman" w:hAnsi="Times New Roman" w:eastAsia="Times New Roman" w:cs="Times New Roman"/>
          <w:spacing w:val="9"/>
          <w:sz w:val="23"/>
          <w:szCs w:val="23"/>
          <w:highlight w:val="none"/>
        </w:rPr>
        <w:t xml:space="preserve">15% </w:t>
      </w:r>
      <w:r>
        <w:rPr>
          <w:rFonts w:hint="default" w:ascii="Times New Roman" w:hAnsi="Times New Roman" w:eastAsia="宋体" w:cs="Times New Roman"/>
          <w:spacing w:val="9"/>
          <w:sz w:val="23"/>
          <w:szCs w:val="23"/>
          <w:highlight w:val="none"/>
        </w:rPr>
        <w:t>，山体上部有岩石裸露</w:t>
      </w:r>
      <w:r>
        <w:rPr>
          <w:rFonts w:hint="default" w:ascii="Times New Roman" w:hAnsi="Times New Roman" w:eastAsia="宋体" w:cs="Times New Roman"/>
          <w:spacing w:val="2"/>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植</w:t>
      </w:r>
      <w:r>
        <w:rPr>
          <w:rFonts w:hint="default" w:ascii="Times New Roman" w:hAnsi="Times New Roman" w:eastAsia="宋体" w:cs="Times New Roman"/>
          <w:spacing w:val="12"/>
          <w:sz w:val="23"/>
          <w:szCs w:val="23"/>
          <w:highlight w:val="none"/>
        </w:rPr>
        <w:t>被</w:t>
      </w:r>
      <w:r>
        <w:rPr>
          <w:rFonts w:hint="default" w:ascii="Times New Roman" w:hAnsi="Times New Roman" w:eastAsia="宋体" w:cs="Times New Roman"/>
          <w:spacing w:val="10"/>
          <w:sz w:val="23"/>
          <w:szCs w:val="23"/>
          <w:highlight w:val="none"/>
        </w:rPr>
        <w:t>较差，中下部及丘陵区多为褐土和淋溶褐土覆盖。两川平原为沙河、黎河、洪积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而成</w:t>
      </w:r>
      <w:r>
        <w:rPr>
          <w:rFonts w:hint="default" w:ascii="Times New Roman" w:hAnsi="Times New Roman" w:eastAsia="宋体" w:cs="Times New Roman"/>
          <w:spacing w:val="8"/>
          <w:sz w:val="23"/>
          <w:szCs w:val="23"/>
          <w:highlight w:val="none"/>
        </w:rPr>
        <w:t>，</w:t>
      </w:r>
      <w:r>
        <w:rPr>
          <w:rFonts w:hint="default" w:ascii="Times New Roman" w:hAnsi="Times New Roman" w:eastAsia="宋体" w:cs="Times New Roman"/>
          <w:spacing w:val="7"/>
          <w:sz w:val="23"/>
          <w:szCs w:val="23"/>
          <w:highlight w:val="none"/>
        </w:rPr>
        <w:t xml:space="preserve">地势平坦开阔，地面坡降小于 </w:t>
      </w:r>
      <w:r>
        <w:rPr>
          <w:rFonts w:hint="default" w:ascii="Times New Roman" w:hAnsi="Times New Roman" w:eastAsia="Times New Roman" w:cs="Times New Roman"/>
          <w:spacing w:val="7"/>
          <w:sz w:val="23"/>
          <w:szCs w:val="23"/>
          <w:highlight w:val="none"/>
        </w:rPr>
        <w:t xml:space="preserve">1% </w:t>
      </w:r>
      <w:r>
        <w:rPr>
          <w:rFonts w:hint="default" w:ascii="Times New Roman" w:hAnsi="Times New Roman" w:eastAsia="宋体" w:cs="Times New Roman"/>
          <w:spacing w:val="7"/>
          <w:sz w:val="23"/>
          <w:szCs w:val="23"/>
          <w:highlight w:val="none"/>
        </w:rPr>
        <w:t>，海拔高程</w:t>
      </w:r>
      <w:r>
        <w:rPr>
          <w:rFonts w:hint="default" w:ascii="Times New Roman" w:hAnsi="Times New Roman" w:eastAsia="Times New Roman" w:cs="Times New Roman"/>
          <w:spacing w:val="7"/>
          <w:sz w:val="23"/>
          <w:szCs w:val="23"/>
          <w:highlight w:val="none"/>
        </w:rPr>
        <w:t>20</w:t>
      </w:r>
      <w:r>
        <w:rPr>
          <w:rFonts w:hint="default" w:ascii="Times New Roman" w:hAnsi="Times New Roman" w:eastAsia="宋体" w:cs="Times New Roman"/>
          <w:spacing w:val="7"/>
          <w:sz w:val="23"/>
          <w:szCs w:val="23"/>
          <w:highlight w:val="none"/>
        </w:rPr>
        <w:t>~</w:t>
      </w:r>
      <w:r>
        <w:rPr>
          <w:rFonts w:hint="default" w:ascii="Times New Roman" w:hAnsi="Times New Roman" w:eastAsia="Times New Roman" w:cs="Times New Roman"/>
          <w:spacing w:val="7"/>
          <w:sz w:val="23"/>
          <w:szCs w:val="23"/>
          <w:highlight w:val="none"/>
        </w:rPr>
        <w:t>80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。总的地势是北高南低，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东</w:t>
      </w:r>
      <w:r>
        <w:rPr>
          <w:rFonts w:hint="default" w:ascii="Times New Roman" w:hAnsi="Times New Roman" w:eastAsia="宋体" w:cs="Times New Roman"/>
          <w:spacing w:val="12"/>
          <w:sz w:val="23"/>
          <w:szCs w:val="23"/>
          <w:highlight w:val="none"/>
        </w:rPr>
        <w:t>高</w:t>
      </w:r>
      <w:r>
        <w:rPr>
          <w:rFonts w:hint="default" w:ascii="Times New Roman" w:hAnsi="Times New Roman" w:eastAsia="宋体" w:cs="Times New Roman"/>
          <w:spacing w:val="10"/>
          <w:sz w:val="23"/>
          <w:szCs w:val="23"/>
          <w:highlight w:val="none"/>
        </w:rPr>
        <w:t>西低，向西南微倾。表现为明显的山间盆地地貌特征，盆地周边为地势较高的低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山</w:t>
      </w:r>
      <w:r>
        <w:rPr>
          <w:rFonts w:hint="default" w:ascii="Times New Roman" w:hAnsi="Times New Roman" w:eastAsia="宋体" w:cs="Times New Roman"/>
          <w:spacing w:val="11"/>
          <w:sz w:val="23"/>
          <w:szCs w:val="23"/>
          <w:highlight w:val="none"/>
        </w:rPr>
        <w:t>丘</w:t>
      </w:r>
      <w:r>
        <w:rPr>
          <w:rFonts w:hint="default" w:ascii="Times New Roman" w:hAnsi="Times New Roman" w:eastAsia="宋体" w:cs="Times New Roman"/>
          <w:spacing w:val="9"/>
          <w:sz w:val="23"/>
          <w:szCs w:val="23"/>
          <w:highlight w:val="none"/>
        </w:rPr>
        <w:t>陵，中部为平展的冲洪积平原，较大的地貌类型可分为以下几种：</w:t>
      </w:r>
    </w:p>
    <w:p>
      <w:pPr>
        <w:spacing w:before="2" w:line="227" w:lineRule="auto"/>
        <w:ind w:left="50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16"/>
          <w:sz w:val="23"/>
          <w:szCs w:val="23"/>
          <w:highlight w:val="none"/>
        </w:rPr>
        <w:t>1</w:t>
      </w:r>
      <w:r>
        <w:rPr>
          <w:rFonts w:hint="default" w:ascii="Times New Roman" w:hAnsi="Times New Roman" w:eastAsia="宋体" w:cs="Times New Roman"/>
          <w:spacing w:val="16"/>
          <w:sz w:val="23"/>
          <w:szCs w:val="23"/>
          <w:highlight w:val="none"/>
        </w:rPr>
        <w:t>) 构造侵蚀低山丘陵</w:t>
      </w:r>
    </w:p>
    <w:p>
      <w:pPr>
        <w:spacing w:before="220" w:line="405" w:lineRule="auto"/>
        <w:ind w:left="8" w:right="68"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主</w:t>
      </w:r>
      <w:r>
        <w:rPr>
          <w:rFonts w:hint="default" w:ascii="Times New Roman" w:hAnsi="Times New Roman" w:eastAsia="宋体" w:cs="Times New Roman"/>
          <w:spacing w:val="10"/>
          <w:sz w:val="23"/>
          <w:szCs w:val="23"/>
          <w:highlight w:val="none"/>
        </w:rPr>
        <w:t>要分布于盆地的周边，北部和南部为由太古界片麻岩和由中元古界碳酸岩组成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的</w:t>
      </w:r>
      <w:r>
        <w:rPr>
          <w:rFonts w:hint="default" w:ascii="Times New Roman" w:hAnsi="Times New Roman" w:eastAsia="宋体" w:cs="Times New Roman"/>
          <w:spacing w:val="9"/>
          <w:sz w:val="23"/>
          <w:szCs w:val="23"/>
          <w:highlight w:val="none"/>
        </w:rPr>
        <w:t xml:space="preserve">裸露和半裸露的低山丘陵，标高 </w:t>
      </w:r>
      <w:r>
        <w:rPr>
          <w:rFonts w:hint="default" w:ascii="Times New Roman" w:hAnsi="Times New Roman" w:eastAsia="Times New Roman" w:cs="Times New Roman"/>
          <w:spacing w:val="9"/>
          <w:sz w:val="23"/>
          <w:szCs w:val="23"/>
          <w:highlight w:val="none"/>
        </w:rPr>
        <w:t>100</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500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，以常态山和干沟为主，裸露区地表溶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蚀</w:t>
      </w:r>
      <w:r>
        <w:rPr>
          <w:rFonts w:hint="default" w:ascii="Times New Roman" w:hAnsi="Times New Roman" w:eastAsia="宋体" w:cs="Times New Roman"/>
          <w:spacing w:val="13"/>
          <w:sz w:val="23"/>
          <w:szCs w:val="23"/>
          <w:highlight w:val="none"/>
        </w:rPr>
        <w:t>裂</w:t>
      </w:r>
      <w:r>
        <w:rPr>
          <w:rFonts w:hint="default" w:ascii="Times New Roman" w:hAnsi="Times New Roman" w:eastAsia="宋体" w:cs="Times New Roman"/>
          <w:spacing w:val="10"/>
          <w:sz w:val="23"/>
          <w:szCs w:val="23"/>
          <w:highlight w:val="none"/>
        </w:rPr>
        <w:t>隙发育，坡脚可见碳酸盐岩角砾和蚀余红土。为碳酸盐岩风化产物。沟谷切割较</w:t>
      </w:r>
    </w:p>
    <w:p>
      <w:pPr>
        <w:spacing w:line="442" w:lineRule="auto"/>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shape id="_x0000_s1210" o:spid="_x0000_s1210" style="position:absolute;left:0pt;margin-left:82.2pt;margin-top:52.5pt;height:0.75pt;width:445.1pt;mso-position-horizontal-relative:page;mso-position-vertical-relative:page;z-index:251734016;mso-width-relative:page;mso-height-relative:page;" fillcolor="#000000" filled="t" stroked="f" coordsize="8902,15" o:allowincell="f" path="m0,0l8901,0,8901,14,0,14,0,0xe">
            <v:path/>
            <v:fill on="t" focussize="0,0"/>
            <v:stroke on="f"/>
            <v:imagedata o:title=""/>
            <o:lock v:ext="edit"/>
          </v:shape>
        </w:pict>
      </w:r>
      <w:r>
        <w:rPr>
          <w:rFonts w:hint="default" w:ascii="Times New Roman" w:hAnsi="Times New Roman" w:eastAsia="宋体" w:cs="Times New Roman"/>
          <w:spacing w:val="20"/>
          <w:sz w:val="23"/>
          <w:szCs w:val="23"/>
          <w:highlight w:val="none"/>
        </w:rPr>
        <w:t>深</w:t>
      </w:r>
      <w:r>
        <w:rPr>
          <w:rFonts w:hint="default" w:ascii="Times New Roman" w:hAnsi="Times New Roman" w:eastAsia="宋体" w:cs="Times New Roman"/>
          <w:spacing w:val="12"/>
          <w:sz w:val="23"/>
          <w:szCs w:val="23"/>
          <w:highlight w:val="none"/>
        </w:rPr>
        <w:t>，</w:t>
      </w:r>
      <w:r>
        <w:rPr>
          <w:rFonts w:hint="default" w:ascii="Times New Roman" w:hAnsi="Times New Roman" w:eastAsia="宋体" w:cs="Times New Roman"/>
          <w:spacing w:val="10"/>
          <w:sz w:val="23"/>
          <w:szCs w:val="23"/>
          <w:highlight w:val="none"/>
        </w:rPr>
        <w:t>多为排泄洪流的干谷，有不厚的松散沉积层充填。半裸露区以丘陵为主，上覆不</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厚的上更新统坡洪积层，在沟口两侧常形成剥蚀堆积台地。</w:t>
      </w:r>
    </w:p>
    <w:p>
      <w:pPr>
        <w:spacing w:before="1" w:line="401" w:lineRule="auto"/>
        <w:ind w:left="12" w:right="65" w:firstLine="49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中部</w:t>
      </w:r>
      <w:r>
        <w:rPr>
          <w:rFonts w:hint="default" w:ascii="Times New Roman" w:hAnsi="Times New Roman" w:eastAsia="宋体" w:cs="Times New Roman"/>
          <w:spacing w:val="15"/>
          <w:sz w:val="23"/>
          <w:szCs w:val="23"/>
          <w:highlight w:val="none"/>
        </w:rPr>
        <w:t>为</w:t>
      </w:r>
      <w:r>
        <w:rPr>
          <w:rFonts w:hint="default" w:ascii="Times New Roman" w:hAnsi="Times New Roman" w:eastAsia="宋体" w:cs="Times New Roman"/>
          <w:spacing w:val="9"/>
          <w:sz w:val="23"/>
          <w:szCs w:val="23"/>
          <w:highlight w:val="none"/>
        </w:rPr>
        <w:t>由长城系下部的变质岩、碳酸盐岩、碎屑岩组成的低山丘陵，呈东西向弧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9"/>
          <w:sz w:val="23"/>
          <w:szCs w:val="23"/>
          <w:highlight w:val="none"/>
        </w:rPr>
        <w:t>形</w:t>
      </w:r>
      <w:r>
        <w:rPr>
          <w:rFonts w:hint="default" w:ascii="Times New Roman" w:hAnsi="Times New Roman" w:eastAsia="宋体" w:cs="Times New Roman"/>
          <w:spacing w:val="12"/>
          <w:sz w:val="23"/>
          <w:szCs w:val="23"/>
          <w:highlight w:val="none"/>
        </w:rPr>
        <w:t>展布，标高</w:t>
      </w:r>
      <w:r>
        <w:rPr>
          <w:rFonts w:hint="default" w:ascii="Times New Roman" w:hAnsi="Times New Roman" w:eastAsia="Times New Roman" w:cs="Times New Roman"/>
          <w:spacing w:val="12"/>
          <w:sz w:val="23"/>
          <w:szCs w:val="23"/>
          <w:highlight w:val="none"/>
        </w:rPr>
        <w:t>200</w:t>
      </w:r>
      <w:r>
        <w:rPr>
          <w:rFonts w:hint="default" w:ascii="Times New Roman" w:hAnsi="Times New Roman" w:eastAsia="宋体" w:cs="Times New Roman"/>
          <w:spacing w:val="12"/>
          <w:sz w:val="23"/>
          <w:szCs w:val="23"/>
          <w:highlight w:val="none"/>
        </w:rPr>
        <w:t>~</w:t>
      </w:r>
      <w:r>
        <w:rPr>
          <w:rFonts w:hint="default" w:ascii="Times New Roman" w:hAnsi="Times New Roman" w:eastAsia="Times New Roman" w:cs="Times New Roman"/>
          <w:spacing w:val="12"/>
          <w:sz w:val="23"/>
          <w:szCs w:val="23"/>
          <w:highlight w:val="none"/>
        </w:rPr>
        <w:t>500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2"/>
          <w:sz w:val="23"/>
          <w:szCs w:val="23"/>
          <w:highlight w:val="none"/>
        </w:rPr>
        <w:t xml:space="preserve"> </w:t>
      </w:r>
      <w:r>
        <w:rPr>
          <w:rFonts w:hint="default" w:ascii="Times New Roman" w:hAnsi="Times New Roman" w:eastAsia="宋体" w:cs="Times New Roman"/>
          <w:spacing w:val="12"/>
          <w:sz w:val="23"/>
          <w:szCs w:val="23"/>
          <w:highlight w:val="none"/>
        </w:rPr>
        <w:t>，山势陡峻，沟谷切割较深。</w:t>
      </w:r>
    </w:p>
    <w:p>
      <w:pPr>
        <w:spacing w:before="1" w:line="401" w:lineRule="auto"/>
        <w:ind w:left="12" w:firstLine="47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盆地内</w:t>
      </w:r>
      <w:r>
        <w:rPr>
          <w:rFonts w:hint="default" w:ascii="Times New Roman" w:hAnsi="Times New Roman" w:eastAsia="宋体" w:cs="Times New Roman"/>
          <w:spacing w:val="9"/>
          <w:sz w:val="23"/>
          <w:szCs w:val="23"/>
          <w:highlight w:val="none"/>
        </w:rPr>
        <w:t>尚</w:t>
      </w:r>
      <w:r>
        <w:rPr>
          <w:rFonts w:hint="default" w:ascii="Times New Roman" w:hAnsi="Times New Roman" w:eastAsia="宋体" w:cs="Times New Roman"/>
          <w:spacing w:val="6"/>
          <w:sz w:val="23"/>
          <w:szCs w:val="23"/>
          <w:highlight w:val="none"/>
        </w:rPr>
        <w:t>有零星分布的岛状残山峰，多呈东西向沿岩层走向展布，高度</w:t>
      </w:r>
      <w:r>
        <w:rPr>
          <w:rFonts w:hint="default" w:ascii="Times New Roman" w:hAnsi="Times New Roman" w:eastAsia="Times New Roman" w:cs="Times New Roman"/>
          <w:spacing w:val="6"/>
          <w:sz w:val="23"/>
          <w:szCs w:val="23"/>
          <w:highlight w:val="none"/>
        </w:rPr>
        <w:t>50</w:t>
      </w:r>
      <w:r>
        <w:rPr>
          <w:rFonts w:hint="default" w:ascii="Times New Roman" w:hAnsi="Times New Roman" w:eastAsia="宋体" w:cs="Times New Roman"/>
          <w:spacing w:val="6"/>
          <w:sz w:val="23"/>
          <w:szCs w:val="23"/>
          <w:highlight w:val="none"/>
        </w:rPr>
        <w:t>~</w:t>
      </w:r>
      <w:r>
        <w:rPr>
          <w:rFonts w:hint="default" w:ascii="Times New Roman" w:hAnsi="Times New Roman" w:eastAsia="Times New Roman" w:cs="Times New Roman"/>
          <w:spacing w:val="6"/>
          <w:sz w:val="23"/>
          <w:szCs w:val="23"/>
          <w:highlight w:val="none"/>
        </w:rPr>
        <w:t>100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6"/>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为</w:t>
      </w:r>
      <w:r>
        <w:rPr>
          <w:rFonts w:hint="default" w:ascii="Times New Roman" w:hAnsi="Times New Roman" w:eastAsia="宋体" w:cs="Times New Roman"/>
          <w:spacing w:val="9"/>
          <w:sz w:val="23"/>
          <w:szCs w:val="23"/>
          <w:highlight w:val="none"/>
        </w:rPr>
        <w:t>碳酸盐岩山体在侵蚀和剥蚀作用下形成的残留地地貌形态。</w:t>
      </w:r>
    </w:p>
    <w:p>
      <w:pPr>
        <w:spacing w:line="228" w:lineRule="auto"/>
        <w:ind w:left="50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16"/>
          <w:sz w:val="23"/>
          <w:szCs w:val="23"/>
          <w:highlight w:val="none"/>
        </w:rPr>
        <w:t>2</w:t>
      </w:r>
      <w:r>
        <w:rPr>
          <w:rFonts w:hint="default" w:ascii="Times New Roman" w:hAnsi="Times New Roman" w:eastAsia="宋体" w:cs="Times New Roman"/>
          <w:spacing w:val="16"/>
          <w:sz w:val="23"/>
          <w:szCs w:val="23"/>
          <w:highlight w:val="none"/>
        </w:rPr>
        <w:t>) 侵蚀堆积平原洼地</w:t>
      </w:r>
    </w:p>
    <w:p>
      <w:pPr>
        <w:spacing w:before="214" w:line="229" w:lineRule="auto"/>
        <w:ind w:left="49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冲</w:t>
      </w:r>
      <w:r>
        <w:rPr>
          <w:rFonts w:hint="default" w:ascii="Times New Roman" w:hAnsi="Times New Roman" w:eastAsia="宋体" w:cs="Times New Roman"/>
          <w:spacing w:val="11"/>
          <w:sz w:val="23"/>
          <w:szCs w:val="23"/>
          <w:highlight w:val="none"/>
        </w:rPr>
        <w:t>洪</w:t>
      </w:r>
      <w:r>
        <w:rPr>
          <w:rFonts w:hint="default" w:ascii="Times New Roman" w:hAnsi="Times New Roman" w:eastAsia="宋体" w:cs="Times New Roman"/>
          <w:spacing w:val="10"/>
          <w:sz w:val="23"/>
          <w:szCs w:val="23"/>
          <w:highlight w:val="none"/>
        </w:rPr>
        <w:t>积平原：主要分布于盆地中部，由近代冲洪积层组成，地势平展，微向南缓</w:t>
      </w:r>
    </w:p>
    <w:p>
      <w:pPr>
        <w:spacing w:before="179" w:line="401" w:lineRule="auto"/>
        <w:ind w:left="9" w:right="6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30"/>
          <w:sz w:val="23"/>
          <w:szCs w:val="23"/>
          <w:highlight w:val="none"/>
        </w:rPr>
        <w:t>倾</w:t>
      </w:r>
      <w:r>
        <w:rPr>
          <w:rFonts w:hint="default" w:ascii="Times New Roman" w:hAnsi="Times New Roman" w:eastAsia="宋体" w:cs="Times New Roman"/>
          <w:spacing w:val="29"/>
          <w:sz w:val="23"/>
          <w:szCs w:val="23"/>
          <w:highlight w:val="none"/>
        </w:rPr>
        <w:t>，</w:t>
      </w:r>
      <w:r>
        <w:rPr>
          <w:rFonts w:hint="default" w:ascii="Times New Roman" w:hAnsi="Times New Roman" w:eastAsia="宋体" w:cs="Times New Roman"/>
          <w:spacing w:val="15"/>
          <w:sz w:val="23"/>
          <w:szCs w:val="23"/>
          <w:highlight w:val="none"/>
        </w:rPr>
        <w:t>遵化北部盆地地面标高</w:t>
      </w:r>
      <w:r>
        <w:rPr>
          <w:rFonts w:hint="default" w:ascii="Times New Roman" w:hAnsi="Times New Roman" w:eastAsia="Times New Roman" w:cs="Times New Roman"/>
          <w:spacing w:val="15"/>
          <w:sz w:val="23"/>
          <w:szCs w:val="23"/>
          <w:highlight w:val="none"/>
        </w:rPr>
        <w:t>40</w:t>
      </w:r>
      <w:r>
        <w:rPr>
          <w:rFonts w:hint="default" w:ascii="Times New Roman" w:hAnsi="Times New Roman" w:eastAsia="宋体" w:cs="Times New Roman"/>
          <w:spacing w:val="15"/>
          <w:sz w:val="23"/>
          <w:szCs w:val="23"/>
          <w:highlight w:val="none"/>
        </w:rPr>
        <w:t>~</w:t>
      </w:r>
      <w:r>
        <w:rPr>
          <w:rFonts w:hint="default" w:ascii="Times New Roman" w:hAnsi="Times New Roman" w:eastAsia="Times New Roman" w:cs="Times New Roman"/>
          <w:spacing w:val="15"/>
          <w:sz w:val="23"/>
          <w:szCs w:val="23"/>
          <w:highlight w:val="none"/>
        </w:rPr>
        <w:t>80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5"/>
          <w:sz w:val="23"/>
          <w:szCs w:val="23"/>
          <w:highlight w:val="none"/>
        </w:rPr>
        <w:t xml:space="preserve"> </w:t>
      </w:r>
      <w:r>
        <w:rPr>
          <w:rFonts w:hint="default" w:ascii="Times New Roman" w:hAnsi="Times New Roman" w:eastAsia="宋体" w:cs="Times New Roman"/>
          <w:spacing w:val="15"/>
          <w:sz w:val="23"/>
          <w:szCs w:val="23"/>
          <w:highlight w:val="none"/>
        </w:rPr>
        <w:t xml:space="preserve">，地面坡度约 </w:t>
      </w:r>
      <w:r>
        <w:rPr>
          <w:rFonts w:hint="default" w:ascii="Times New Roman" w:hAnsi="Times New Roman" w:eastAsia="Times New Roman" w:cs="Times New Roman"/>
          <w:spacing w:val="15"/>
          <w:sz w:val="23"/>
          <w:szCs w:val="23"/>
          <w:highlight w:val="none"/>
        </w:rPr>
        <w:t>3‰</w:t>
      </w:r>
      <w:r>
        <w:rPr>
          <w:rFonts w:hint="default" w:ascii="Times New Roman" w:hAnsi="Times New Roman" w:eastAsia="宋体" w:cs="Times New Roman"/>
          <w:spacing w:val="15"/>
          <w:sz w:val="23"/>
          <w:szCs w:val="23"/>
          <w:highlight w:val="none"/>
        </w:rPr>
        <w:t>~</w:t>
      </w:r>
      <w:r>
        <w:rPr>
          <w:rFonts w:hint="default" w:ascii="Times New Roman" w:hAnsi="Times New Roman" w:eastAsia="Times New Roman" w:cs="Times New Roman"/>
          <w:spacing w:val="15"/>
          <w:sz w:val="23"/>
          <w:szCs w:val="23"/>
          <w:highlight w:val="none"/>
        </w:rPr>
        <w:t xml:space="preserve">5‰ </w:t>
      </w:r>
      <w:r>
        <w:rPr>
          <w:rFonts w:hint="default" w:ascii="Times New Roman" w:hAnsi="Times New Roman" w:eastAsia="宋体" w:cs="Times New Roman"/>
          <w:spacing w:val="15"/>
          <w:sz w:val="23"/>
          <w:szCs w:val="23"/>
          <w:highlight w:val="none"/>
        </w:rPr>
        <w:t>，南北宽</w:t>
      </w:r>
      <w:r>
        <w:rPr>
          <w:rFonts w:hint="default" w:ascii="Times New Roman" w:hAnsi="Times New Roman" w:eastAsia="Times New Roman" w:cs="Times New Roman"/>
          <w:spacing w:val="15"/>
          <w:sz w:val="23"/>
          <w:szCs w:val="23"/>
          <w:highlight w:val="none"/>
        </w:rPr>
        <w:t>4</w:t>
      </w:r>
      <w:r>
        <w:rPr>
          <w:rFonts w:hint="default" w:ascii="Times New Roman" w:hAnsi="Times New Roman" w:eastAsia="宋体" w:cs="Times New Roman"/>
          <w:spacing w:val="15"/>
          <w:sz w:val="23"/>
          <w:szCs w:val="23"/>
          <w:highlight w:val="none"/>
        </w:rPr>
        <w:t>~</w:t>
      </w:r>
      <w:r>
        <w:rPr>
          <w:rFonts w:hint="default" w:ascii="Times New Roman" w:hAnsi="Times New Roman" w:eastAsia="Times New Roman" w:cs="Times New Roman"/>
          <w:spacing w:val="15"/>
          <w:sz w:val="23"/>
          <w:szCs w:val="23"/>
          <w:highlight w:val="none"/>
        </w:rPr>
        <w:t>8</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15"/>
          <w:sz w:val="23"/>
          <w:szCs w:val="23"/>
          <w:highlight w:val="none"/>
        </w:rPr>
        <w:t xml:space="preserve"> </w:t>
      </w:r>
      <w:r>
        <w:rPr>
          <w:rFonts w:hint="default" w:ascii="Times New Roman" w:hAnsi="Times New Roman" w:eastAsia="宋体" w:cs="Times New Roman"/>
          <w:spacing w:val="15"/>
          <w:sz w:val="23"/>
          <w:szCs w:val="23"/>
          <w:highlight w:val="none"/>
        </w:rPr>
        <w:t>，东西</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 xml:space="preserve">长度 </w:t>
      </w:r>
      <w:r>
        <w:rPr>
          <w:rFonts w:hint="default" w:ascii="Times New Roman" w:hAnsi="Times New Roman" w:eastAsia="Times New Roman" w:cs="Times New Roman"/>
          <w:spacing w:val="4"/>
          <w:sz w:val="23"/>
          <w:szCs w:val="23"/>
          <w:highlight w:val="none"/>
        </w:rPr>
        <w:t>30</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40</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 xml:space="preserve">，面积 </w:t>
      </w:r>
      <w:r>
        <w:rPr>
          <w:rFonts w:hint="default" w:ascii="Times New Roman" w:hAnsi="Times New Roman" w:eastAsia="Times New Roman" w:cs="Times New Roman"/>
          <w:spacing w:val="4"/>
          <w:sz w:val="23"/>
          <w:szCs w:val="23"/>
          <w:highlight w:val="none"/>
        </w:rPr>
        <w:t>323.3</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4"/>
          <w:position w:val="8"/>
          <w:sz w:val="15"/>
          <w:szCs w:val="15"/>
          <w:highlight w:val="none"/>
        </w:rPr>
        <w:t xml:space="preserve">2 </w:t>
      </w:r>
      <w:r>
        <w:rPr>
          <w:rFonts w:hint="default" w:ascii="Times New Roman" w:hAnsi="Times New Roman" w:eastAsia="宋体" w:cs="Times New Roman"/>
          <w:spacing w:val="4"/>
          <w:sz w:val="23"/>
          <w:szCs w:val="23"/>
          <w:highlight w:val="none"/>
        </w:rPr>
        <w:t xml:space="preserve">左右；南盆地地面标高 </w:t>
      </w:r>
      <w:r>
        <w:rPr>
          <w:rFonts w:hint="default" w:ascii="Times New Roman" w:hAnsi="Times New Roman" w:eastAsia="Times New Roman" w:cs="Times New Roman"/>
          <w:spacing w:val="4"/>
          <w:sz w:val="23"/>
          <w:szCs w:val="23"/>
          <w:highlight w:val="none"/>
        </w:rPr>
        <w:t>18</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30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 xml:space="preserve">，地面坡度约 </w:t>
      </w:r>
      <w:r>
        <w:rPr>
          <w:rFonts w:hint="default" w:ascii="Times New Roman" w:hAnsi="Times New Roman" w:eastAsia="Times New Roman" w:cs="Times New Roman"/>
          <w:spacing w:val="4"/>
          <w:sz w:val="23"/>
          <w:szCs w:val="23"/>
          <w:highlight w:val="none"/>
        </w:rPr>
        <w:t>0.5‰</w:t>
      </w:r>
      <w:r>
        <w:rPr>
          <w:rFonts w:hint="default" w:ascii="Times New Roman" w:hAnsi="Times New Roman" w:eastAsia="宋体" w:cs="Times New Roman"/>
          <w:spacing w:val="3"/>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 xml:space="preserve">南北宽 </w:t>
      </w:r>
      <w:r>
        <w:rPr>
          <w:rFonts w:hint="default" w:ascii="Times New Roman" w:hAnsi="Times New Roman" w:eastAsia="Times New Roman" w:cs="Times New Roman"/>
          <w:spacing w:val="10"/>
          <w:sz w:val="23"/>
          <w:szCs w:val="23"/>
          <w:highlight w:val="none"/>
        </w:rPr>
        <w:t>8</w:t>
      </w:r>
      <w:r>
        <w:rPr>
          <w:rFonts w:hint="default" w:ascii="Times New Roman" w:hAnsi="Times New Roman" w:eastAsia="宋体" w:cs="Times New Roman"/>
          <w:spacing w:val="10"/>
          <w:sz w:val="23"/>
          <w:szCs w:val="23"/>
          <w:highlight w:val="none"/>
        </w:rPr>
        <w:t>~</w:t>
      </w:r>
      <w:r>
        <w:rPr>
          <w:rFonts w:hint="default" w:ascii="Times New Roman" w:hAnsi="Times New Roman" w:eastAsia="Times New Roman" w:cs="Times New Roman"/>
          <w:spacing w:val="10"/>
          <w:sz w:val="23"/>
          <w:szCs w:val="23"/>
          <w:highlight w:val="none"/>
        </w:rPr>
        <w:t>10</w:t>
      </w:r>
      <w:r>
        <w:rPr>
          <w:rFonts w:hint="default" w:ascii="Times New Roman" w:hAnsi="Times New Roman" w:eastAsia="Times New Roman" w:cs="Times New Roman"/>
          <w:sz w:val="23"/>
          <w:szCs w:val="23"/>
          <w:highlight w:val="none"/>
        </w:rPr>
        <w:t>km</w:t>
      </w:r>
      <w:r>
        <w:rPr>
          <w:rFonts w:hint="default" w:ascii="Times New Roman" w:hAnsi="Times New Roman" w:eastAsia="宋体" w:cs="Times New Roman"/>
          <w:spacing w:val="10"/>
          <w:sz w:val="23"/>
          <w:szCs w:val="23"/>
          <w:highlight w:val="none"/>
        </w:rPr>
        <w:t>，东西长度</w:t>
      </w:r>
      <w:r>
        <w:rPr>
          <w:rFonts w:hint="default" w:ascii="Times New Roman" w:hAnsi="Times New Roman" w:eastAsia="Times New Roman" w:cs="Times New Roman"/>
          <w:spacing w:val="10"/>
          <w:sz w:val="23"/>
          <w:szCs w:val="23"/>
          <w:highlight w:val="none"/>
        </w:rPr>
        <w:t>25</w:t>
      </w:r>
      <w:r>
        <w:rPr>
          <w:rFonts w:hint="default" w:ascii="Times New Roman" w:hAnsi="Times New Roman" w:eastAsia="宋体" w:cs="Times New Roman"/>
          <w:spacing w:val="10"/>
          <w:sz w:val="23"/>
          <w:szCs w:val="23"/>
          <w:highlight w:val="none"/>
        </w:rPr>
        <w:t>~</w:t>
      </w:r>
      <w:r>
        <w:rPr>
          <w:rFonts w:hint="default" w:ascii="Times New Roman" w:hAnsi="Times New Roman" w:eastAsia="Times New Roman" w:cs="Times New Roman"/>
          <w:spacing w:val="10"/>
          <w:sz w:val="23"/>
          <w:szCs w:val="23"/>
          <w:highlight w:val="none"/>
        </w:rPr>
        <w:t>30</w:t>
      </w:r>
      <w:r>
        <w:rPr>
          <w:rFonts w:hint="default" w:ascii="Times New Roman" w:hAnsi="Times New Roman" w:eastAsia="Times New Roman" w:cs="Times New Roman"/>
          <w:sz w:val="23"/>
          <w:szCs w:val="23"/>
          <w:highlight w:val="none"/>
        </w:rPr>
        <w:t>km</w:t>
      </w:r>
      <w:r>
        <w:rPr>
          <w:rFonts w:hint="default" w:ascii="Times New Roman" w:hAnsi="Times New Roman" w:eastAsia="宋体" w:cs="Times New Roman"/>
          <w:spacing w:val="10"/>
          <w:sz w:val="23"/>
          <w:szCs w:val="23"/>
          <w:highlight w:val="none"/>
        </w:rPr>
        <w:t xml:space="preserve">，面积约 </w:t>
      </w:r>
      <w:r>
        <w:rPr>
          <w:rFonts w:hint="default" w:ascii="Times New Roman" w:hAnsi="Times New Roman" w:eastAsia="Times New Roman" w:cs="Times New Roman"/>
          <w:spacing w:val="10"/>
          <w:sz w:val="23"/>
          <w:szCs w:val="23"/>
          <w:highlight w:val="none"/>
        </w:rPr>
        <w:t xml:space="preserve">90.7 </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10"/>
          <w:position w:val="8"/>
          <w:sz w:val="15"/>
          <w:szCs w:val="15"/>
          <w:highlight w:val="none"/>
        </w:rPr>
        <w:t xml:space="preserve">2      </w:t>
      </w:r>
      <w:r>
        <w:rPr>
          <w:rFonts w:hint="default" w:ascii="Times New Roman" w:hAnsi="Times New Roman" w:eastAsia="宋体" w:cs="Times New Roman"/>
          <w:spacing w:val="10"/>
          <w:sz w:val="23"/>
          <w:szCs w:val="23"/>
          <w:highlight w:val="none"/>
        </w:rPr>
        <w:t>近山地带为规模不大的冲</w:t>
      </w:r>
      <w:r>
        <w:rPr>
          <w:rFonts w:hint="default" w:ascii="Times New Roman" w:hAnsi="Times New Roman" w:eastAsia="宋体" w:cs="Times New Roman"/>
          <w:spacing w:val="7"/>
          <w:sz w:val="23"/>
          <w:szCs w:val="23"/>
          <w:highlight w:val="none"/>
        </w:rPr>
        <w:t>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积</w:t>
      </w:r>
      <w:r>
        <w:rPr>
          <w:rFonts w:hint="default" w:ascii="Times New Roman" w:hAnsi="Times New Roman" w:eastAsia="宋体" w:cs="Times New Roman"/>
          <w:spacing w:val="12"/>
          <w:sz w:val="23"/>
          <w:szCs w:val="23"/>
          <w:highlight w:val="none"/>
        </w:rPr>
        <w:t>扇</w:t>
      </w:r>
      <w:r>
        <w:rPr>
          <w:rFonts w:hint="default" w:ascii="Times New Roman" w:hAnsi="Times New Roman" w:eastAsia="宋体" w:cs="Times New Roman"/>
          <w:spacing w:val="8"/>
          <w:sz w:val="23"/>
          <w:szCs w:val="23"/>
          <w:highlight w:val="none"/>
        </w:rPr>
        <w:t>裙，主要由沙、淋河冲积而成。</w:t>
      </w:r>
    </w:p>
    <w:p>
      <w:pPr>
        <w:spacing w:before="40" w:line="401" w:lineRule="auto"/>
        <w:ind w:left="9" w:right="65"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4"/>
          <w:sz w:val="23"/>
          <w:szCs w:val="23"/>
          <w:highlight w:val="none"/>
        </w:rPr>
        <w:t>河谷</w:t>
      </w:r>
      <w:r>
        <w:rPr>
          <w:rFonts w:hint="default" w:ascii="Times New Roman" w:hAnsi="Times New Roman" w:eastAsia="宋体" w:cs="Times New Roman"/>
          <w:spacing w:val="15"/>
          <w:sz w:val="23"/>
          <w:szCs w:val="23"/>
          <w:highlight w:val="none"/>
        </w:rPr>
        <w:t>洼</w:t>
      </w:r>
      <w:r>
        <w:rPr>
          <w:rFonts w:hint="default" w:ascii="Times New Roman" w:hAnsi="Times New Roman" w:eastAsia="宋体" w:cs="Times New Roman"/>
          <w:spacing w:val="12"/>
          <w:sz w:val="23"/>
          <w:szCs w:val="23"/>
          <w:highlight w:val="none"/>
        </w:rPr>
        <w:t>地：横贯全区的黎河、沙河、林河河谷两侧形成宽</w:t>
      </w:r>
      <w:r>
        <w:rPr>
          <w:rFonts w:hint="default" w:ascii="Times New Roman" w:hAnsi="Times New Roman" w:eastAsia="Times New Roman" w:cs="Times New Roman"/>
          <w:spacing w:val="12"/>
          <w:sz w:val="23"/>
          <w:szCs w:val="23"/>
          <w:highlight w:val="none"/>
        </w:rPr>
        <w:t>50</w:t>
      </w:r>
      <w:r>
        <w:rPr>
          <w:rFonts w:hint="default" w:ascii="Times New Roman" w:hAnsi="Times New Roman" w:eastAsia="宋体" w:cs="Times New Roman"/>
          <w:spacing w:val="12"/>
          <w:sz w:val="23"/>
          <w:szCs w:val="23"/>
          <w:highlight w:val="none"/>
        </w:rPr>
        <w:t>~</w:t>
      </w:r>
      <w:r>
        <w:rPr>
          <w:rFonts w:hint="default" w:ascii="Times New Roman" w:hAnsi="Times New Roman" w:eastAsia="Times New Roman" w:cs="Times New Roman"/>
          <w:spacing w:val="12"/>
          <w:sz w:val="23"/>
          <w:szCs w:val="23"/>
          <w:highlight w:val="none"/>
        </w:rPr>
        <w:t>80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2"/>
          <w:sz w:val="23"/>
          <w:szCs w:val="23"/>
          <w:highlight w:val="none"/>
        </w:rPr>
        <w:t xml:space="preserve"> </w:t>
      </w:r>
      <w:r>
        <w:rPr>
          <w:rFonts w:hint="default" w:ascii="Times New Roman" w:hAnsi="Times New Roman" w:eastAsia="宋体" w:cs="Times New Roman"/>
          <w:spacing w:val="12"/>
          <w:sz w:val="23"/>
          <w:szCs w:val="23"/>
          <w:highlight w:val="none"/>
        </w:rPr>
        <w:t>的河谷洼地，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除</w:t>
      </w:r>
      <w:r>
        <w:rPr>
          <w:rFonts w:hint="default" w:ascii="Times New Roman" w:hAnsi="Times New Roman" w:eastAsia="宋体" w:cs="Times New Roman"/>
          <w:spacing w:val="7"/>
          <w:sz w:val="23"/>
          <w:szCs w:val="23"/>
          <w:highlight w:val="none"/>
        </w:rPr>
        <w:t>碗蜒曲折的河床外，主要为河漫滩和局部土地， 由近代冲积层组成，两侧多有天然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堤</w:t>
      </w:r>
      <w:r>
        <w:rPr>
          <w:rFonts w:hint="default" w:ascii="Times New Roman" w:hAnsi="Times New Roman" w:eastAsia="宋体" w:cs="Times New Roman"/>
          <w:spacing w:val="6"/>
          <w:sz w:val="23"/>
          <w:szCs w:val="23"/>
          <w:highlight w:val="none"/>
        </w:rPr>
        <w:t>域人工堤。</w:t>
      </w:r>
    </w:p>
    <w:p>
      <w:pPr>
        <w:spacing w:before="2" w:line="396" w:lineRule="auto"/>
        <w:ind w:left="12" w:right="63" w:firstLine="49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山间</w:t>
      </w:r>
      <w:r>
        <w:rPr>
          <w:rFonts w:hint="default" w:ascii="Times New Roman" w:hAnsi="Times New Roman" w:eastAsia="宋体" w:cs="Times New Roman"/>
          <w:spacing w:val="16"/>
          <w:sz w:val="23"/>
          <w:szCs w:val="23"/>
          <w:highlight w:val="none"/>
        </w:rPr>
        <w:t>谷</w:t>
      </w:r>
      <w:r>
        <w:rPr>
          <w:rFonts w:hint="default" w:ascii="Times New Roman" w:hAnsi="Times New Roman" w:eastAsia="宋体" w:cs="Times New Roman"/>
          <w:spacing w:val="9"/>
          <w:sz w:val="23"/>
          <w:szCs w:val="23"/>
          <w:highlight w:val="none"/>
        </w:rPr>
        <w:t>地：分布于北部低山丘陵之间及以北地区，属北盆地的一部分，地势由北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 xml:space="preserve">向南降低，坡度在 </w:t>
      </w:r>
      <w:r>
        <w:rPr>
          <w:rFonts w:hint="default" w:ascii="Times New Roman" w:hAnsi="Times New Roman" w:eastAsia="Times New Roman" w:cs="Times New Roman"/>
          <w:spacing w:val="12"/>
          <w:sz w:val="23"/>
          <w:szCs w:val="23"/>
          <w:highlight w:val="none"/>
        </w:rPr>
        <w:t>3</w:t>
      </w:r>
      <w:r>
        <w:rPr>
          <w:rFonts w:hint="default" w:ascii="Times New Roman" w:hAnsi="Times New Roman" w:eastAsia="宋体" w:cs="Times New Roman"/>
          <w:spacing w:val="12"/>
          <w:sz w:val="23"/>
          <w:szCs w:val="23"/>
          <w:highlight w:val="none"/>
        </w:rPr>
        <w:t>~</w:t>
      </w:r>
      <w:r>
        <w:rPr>
          <w:rFonts w:hint="default" w:ascii="Times New Roman" w:hAnsi="Times New Roman" w:eastAsia="Times New Roman" w:cs="Times New Roman"/>
          <w:spacing w:val="12"/>
          <w:sz w:val="23"/>
          <w:szCs w:val="23"/>
          <w:highlight w:val="none"/>
        </w:rPr>
        <w:t>5‰</w:t>
      </w:r>
      <w:r>
        <w:rPr>
          <w:rFonts w:hint="default" w:ascii="Times New Roman" w:hAnsi="Times New Roman" w:eastAsia="宋体" w:cs="Times New Roman"/>
          <w:spacing w:val="12"/>
          <w:sz w:val="23"/>
          <w:szCs w:val="23"/>
          <w:highlight w:val="none"/>
        </w:rPr>
        <w:t>由冲洪积沙砾土组成，标高</w:t>
      </w:r>
      <w:r>
        <w:rPr>
          <w:rFonts w:hint="default" w:ascii="Times New Roman" w:hAnsi="Times New Roman" w:eastAsia="Times New Roman" w:cs="Times New Roman"/>
          <w:spacing w:val="12"/>
          <w:sz w:val="23"/>
          <w:szCs w:val="23"/>
          <w:highlight w:val="none"/>
        </w:rPr>
        <w:t>50</w:t>
      </w:r>
      <w:r>
        <w:rPr>
          <w:rFonts w:hint="default" w:ascii="Times New Roman" w:hAnsi="Times New Roman" w:eastAsia="宋体" w:cs="Times New Roman"/>
          <w:spacing w:val="12"/>
          <w:sz w:val="23"/>
          <w:szCs w:val="23"/>
          <w:highlight w:val="none"/>
        </w:rPr>
        <w:t>~</w:t>
      </w:r>
      <w:r>
        <w:rPr>
          <w:rFonts w:hint="default" w:ascii="Times New Roman" w:hAnsi="Times New Roman" w:eastAsia="Times New Roman" w:cs="Times New Roman"/>
          <w:spacing w:val="12"/>
          <w:sz w:val="23"/>
          <w:szCs w:val="23"/>
          <w:highlight w:val="none"/>
        </w:rPr>
        <w:t>80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2"/>
          <w:sz w:val="23"/>
          <w:szCs w:val="23"/>
          <w:highlight w:val="none"/>
        </w:rPr>
        <w:t xml:space="preserve"> </w:t>
      </w:r>
      <w:r>
        <w:rPr>
          <w:rFonts w:hint="default" w:ascii="Times New Roman" w:hAnsi="Times New Roman" w:eastAsia="宋体" w:cs="Times New Roman"/>
          <w:spacing w:val="12"/>
          <w:sz w:val="23"/>
          <w:szCs w:val="23"/>
          <w:highlight w:val="none"/>
        </w:rPr>
        <w:t>。山间沟谷发育，且</w:t>
      </w:r>
      <w:r>
        <w:rPr>
          <w:rFonts w:hint="default" w:ascii="Times New Roman" w:hAnsi="Times New Roman" w:eastAsia="宋体" w:cs="Times New Roman"/>
          <w:spacing w:val="10"/>
          <w:sz w:val="23"/>
          <w:szCs w:val="23"/>
          <w:highlight w:val="none"/>
        </w:rPr>
        <w:t>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为张性断裂所成，往往成为沟通南北盆地的通道</w:t>
      </w:r>
      <w:r>
        <w:rPr>
          <w:rFonts w:hint="default" w:ascii="Times New Roman" w:hAnsi="Times New Roman" w:eastAsia="宋体" w:cs="Times New Roman"/>
          <w:spacing w:val="8"/>
          <w:sz w:val="23"/>
          <w:szCs w:val="23"/>
          <w:highlight w:val="none"/>
        </w:rPr>
        <w:t>。</w:t>
      </w:r>
    </w:p>
    <w:p>
      <w:pPr>
        <w:spacing w:before="19"/>
        <w:ind w:left="484"/>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5"/>
          <w:sz w:val="23"/>
          <w:szCs w:val="23"/>
          <w:highlight w:val="none"/>
        </w:rPr>
        <w:t xml:space="preserve">B </w:t>
      </w:r>
      <w:r>
        <w:rPr>
          <w:rFonts w:hint="default" w:ascii="Times New Roman" w:hAnsi="Times New Roman" w:eastAsia="宋体" w:cs="Times New Roman"/>
          <w:spacing w:val="-5"/>
          <w:sz w:val="23"/>
          <w:szCs w:val="23"/>
          <w:highlight w:val="none"/>
        </w:rPr>
        <w:t>、气象</w:t>
      </w:r>
    </w:p>
    <w:p>
      <w:pPr>
        <w:spacing w:before="199" w:line="499" w:lineRule="exact"/>
        <w:ind w:left="49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position w:val="20"/>
          <w:sz w:val="23"/>
          <w:szCs w:val="23"/>
          <w:highlight w:val="none"/>
        </w:rPr>
        <w:t>本</w:t>
      </w:r>
      <w:r>
        <w:rPr>
          <w:rFonts w:hint="default" w:ascii="Times New Roman" w:hAnsi="Times New Roman" w:eastAsia="宋体" w:cs="Times New Roman"/>
          <w:spacing w:val="10"/>
          <w:position w:val="20"/>
          <w:sz w:val="23"/>
          <w:szCs w:val="23"/>
          <w:highlight w:val="none"/>
        </w:rPr>
        <w:t>区属于温带半湿润季风气候，四季分明，具有春季干旱多风，夏季炎热多雨，</w:t>
      </w:r>
    </w:p>
    <w:p>
      <w:pPr>
        <w:spacing w:before="1" w:line="228" w:lineRule="auto"/>
        <w:ind w:left="1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秋季冷暖变化大，冬季寒冷干燥的特点</w:t>
      </w:r>
      <w:r>
        <w:rPr>
          <w:rFonts w:hint="default" w:ascii="Times New Roman" w:hAnsi="Times New Roman" w:eastAsia="宋体" w:cs="Times New Roman"/>
          <w:spacing w:val="5"/>
          <w:sz w:val="23"/>
          <w:szCs w:val="23"/>
          <w:highlight w:val="none"/>
        </w:rPr>
        <w:t>。</w:t>
      </w:r>
    </w:p>
    <w:p>
      <w:pPr>
        <w:spacing w:before="181" w:line="401" w:lineRule="auto"/>
        <w:ind w:left="8" w:right="65" w:firstLine="486"/>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3"/>
          <w:sz w:val="23"/>
          <w:szCs w:val="23"/>
          <w:highlight w:val="none"/>
        </w:rPr>
        <w:t xml:space="preserve">常年平均日照时数 </w:t>
      </w:r>
      <w:r>
        <w:rPr>
          <w:rFonts w:hint="default" w:ascii="Times New Roman" w:hAnsi="Times New Roman" w:eastAsia="Times New Roman" w:cs="Times New Roman"/>
          <w:spacing w:val="3"/>
          <w:sz w:val="23"/>
          <w:szCs w:val="23"/>
          <w:highlight w:val="none"/>
        </w:rPr>
        <w:t>2608.2</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3"/>
          <w:sz w:val="23"/>
          <w:szCs w:val="23"/>
          <w:highlight w:val="none"/>
        </w:rPr>
        <w:t xml:space="preserve">。多年平均气温 </w:t>
      </w:r>
      <w:r>
        <w:rPr>
          <w:rFonts w:hint="default" w:ascii="Times New Roman" w:hAnsi="Times New Roman" w:eastAsia="Times New Roman" w:cs="Times New Roman"/>
          <w:spacing w:val="3"/>
          <w:sz w:val="23"/>
          <w:szCs w:val="23"/>
          <w:highlight w:val="none"/>
        </w:rPr>
        <w:t>10.5</w:t>
      </w:r>
      <w:r>
        <w:rPr>
          <w:rFonts w:hint="default" w:ascii="Times New Roman" w:hAnsi="Times New Roman" w:eastAsia="宋体" w:cs="Times New Roman"/>
          <w:spacing w:val="3"/>
          <w:sz w:val="23"/>
          <w:szCs w:val="23"/>
          <w:highlight w:val="none"/>
        </w:rPr>
        <w:t>℃，其中一月份最低，月平均气温</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w:t>
      </w:r>
      <w:r>
        <w:rPr>
          <w:rFonts w:hint="default" w:ascii="Times New Roman" w:hAnsi="Times New Roman" w:eastAsia="Times New Roman" w:cs="Times New Roman"/>
          <w:spacing w:val="2"/>
          <w:sz w:val="23"/>
          <w:szCs w:val="23"/>
          <w:highlight w:val="none"/>
        </w:rPr>
        <w:t>5</w:t>
      </w:r>
      <w:r>
        <w:rPr>
          <w:rFonts w:hint="default" w:ascii="Times New Roman" w:hAnsi="Times New Roman" w:eastAsia="宋体" w:cs="Times New Roman"/>
          <w:spacing w:val="2"/>
          <w:sz w:val="23"/>
          <w:szCs w:val="23"/>
          <w:highlight w:val="none"/>
        </w:rPr>
        <w:t>~－</w:t>
      </w:r>
      <w:r>
        <w:rPr>
          <w:rFonts w:hint="default" w:ascii="Times New Roman" w:hAnsi="Times New Roman" w:eastAsia="Times New Roman" w:cs="Times New Roman"/>
          <w:spacing w:val="2"/>
          <w:sz w:val="23"/>
          <w:szCs w:val="23"/>
          <w:highlight w:val="none"/>
        </w:rPr>
        <w:t>8</w:t>
      </w:r>
      <w:r>
        <w:rPr>
          <w:rFonts w:hint="default" w:ascii="Times New Roman" w:hAnsi="Times New Roman" w:eastAsia="宋体" w:cs="Times New Roman"/>
          <w:spacing w:val="2"/>
          <w:sz w:val="23"/>
          <w:szCs w:val="23"/>
          <w:highlight w:val="none"/>
        </w:rPr>
        <w:t xml:space="preserve">℃ 。历年最高气温为 </w:t>
      </w:r>
      <w:r>
        <w:rPr>
          <w:rFonts w:hint="default" w:ascii="Times New Roman" w:hAnsi="Times New Roman" w:eastAsia="Times New Roman" w:cs="Times New Roman"/>
          <w:spacing w:val="2"/>
          <w:sz w:val="23"/>
          <w:szCs w:val="23"/>
          <w:highlight w:val="none"/>
        </w:rPr>
        <w:t>40.3</w:t>
      </w:r>
      <w:r>
        <w:rPr>
          <w:rFonts w:hint="default" w:ascii="Times New Roman" w:hAnsi="Times New Roman" w:eastAsia="宋体" w:cs="Times New Roman"/>
          <w:spacing w:val="2"/>
          <w:sz w:val="23"/>
          <w:szCs w:val="23"/>
          <w:highlight w:val="none"/>
        </w:rPr>
        <w:t>℃，最低气温为－</w:t>
      </w:r>
      <w:r>
        <w:rPr>
          <w:rFonts w:hint="default" w:ascii="Times New Roman" w:hAnsi="Times New Roman" w:eastAsia="Times New Roman" w:cs="Times New Roman"/>
          <w:spacing w:val="2"/>
          <w:sz w:val="23"/>
          <w:szCs w:val="23"/>
          <w:highlight w:val="none"/>
        </w:rPr>
        <w:t>25.7</w:t>
      </w:r>
      <w:r>
        <w:rPr>
          <w:rFonts w:hint="default" w:ascii="Times New Roman" w:hAnsi="Times New Roman" w:eastAsia="宋体" w:cs="Times New Roman"/>
          <w:spacing w:val="2"/>
          <w:sz w:val="23"/>
          <w:szCs w:val="23"/>
          <w:highlight w:val="none"/>
        </w:rPr>
        <w:t xml:space="preserve">℃ 。全年无霜期平均 </w:t>
      </w:r>
      <w:r>
        <w:rPr>
          <w:rFonts w:hint="default" w:ascii="Times New Roman" w:hAnsi="Times New Roman" w:eastAsia="Times New Roman" w:cs="Times New Roman"/>
          <w:spacing w:val="2"/>
          <w:sz w:val="23"/>
          <w:szCs w:val="23"/>
          <w:highlight w:val="none"/>
        </w:rPr>
        <w:t>180</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1"/>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初</w:t>
      </w:r>
      <w:r>
        <w:rPr>
          <w:rFonts w:hint="default" w:ascii="Times New Roman" w:hAnsi="Times New Roman" w:eastAsia="宋体" w:cs="Times New Roman"/>
          <w:spacing w:val="3"/>
          <w:sz w:val="23"/>
          <w:szCs w:val="23"/>
          <w:highlight w:val="none"/>
        </w:rPr>
        <w:t xml:space="preserve">霜期一般在 </w:t>
      </w:r>
      <w:r>
        <w:rPr>
          <w:rFonts w:hint="default" w:ascii="Times New Roman" w:hAnsi="Times New Roman" w:eastAsia="Times New Roman" w:cs="Times New Roman"/>
          <w:spacing w:val="3"/>
          <w:sz w:val="23"/>
          <w:szCs w:val="23"/>
          <w:highlight w:val="none"/>
        </w:rPr>
        <w:t xml:space="preserve">10 </w:t>
      </w:r>
      <w:r>
        <w:rPr>
          <w:rFonts w:hint="default" w:ascii="Times New Roman" w:hAnsi="Times New Roman" w:eastAsia="宋体" w:cs="Times New Roman"/>
          <w:spacing w:val="3"/>
          <w:sz w:val="23"/>
          <w:szCs w:val="23"/>
          <w:highlight w:val="none"/>
        </w:rPr>
        <w:t xml:space="preserve">月上旬，终霜期在次年 </w:t>
      </w:r>
      <w:r>
        <w:rPr>
          <w:rFonts w:hint="default" w:ascii="Times New Roman" w:hAnsi="Times New Roman" w:eastAsia="Times New Roman" w:cs="Times New Roman"/>
          <w:spacing w:val="3"/>
          <w:sz w:val="23"/>
          <w:szCs w:val="23"/>
          <w:highlight w:val="none"/>
        </w:rPr>
        <w:t xml:space="preserve">4 </w:t>
      </w:r>
      <w:r>
        <w:rPr>
          <w:rFonts w:hint="default" w:ascii="Times New Roman" w:hAnsi="Times New Roman" w:eastAsia="宋体" w:cs="Times New Roman"/>
          <w:spacing w:val="3"/>
          <w:sz w:val="23"/>
          <w:szCs w:val="23"/>
          <w:highlight w:val="none"/>
        </w:rPr>
        <w:t>月份。</w:t>
      </w:r>
    </w:p>
    <w:p>
      <w:pPr>
        <w:spacing w:before="3" w:line="405" w:lineRule="auto"/>
        <w:ind w:left="13" w:right="63" w:firstLine="477"/>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本区降水较丰</w:t>
      </w:r>
      <w:r>
        <w:rPr>
          <w:rFonts w:hint="default" w:ascii="Times New Roman" w:hAnsi="Times New Roman" w:eastAsia="宋体" w:cs="Times New Roman"/>
          <w:spacing w:val="5"/>
          <w:sz w:val="23"/>
          <w:szCs w:val="23"/>
          <w:highlight w:val="none"/>
        </w:rPr>
        <w:t xml:space="preserve">富，年均降水天数 </w:t>
      </w:r>
      <w:r>
        <w:rPr>
          <w:rFonts w:hint="default" w:ascii="Times New Roman" w:hAnsi="Times New Roman" w:eastAsia="Times New Roman" w:cs="Times New Roman"/>
          <w:spacing w:val="5"/>
          <w:sz w:val="23"/>
          <w:szCs w:val="23"/>
          <w:highlight w:val="none"/>
        </w:rPr>
        <w:t>73.6</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 xml:space="preserve">，多年平均降水量 </w:t>
      </w:r>
      <w:r>
        <w:rPr>
          <w:rFonts w:hint="default" w:ascii="Times New Roman" w:hAnsi="Times New Roman" w:eastAsia="Times New Roman" w:cs="Times New Roman"/>
          <w:spacing w:val="5"/>
          <w:sz w:val="23"/>
          <w:szCs w:val="23"/>
          <w:highlight w:val="none"/>
        </w:rPr>
        <w:t>681.8</w:t>
      </w:r>
      <w:r>
        <w:rPr>
          <w:rFonts w:hint="default" w:ascii="Times New Roman" w:hAnsi="Times New Roman" w:eastAsia="Times New Roman" w:cs="Times New Roman"/>
          <w:sz w:val="23"/>
          <w:szCs w:val="23"/>
          <w:highlight w:val="none"/>
        </w:rPr>
        <w:t>mm</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见。马兰峪一</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带为</w:t>
      </w:r>
      <w:r>
        <w:rPr>
          <w:rFonts w:hint="default" w:ascii="Times New Roman" w:hAnsi="Times New Roman" w:eastAsia="宋体" w:cs="Times New Roman"/>
          <w:spacing w:val="7"/>
          <w:sz w:val="23"/>
          <w:szCs w:val="23"/>
          <w:highlight w:val="none"/>
        </w:rPr>
        <w:t xml:space="preserve">河北省的多雨暴雨中心，年降雨最多可达 </w:t>
      </w:r>
      <w:r>
        <w:rPr>
          <w:rFonts w:hint="default" w:ascii="Times New Roman" w:hAnsi="Times New Roman" w:eastAsia="Times New Roman" w:cs="Times New Roman"/>
          <w:spacing w:val="7"/>
          <w:sz w:val="23"/>
          <w:szCs w:val="23"/>
          <w:highlight w:val="none"/>
        </w:rPr>
        <w:t>1500</w:t>
      </w:r>
      <w:r>
        <w:rPr>
          <w:rFonts w:hint="default" w:ascii="Times New Roman" w:hAnsi="Times New Roman" w:eastAsia="宋体" w:cs="Times New Roman"/>
          <w:spacing w:val="7"/>
          <w:sz w:val="23"/>
          <w:szCs w:val="23"/>
          <w:highlight w:val="none"/>
        </w:rPr>
        <w:t>~</w:t>
      </w:r>
      <w:r>
        <w:rPr>
          <w:rFonts w:hint="default" w:ascii="Times New Roman" w:hAnsi="Times New Roman" w:eastAsia="Times New Roman" w:cs="Times New Roman"/>
          <w:spacing w:val="7"/>
          <w:sz w:val="23"/>
          <w:szCs w:val="23"/>
          <w:highlight w:val="none"/>
        </w:rPr>
        <w:t>1600</w:t>
      </w:r>
      <w:r>
        <w:rPr>
          <w:rFonts w:hint="default" w:ascii="Times New Roman" w:hAnsi="Times New Roman" w:eastAsia="Times New Roman" w:cs="Times New Roman"/>
          <w:sz w:val="23"/>
          <w:szCs w:val="23"/>
          <w:highlight w:val="none"/>
        </w:rPr>
        <w:t>mm</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，但年际变化较大。 由</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于受季风影响，夏秋两季 (</w:t>
      </w:r>
      <w:r>
        <w:rPr>
          <w:rFonts w:hint="default" w:ascii="Times New Roman" w:hAnsi="Times New Roman" w:eastAsia="Times New Roman" w:cs="Times New Roman"/>
          <w:spacing w:val="7"/>
          <w:sz w:val="23"/>
          <w:szCs w:val="23"/>
          <w:highlight w:val="none"/>
        </w:rPr>
        <w:t>6</w:t>
      </w:r>
      <w:r>
        <w:rPr>
          <w:rFonts w:hint="eastAsia" w:ascii="Times New Roman" w:hAnsi="Times New Roman" w:eastAsia="宋体" w:cs="Times New Roman"/>
          <w:spacing w:val="7"/>
          <w:sz w:val="23"/>
          <w:szCs w:val="23"/>
          <w:highlight w:val="none"/>
          <w:lang w:val="en-US" w:eastAsia="zh-CN"/>
        </w:rPr>
        <w:t>-</w:t>
      </w:r>
      <w:r>
        <w:rPr>
          <w:rFonts w:hint="default" w:ascii="Times New Roman" w:hAnsi="Times New Roman" w:eastAsia="Times New Roman" w:cs="Times New Roman"/>
          <w:spacing w:val="7"/>
          <w:sz w:val="23"/>
          <w:szCs w:val="23"/>
          <w:highlight w:val="none"/>
        </w:rPr>
        <w:t>11</w:t>
      </w:r>
      <w:r>
        <w:rPr>
          <w:rFonts w:hint="default" w:ascii="Times New Roman" w:hAnsi="Times New Roman" w:eastAsia="宋体" w:cs="Times New Roman"/>
          <w:spacing w:val="7"/>
          <w:sz w:val="23"/>
          <w:szCs w:val="23"/>
          <w:highlight w:val="none"/>
        </w:rPr>
        <w:t xml:space="preserve">月) 降水量占全年降水量的 </w:t>
      </w:r>
      <w:r>
        <w:rPr>
          <w:rFonts w:hint="default" w:ascii="Times New Roman" w:hAnsi="Times New Roman" w:eastAsia="Times New Roman" w:cs="Times New Roman"/>
          <w:spacing w:val="7"/>
          <w:sz w:val="23"/>
          <w:szCs w:val="23"/>
          <w:highlight w:val="none"/>
        </w:rPr>
        <w:t>85%</w:t>
      </w:r>
      <w:r>
        <w:rPr>
          <w:rFonts w:hint="default" w:ascii="Times New Roman" w:hAnsi="Times New Roman" w:eastAsia="宋体" w:cs="Times New Roman"/>
          <w:spacing w:val="7"/>
          <w:sz w:val="23"/>
          <w:szCs w:val="23"/>
          <w:highlight w:val="none"/>
        </w:rPr>
        <w:t>上，其中以夏季 (</w:t>
      </w:r>
      <w:r>
        <w:rPr>
          <w:rFonts w:hint="default" w:ascii="Times New Roman" w:hAnsi="Times New Roman" w:eastAsia="Times New Roman" w:cs="Times New Roman"/>
          <w:spacing w:val="3"/>
          <w:sz w:val="23"/>
          <w:szCs w:val="23"/>
          <w:highlight w:val="none"/>
        </w:rPr>
        <w:t>6</w:t>
      </w:r>
      <w:r>
        <w:rPr>
          <w:rFonts w:hint="default" w:ascii="Times New Roman" w:hAnsi="Times New Roman" w:eastAsia="Times New Roman" w:cs="Times New Roman"/>
          <w:sz w:val="23"/>
          <w:szCs w:val="23"/>
          <w:highlight w:val="none"/>
        </w:rPr>
        <w:t xml:space="preserve"> </w:t>
      </w:r>
      <w:r>
        <w:rPr>
          <w:rFonts w:hint="default" w:ascii="Times New Roman" w:hAnsi="Times New Roman" w:eastAsia="宋体" w:cs="Times New Roman"/>
          <w:spacing w:val="6"/>
          <w:sz w:val="23"/>
          <w:szCs w:val="23"/>
          <w:highlight w:val="none"/>
        </w:rPr>
        <w:t>－</w:t>
      </w:r>
      <w:r>
        <w:rPr>
          <w:rFonts w:hint="default" w:ascii="Times New Roman" w:hAnsi="Times New Roman" w:eastAsia="Times New Roman" w:cs="Times New Roman"/>
          <w:spacing w:val="6"/>
          <w:sz w:val="23"/>
          <w:szCs w:val="23"/>
          <w:highlight w:val="none"/>
        </w:rPr>
        <w:t xml:space="preserve">8 </w:t>
      </w:r>
      <w:r>
        <w:rPr>
          <w:rFonts w:hint="default" w:ascii="Times New Roman" w:hAnsi="Times New Roman" w:eastAsia="宋体" w:cs="Times New Roman"/>
          <w:spacing w:val="6"/>
          <w:sz w:val="23"/>
          <w:szCs w:val="23"/>
          <w:highlight w:val="none"/>
        </w:rPr>
        <w:t>月)</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宋体" w:cs="Times New Roman"/>
          <w:spacing w:val="3"/>
          <w:sz w:val="23"/>
          <w:szCs w:val="23"/>
          <w:highlight w:val="none"/>
        </w:rPr>
        <w:t xml:space="preserve">雨量最大且集中，并多暴雨， 占年降水量的 </w:t>
      </w:r>
      <w:r>
        <w:rPr>
          <w:rFonts w:hint="default" w:ascii="Times New Roman" w:hAnsi="Times New Roman" w:eastAsia="Times New Roman" w:cs="Times New Roman"/>
          <w:spacing w:val="3"/>
          <w:sz w:val="23"/>
          <w:szCs w:val="23"/>
          <w:highlight w:val="none"/>
        </w:rPr>
        <w:t>74.2</w:t>
      </w:r>
      <w:r>
        <w:rPr>
          <w:rFonts w:hint="default" w:ascii="Times New Roman" w:hAnsi="Times New Roman" w:eastAsia="宋体" w:cs="Times New Roman"/>
          <w:spacing w:val="3"/>
          <w:sz w:val="23"/>
          <w:szCs w:val="23"/>
          <w:highlight w:val="none"/>
        </w:rPr>
        <w:t>％ 。冬春两季雨水量一般小</w:t>
      </w:r>
      <w:r>
        <w:rPr>
          <w:rFonts w:hint="default" w:ascii="Times New Roman" w:hAnsi="Times New Roman" w:cs="Times New Roman"/>
          <w:highlight w:val="none"/>
        </w:rPr>
        <w:pict>
          <v:rect id="_x0000_s1212" o:spid="_x0000_s1212" o:spt="1" style="position:absolute;left:0pt;margin-left:82.2pt;margin-top:790.05pt;height:3.65pt;width:445.1pt;mso-position-horizontal-relative:page;mso-position-vertical-relative:page;z-index:251735040;mso-width-relative:page;mso-height-relative:page;" filled="f" stroked="f" coordsize="21600,21600" o:allowincell="f">
            <v:path/>
            <v:fill on="f" focussize="0,0"/>
            <v:stroke on="f"/>
            <v:imagedata o:title=""/>
            <o:lock v:ext="edit" aspectratio="f"/>
          </v:rect>
        </w:pict>
      </w:r>
      <w:r>
        <w:rPr>
          <w:rFonts w:hint="default" w:ascii="Times New Roman" w:hAnsi="Times New Roman" w:cs="Times New Roman"/>
          <w:highlight w:val="none"/>
        </w:rPr>
        <w:pict>
          <v:shape id="_x0000_s1213" o:spid="_x0000_s1213" style="position:absolute;left:0pt;margin-left:82.2pt;margin-top:52.5pt;height:0.75pt;width:445.1pt;mso-position-horizontal-relative:page;mso-position-vertical-relative:page;z-index:251736064;mso-width-relative:page;mso-height-relative:page;" fillcolor="#000000" filled="t" stroked="f" coordsize="8902,15" o:allowincell="f" path="m0,0l8901,0,8901,14,0,14,0,0xe">
            <v:path/>
            <v:fill on="t" focussize="0,0"/>
            <v:stroke on="f"/>
            <v:imagedata o:title=""/>
            <o:lock v:ext="edit"/>
          </v:shape>
        </w:pict>
      </w:r>
      <w:r>
        <w:rPr>
          <w:rFonts w:hint="default" w:ascii="Times New Roman" w:hAnsi="Times New Roman" w:eastAsia="宋体" w:cs="Times New Roman"/>
          <w:spacing w:val="12"/>
          <w:sz w:val="23"/>
          <w:szCs w:val="23"/>
          <w:highlight w:val="none"/>
        </w:rPr>
        <w:t>于降水的</w:t>
      </w:r>
      <w:r>
        <w:rPr>
          <w:rFonts w:hint="default" w:ascii="Times New Roman" w:hAnsi="Times New Roman" w:eastAsia="宋体" w:cs="Times New Roman"/>
          <w:spacing w:val="11"/>
          <w:sz w:val="23"/>
          <w:szCs w:val="23"/>
          <w:highlight w:val="none"/>
        </w:rPr>
        <w:t xml:space="preserve"> </w:t>
      </w:r>
      <w:r>
        <w:rPr>
          <w:rFonts w:hint="default" w:ascii="Times New Roman" w:hAnsi="Times New Roman" w:eastAsia="Times New Roman" w:cs="Times New Roman"/>
          <w:spacing w:val="6"/>
          <w:sz w:val="23"/>
          <w:szCs w:val="23"/>
          <w:highlight w:val="none"/>
        </w:rPr>
        <w:t>5</w:t>
      </w:r>
      <w:r>
        <w:rPr>
          <w:rFonts w:hint="default" w:ascii="Times New Roman" w:hAnsi="Times New Roman" w:eastAsia="宋体" w:cs="Times New Roman"/>
          <w:spacing w:val="6"/>
          <w:sz w:val="23"/>
          <w:szCs w:val="23"/>
          <w:highlight w:val="none"/>
        </w:rPr>
        <w:t>％ 。降水量年际变幅大是另一突出特点，年最大降水量是年最小降水量和</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年平均降水的</w:t>
      </w:r>
      <w:r>
        <w:rPr>
          <w:rFonts w:hint="default" w:ascii="Times New Roman" w:hAnsi="Times New Roman" w:eastAsia="宋体" w:cs="Times New Roman"/>
          <w:spacing w:val="-2"/>
          <w:sz w:val="23"/>
          <w:szCs w:val="23"/>
          <w:highlight w:val="none"/>
        </w:rPr>
        <w:t xml:space="preserve"> </w:t>
      </w:r>
      <w:r>
        <w:rPr>
          <w:rFonts w:hint="default" w:ascii="Times New Roman" w:hAnsi="Times New Roman" w:eastAsia="Times New Roman" w:cs="Times New Roman"/>
          <w:spacing w:val="-2"/>
          <w:sz w:val="23"/>
          <w:szCs w:val="23"/>
          <w:highlight w:val="none"/>
        </w:rPr>
        <w:t>3. 11</w:t>
      </w:r>
      <w:r>
        <w:rPr>
          <w:rFonts w:hint="default" w:ascii="Times New Roman" w:hAnsi="Times New Roman" w:eastAsia="宋体" w:cs="Times New Roman"/>
          <w:spacing w:val="-2"/>
          <w:sz w:val="23"/>
          <w:szCs w:val="23"/>
          <w:highlight w:val="none"/>
        </w:rPr>
        <w:t xml:space="preserve">倍和 </w:t>
      </w:r>
      <w:r>
        <w:rPr>
          <w:rFonts w:hint="default" w:ascii="Times New Roman" w:hAnsi="Times New Roman" w:eastAsia="Times New Roman" w:cs="Times New Roman"/>
          <w:spacing w:val="-2"/>
          <w:sz w:val="23"/>
          <w:szCs w:val="23"/>
          <w:highlight w:val="none"/>
        </w:rPr>
        <w:t>1.74</w:t>
      </w:r>
      <w:r>
        <w:rPr>
          <w:rFonts w:hint="default" w:ascii="Times New Roman" w:hAnsi="Times New Roman" w:eastAsia="宋体" w:cs="Times New Roman"/>
          <w:spacing w:val="-2"/>
          <w:sz w:val="23"/>
          <w:szCs w:val="23"/>
          <w:highlight w:val="none"/>
        </w:rPr>
        <w:t>倍。</w:t>
      </w:r>
    </w:p>
    <w:p>
      <w:pPr>
        <w:spacing w:before="1" w:line="401" w:lineRule="auto"/>
        <w:ind w:left="11" w:firstLine="495"/>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区内</w:t>
      </w:r>
      <w:r>
        <w:rPr>
          <w:rFonts w:hint="default" w:ascii="Times New Roman" w:hAnsi="Times New Roman" w:eastAsia="宋体" w:cs="Times New Roman"/>
          <w:spacing w:val="6"/>
          <w:sz w:val="23"/>
          <w:szCs w:val="23"/>
          <w:highlight w:val="none"/>
        </w:rPr>
        <w:t>多</w:t>
      </w:r>
      <w:r>
        <w:rPr>
          <w:rFonts w:hint="default" w:ascii="Times New Roman" w:hAnsi="Times New Roman" w:eastAsia="宋体" w:cs="Times New Roman"/>
          <w:spacing w:val="5"/>
          <w:sz w:val="23"/>
          <w:szCs w:val="23"/>
          <w:highlight w:val="none"/>
        </w:rPr>
        <w:t>年平均蒸发量 (</w:t>
      </w:r>
      <w:r>
        <w:rPr>
          <w:rFonts w:hint="default" w:ascii="Times New Roman" w:hAnsi="Times New Roman" w:eastAsia="Times New Roman" w:cs="Times New Roman"/>
          <w:spacing w:val="5"/>
          <w:sz w:val="23"/>
          <w:szCs w:val="23"/>
          <w:highlight w:val="none"/>
        </w:rPr>
        <w:t>20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 xml:space="preserve">蒸发皿) </w:t>
      </w:r>
      <w:r>
        <w:rPr>
          <w:rFonts w:hint="default" w:ascii="Times New Roman" w:hAnsi="Times New Roman" w:eastAsia="Times New Roman" w:cs="Times New Roman"/>
          <w:spacing w:val="5"/>
          <w:sz w:val="23"/>
          <w:szCs w:val="23"/>
          <w:highlight w:val="none"/>
        </w:rPr>
        <w:t>1598.6</w:t>
      </w:r>
      <w:r>
        <w:rPr>
          <w:rFonts w:hint="default" w:ascii="Times New Roman" w:hAnsi="Times New Roman" w:eastAsia="Times New Roman" w:cs="Times New Roman"/>
          <w:sz w:val="23"/>
          <w:szCs w:val="23"/>
          <w:highlight w:val="none"/>
        </w:rPr>
        <w:t>mm</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 xml:space="preserve">，年内蒸发量以 </w:t>
      </w:r>
      <w:r>
        <w:rPr>
          <w:rFonts w:hint="default" w:ascii="Times New Roman" w:hAnsi="Times New Roman" w:eastAsia="Times New Roman" w:cs="Times New Roman"/>
          <w:spacing w:val="5"/>
          <w:sz w:val="23"/>
          <w:szCs w:val="23"/>
          <w:highlight w:val="none"/>
        </w:rPr>
        <w:t>3</w:t>
      </w:r>
      <w:r>
        <w:rPr>
          <w:rFonts w:hint="default" w:ascii="Times New Roman" w:hAnsi="Times New Roman" w:eastAsia="宋体" w:cs="Times New Roman"/>
          <w:spacing w:val="5"/>
          <w:sz w:val="23"/>
          <w:szCs w:val="23"/>
          <w:highlight w:val="none"/>
        </w:rPr>
        <w:t>~</w:t>
      </w:r>
      <w:r>
        <w:rPr>
          <w:rFonts w:hint="default" w:ascii="Times New Roman" w:hAnsi="Times New Roman" w:eastAsia="Times New Roman" w:cs="Times New Roman"/>
          <w:spacing w:val="5"/>
          <w:sz w:val="23"/>
          <w:szCs w:val="23"/>
          <w:highlight w:val="none"/>
        </w:rPr>
        <w:t xml:space="preserve">10 </w:t>
      </w:r>
      <w:r>
        <w:rPr>
          <w:rFonts w:hint="default" w:ascii="Times New Roman" w:hAnsi="Times New Roman" w:eastAsia="宋体" w:cs="Times New Roman"/>
          <w:spacing w:val="5"/>
          <w:sz w:val="23"/>
          <w:szCs w:val="23"/>
          <w:highlight w:val="none"/>
        </w:rPr>
        <w:t>月份较高，</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尤以</w:t>
      </w:r>
      <w:r>
        <w:rPr>
          <w:rFonts w:hint="default" w:ascii="Times New Roman" w:hAnsi="Times New Roman" w:eastAsia="Times New Roman" w:cs="Times New Roman"/>
          <w:spacing w:val="6"/>
          <w:sz w:val="23"/>
          <w:szCs w:val="23"/>
          <w:highlight w:val="none"/>
        </w:rPr>
        <w:t>5</w:t>
      </w:r>
      <w:r>
        <w:rPr>
          <w:rFonts w:hint="default" w:ascii="Times New Roman" w:hAnsi="Times New Roman" w:eastAsia="宋体" w:cs="Times New Roman"/>
          <w:spacing w:val="5"/>
          <w:sz w:val="23"/>
          <w:szCs w:val="23"/>
          <w:highlight w:val="none"/>
        </w:rPr>
        <w:t>月</w:t>
      </w:r>
      <w:r>
        <w:rPr>
          <w:rFonts w:hint="default" w:ascii="Times New Roman" w:hAnsi="Times New Roman" w:eastAsia="宋体" w:cs="Times New Roman"/>
          <w:spacing w:val="3"/>
          <w:sz w:val="23"/>
          <w:szCs w:val="23"/>
          <w:highlight w:val="none"/>
        </w:rPr>
        <w:t xml:space="preserve">份最大，约占全年蒸发量的 </w:t>
      </w:r>
      <w:r>
        <w:rPr>
          <w:rFonts w:hint="default" w:ascii="Times New Roman" w:hAnsi="Times New Roman" w:eastAsia="Times New Roman" w:cs="Times New Roman"/>
          <w:spacing w:val="3"/>
          <w:sz w:val="23"/>
          <w:szCs w:val="23"/>
          <w:highlight w:val="none"/>
        </w:rPr>
        <w:t>1/5</w:t>
      </w:r>
      <w:r>
        <w:rPr>
          <w:rFonts w:hint="default" w:ascii="Times New Roman" w:hAnsi="Times New Roman" w:eastAsia="宋体" w:cs="Times New Roman"/>
          <w:spacing w:val="3"/>
          <w:sz w:val="23"/>
          <w:szCs w:val="23"/>
          <w:highlight w:val="none"/>
        </w:rPr>
        <w:t>。年际蒸发量变化较小，一般丰水年降水量大</w:t>
      </w:r>
    </w:p>
    <w:p>
      <w:pPr>
        <w:spacing w:line="226" w:lineRule="auto"/>
        <w:ind w:left="1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而蒸发量较小。</w:t>
      </w:r>
    </w:p>
    <w:p>
      <w:pPr>
        <w:spacing w:before="23" w:line="4880" w:lineRule="exact"/>
        <w:ind w:firstLine="96"/>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5303520" cy="30981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49"/>
                    <a:stretch>
                      <a:fillRect/>
                    </a:stretch>
                  </pic:blipFill>
                  <pic:spPr>
                    <a:xfrm>
                      <a:off x="0" y="0"/>
                      <a:ext cx="5303520" cy="3098291"/>
                    </a:xfrm>
                    <a:prstGeom prst="rect">
                      <a:avLst/>
                    </a:prstGeom>
                  </pic:spPr>
                </pic:pic>
              </a:graphicData>
            </a:graphic>
          </wp:inline>
        </w:drawing>
      </w:r>
    </w:p>
    <w:p>
      <w:pPr>
        <w:spacing w:before="195" w:line="228" w:lineRule="auto"/>
        <w:ind w:left="294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2"/>
          <w:sz w:val="23"/>
          <w:szCs w:val="23"/>
          <w:highlight w:val="none"/>
        </w:rPr>
        <w:t xml:space="preserve"> </w:t>
      </w:r>
      <w:r>
        <w:rPr>
          <w:rFonts w:hint="default" w:ascii="Times New Roman" w:hAnsi="Times New Roman" w:eastAsia="Times New Roman" w:cs="Times New Roman"/>
          <w:b/>
          <w:bCs/>
          <w:spacing w:val="2"/>
          <w:sz w:val="23"/>
          <w:szCs w:val="23"/>
          <w:highlight w:val="none"/>
        </w:rPr>
        <w:t>5.2-</w:t>
      </w:r>
      <w:r>
        <w:rPr>
          <w:rFonts w:hint="eastAsia" w:ascii="Times New Roman" w:hAnsi="Times New Roman" w:eastAsia="宋体" w:cs="Times New Roman"/>
          <w:b/>
          <w:bCs/>
          <w:spacing w:val="2"/>
          <w:sz w:val="23"/>
          <w:szCs w:val="23"/>
          <w:highlight w:val="none"/>
          <w:lang w:val="en-US" w:eastAsia="zh-CN"/>
        </w:rPr>
        <w:t>2</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遵化市历年降水量</w:t>
      </w:r>
    </w:p>
    <w:p>
      <w:pPr>
        <w:spacing w:before="216"/>
        <w:ind w:left="488"/>
        <w:rPr>
          <w:rFonts w:hint="default" w:ascii="Times New Roman" w:hAnsi="Times New Roman" w:eastAsia="Times New Roman" w:cs="Times New Roman"/>
          <w:spacing w:val="-1"/>
          <w:sz w:val="23"/>
          <w:szCs w:val="23"/>
          <w:highlight w:val="none"/>
        </w:rPr>
      </w:pPr>
    </w:p>
    <w:p>
      <w:pPr>
        <w:spacing w:before="216"/>
        <w:ind w:left="488"/>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
          <w:sz w:val="23"/>
          <w:szCs w:val="23"/>
          <w:highlight w:val="none"/>
        </w:rPr>
        <w:t>C</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w:t>
      </w:r>
      <w:r>
        <w:rPr>
          <w:rFonts w:hint="default" w:ascii="Times New Roman" w:hAnsi="Times New Roman" w:eastAsia="宋体" w:cs="Times New Roman"/>
          <w:spacing w:val="-1"/>
          <w:sz w:val="23"/>
          <w:szCs w:val="23"/>
          <w:highlight w:val="none"/>
        </w:rPr>
        <w:t>河流水系</w:t>
      </w:r>
    </w:p>
    <w:p>
      <w:pPr>
        <w:spacing w:before="199" w:line="402" w:lineRule="auto"/>
        <w:ind w:left="12" w:right="63" w:firstLine="47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本</w:t>
      </w:r>
      <w:r>
        <w:rPr>
          <w:rFonts w:hint="default" w:ascii="Times New Roman" w:hAnsi="Times New Roman" w:eastAsia="宋体" w:cs="Times New Roman"/>
          <w:spacing w:val="5"/>
          <w:sz w:val="23"/>
          <w:szCs w:val="23"/>
          <w:highlight w:val="none"/>
        </w:rPr>
        <w:t xml:space="preserve">区河流发育，有大小河流 </w:t>
      </w:r>
      <w:r>
        <w:rPr>
          <w:rFonts w:hint="default" w:ascii="Times New Roman" w:hAnsi="Times New Roman" w:eastAsia="Times New Roman" w:cs="Times New Roman"/>
          <w:spacing w:val="5"/>
          <w:sz w:val="23"/>
          <w:szCs w:val="23"/>
          <w:highlight w:val="none"/>
        </w:rPr>
        <w:t xml:space="preserve">37 </w:t>
      </w:r>
      <w:r>
        <w:rPr>
          <w:rFonts w:hint="default" w:ascii="Times New Roman" w:hAnsi="Times New Roman" w:eastAsia="宋体" w:cs="Times New Roman"/>
          <w:spacing w:val="5"/>
          <w:sz w:val="23"/>
          <w:szCs w:val="23"/>
          <w:highlight w:val="none"/>
        </w:rPr>
        <w:t>条，按河系可划分为淋河、沙河、黎河、还乡河和</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9"/>
          <w:sz w:val="23"/>
          <w:szCs w:val="23"/>
          <w:highlight w:val="none"/>
        </w:rPr>
        <w:t>洒</w:t>
      </w:r>
      <w:r>
        <w:rPr>
          <w:rFonts w:hint="default" w:ascii="Times New Roman" w:hAnsi="Times New Roman" w:eastAsia="宋体" w:cs="Times New Roman"/>
          <w:spacing w:val="10"/>
          <w:sz w:val="23"/>
          <w:szCs w:val="23"/>
          <w:highlight w:val="none"/>
        </w:rPr>
        <w:t>河五大河系，分属滦河和蓟运河两大流域河系。纵贯全区的淋河、沙河、黎河三</w:t>
      </w:r>
      <w:r>
        <w:rPr>
          <w:rFonts w:hint="default" w:ascii="Times New Roman" w:hAnsi="Times New Roman" w:eastAsia="宋体" w:cs="Times New Roman"/>
          <w:spacing w:val="18"/>
          <w:sz w:val="23"/>
          <w:szCs w:val="23"/>
          <w:highlight w:val="none"/>
        </w:rPr>
        <w:t>条</w:t>
      </w:r>
      <w:r>
        <w:rPr>
          <w:rFonts w:hint="default" w:ascii="Times New Roman" w:hAnsi="Times New Roman" w:eastAsia="宋体" w:cs="Times New Roman"/>
          <w:spacing w:val="14"/>
          <w:sz w:val="23"/>
          <w:szCs w:val="23"/>
          <w:highlight w:val="none"/>
        </w:rPr>
        <w:t>河</w:t>
      </w:r>
      <w:r>
        <w:rPr>
          <w:rFonts w:hint="default" w:ascii="Times New Roman" w:hAnsi="Times New Roman" w:eastAsia="宋体" w:cs="Times New Roman"/>
          <w:spacing w:val="9"/>
          <w:sz w:val="23"/>
          <w:szCs w:val="23"/>
          <w:highlight w:val="none"/>
        </w:rPr>
        <w:t>均属蓟运河水系，发源于北盆地北部和东部山区，向西循果河汇入于桥水库。</w:t>
      </w:r>
    </w:p>
    <w:p>
      <w:pPr>
        <w:spacing w:before="181" w:line="405" w:lineRule="auto"/>
        <w:ind w:left="9" w:right="61" w:firstLine="48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
          <w:sz w:val="23"/>
          <w:szCs w:val="23"/>
          <w:highlight w:val="none"/>
        </w:rPr>
        <w:t xml:space="preserve">淋河全长 </w:t>
      </w:r>
      <w:r>
        <w:rPr>
          <w:rFonts w:hint="default" w:ascii="Times New Roman" w:hAnsi="Times New Roman" w:eastAsia="Times New Roman" w:cs="Times New Roman"/>
          <w:spacing w:val="-1"/>
          <w:sz w:val="23"/>
          <w:szCs w:val="23"/>
          <w:highlight w:val="none"/>
        </w:rPr>
        <w:t>35</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，流域面积 </w:t>
      </w:r>
      <w:r>
        <w:rPr>
          <w:rFonts w:hint="default" w:ascii="Times New Roman" w:hAnsi="Times New Roman" w:eastAsia="Times New Roman" w:cs="Times New Roman"/>
          <w:spacing w:val="-1"/>
          <w:sz w:val="23"/>
          <w:szCs w:val="23"/>
          <w:highlight w:val="none"/>
        </w:rPr>
        <w:t>400</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1"/>
          <w:position w:val="7"/>
          <w:sz w:val="15"/>
          <w:szCs w:val="15"/>
          <w:highlight w:val="none"/>
        </w:rPr>
        <w:t xml:space="preserve">2 </w:t>
      </w:r>
      <w:r>
        <w:rPr>
          <w:rFonts w:hint="default" w:ascii="Times New Roman" w:hAnsi="Times New Roman" w:eastAsia="宋体" w:cs="Times New Roman"/>
          <w:spacing w:val="-1"/>
          <w:sz w:val="23"/>
          <w:szCs w:val="23"/>
          <w:highlight w:val="none"/>
        </w:rPr>
        <w:t xml:space="preserve">，年迳流量 </w:t>
      </w:r>
      <w:r>
        <w:rPr>
          <w:rFonts w:hint="default" w:ascii="Times New Roman" w:hAnsi="Times New Roman" w:eastAsia="Times New Roman" w:cs="Times New Roman"/>
          <w:spacing w:val="-1"/>
          <w:sz w:val="23"/>
          <w:szCs w:val="23"/>
          <w:highlight w:val="none"/>
        </w:rPr>
        <w:t>0.410×10</w:t>
      </w:r>
      <w:r>
        <w:rPr>
          <w:rFonts w:hint="default" w:ascii="Times New Roman" w:hAnsi="Times New Roman" w:eastAsia="Times New Roman" w:cs="Times New Roman"/>
          <w:position w:val="7"/>
          <w:sz w:val="15"/>
          <w:szCs w:val="15"/>
          <w:highlight w:val="none"/>
        </w:rPr>
        <w:t>8</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position w:val="7"/>
          <w:sz w:val="15"/>
          <w:szCs w:val="15"/>
          <w:highlight w:val="none"/>
        </w:rPr>
        <w:t xml:space="preserve">3 </w:t>
      </w:r>
      <w:r>
        <w:rPr>
          <w:rFonts w:hint="default" w:ascii="Times New Roman" w:hAnsi="Times New Roman" w:eastAsia="宋体" w:cs="Times New Roman"/>
          <w:sz w:val="23"/>
          <w:szCs w:val="23"/>
          <w:highlight w:val="none"/>
        </w:rPr>
        <w:t xml:space="preserve">；沙河全长 </w:t>
      </w:r>
      <w:r>
        <w:rPr>
          <w:rFonts w:hint="default" w:ascii="Times New Roman" w:hAnsi="Times New Roman" w:eastAsia="Times New Roman" w:cs="Times New Roman"/>
          <w:sz w:val="23"/>
          <w:szCs w:val="23"/>
          <w:highlight w:val="none"/>
        </w:rPr>
        <w:t xml:space="preserve">56km </w:t>
      </w:r>
      <w:r>
        <w:rPr>
          <w:rFonts w:hint="default" w:ascii="Times New Roman" w:hAnsi="Times New Roman" w:eastAsia="宋体" w:cs="Times New Roman"/>
          <w:sz w:val="23"/>
          <w:szCs w:val="23"/>
          <w:highlight w:val="none"/>
        </w:rPr>
        <w:t xml:space="preserve">，流 </w:t>
      </w:r>
      <w:r>
        <w:rPr>
          <w:rFonts w:hint="default" w:ascii="Times New Roman" w:hAnsi="Times New Roman" w:eastAsia="宋体" w:cs="Times New Roman"/>
          <w:spacing w:val="1"/>
          <w:sz w:val="23"/>
          <w:szCs w:val="23"/>
          <w:highlight w:val="none"/>
        </w:rPr>
        <w:t xml:space="preserve">域面积 </w:t>
      </w:r>
      <w:r>
        <w:rPr>
          <w:rFonts w:hint="default" w:ascii="Times New Roman" w:hAnsi="Times New Roman" w:eastAsia="Times New Roman" w:cs="Times New Roman"/>
          <w:spacing w:val="1"/>
          <w:sz w:val="23"/>
          <w:szCs w:val="23"/>
          <w:highlight w:val="none"/>
        </w:rPr>
        <w:t>850</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1"/>
          <w:position w:val="7"/>
          <w:sz w:val="15"/>
          <w:szCs w:val="15"/>
          <w:highlight w:val="none"/>
        </w:rPr>
        <w:t xml:space="preserve">2 </w:t>
      </w:r>
      <w:r>
        <w:rPr>
          <w:rFonts w:hint="default" w:ascii="Times New Roman" w:hAnsi="Times New Roman" w:eastAsia="宋体" w:cs="Times New Roman"/>
          <w:spacing w:val="1"/>
          <w:sz w:val="23"/>
          <w:szCs w:val="23"/>
          <w:highlight w:val="none"/>
        </w:rPr>
        <w:t xml:space="preserve">，年迳流量 </w:t>
      </w:r>
      <w:r>
        <w:rPr>
          <w:rFonts w:hint="default" w:ascii="Times New Roman" w:hAnsi="Times New Roman" w:eastAsia="Times New Roman" w:cs="Times New Roman"/>
          <w:spacing w:val="1"/>
          <w:sz w:val="23"/>
          <w:szCs w:val="23"/>
          <w:highlight w:val="none"/>
        </w:rPr>
        <w:t>1.053×10</w:t>
      </w:r>
      <w:r>
        <w:rPr>
          <w:rFonts w:hint="default" w:ascii="Times New Roman" w:hAnsi="Times New Roman" w:eastAsia="Times New Roman" w:cs="Times New Roman"/>
          <w:spacing w:val="1"/>
          <w:position w:val="7"/>
          <w:sz w:val="15"/>
          <w:szCs w:val="15"/>
          <w:highlight w:val="none"/>
        </w:rPr>
        <w:t>8</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position w:val="7"/>
          <w:sz w:val="15"/>
          <w:szCs w:val="15"/>
          <w:highlight w:val="none"/>
        </w:rPr>
        <w:t xml:space="preserve">3 </w:t>
      </w:r>
      <w:r>
        <w:rPr>
          <w:rFonts w:hint="default" w:ascii="Times New Roman" w:hAnsi="Times New Roman" w:eastAsia="宋体" w:cs="Times New Roman"/>
          <w:spacing w:val="1"/>
          <w:sz w:val="23"/>
          <w:szCs w:val="23"/>
          <w:highlight w:val="none"/>
        </w:rPr>
        <w:t xml:space="preserve">；黎河全长 </w:t>
      </w:r>
      <w:r>
        <w:rPr>
          <w:rFonts w:hint="default" w:ascii="Times New Roman" w:hAnsi="Times New Roman" w:eastAsia="Times New Roman" w:cs="Times New Roman"/>
          <w:spacing w:val="1"/>
          <w:sz w:val="23"/>
          <w:szCs w:val="23"/>
          <w:highlight w:val="none"/>
        </w:rPr>
        <w:t>64</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，流域面积 </w:t>
      </w:r>
      <w:r>
        <w:rPr>
          <w:rFonts w:hint="default" w:ascii="Times New Roman" w:hAnsi="Times New Roman" w:eastAsia="Times New Roman" w:cs="Times New Roman"/>
          <w:spacing w:val="1"/>
          <w:sz w:val="23"/>
          <w:szCs w:val="23"/>
          <w:highlight w:val="none"/>
        </w:rPr>
        <w:t>800</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1"/>
          <w:position w:val="7"/>
          <w:sz w:val="15"/>
          <w:szCs w:val="15"/>
          <w:highlight w:val="none"/>
        </w:rPr>
        <w:t xml:space="preserve">2 </w:t>
      </w:r>
      <w:r>
        <w:rPr>
          <w:rFonts w:hint="default" w:ascii="Times New Roman" w:hAnsi="Times New Roman" w:eastAsia="宋体" w:cs="Times New Roman"/>
          <w:spacing w:val="1"/>
          <w:sz w:val="23"/>
          <w:szCs w:val="23"/>
          <w:highlight w:val="none"/>
        </w:rPr>
        <w:t>，年迳</w:t>
      </w:r>
      <w:r>
        <w:rPr>
          <w:rFonts w:hint="default" w:ascii="Times New Roman" w:hAnsi="Times New Roman" w:eastAsia="宋体" w:cs="Times New Roman"/>
          <w:sz w:val="23"/>
          <w:szCs w:val="23"/>
          <w:highlight w:val="none"/>
        </w:rPr>
        <w:t xml:space="preserve">流 </w:t>
      </w:r>
      <w:r>
        <w:rPr>
          <w:rFonts w:hint="default" w:ascii="Times New Roman" w:hAnsi="Times New Roman" w:eastAsia="宋体" w:cs="Times New Roman"/>
          <w:spacing w:val="4"/>
          <w:sz w:val="23"/>
          <w:szCs w:val="23"/>
          <w:highlight w:val="none"/>
        </w:rPr>
        <w:t xml:space="preserve">量 </w:t>
      </w:r>
      <w:r>
        <w:rPr>
          <w:rFonts w:hint="default" w:ascii="Times New Roman" w:hAnsi="Times New Roman" w:eastAsia="Times New Roman" w:cs="Times New Roman"/>
          <w:spacing w:val="4"/>
          <w:sz w:val="23"/>
          <w:szCs w:val="23"/>
          <w:highlight w:val="none"/>
        </w:rPr>
        <w:t>6.236×10</w:t>
      </w:r>
      <w:r>
        <w:rPr>
          <w:rFonts w:hint="default" w:ascii="Times New Roman" w:hAnsi="Times New Roman" w:eastAsia="Times New Roman" w:cs="Times New Roman"/>
          <w:spacing w:val="4"/>
          <w:position w:val="8"/>
          <w:sz w:val="15"/>
          <w:szCs w:val="15"/>
          <w:highlight w:val="none"/>
        </w:rPr>
        <w:t>8</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position w:val="8"/>
          <w:sz w:val="15"/>
          <w:szCs w:val="15"/>
          <w:highlight w:val="none"/>
        </w:rPr>
        <w:t xml:space="preserve">3 </w:t>
      </w:r>
      <w:r>
        <w:rPr>
          <w:rFonts w:hint="default" w:ascii="Times New Roman" w:hAnsi="Times New Roman" w:eastAsia="宋体" w:cs="Times New Roman"/>
          <w:spacing w:val="4"/>
          <w:sz w:val="23"/>
          <w:szCs w:val="23"/>
          <w:highlight w:val="none"/>
        </w:rPr>
        <w:t>，为引滦输入河道。除黎河外，淋河和沙河为季节性河流，汛期泄洪量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较</w:t>
      </w:r>
      <w:r>
        <w:rPr>
          <w:rFonts w:hint="default" w:ascii="Times New Roman" w:hAnsi="Times New Roman" w:eastAsia="宋体" w:cs="Times New Roman"/>
          <w:spacing w:val="9"/>
          <w:sz w:val="23"/>
          <w:szCs w:val="23"/>
          <w:highlight w:val="none"/>
        </w:rPr>
        <w:t>大。由于上游都已建水库，流量受人工调节。</w:t>
      </w:r>
    </w:p>
    <w:p>
      <w:pPr>
        <w:spacing w:before="17" w:line="408" w:lineRule="auto"/>
        <w:ind w:left="8" w:right="6"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全市有</w:t>
      </w:r>
      <w:r>
        <w:rPr>
          <w:rFonts w:hint="default" w:ascii="Times New Roman" w:hAnsi="Times New Roman" w:eastAsia="宋体" w:cs="Times New Roman"/>
          <w:spacing w:val="9"/>
          <w:sz w:val="23"/>
          <w:szCs w:val="23"/>
          <w:highlight w:val="none"/>
        </w:rPr>
        <w:t>中</w:t>
      </w:r>
      <w:r>
        <w:rPr>
          <w:rFonts w:hint="default" w:ascii="Times New Roman" w:hAnsi="Times New Roman" w:eastAsia="宋体" w:cs="Times New Roman"/>
          <w:spacing w:val="6"/>
          <w:sz w:val="23"/>
          <w:szCs w:val="23"/>
          <w:highlight w:val="none"/>
        </w:rPr>
        <w:t xml:space="preserve">小型水库 </w:t>
      </w:r>
      <w:r>
        <w:rPr>
          <w:rFonts w:hint="default" w:ascii="Times New Roman" w:hAnsi="Times New Roman" w:eastAsia="Times New Roman" w:cs="Times New Roman"/>
          <w:spacing w:val="6"/>
          <w:sz w:val="23"/>
          <w:szCs w:val="23"/>
          <w:highlight w:val="none"/>
        </w:rPr>
        <w:t xml:space="preserve">22 </w:t>
      </w:r>
      <w:r>
        <w:rPr>
          <w:rFonts w:hint="default" w:ascii="Times New Roman" w:hAnsi="Times New Roman" w:eastAsia="宋体" w:cs="Times New Roman"/>
          <w:spacing w:val="6"/>
          <w:sz w:val="23"/>
          <w:szCs w:val="23"/>
          <w:highlight w:val="none"/>
        </w:rPr>
        <w:t>座，较大的水库有般若院水库、上关水库、龙门口水库等。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遵</w:t>
      </w:r>
      <w:r>
        <w:rPr>
          <w:rFonts w:hint="default" w:ascii="Times New Roman" w:hAnsi="Times New Roman" w:eastAsia="宋体" w:cs="Times New Roman"/>
          <w:spacing w:val="8"/>
          <w:sz w:val="23"/>
          <w:szCs w:val="23"/>
          <w:highlight w:val="none"/>
        </w:rPr>
        <w:t>化市区域水系见下图：</w:t>
      </w:r>
    </w:p>
    <w:p>
      <w:pPr>
        <w:tabs>
          <w:tab w:val="left" w:pos="1094"/>
        </w:tabs>
        <w:bidi w:val="0"/>
        <w:jc w:val="left"/>
        <w:rPr>
          <w:rFonts w:hint="default" w:ascii="Times New Roman" w:hAnsi="Times New Roman" w:cs="Times New Roman"/>
          <w:sz w:val="21"/>
          <w:highlight w:val="none"/>
        </w:rPr>
      </w:pPr>
      <w:r>
        <w:rPr>
          <w:rFonts w:hint="eastAsia" w:eastAsia="宋体" w:cs="Arial"/>
          <w:snapToGrid w:val="0"/>
          <w:color w:val="000000"/>
          <w:kern w:val="0"/>
          <w:sz w:val="21"/>
          <w:szCs w:val="21"/>
          <w:highlight w:val="none"/>
          <w:lang w:eastAsia="zh-CN"/>
        </w:rPr>
        <w:tab/>
      </w:r>
      <w:r>
        <w:rPr>
          <w:rFonts w:hint="default" w:ascii="Times New Roman" w:hAnsi="Times New Roman" w:cs="Times New Roman"/>
          <w:highlight w:val="none"/>
        </w:rPr>
        <w:pict>
          <v:rect id="_x0000_s1214" o:spid="_x0000_s1214" o:spt="1" style="position:absolute;left:0pt;margin-left:82.2pt;margin-top:790.05pt;height:3.65pt;width:445.1pt;mso-position-horizontal-relative:page;mso-position-vertical-relative:page;z-index:251737088;mso-width-relative:page;mso-height-relative:page;" filled="f" stroked="f" coordsize="21600,21600" o:allowincell="f">
            <v:path/>
            <v:fill on="f" focussize="0,0"/>
            <v:stroke on="f"/>
            <v:imagedata o:title=""/>
            <o:lock v:ext="edit" aspectratio="f"/>
          </v:rect>
        </w:pict>
      </w:r>
      <w:r>
        <w:rPr>
          <w:rFonts w:hint="default" w:ascii="Times New Roman" w:hAnsi="Times New Roman" w:cs="Times New Roman"/>
          <w:highlight w:val="none"/>
        </w:rPr>
        <w:pict>
          <v:shape id="_x0000_s1215" o:spid="_x0000_s1215" style="position:absolute;left:0pt;margin-left:82.2pt;margin-top:52.5pt;height:0.75pt;width:445.1pt;mso-position-horizontal-relative:page;mso-position-vertical-relative:page;z-index:251738112;mso-width-relative:page;mso-height-relative:page;" fillcolor="#000000" filled="t" stroked="f" coordsize="8902,15" o:allowincell="f" path="m0,0l8901,0,8901,14,0,14,0,0xe">
            <v:path/>
            <v:fill on="t" focussize="0,0"/>
            <v:stroke on="f"/>
            <v:imagedata o:title=""/>
            <o:lock v:ext="edit"/>
          </v:shape>
        </w:pict>
      </w:r>
    </w:p>
    <w:p>
      <w:pPr>
        <w:spacing w:line="7877" w:lineRule="exact"/>
        <w:textAlignment w:val="center"/>
        <w:rPr>
          <w:rFonts w:hint="default" w:ascii="Times New Roman" w:hAnsi="Times New Roman" w:cs="Times New Roman"/>
          <w:highlight w:val="none"/>
        </w:rPr>
      </w:pPr>
      <w:r>
        <w:rPr>
          <w:rFonts w:hint="default" w:ascii="Times New Roman" w:hAnsi="Times New Roman" w:cs="Times New Roman"/>
          <w:highlight w:val="none"/>
        </w:rPr>
        <w:pict>
          <v:group id="_x0000_s1216" o:spid="_x0000_s1216" o:spt="203" style="height:393.85pt;width:445.6pt;" coordsize="8912,7877">
            <o:lock v:ext="edit"/>
            <v:shape id="_x0000_s1217" o:spid="_x0000_s1217" o:spt="75" type="#_x0000_t75" style="position:absolute;left:0;top:0;height:7877;width:8912;" filled="f" stroked="f" coordsize="21600,21600">
              <v:path/>
              <v:fill on="f" focussize="0,0"/>
              <v:stroke on="f"/>
              <v:imagedata r:id="rId150" o:title=""/>
              <o:lock v:ext="edit" aspectratio="t"/>
            </v:shape>
            <v:shape id="_x0000_s1218" o:spid="_x0000_s1218" o:spt="75" type="#_x0000_t75" style="position:absolute;left:3346;top:1152;height:1160;width:2336;" filled="f" stroked="f" coordsize="21600,21600">
              <v:path/>
              <v:fill on="f" focussize="0,0"/>
              <v:stroke on="f"/>
              <v:imagedata r:id="rId151" o:title=""/>
              <o:lock v:ext="edit" aspectratio="t"/>
            </v:shape>
            <v:shape id="_x0000_s1219" o:spid="_x0000_s1219" o:spt="202" type="#_x0000_t202" style="position:absolute;left:3507;top:1260;height:287;width:1078;"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目所在地</w:t>
                    </w:r>
                  </w:p>
                </w:txbxContent>
              </v:textbox>
            </v:shape>
            <w10:wrap type="none"/>
            <w10:anchorlock/>
          </v:group>
        </w:pict>
      </w:r>
    </w:p>
    <w:p>
      <w:pPr>
        <w:spacing w:before="195" w:line="228" w:lineRule="auto"/>
        <w:ind w:left="306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Times New Roman" w:cs="Times New Roman"/>
          <w:b/>
          <w:bCs/>
          <w:spacing w:val="2"/>
          <w:sz w:val="23"/>
          <w:szCs w:val="23"/>
          <w:highlight w:val="none"/>
        </w:rPr>
        <w:t>5.2-</w:t>
      </w:r>
      <w:r>
        <w:rPr>
          <w:rFonts w:hint="eastAsia" w:ascii="Times New Roman" w:hAnsi="Times New Roman" w:eastAsia="宋体" w:cs="Times New Roman"/>
          <w:b/>
          <w:bCs/>
          <w:spacing w:val="2"/>
          <w:sz w:val="23"/>
          <w:szCs w:val="23"/>
          <w:highlight w:val="none"/>
          <w:lang w:val="en-US" w:eastAsia="zh-CN"/>
        </w:rPr>
        <w:t>3</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遵化市区域水系图</w:t>
      </w:r>
    </w:p>
    <w:p>
      <w:pPr>
        <w:spacing w:before="215"/>
        <w:ind w:left="484"/>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、区域地质概</w:t>
      </w:r>
      <w:r>
        <w:rPr>
          <w:rFonts w:hint="default" w:ascii="Times New Roman" w:hAnsi="Times New Roman" w:eastAsia="宋体" w:cs="Times New Roman"/>
          <w:spacing w:val="1"/>
          <w:sz w:val="23"/>
          <w:szCs w:val="23"/>
          <w:highlight w:val="none"/>
        </w:rPr>
        <w:t>况</w:t>
      </w:r>
    </w:p>
    <w:p>
      <w:pPr>
        <w:spacing w:before="199" w:line="229" w:lineRule="auto"/>
        <w:ind w:left="508"/>
        <w:jc w:val="both"/>
        <w:outlineLvl w:val="0"/>
        <w:rPr>
          <w:rFonts w:hint="default" w:ascii="Times New Roman" w:hAnsi="Times New Roman" w:eastAsia="宋体" w:cs="Times New Roman"/>
          <w:sz w:val="23"/>
          <w:szCs w:val="23"/>
          <w:highlight w:val="none"/>
        </w:rPr>
      </w:pPr>
      <w:bookmarkStart w:id="487" w:name="_Toc23347"/>
      <w:bookmarkStart w:id="488" w:name="_Toc15486"/>
      <w:bookmarkStart w:id="489" w:name="_Toc6474"/>
      <w:r>
        <w:rPr>
          <w:rFonts w:hint="default" w:ascii="Times New Roman" w:hAnsi="Times New Roman" w:eastAsia="Times New Roman" w:cs="Times New Roman"/>
          <w:spacing w:val="4"/>
          <w:sz w:val="23"/>
          <w:szCs w:val="23"/>
          <w:highlight w:val="none"/>
        </w:rPr>
        <w:t>1</w:t>
      </w:r>
      <w:r>
        <w:rPr>
          <w:rFonts w:hint="default" w:ascii="Times New Roman" w:hAnsi="Times New Roman" w:eastAsia="Times New Roman" w:cs="Times New Roman"/>
          <w:spacing w:val="3"/>
          <w:sz w:val="23"/>
          <w:szCs w:val="23"/>
          <w:highlight w:val="none"/>
        </w:rPr>
        <w:t>.</w:t>
      </w:r>
      <w:r>
        <w:rPr>
          <w:rFonts w:hint="default" w:ascii="Times New Roman" w:hAnsi="Times New Roman" w:eastAsia="宋体" w:cs="Times New Roman"/>
          <w:spacing w:val="3"/>
          <w:sz w:val="23"/>
          <w:szCs w:val="23"/>
          <w:highlight w:val="none"/>
        </w:rPr>
        <w:t>基岩地质</w:t>
      </w:r>
      <w:bookmarkEnd w:id="487"/>
      <w:bookmarkEnd w:id="488"/>
      <w:bookmarkEnd w:id="489"/>
    </w:p>
    <w:p>
      <w:pPr>
        <w:spacing w:before="217" w:line="227" w:lineRule="auto"/>
        <w:ind w:left="500"/>
        <w:jc w:val="both"/>
        <w:outlineLvl w:val="1"/>
        <w:rPr>
          <w:rFonts w:hint="default" w:ascii="Times New Roman" w:hAnsi="Times New Roman" w:eastAsia="宋体" w:cs="Times New Roman"/>
          <w:sz w:val="23"/>
          <w:szCs w:val="23"/>
          <w:highlight w:val="none"/>
        </w:rPr>
      </w:pPr>
      <w:bookmarkStart w:id="490" w:name="_Toc30088"/>
      <w:bookmarkStart w:id="491" w:name="_Toc11060"/>
      <w:bookmarkStart w:id="492" w:name="_Toc9726"/>
      <w:r>
        <w:rPr>
          <w:rFonts w:hint="default" w:ascii="Times New Roman" w:hAnsi="Times New Roman" w:eastAsia="宋体" w:cs="Times New Roman"/>
          <w:spacing w:val="24"/>
          <w:sz w:val="23"/>
          <w:szCs w:val="23"/>
          <w:highlight w:val="none"/>
        </w:rPr>
        <w:t>(</w:t>
      </w:r>
      <w:r>
        <w:rPr>
          <w:rFonts w:hint="default" w:ascii="Times New Roman" w:hAnsi="Times New Roman" w:eastAsia="Times New Roman" w:cs="Times New Roman"/>
          <w:spacing w:val="23"/>
          <w:sz w:val="23"/>
          <w:szCs w:val="23"/>
          <w:highlight w:val="none"/>
        </w:rPr>
        <w:t>1</w:t>
      </w:r>
      <w:r>
        <w:rPr>
          <w:rFonts w:hint="default" w:ascii="Times New Roman" w:hAnsi="Times New Roman" w:eastAsia="宋体" w:cs="Times New Roman"/>
          <w:spacing w:val="23"/>
          <w:sz w:val="23"/>
          <w:szCs w:val="23"/>
          <w:highlight w:val="none"/>
        </w:rPr>
        <w:t>) 地层</w:t>
      </w:r>
      <w:bookmarkEnd w:id="490"/>
      <w:bookmarkEnd w:id="491"/>
      <w:bookmarkEnd w:id="492"/>
    </w:p>
    <w:p>
      <w:pPr>
        <w:spacing w:before="215" w:line="402" w:lineRule="auto"/>
        <w:ind w:left="9" w:right="9"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本</w:t>
      </w:r>
      <w:r>
        <w:rPr>
          <w:rFonts w:hint="default" w:ascii="Times New Roman" w:hAnsi="Times New Roman" w:eastAsia="宋体" w:cs="Times New Roman"/>
          <w:spacing w:val="11"/>
          <w:sz w:val="23"/>
          <w:szCs w:val="23"/>
          <w:highlight w:val="none"/>
        </w:rPr>
        <w:t>区</w:t>
      </w:r>
      <w:r>
        <w:rPr>
          <w:rFonts w:hint="default" w:ascii="Times New Roman" w:hAnsi="Times New Roman" w:eastAsia="宋体" w:cs="Times New Roman"/>
          <w:spacing w:val="10"/>
          <w:sz w:val="23"/>
          <w:szCs w:val="23"/>
          <w:highlight w:val="none"/>
        </w:rPr>
        <w:t>出露的地层主要为北部的太古界和南部的中元古界长城系和蓟县系。而在盆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地</w:t>
      </w:r>
      <w:r>
        <w:rPr>
          <w:rFonts w:hint="default" w:ascii="Times New Roman" w:hAnsi="Times New Roman" w:eastAsia="宋体" w:cs="Times New Roman"/>
          <w:spacing w:val="9"/>
          <w:sz w:val="23"/>
          <w:szCs w:val="23"/>
          <w:highlight w:val="none"/>
        </w:rPr>
        <w:t>中沉积了较厚的第四系。现由老至新简述如下：</w:t>
      </w:r>
    </w:p>
    <w:p>
      <w:pPr>
        <w:spacing w:before="1" w:line="225" w:lineRule="auto"/>
        <w:ind w:left="488"/>
        <w:jc w:val="both"/>
        <w:outlineLvl w:val="2"/>
        <w:rPr>
          <w:rFonts w:hint="default" w:ascii="Times New Roman" w:hAnsi="Times New Roman" w:eastAsia="宋体" w:cs="Times New Roman"/>
          <w:sz w:val="23"/>
          <w:szCs w:val="23"/>
          <w:highlight w:val="none"/>
        </w:rPr>
      </w:pPr>
      <w:bookmarkStart w:id="493" w:name="_Toc11501"/>
      <w:bookmarkStart w:id="494" w:name="_Toc29707"/>
      <w:bookmarkStart w:id="495" w:name="_Toc4456"/>
      <w:r>
        <w:rPr>
          <w:rFonts w:hint="default" w:ascii="Times New Roman" w:hAnsi="Times New Roman" w:eastAsia="宋体" w:cs="Times New Roman"/>
          <w:spacing w:val="11"/>
          <w:sz w:val="23"/>
          <w:szCs w:val="23"/>
          <w:highlight w:val="none"/>
        </w:rPr>
        <w:t>①</w:t>
      </w:r>
      <w:r>
        <w:rPr>
          <w:rFonts w:hint="default" w:ascii="Times New Roman" w:hAnsi="Times New Roman" w:eastAsia="宋体" w:cs="Times New Roman"/>
          <w:spacing w:val="7"/>
          <w:sz w:val="23"/>
          <w:szCs w:val="23"/>
          <w:highlight w:val="none"/>
        </w:rPr>
        <w:t>太古界 (</w:t>
      </w:r>
      <w:r>
        <w:rPr>
          <w:rFonts w:hint="default" w:ascii="Times New Roman" w:hAnsi="Times New Roman" w:eastAsia="Times New Roman" w:cs="Times New Roman"/>
          <w:sz w:val="23"/>
          <w:szCs w:val="23"/>
          <w:highlight w:val="none"/>
        </w:rPr>
        <w:t>Ar</w:t>
      </w:r>
      <w:r>
        <w:rPr>
          <w:rFonts w:hint="default" w:ascii="Times New Roman" w:hAnsi="Times New Roman" w:eastAsia="宋体" w:cs="Times New Roman"/>
          <w:spacing w:val="7"/>
          <w:sz w:val="23"/>
          <w:szCs w:val="23"/>
          <w:highlight w:val="none"/>
        </w:rPr>
        <w:t>)</w:t>
      </w:r>
      <w:bookmarkEnd w:id="493"/>
      <w:bookmarkEnd w:id="494"/>
      <w:bookmarkEnd w:id="495"/>
    </w:p>
    <w:p>
      <w:pPr>
        <w:spacing w:before="217" w:line="402" w:lineRule="auto"/>
        <w:ind w:left="13" w:right="9" w:firstLine="475"/>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在</w:t>
      </w:r>
      <w:r>
        <w:rPr>
          <w:rFonts w:hint="default" w:ascii="Times New Roman" w:hAnsi="Times New Roman" w:eastAsia="宋体" w:cs="Times New Roman"/>
          <w:spacing w:val="13"/>
          <w:sz w:val="23"/>
          <w:szCs w:val="23"/>
          <w:highlight w:val="none"/>
        </w:rPr>
        <w:t>本</w:t>
      </w:r>
      <w:r>
        <w:rPr>
          <w:rFonts w:hint="default" w:ascii="Times New Roman" w:hAnsi="Times New Roman" w:eastAsia="宋体" w:cs="Times New Roman"/>
          <w:spacing w:val="10"/>
          <w:sz w:val="23"/>
          <w:szCs w:val="23"/>
          <w:highlight w:val="none"/>
        </w:rPr>
        <w:t>区北部有出露，主要由各种片麻岩和混合岩组成，片麻理走向近南北，倾角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一般大于 </w:t>
      </w:r>
      <w:r>
        <w:rPr>
          <w:rFonts w:hint="default" w:ascii="Times New Roman" w:hAnsi="Times New Roman" w:eastAsia="Times New Roman" w:cs="Times New Roman"/>
          <w:spacing w:val="-2"/>
          <w:sz w:val="23"/>
          <w:szCs w:val="23"/>
          <w:highlight w:val="none"/>
        </w:rPr>
        <w:t>8</w:t>
      </w:r>
      <w:r>
        <w:rPr>
          <w:rFonts w:hint="default" w:ascii="Times New Roman" w:hAnsi="Times New Roman" w:eastAsia="Times New Roman" w:cs="Times New Roman"/>
          <w:spacing w:val="-1"/>
          <w:sz w:val="23"/>
          <w:szCs w:val="23"/>
          <w:highlight w:val="none"/>
        </w:rPr>
        <w:t>0°</w:t>
      </w:r>
      <w:r>
        <w:rPr>
          <w:rFonts w:hint="default" w:ascii="Times New Roman" w:hAnsi="Times New Roman" w:eastAsia="宋体" w:cs="Times New Roman"/>
          <w:spacing w:val="-1"/>
          <w:sz w:val="23"/>
          <w:szCs w:val="23"/>
          <w:highlight w:val="none"/>
        </w:rPr>
        <w:t>。</w:t>
      </w:r>
    </w:p>
    <w:p>
      <w:pPr>
        <w:spacing w:before="1" w:line="225" w:lineRule="auto"/>
        <w:ind w:left="487"/>
        <w:jc w:val="both"/>
        <w:outlineLvl w:val="2"/>
        <w:rPr>
          <w:rFonts w:hint="default" w:ascii="Times New Roman" w:hAnsi="Times New Roman" w:eastAsia="宋体" w:cs="Times New Roman"/>
          <w:sz w:val="23"/>
          <w:szCs w:val="23"/>
          <w:highlight w:val="none"/>
        </w:rPr>
      </w:pPr>
      <w:bookmarkStart w:id="496" w:name="_Toc7379"/>
      <w:bookmarkStart w:id="497" w:name="_Toc2897"/>
      <w:bookmarkStart w:id="498" w:name="_Toc25968"/>
      <w:r>
        <w:rPr>
          <w:rFonts w:hint="default" w:ascii="Times New Roman" w:hAnsi="Times New Roman" w:eastAsia="宋体" w:cs="Times New Roman"/>
          <w:spacing w:val="10"/>
          <w:sz w:val="23"/>
          <w:szCs w:val="23"/>
          <w:highlight w:val="none"/>
        </w:rPr>
        <w:t>②</w:t>
      </w:r>
      <w:r>
        <w:rPr>
          <w:rFonts w:hint="default" w:ascii="Times New Roman" w:hAnsi="Times New Roman" w:eastAsia="宋体" w:cs="Times New Roman"/>
          <w:spacing w:val="8"/>
          <w:sz w:val="23"/>
          <w:szCs w:val="23"/>
          <w:highlight w:val="none"/>
        </w:rPr>
        <w:t>中元古界</w:t>
      </w:r>
      <w:bookmarkEnd w:id="496"/>
      <w:bookmarkEnd w:id="497"/>
      <w:bookmarkEnd w:id="498"/>
    </w:p>
    <w:p>
      <w:pPr>
        <w:spacing w:before="182" w:line="315" w:lineRule="exact"/>
        <w:ind w:left="49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position w:val="1"/>
          <w:sz w:val="23"/>
          <w:szCs w:val="23"/>
          <w:highlight w:val="none"/>
        </w:rPr>
        <w:t>长</w:t>
      </w:r>
      <w:r>
        <w:rPr>
          <w:rFonts w:hint="default" w:ascii="Times New Roman" w:hAnsi="Times New Roman" w:eastAsia="宋体" w:cs="Times New Roman"/>
          <w:spacing w:val="6"/>
          <w:position w:val="1"/>
          <w:sz w:val="23"/>
          <w:szCs w:val="23"/>
          <w:highlight w:val="none"/>
        </w:rPr>
        <w:t>城系 (</w:t>
      </w:r>
      <w:r>
        <w:rPr>
          <w:rFonts w:hint="default" w:ascii="Times New Roman" w:hAnsi="Times New Roman" w:eastAsia="Times New Roman" w:cs="Times New Roman"/>
          <w:position w:val="1"/>
          <w:sz w:val="23"/>
          <w:szCs w:val="23"/>
          <w:highlight w:val="none"/>
        </w:rPr>
        <w:t>Ch</w:t>
      </w:r>
      <w:r>
        <w:rPr>
          <w:rFonts w:hint="default" w:ascii="Times New Roman" w:hAnsi="Times New Roman" w:eastAsia="宋体" w:cs="Times New Roman"/>
          <w:spacing w:val="6"/>
          <w:position w:val="1"/>
          <w:sz w:val="23"/>
          <w:szCs w:val="23"/>
          <w:highlight w:val="none"/>
        </w:rPr>
        <w:t>) ：</w:t>
      </w:r>
    </w:p>
    <w:p>
      <w:pPr>
        <w:keepNext w:val="0"/>
        <w:keepLines w:val="0"/>
        <w:pageBreakBefore w:val="0"/>
        <w:widowControl/>
        <w:kinsoku w:val="0"/>
        <w:wordWrap/>
        <w:overflowPunct/>
        <w:topLinePunct w:val="0"/>
        <w:autoSpaceDE w:val="0"/>
        <w:autoSpaceDN w:val="0"/>
        <w:bidi w:val="0"/>
        <w:adjustRightInd w:val="0"/>
        <w:snapToGrid w:val="0"/>
        <w:spacing w:before="120" w:line="401" w:lineRule="auto"/>
        <w:ind w:left="0" w:right="0" w:firstLine="500" w:firstLineChars="200"/>
        <w:jc w:val="both"/>
        <w:textAlignment w:val="baseline"/>
        <w:rPr>
          <w:rFonts w:hint="default" w:ascii="Times New Roman" w:hAnsi="Times New Roman" w:eastAsia="宋体" w:cs="Times New Roman"/>
          <w:spacing w:val="10"/>
          <w:sz w:val="23"/>
          <w:szCs w:val="23"/>
          <w:highlight w:val="none"/>
        </w:rPr>
      </w:pPr>
      <w:r>
        <w:rPr>
          <w:rFonts w:hint="default" w:ascii="Times New Roman" w:hAnsi="Times New Roman" w:eastAsia="宋体" w:cs="Times New Roman"/>
          <w:spacing w:val="10"/>
          <w:sz w:val="23"/>
          <w:szCs w:val="23"/>
          <w:highlight w:val="none"/>
        </w:rPr>
        <w:t>主要出露于笔架山－白草顶－天台山以南的广大地区，其中高于庄组伏于盆地的</w:t>
      </w:r>
    </w:p>
    <w:p>
      <w:pPr>
        <w:keepNext w:val="0"/>
        <w:keepLines w:val="0"/>
        <w:pageBreakBefore w:val="0"/>
        <w:widowControl/>
        <w:kinsoku w:val="0"/>
        <w:wordWrap/>
        <w:overflowPunct/>
        <w:topLinePunct w:val="0"/>
        <w:autoSpaceDE w:val="0"/>
        <w:autoSpaceDN w:val="0"/>
        <w:bidi w:val="0"/>
        <w:adjustRightInd w:val="0"/>
        <w:snapToGrid w:val="0"/>
        <w:spacing w:before="120" w:line="401" w:lineRule="auto"/>
        <w:ind w:left="0" w:right="0" w:firstLine="500" w:firstLineChars="200"/>
        <w:jc w:val="both"/>
        <w:textAlignment w:val="baseline"/>
        <w:rPr>
          <w:rFonts w:hint="default" w:ascii="Times New Roman" w:hAnsi="Times New Roman" w:eastAsia="宋体" w:cs="Times New Roman"/>
          <w:spacing w:val="10"/>
          <w:sz w:val="23"/>
          <w:szCs w:val="23"/>
          <w:highlight w:val="none"/>
        </w:rPr>
      </w:pPr>
      <w:r>
        <w:rPr>
          <w:rFonts w:hint="default" w:ascii="Times New Roman" w:hAnsi="Times New Roman" w:eastAsia="宋体" w:cs="Times New Roman"/>
          <w:spacing w:val="10"/>
          <w:sz w:val="23"/>
          <w:szCs w:val="23"/>
          <w:highlight w:val="none"/>
        </w:rPr>
        <w:pict>
          <v:shape id="_x0000_s1220" o:spid="_x0000_s1220" style="position:absolute;left:0pt;margin-left:82.2pt;margin-top:52.5pt;height:0.75pt;width:445.1pt;mso-position-horizontal-relative:page;mso-position-vertical-relative:page;z-index:251739136;mso-width-relative:page;mso-height-relative:page;" fillcolor="#000000" filled="t" stroked="f" coordsize="8902,15" o:allowincell="f" path="m0,0l8901,0,8901,14,0,14,0,0xe">
            <v:path/>
            <v:fill on="t" focussize="0,0"/>
            <v:stroke on="f"/>
            <v:imagedata o:title=""/>
            <o:lock v:ext="edit"/>
          </v:shape>
        </w:pict>
      </w:r>
      <w:r>
        <w:rPr>
          <w:rFonts w:hint="default" w:ascii="Times New Roman" w:hAnsi="Times New Roman" w:eastAsia="宋体" w:cs="Times New Roman"/>
          <w:spacing w:val="10"/>
          <w:sz w:val="23"/>
          <w:szCs w:val="23"/>
          <w:highlight w:val="none"/>
        </w:rPr>
        <w:t>下部，总厚3746~4799m ， 自下而上由碎屑岩过度为碳酸盐岩，据岩石组合，可分为 常州沟组 (Chc ) 、串岭沟组 (Chch) 、团山子组 (Cht) 、大红峪组 (Chd) 、高于 庄组 (Chg) 五个组。</w:t>
      </w:r>
    </w:p>
    <w:p>
      <w:pPr>
        <w:keepNext w:val="0"/>
        <w:keepLines w:val="0"/>
        <w:pageBreakBefore w:val="0"/>
        <w:widowControl/>
        <w:kinsoku w:val="0"/>
        <w:wordWrap/>
        <w:overflowPunct/>
        <w:topLinePunct w:val="0"/>
        <w:autoSpaceDE w:val="0"/>
        <w:autoSpaceDN w:val="0"/>
        <w:bidi w:val="0"/>
        <w:adjustRightInd w:val="0"/>
        <w:snapToGrid w:val="0"/>
        <w:spacing w:before="100" w:line="400" w:lineRule="exact"/>
        <w:ind w:left="0" w:right="0" w:firstLine="500" w:firstLineChars="200"/>
        <w:jc w:val="both"/>
        <w:textAlignment w:val="baseline"/>
        <w:rPr>
          <w:rFonts w:hint="default" w:ascii="Times New Roman" w:hAnsi="Times New Roman" w:eastAsia="宋体" w:cs="Times New Roman"/>
          <w:spacing w:val="10"/>
          <w:sz w:val="23"/>
          <w:szCs w:val="23"/>
          <w:highlight w:val="none"/>
        </w:rPr>
      </w:pPr>
      <w:r>
        <w:rPr>
          <w:rFonts w:hint="default" w:ascii="Times New Roman" w:hAnsi="Times New Roman" w:eastAsia="宋体" w:cs="Times New Roman"/>
          <w:spacing w:val="10"/>
          <w:sz w:val="23"/>
          <w:szCs w:val="23"/>
          <w:highlight w:val="none"/>
        </w:rPr>
        <w:t>蓟县系 (Jx) ：</w:t>
      </w:r>
    </w:p>
    <w:p>
      <w:pPr>
        <w:spacing w:before="214" w:line="227" w:lineRule="auto"/>
        <w:ind w:left="48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在</w:t>
      </w:r>
      <w:r>
        <w:rPr>
          <w:rFonts w:hint="default" w:ascii="Times New Roman" w:hAnsi="Times New Roman" w:eastAsia="宋体" w:cs="Times New Roman"/>
          <w:spacing w:val="10"/>
          <w:sz w:val="23"/>
          <w:szCs w:val="23"/>
          <w:highlight w:val="none"/>
        </w:rPr>
        <w:t>本</w:t>
      </w:r>
      <w:r>
        <w:rPr>
          <w:rFonts w:hint="default" w:ascii="Times New Roman" w:hAnsi="Times New Roman" w:eastAsia="宋体" w:cs="Times New Roman"/>
          <w:spacing w:val="9"/>
          <w:sz w:val="23"/>
          <w:szCs w:val="23"/>
          <w:highlight w:val="none"/>
        </w:rPr>
        <w:t>区只见有杨庄组和雾迷山组。主要岩性为白云岩及碳酸盐岩。</w:t>
      </w:r>
    </w:p>
    <w:p>
      <w:pPr>
        <w:spacing w:before="216" w:line="228" w:lineRule="auto"/>
        <w:ind w:left="485"/>
        <w:jc w:val="both"/>
        <w:outlineLvl w:val="0"/>
        <w:rPr>
          <w:rFonts w:hint="default" w:ascii="Times New Roman" w:hAnsi="Times New Roman" w:eastAsia="宋体" w:cs="Times New Roman"/>
          <w:sz w:val="23"/>
          <w:szCs w:val="23"/>
          <w:highlight w:val="none"/>
        </w:rPr>
      </w:pPr>
      <w:bookmarkStart w:id="499" w:name="_Toc7680"/>
      <w:bookmarkStart w:id="500" w:name="_Toc5797"/>
      <w:bookmarkStart w:id="501" w:name="_Toc15982"/>
      <w:r>
        <w:rPr>
          <w:rFonts w:hint="default" w:ascii="Times New Roman" w:hAnsi="Times New Roman" w:eastAsia="Times New Roman" w:cs="Times New Roman"/>
          <w:spacing w:val="10"/>
          <w:sz w:val="23"/>
          <w:szCs w:val="23"/>
          <w:highlight w:val="none"/>
        </w:rPr>
        <w:t>2</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第四纪地质</w:t>
      </w:r>
      <w:bookmarkEnd w:id="499"/>
      <w:bookmarkEnd w:id="500"/>
      <w:bookmarkEnd w:id="501"/>
    </w:p>
    <w:p>
      <w:pPr>
        <w:spacing w:before="217" w:line="228" w:lineRule="auto"/>
        <w:ind w:left="500"/>
        <w:jc w:val="both"/>
        <w:outlineLvl w:val="1"/>
        <w:rPr>
          <w:rFonts w:hint="default" w:ascii="Times New Roman" w:hAnsi="Times New Roman" w:eastAsia="宋体" w:cs="Times New Roman"/>
          <w:sz w:val="23"/>
          <w:szCs w:val="23"/>
          <w:highlight w:val="none"/>
        </w:rPr>
      </w:pPr>
      <w:bookmarkStart w:id="502" w:name="_Toc27039"/>
      <w:bookmarkStart w:id="503" w:name="_Toc21561"/>
      <w:bookmarkStart w:id="504" w:name="_Toc27326"/>
      <w:r>
        <w:rPr>
          <w:rFonts w:hint="default" w:ascii="Times New Roman" w:hAnsi="Times New Roman" w:eastAsia="宋体" w:cs="Times New Roman"/>
          <w:spacing w:val="24"/>
          <w:sz w:val="23"/>
          <w:szCs w:val="23"/>
          <w:highlight w:val="none"/>
        </w:rPr>
        <w:t>(</w:t>
      </w:r>
      <w:r>
        <w:rPr>
          <w:rFonts w:hint="default" w:ascii="Times New Roman" w:hAnsi="Times New Roman" w:eastAsia="Times New Roman" w:cs="Times New Roman"/>
          <w:spacing w:val="15"/>
          <w:sz w:val="23"/>
          <w:szCs w:val="23"/>
          <w:highlight w:val="none"/>
        </w:rPr>
        <w:t>1</w:t>
      </w:r>
      <w:r>
        <w:rPr>
          <w:rFonts w:hint="default" w:ascii="Times New Roman" w:hAnsi="Times New Roman" w:eastAsia="宋体" w:cs="Times New Roman"/>
          <w:spacing w:val="15"/>
          <w:sz w:val="23"/>
          <w:szCs w:val="23"/>
          <w:highlight w:val="none"/>
        </w:rPr>
        <w:t>) 第四系沉积古地理特征</w:t>
      </w:r>
      <w:bookmarkEnd w:id="502"/>
      <w:bookmarkEnd w:id="503"/>
      <w:bookmarkEnd w:id="504"/>
    </w:p>
    <w:p>
      <w:pPr>
        <w:spacing w:before="217" w:line="401" w:lineRule="auto"/>
        <w:ind w:left="8" w:right="15"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遵</w:t>
      </w:r>
      <w:r>
        <w:rPr>
          <w:rFonts w:hint="default" w:ascii="Times New Roman" w:hAnsi="Times New Roman" w:eastAsia="宋体" w:cs="Times New Roman"/>
          <w:spacing w:val="13"/>
          <w:sz w:val="23"/>
          <w:szCs w:val="23"/>
          <w:highlight w:val="none"/>
        </w:rPr>
        <w:t>化</w:t>
      </w:r>
      <w:r>
        <w:rPr>
          <w:rFonts w:hint="default" w:ascii="Times New Roman" w:hAnsi="Times New Roman" w:eastAsia="宋体" w:cs="Times New Roman"/>
          <w:spacing w:val="10"/>
          <w:sz w:val="23"/>
          <w:szCs w:val="23"/>
          <w:highlight w:val="none"/>
        </w:rPr>
        <w:t>盆地是一个封闭的盆地，是在以太古界、长城系为主的古老基岩夷平面上发</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育</w:t>
      </w:r>
      <w:r>
        <w:rPr>
          <w:rFonts w:hint="default" w:ascii="Times New Roman" w:hAnsi="Times New Roman" w:eastAsia="宋体" w:cs="Times New Roman"/>
          <w:spacing w:val="13"/>
          <w:sz w:val="23"/>
          <w:szCs w:val="23"/>
          <w:highlight w:val="none"/>
        </w:rPr>
        <w:t>起</w:t>
      </w:r>
      <w:r>
        <w:rPr>
          <w:rFonts w:hint="default" w:ascii="Times New Roman" w:hAnsi="Times New Roman" w:eastAsia="宋体" w:cs="Times New Roman"/>
          <w:spacing w:val="10"/>
          <w:sz w:val="23"/>
          <w:szCs w:val="23"/>
          <w:highlight w:val="none"/>
        </w:rPr>
        <w:t>来的第四纪断陷盆地。由中部弧形山分成南北两个盆地，北盆地地势较高，以冲</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洪</w:t>
      </w:r>
      <w:r>
        <w:rPr>
          <w:rFonts w:hint="default" w:ascii="Times New Roman" w:hAnsi="Times New Roman" w:eastAsia="宋体" w:cs="Times New Roman"/>
          <w:spacing w:val="13"/>
          <w:sz w:val="23"/>
          <w:szCs w:val="23"/>
          <w:highlight w:val="none"/>
        </w:rPr>
        <w:t>积</w:t>
      </w:r>
      <w:r>
        <w:rPr>
          <w:rFonts w:hint="default" w:ascii="Times New Roman" w:hAnsi="Times New Roman" w:eastAsia="宋体" w:cs="Times New Roman"/>
          <w:spacing w:val="10"/>
          <w:sz w:val="23"/>
          <w:szCs w:val="23"/>
          <w:highlight w:val="none"/>
        </w:rPr>
        <w:t>近源粗粒相为主。南盆地地势较低，受水文网的切割，是北盆地的泄水区，由于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地势的封闭性，以</w:t>
      </w:r>
      <w:r>
        <w:rPr>
          <w:rFonts w:hint="default" w:ascii="Times New Roman" w:hAnsi="Times New Roman" w:eastAsia="宋体" w:cs="Times New Roman"/>
          <w:spacing w:val="5"/>
          <w:sz w:val="23"/>
          <w:szCs w:val="23"/>
          <w:highlight w:val="none"/>
        </w:rPr>
        <w:t>冲</w:t>
      </w:r>
      <w:r>
        <w:rPr>
          <w:rFonts w:hint="default" w:ascii="Times New Roman" w:hAnsi="Times New Roman" w:eastAsia="宋体" w:cs="Times New Roman"/>
          <w:spacing w:val="3"/>
          <w:sz w:val="23"/>
          <w:szCs w:val="23"/>
          <w:highlight w:val="none"/>
        </w:rPr>
        <w:t xml:space="preserve">积湖积相为主，沉积厚度较大，据钻孔揭露，厚度大于 </w:t>
      </w:r>
      <w:r>
        <w:rPr>
          <w:rFonts w:hint="default" w:ascii="Times New Roman" w:hAnsi="Times New Roman" w:eastAsia="Times New Roman" w:cs="Times New Roman"/>
          <w:spacing w:val="3"/>
          <w:sz w:val="23"/>
          <w:szCs w:val="23"/>
          <w:highlight w:val="none"/>
        </w:rPr>
        <w:t>250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基</w:t>
      </w:r>
      <w:r>
        <w:rPr>
          <w:rFonts w:hint="default" w:ascii="Times New Roman" w:hAnsi="Times New Roman" w:eastAsia="宋体" w:cs="Times New Roman"/>
          <w:spacing w:val="13"/>
          <w:sz w:val="23"/>
          <w:szCs w:val="23"/>
          <w:highlight w:val="none"/>
        </w:rPr>
        <w:t>底</w:t>
      </w:r>
      <w:r>
        <w:rPr>
          <w:rFonts w:hint="default" w:ascii="Times New Roman" w:hAnsi="Times New Roman" w:eastAsia="宋体" w:cs="Times New Roman"/>
          <w:spacing w:val="10"/>
          <w:sz w:val="23"/>
          <w:szCs w:val="23"/>
          <w:highlight w:val="none"/>
        </w:rPr>
        <w:t>拗陷深度的控制，第四系厚度自西向东和由南北两侧向中心增大。同时基底表面</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不平，低洼</w:t>
      </w:r>
      <w:r>
        <w:rPr>
          <w:rFonts w:hint="default" w:ascii="Times New Roman" w:hAnsi="Times New Roman" w:eastAsia="宋体" w:cs="Times New Roman"/>
          <w:spacing w:val="9"/>
          <w:sz w:val="23"/>
          <w:szCs w:val="23"/>
          <w:highlight w:val="none"/>
        </w:rPr>
        <w:t>处</w:t>
      </w:r>
      <w:r>
        <w:rPr>
          <w:rFonts w:hint="default" w:ascii="Times New Roman" w:hAnsi="Times New Roman" w:eastAsia="宋体" w:cs="Times New Roman"/>
          <w:spacing w:val="5"/>
          <w:sz w:val="23"/>
          <w:szCs w:val="23"/>
          <w:highlight w:val="none"/>
        </w:rPr>
        <w:t>形成厚层粘土及含砾粘土堆积，而在隆起处遭受削蚀，以后堆积粗粒层，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往</w:t>
      </w:r>
      <w:r>
        <w:rPr>
          <w:rFonts w:hint="default" w:ascii="Times New Roman" w:hAnsi="Times New Roman" w:eastAsia="宋体" w:cs="Times New Roman"/>
          <w:spacing w:val="7"/>
          <w:sz w:val="23"/>
          <w:szCs w:val="23"/>
          <w:highlight w:val="none"/>
        </w:rPr>
        <w:t>往形成基岩</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天窗带</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w:t>
      </w:r>
    </w:p>
    <w:p>
      <w:pPr>
        <w:spacing w:before="4" w:line="401" w:lineRule="auto"/>
        <w:ind w:left="9" w:firstLine="50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由于</w:t>
      </w:r>
      <w:r>
        <w:rPr>
          <w:rFonts w:hint="default" w:ascii="Times New Roman" w:hAnsi="Times New Roman" w:eastAsia="宋体" w:cs="Times New Roman"/>
          <w:spacing w:val="9"/>
          <w:sz w:val="23"/>
          <w:szCs w:val="23"/>
          <w:highlight w:val="none"/>
        </w:rPr>
        <w:t>受构造和地形的控制，第四系沉积物主要来源于北部和东部，因此使第四系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沉</w:t>
      </w:r>
      <w:r>
        <w:rPr>
          <w:rFonts w:hint="default" w:ascii="Times New Roman" w:hAnsi="Times New Roman" w:eastAsia="宋体" w:cs="Times New Roman"/>
          <w:spacing w:val="7"/>
          <w:sz w:val="23"/>
          <w:szCs w:val="23"/>
          <w:highlight w:val="none"/>
        </w:rPr>
        <w:t>积物在水平方向上， 由东北向南西有明显的水平分带规律，沿此方向，沉积物颗粒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粒</w:t>
      </w:r>
      <w:r>
        <w:rPr>
          <w:rFonts w:hint="default" w:ascii="Times New Roman" w:hAnsi="Times New Roman" w:eastAsia="宋体" w:cs="Times New Roman"/>
          <w:spacing w:val="12"/>
          <w:sz w:val="23"/>
          <w:szCs w:val="23"/>
          <w:highlight w:val="none"/>
        </w:rPr>
        <w:t>度</w:t>
      </w:r>
      <w:r>
        <w:rPr>
          <w:rFonts w:hint="default" w:ascii="Times New Roman" w:hAnsi="Times New Roman" w:eastAsia="宋体" w:cs="Times New Roman"/>
          <w:spacing w:val="10"/>
          <w:sz w:val="23"/>
          <w:szCs w:val="23"/>
          <w:highlight w:val="none"/>
        </w:rPr>
        <w:t>变细，厚度变薄，粘土质层分隔层次增多变厚，沉积物中有机质、腐殖质和可溶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盐</w:t>
      </w:r>
      <w:r>
        <w:rPr>
          <w:rFonts w:hint="default" w:ascii="Times New Roman" w:hAnsi="Times New Roman" w:eastAsia="宋体" w:cs="Times New Roman"/>
          <w:spacing w:val="12"/>
          <w:sz w:val="23"/>
          <w:szCs w:val="23"/>
          <w:highlight w:val="none"/>
        </w:rPr>
        <w:t>含</w:t>
      </w:r>
      <w:r>
        <w:rPr>
          <w:rFonts w:hint="default" w:ascii="Times New Roman" w:hAnsi="Times New Roman" w:eastAsia="宋体" w:cs="Times New Roman"/>
          <w:spacing w:val="10"/>
          <w:sz w:val="23"/>
          <w:szCs w:val="23"/>
          <w:highlight w:val="none"/>
        </w:rPr>
        <w:t>量增加，在成因上由冲积洪积相过渡到冲积湖积相和湖积相。沿上述方向，沉积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岩</w:t>
      </w:r>
      <w:r>
        <w:rPr>
          <w:rFonts w:hint="default" w:ascii="Times New Roman" w:hAnsi="Times New Roman" w:eastAsia="宋体" w:cs="Times New Roman"/>
          <w:spacing w:val="12"/>
          <w:sz w:val="23"/>
          <w:szCs w:val="23"/>
          <w:highlight w:val="none"/>
        </w:rPr>
        <w:t>性</w:t>
      </w:r>
      <w:r>
        <w:rPr>
          <w:rFonts w:hint="default" w:ascii="Times New Roman" w:hAnsi="Times New Roman" w:eastAsia="宋体" w:cs="Times New Roman"/>
          <w:spacing w:val="10"/>
          <w:sz w:val="23"/>
          <w:szCs w:val="23"/>
          <w:highlight w:val="none"/>
        </w:rPr>
        <w:t>由厚层含卵砂砾石向西渐变为淤泥质土夹粉细砂层，北盆地的沉积中心在夏庄子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w:t>
      </w:r>
      <w:r>
        <w:rPr>
          <w:rFonts w:hint="default" w:ascii="Times New Roman" w:hAnsi="Times New Roman" w:eastAsia="宋体" w:cs="Times New Roman"/>
          <w:spacing w:val="12"/>
          <w:sz w:val="23"/>
          <w:szCs w:val="23"/>
          <w:highlight w:val="none"/>
        </w:rPr>
        <w:t>纪</w:t>
      </w:r>
      <w:r>
        <w:rPr>
          <w:rFonts w:hint="default" w:ascii="Times New Roman" w:hAnsi="Times New Roman" w:eastAsia="宋体" w:cs="Times New Roman"/>
          <w:spacing w:val="10"/>
          <w:sz w:val="23"/>
          <w:szCs w:val="23"/>
          <w:highlight w:val="none"/>
        </w:rPr>
        <w:t>庄子一带，南盆地的沉积中心在西南部漳泗河以西一带。由于盆地边缘山麓冲积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扇</w:t>
      </w:r>
      <w:r>
        <w:rPr>
          <w:rFonts w:hint="default" w:ascii="Times New Roman" w:hAnsi="Times New Roman" w:eastAsia="宋体" w:cs="Times New Roman"/>
          <w:spacing w:val="12"/>
          <w:sz w:val="23"/>
          <w:szCs w:val="23"/>
          <w:highlight w:val="none"/>
        </w:rPr>
        <w:t>和</w:t>
      </w:r>
      <w:r>
        <w:rPr>
          <w:rFonts w:hint="default" w:ascii="Times New Roman" w:hAnsi="Times New Roman" w:eastAsia="宋体" w:cs="Times New Roman"/>
          <w:spacing w:val="10"/>
          <w:sz w:val="23"/>
          <w:szCs w:val="23"/>
          <w:highlight w:val="none"/>
        </w:rPr>
        <w:t>古州河水系的摆动，形成三角洲相、泛流相和湖滨相的河湖交互相沉积。并由于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北</w:t>
      </w:r>
      <w:r>
        <w:rPr>
          <w:rFonts w:hint="default" w:ascii="Times New Roman" w:hAnsi="Times New Roman" w:eastAsia="宋体" w:cs="Times New Roman"/>
          <w:spacing w:val="6"/>
          <w:sz w:val="23"/>
          <w:szCs w:val="23"/>
          <w:highlight w:val="none"/>
        </w:rPr>
        <w:t>部抬升较强，使河流由北向南摆动，沿盆地南侧发育，现代地貌轮廓反映这一特征。</w:t>
      </w:r>
    </w:p>
    <w:p>
      <w:pPr>
        <w:spacing w:before="1" w:line="227" w:lineRule="auto"/>
        <w:ind w:left="51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由于</w:t>
      </w:r>
      <w:r>
        <w:rPr>
          <w:rFonts w:hint="default" w:ascii="Times New Roman" w:hAnsi="Times New Roman" w:eastAsia="宋体" w:cs="Times New Roman"/>
          <w:spacing w:val="9"/>
          <w:sz w:val="23"/>
          <w:szCs w:val="23"/>
          <w:highlight w:val="none"/>
        </w:rPr>
        <w:t>构造条件和古气候的差异，新生代以来盆地的沉积环境的演变具有不同的特</w:t>
      </w:r>
    </w:p>
    <w:p>
      <w:pPr>
        <w:spacing w:before="218" w:line="404" w:lineRule="auto"/>
        <w:ind w:left="8" w:right="81" w:firstLine="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9"/>
          <w:sz w:val="23"/>
          <w:szCs w:val="23"/>
          <w:highlight w:val="none"/>
        </w:rPr>
        <w:t>征</w:t>
      </w:r>
      <w:r>
        <w:rPr>
          <w:rFonts w:hint="default" w:ascii="Times New Roman" w:hAnsi="Times New Roman" w:eastAsia="宋体" w:cs="Times New Roman"/>
          <w:spacing w:val="10"/>
          <w:sz w:val="23"/>
          <w:szCs w:val="23"/>
          <w:highlight w:val="none"/>
        </w:rPr>
        <w:t>，第三纪时本区为一隆起剥蚀区，气候炎热，风化较剧，是中元古界碳酸盐岩古岩</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溶</w:t>
      </w:r>
      <w:r>
        <w:rPr>
          <w:rFonts w:hint="default" w:ascii="Times New Roman" w:hAnsi="Times New Roman" w:eastAsia="宋体" w:cs="Times New Roman"/>
          <w:spacing w:val="13"/>
          <w:sz w:val="23"/>
          <w:szCs w:val="23"/>
          <w:highlight w:val="none"/>
        </w:rPr>
        <w:t>形</w:t>
      </w:r>
      <w:r>
        <w:rPr>
          <w:rFonts w:hint="default" w:ascii="Times New Roman" w:hAnsi="Times New Roman" w:eastAsia="宋体" w:cs="Times New Roman"/>
          <w:spacing w:val="10"/>
          <w:sz w:val="23"/>
          <w:szCs w:val="23"/>
          <w:highlight w:val="none"/>
        </w:rPr>
        <w:t>成的主要时期。第四纪以来，古气候有很大的变化，孢粉资料表明，由第三纪的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干</w:t>
      </w:r>
      <w:r>
        <w:rPr>
          <w:rFonts w:hint="default" w:ascii="Times New Roman" w:hAnsi="Times New Roman" w:eastAsia="宋体" w:cs="Times New Roman"/>
          <w:spacing w:val="13"/>
          <w:sz w:val="23"/>
          <w:szCs w:val="23"/>
          <w:highlight w:val="none"/>
        </w:rPr>
        <w:t>热</w:t>
      </w:r>
      <w:r>
        <w:rPr>
          <w:rFonts w:hint="default" w:ascii="Times New Roman" w:hAnsi="Times New Roman" w:eastAsia="宋体" w:cs="Times New Roman"/>
          <w:spacing w:val="10"/>
          <w:sz w:val="23"/>
          <w:szCs w:val="23"/>
          <w:highlight w:val="none"/>
        </w:rPr>
        <w:t>气候向温冷转化，并出现数次冷暖交替的变化。据钻孔揭露，在深部早更新世地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层</w:t>
      </w:r>
      <w:r>
        <w:rPr>
          <w:rFonts w:hint="default" w:ascii="Times New Roman" w:hAnsi="Times New Roman" w:eastAsia="宋体" w:cs="Times New Roman"/>
          <w:spacing w:val="13"/>
          <w:sz w:val="23"/>
          <w:szCs w:val="23"/>
          <w:highlight w:val="none"/>
        </w:rPr>
        <w:t>中</w:t>
      </w:r>
      <w:r>
        <w:rPr>
          <w:rFonts w:hint="default" w:ascii="Times New Roman" w:hAnsi="Times New Roman" w:eastAsia="宋体" w:cs="Times New Roman"/>
          <w:spacing w:val="10"/>
          <w:sz w:val="23"/>
          <w:szCs w:val="23"/>
          <w:highlight w:val="none"/>
        </w:rPr>
        <w:t>，见有棕褐及棕红色泥砾层，可能为冰水－冰湖沉积物，推测在山麓地带可能有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冰</w:t>
      </w:r>
      <w:r>
        <w:rPr>
          <w:rFonts w:hint="default" w:ascii="Times New Roman" w:hAnsi="Times New Roman" w:eastAsia="宋体" w:cs="Times New Roman"/>
          <w:spacing w:val="13"/>
          <w:sz w:val="23"/>
          <w:szCs w:val="23"/>
          <w:highlight w:val="none"/>
        </w:rPr>
        <w:t>川</w:t>
      </w:r>
      <w:r>
        <w:rPr>
          <w:rFonts w:hint="default" w:ascii="Times New Roman" w:hAnsi="Times New Roman" w:eastAsia="宋体" w:cs="Times New Roman"/>
          <w:spacing w:val="10"/>
          <w:sz w:val="23"/>
          <w:szCs w:val="23"/>
          <w:highlight w:val="none"/>
        </w:rPr>
        <w:t>活动，中上更新世以来，孢粉资料反映出古气候有两个由冷变暖旋回，总的向偏</w:t>
      </w:r>
      <w:r>
        <w:rPr>
          <w:rFonts w:hint="default" w:ascii="Times New Roman" w:hAnsi="Times New Roman" w:cs="Times New Roman"/>
          <w:highlight w:val="none"/>
        </w:rPr>
        <w:pict>
          <v:shape id="_x0000_s1222" o:spid="_x0000_s1222" style="position:absolute;left:0pt;margin-left:82.2pt;margin-top:52.5pt;height:0.75pt;width:445.1pt;mso-position-horizontal-relative:page;mso-position-vertical-relative:page;z-index:251740160;mso-width-relative:page;mso-height-relative:page;" fillcolor="#000000" filled="t" stroked="f" coordsize="8902,15" o:allowincell="f" path="m0,0l8901,0,8901,14,0,14,0,0xe">
            <v:path/>
            <v:fill on="t" focussize="0,0"/>
            <v:stroke on="f"/>
            <v:imagedata o:title=""/>
            <o:lock v:ext="edit"/>
          </v:shape>
        </w:pict>
      </w:r>
      <w:r>
        <w:rPr>
          <w:rFonts w:hint="default" w:ascii="Times New Roman" w:hAnsi="Times New Roman" w:eastAsia="宋体" w:cs="Times New Roman"/>
          <w:spacing w:val="20"/>
          <w:sz w:val="23"/>
          <w:szCs w:val="23"/>
          <w:highlight w:val="none"/>
        </w:rPr>
        <w:t>干</w:t>
      </w:r>
      <w:r>
        <w:rPr>
          <w:rFonts w:hint="default" w:ascii="Times New Roman" w:hAnsi="Times New Roman" w:eastAsia="宋体" w:cs="Times New Roman"/>
          <w:spacing w:val="13"/>
          <w:sz w:val="23"/>
          <w:szCs w:val="23"/>
          <w:highlight w:val="none"/>
        </w:rPr>
        <w:t>旱</w:t>
      </w:r>
      <w:r>
        <w:rPr>
          <w:rFonts w:hint="default" w:ascii="Times New Roman" w:hAnsi="Times New Roman" w:eastAsia="宋体" w:cs="Times New Roman"/>
          <w:spacing w:val="10"/>
          <w:sz w:val="23"/>
          <w:szCs w:val="23"/>
          <w:highlight w:val="none"/>
        </w:rPr>
        <w:t>转化，至更新世晚期气候变干而多洪水，湖水退缩，过度为较广的河湖交互相沉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积，</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9"/>
          <w:position w:val="-1"/>
          <w:sz w:val="15"/>
          <w:szCs w:val="15"/>
          <w:highlight w:val="none"/>
        </w:rPr>
        <w:t xml:space="preserve">2 </w:t>
      </w:r>
      <w:r>
        <w:rPr>
          <w:rFonts w:hint="default" w:ascii="Times New Roman" w:hAnsi="Times New Roman" w:eastAsia="宋体" w:cs="Times New Roman"/>
          <w:spacing w:val="9"/>
          <w:sz w:val="23"/>
          <w:szCs w:val="23"/>
          <w:highlight w:val="none"/>
        </w:rPr>
        <w:t>冲洪积物在沉积厚度，分布范围和颗粒粒度上，较其以前有一定的扩展，以</w:t>
      </w:r>
      <w:r>
        <w:rPr>
          <w:rFonts w:hint="default" w:ascii="Times New Roman" w:hAnsi="Times New Roman" w:eastAsia="宋体" w:cs="Times New Roman"/>
          <w:spacing w:val="1"/>
          <w:sz w:val="23"/>
          <w:szCs w:val="23"/>
          <w:highlight w:val="none"/>
        </w:rPr>
        <w:t>沙</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河</w:t>
      </w:r>
      <w:r>
        <w:rPr>
          <w:rFonts w:hint="default" w:ascii="Times New Roman" w:hAnsi="Times New Roman" w:eastAsia="宋体" w:cs="Times New Roman"/>
          <w:spacing w:val="9"/>
          <w:sz w:val="23"/>
          <w:szCs w:val="23"/>
          <w:highlight w:val="none"/>
        </w:rPr>
        <w:t>、淋河尤为明显，形成冲积扇的前缘迭加分布。</w:t>
      </w:r>
    </w:p>
    <w:p>
      <w:pPr>
        <w:spacing w:before="5" w:line="401" w:lineRule="auto"/>
        <w:ind w:left="7" w:firstLine="487"/>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古</w:t>
      </w:r>
      <w:r>
        <w:rPr>
          <w:rFonts w:hint="default" w:ascii="Times New Roman" w:hAnsi="Times New Roman" w:eastAsia="宋体" w:cs="Times New Roman"/>
          <w:spacing w:val="10"/>
          <w:sz w:val="23"/>
          <w:szCs w:val="23"/>
          <w:highlight w:val="none"/>
        </w:rPr>
        <w:t>气候的演变直接影响沉积环境的变化。第四纪以来，盆地周边断裂的活动，便</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盆地下陷，</w:t>
      </w:r>
      <w:r>
        <w:rPr>
          <w:rFonts w:hint="default" w:ascii="Times New Roman" w:hAnsi="Times New Roman" w:eastAsia="宋体" w:cs="Times New Roman"/>
          <w:spacing w:val="9"/>
          <w:sz w:val="23"/>
          <w:szCs w:val="23"/>
          <w:highlight w:val="none"/>
        </w:rPr>
        <w:t>成</w:t>
      </w:r>
      <w:r>
        <w:rPr>
          <w:rFonts w:hint="default" w:ascii="Times New Roman" w:hAnsi="Times New Roman" w:eastAsia="宋体" w:cs="Times New Roman"/>
          <w:spacing w:val="5"/>
          <w:sz w:val="23"/>
          <w:szCs w:val="23"/>
          <w:highlight w:val="none"/>
        </w:rPr>
        <w:t>为区域水源的汇聚中心，形成整个下更新世的以湖相为主的河湖相沉积，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在</w:t>
      </w:r>
      <w:r>
        <w:rPr>
          <w:rFonts w:hint="default" w:ascii="Times New Roman" w:hAnsi="Times New Roman" w:eastAsia="宋体" w:cs="Times New Roman"/>
          <w:spacing w:val="14"/>
          <w:sz w:val="23"/>
          <w:szCs w:val="23"/>
          <w:highlight w:val="none"/>
        </w:rPr>
        <w:t>垂</w:t>
      </w:r>
      <w:r>
        <w:rPr>
          <w:rFonts w:hint="default" w:ascii="Times New Roman" w:hAnsi="Times New Roman" w:eastAsia="宋体" w:cs="Times New Roman"/>
          <w:spacing w:val="10"/>
          <w:sz w:val="23"/>
          <w:szCs w:val="23"/>
          <w:highlight w:val="none"/>
        </w:rPr>
        <w:t>直方向上岩性有由粗到细两个沉积旋回；中更新世湖水波及范围最广，沉积厚度</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最</w:t>
      </w:r>
      <w:r>
        <w:rPr>
          <w:rFonts w:hint="default" w:ascii="Times New Roman" w:hAnsi="Times New Roman" w:eastAsia="宋体" w:cs="Times New Roman"/>
          <w:spacing w:val="14"/>
          <w:sz w:val="23"/>
          <w:szCs w:val="23"/>
          <w:highlight w:val="none"/>
        </w:rPr>
        <w:t>大</w:t>
      </w:r>
      <w:r>
        <w:rPr>
          <w:rFonts w:hint="default" w:ascii="Times New Roman" w:hAnsi="Times New Roman" w:eastAsia="宋体" w:cs="Times New Roman"/>
          <w:spacing w:val="10"/>
          <w:sz w:val="23"/>
          <w:szCs w:val="23"/>
          <w:highlight w:val="none"/>
        </w:rPr>
        <w:t>，湖盆中心在漳四河以西一带，中更新世早期，由于北盆地的抬升，在本区东部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形</w:t>
      </w:r>
      <w:r>
        <w:rPr>
          <w:rFonts w:hint="default" w:ascii="Times New Roman" w:hAnsi="Times New Roman" w:eastAsia="宋体" w:cs="Times New Roman"/>
          <w:spacing w:val="14"/>
          <w:sz w:val="23"/>
          <w:szCs w:val="23"/>
          <w:highlight w:val="none"/>
        </w:rPr>
        <w:t>成</w:t>
      </w:r>
      <w:r>
        <w:rPr>
          <w:rFonts w:hint="default" w:ascii="Times New Roman" w:hAnsi="Times New Roman" w:eastAsia="宋体" w:cs="Times New Roman"/>
          <w:spacing w:val="10"/>
          <w:sz w:val="23"/>
          <w:szCs w:val="23"/>
          <w:highlight w:val="none"/>
        </w:rPr>
        <w:t>范围较广厚度较大的古州河水下三角洲沉积，有些地区厚达百米以上，其中颗粒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较粗的砾砂层占 </w:t>
      </w:r>
      <w:r>
        <w:rPr>
          <w:rFonts w:hint="default" w:ascii="Times New Roman" w:hAnsi="Times New Roman" w:eastAsia="Times New Roman" w:cs="Times New Roman"/>
          <w:spacing w:val="8"/>
          <w:sz w:val="23"/>
          <w:szCs w:val="23"/>
          <w:highlight w:val="none"/>
        </w:rPr>
        <w:t>80%</w:t>
      </w:r>
      <w:r>
        <w:rPr>
          <w:rFonts w:hint="default" w:ascii="Times New Roman" w:hAnsi="Times New Roman" w:eastAsia="宋体" w:cs="Times New Roman"/>
          <w:spacing w:val="8"/>
          <w:sz w:val="23"/>
          <w:szCs w:val="23"/>
          <w:highlight w:val="none"/>
        </w:rPr>
        <w:t>以上。中更新世晚期有范围较广，含淤泥质的静水湖积层，富</w:t>
      </w:r>
      <w:r>
        <w:rPr>
          <w:rFonts w:hint="default" w:ascii="Times New Roman" w:hAnsi="Times New Roman" w:eastAsia="宋体" w:cs="Times New Roman"/>
          <w:spacing w:val="3"/>
          <w:sz w:val="23"/>
          <w:szCs w:val="23"/>
          <w:highlight w:val="none"/>
        </w:rPr>
        <w:t>含</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有</w:t>
      </w:r>
      <w:r>
        <w:rPr>
          <w:rFonts w:hint="default" w:ascii="Times New Roman" w:hAnsi="Times New Roman" w:eastAsia="宋体" w:cs="Times New Roman"/>
          <w:spacing w:val="14"/>
          <w:sz w:val="23"/>
          <w:szCs w:val="23"/>
          <w:highlight w:val="none"/>
        </w:rPr>
        <w:t>机</w:t>
      </w:r>
      <w:r>
        <w:rPr>
          <w:rFonts w:hint="default" w:ascii="Times New Roman" w:hAnsi="Times New Roman" w:eastAsia="宋体" w:cs="Times New Roman"/>
          <w:spacing w:val="10"/>
          <w:sz w:val="23"/>
          <w:szCs w:val="23"/>
          <w:highlight w:val="none"/>
        </w:rPr>
        <w:t>层、石灰质和腐殖质，且盐分含量相对较高，并具明显薄页状水平层理。中更新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世以后，湖</w:t>
      </w:r>
      <w:r>
        <w:rPr>
          <w:rFonts w:hint="default" w:ascii="Times New Roman" w:hAnsi="Times New Roman" w:eastAsia="宋体" w:cs="Times New Roman"/>
          <w:spacing w:val="9"/>
          <w:sz w:val="23"/>
          <w:szCs w:val="23"/>
          <w:highlight w:val="none"/>
        </w:rPr>
        <w:t>水</w:t>
      </w:r>
      <w:r>
        <w:rPr>
          <w:rFonts w:hint="default" w:ascii="Times New Roman" w:hAnsi="Times New Roman" w:eastAsia="宋体" w:cs="Times New Roman"/>
          <w:spacing w:val="5"/>
          <w:sz w:val="23"/>
          <w:szCs w:val="23"/>
          <w:highlight w:val="none"/>
        </w:rPr>
        <w:t>范围逐渐退缩，湖盆较局限，而代之以范围较广，厚度较大的冲洪积层，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但至少有三次较大范围的湖水超覆沉积，形成细粒的淤泥质土沉积层。更新世晚期</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由</w:t>
      </w:r>
      <w:r>
        <w:rPr>
          <w:rFonts w:hint="default" w:ascii="Times New Roman" w:hAnsi="Times New Roman" w:eastAsia="宋体" w:cs="Times New Roman"/>
          <w:spacing w:val="14"/>
          <w:sz w:val="23"/>
          <w:szCs w:val="23"/>
          <w:highlight w:val="none"/>
        </w:rPr>
        <w:t>于</w:t>
      </w:r>
      <w:r>
        <w:rPr>
          <w:rFonts w:hint="default" w:ascii="Times New Roman" w:hAnsi="Times New Roman" w:eastAsia="宋体" w:cs="Times New Roman"/>
          <w:spacing w:val="10"/>
          <w:sz w:val="23"/>
          <w:szCs w:val="23"/>
          <w:highlight w:val="none"/>
        </w:rPr>
        <w:t>洪水的冲切，沙河、淋河、黎河泛流相几乎遍及全区，并于燕山口切穿外泄，成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为</w:t>
      </w:r>
      <w:r>
        <w:rPr>
          <w:rFonts w:hint="default" w:ascii="Times New Roman" w:hAnsi="Times New Roman" w:eastAsia="宋体" w:cs="Times New Roman"/>
          <w:spacing w:val="7"/>
          <w:sz w:val="23"/>
          <w:szCs w:val="23"/>
          <w:highlight w:val="none"/>
        </w:rPr>
        <w:t>彩亭桥冲洪积扇的物源。全新世以来， 以河流冲洪积物为主，在本区西部低洼地带</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有</w:t>
      </w:r>
      <w:r>
        <w:rPr>
          <w:rFonts w:hint="default" w:ascii="Times New Roman" w:hAnsi="Times New Roman" w:eastAsia="宋体" w:cs="Times New Roman"/>
          <w:spacing w:val="8"/>
          <w:sz w:val="23"/>
          <w:szCs w:val="23"/>
          <w:highlight w:val="none"/>
        </w:rPr>
        <w:t>范围不大的湖沼沉积。</w:t>
      </w:r>
    </w:p>
    <w:p>
      <w:pPr>
        <w:spacing w:line="227" w:lineRule="auto"/>
        <w:ind w:left="500"/>
        <w:jc w:val="both"/>
        <w:outlineLvl w:val="1"/>
        <w:rPr>
          <w:rFonts w:hint="default" w:ascii="Times New Roman" w:hAnsi="Times New Roman" w:eastAsia="宋体" w:cs="Times New Roman"/>
          <w:sz w:val="23"/>
          <w:szCs w:val="23"/>
          <w:highlight w:val="none"/>
        </w:rPr>
      </w:pPr>
      <w:bookmarkStart w:id="505" w:name="_Toc4212"/>
      <w:bookmarkStart w:id="506" w:name="_Toc3962"/>
      <w:bookmarkStart w:id="507" w:name="_Toc5168"/>
      <w:r>
        <w:rPr>
          <w:rFonts w:hint="default" w:ascii="Times New Roman" w:hAnsi="Times New Roman" w:eastAsia="宋体" w:cs="Times New Roman"/>
          <w:spacing w:val="25"/>
          <w:sz w:val="23"/>
          <w:szCs w:val="23"/>
          <w:highlight w:val="none"/>
        </w:rPr>
        <w:t>(</w:t>
      </w:r>
      <w:r>
        <w:rPr>
          <w:rFonts w:hint="default" w:ascii="Times New Roman" w:hAnsi="Times New Roman" w:eastAsia="Times New Roman" w:cs="Times New Roman"/>
          <w:spacing w:val="18"/>
          <w:sz w:val="23"/>
          <w:szCs w:val="23"/>
          <w:highlight w:val="none"/>
        </w:rPr>
        <w:t>2</w:t>
      </w:r>
      <w:r>
        <w:rPr>
          <w:rFonts w:hint="default" w:ascii="Times New Roman" w:hAnsi="Times New Roman" w:eastAsia="宋体" w:cs="Times New Roman"/>
          <w:spacing w:val="18"/>
          <w:sz w:val="23"/>
          <w:szCs w:val="23"/>
          <w:highlight w:val="none"/>
        </w:rPr>
        <w:t>) 第四纪地层</w:t>
      </w:r>
      <w:bookmarkEnd w:id="505"/>
      <w:bookmarkEnd w:id="506"/>
      <w:bookmarkEnd w:id="507"/>
    </w:p>
    <w:p>
      <w:pPr>
        <w:spacing w:before="216" w:line="401" w:lineRule="auto"/>
        <w:ind w:left="5" w:right="65" w:firstLine="484"/>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盆地</w:t>
      </w:r>
      <w:r>
        <w:rPr>
          <w:rFonts w:hint="default" w:ascii="Times New Roman" w:hAnsi="Times New Roman" w:eastAsia="宋体" w:cs="Times New Roman"/>
          <w:spacing w:val="13"/>
          <w:sz w:val="23"/>
          <w:szCs w:val="23"/>
          <w:highlight w:val="none"/>
        </w:rPr>
        <w:t>内</w:t>
      </w:r>
      <w:r>
        <w:rPr>
          <w:rFonts w:hint="default" w:ascii="Times New Roman" w:hAnsi="Times New Roman" w:eastAsia="宋体" w:cs="Times New Roman"/>
          <w:spacing w:val="9"/>
          <w:sz w:val="23"/>
          <w:szCs w:val="23"/>
          <w:highlight w:val="none"/>
        </w:rPr>
        <w:t xml:space="preserve">第四纪地层分布较广，北盆地内最厚度达 </w:t>
      </w:r>
      <w:r>
        <w:rPr>
          <w:rFonts w:hint="default" w:ascii="Times New Roman" w:hAnsi="Times New Roman" w:eastAsia="Times New Roman" w:cs="Times New Roman"/>
          <w:spacing w:val="9"/>
          <w:sz w:val="23"/>
          <w:szCs w:val="23"/>
          <w:highlight w:val="none"/>
        </w:rPr>
        <w:t>270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，南盆地内厚度最厚超过</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2"/>
          <w:sz w:val="23"/>
          <w:szCs w:val="23"/>
          <w:highlight w:val="none"/>
        </w:rPr>
        <w:t>250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2"/>
          <w:sz w:val="23"/>
          <w:szCs w:val="23"/>
          <w:highlight w:val="none"/>
        </w:rPr>
        <w:t xml:space="preserve"> </w:t>
      </w:r>
      <w:r>
        <w:rPr>
          <w:rFonts w:hint="default" w:ascii="Times New Roman" w:hAnsi="Times New Roman" w:eastAsia="宋体" w:cs="Times New Roman"/>
          <w:spacing w:val="12"/>
          <w:sz w:val="23"/>
          <w:szCs w:val="23"/>
          <w:highlight w:val="none"/>
        </w:rPr>
        <w:t>，</w:t>
      </w:r>
      <w:r>
        <w:rPr>
          <w:rFonts w:hint="default" w:ascii="Times New Roman" w:hAnsi="Times New Roman" w:eastAsia="宋体" w:cs="Times New Roman"/>
          <w:spacing w:val="7"/>
          <w:sz w:val="23"/>
          <w:szCs w:val="23"/>
          <w:highlight w:val="none"/>
        </w:rPr>
        <w:t>由</w:t>
      </w:r>
      <w:r>
        <w:rPr>
          <w:rFonts w:hint="default" w:ascii="Times New Roman" w:hAnsi="Times New Roman" w:eastAsia="宋体" w:cs="Times New Roman"/>
          <w:spacing w:val="6"/>
          <w:sz w:val="23"/>
          <w:szCs w:val="23"/>
          <w:highlight w:val="none"/>
        </w:rPr>
        <w:t>于地质构造、古地理条件的控制，使第四系沉积物在不同地貌单元和不同地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质</w:t>
      </w:r>
      <w:r>
        <w:rPr>
          <w:rFonts w:hint="default" w:ascii="Times New Roman" w:hAnsi="Times New Roman" w:eastAsia="宋体" w:cs="Times New Roman"/>
          <w:spacing w:val="16"/>
          <w:sz w:val="23"/>
          <w:szCs w:val="23"/>
          <w:highlight w:val="none"/>
        </w:rPr>
        <w:t>时</w:t>
      </w:r>
      <w:r>
        <w:rPr>
          <w:rFonts w:hint="default" w:ascii="Times New Roman" w:hAnsi="Times New Roman" w:eastAsia="宋体" w:cs="Times New Roman"/>
          <w:spacing w:val="10"/>
          <w:sz w:val="23"/>
          <w:szCs w:val="23"/>
          <w:highlight w:val="none"/>
        </w:rPr>
        <w:t>期，其成因、岩相和岩性具有不同特征。工作区揭露的第四纪地层，由老至新划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分为四个地层组。</w:t>
      </w:r>
    </w:p>
    <w:p>
      <w:pPr>
        <w:spacing w:line="220" w:lineRule="auto"/>
        <w:ind w:left="488"/>
        <w:jc w:val="both"/>
        <w:outlineLvl w:val="2"/>
        <w:rPr>
          <w:rFonts w:hint="default" w:ascii="Times New Roman" w:hAnsi="Times New Roman" w:eastAsia="宋体" w:cs="Times New Roman"/>
          <w:sz w:val="23"/>
          <w:szCs w:val="23"/>
          <w:highlight w:val="none"/>
        </w:rPr>
      </w:pPr>
      <w:bookmarkStart w:id="508" w:name="_Toc23204"/>
      <w:bookmarkStart w:id="509" w:name="_Toc30112"/>
      <w:bookmarkStart w:id="510" w:name="_Toc25314"/>
      <w:r>
        <w:rPr>
          <w:rFonts w:hint="default" w:ascii="Times New Roman" w:hAnsi="Times New Roman" w:eastAsia="宋体" w:cs="Times New Roman"/>
          <w:spacing w:val="-1"/>
          <w:sz w:val="23"/>
          <w:szCs w:val="23"/>
          <w:highlight w:val="none"/>
        </w:rPr>
        <w:t>①</w:t>
      </w:r>
      <w:r>
        <w:rPr>
          <w:rFonts w:hint="default" w:ascii="Times New Roman" w:hAnsi="Times New Roman" w:eastAsia="宋体" w:cs="Times New Roman"/>
          <w:sz w:val="23"/>
          <w:szCs w:val="23"/>
          <w:highlight w:val="none"/>
        </w:rPr>
        <w:t>下更新统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position w:val="-1"/>
          <w:sz w:val="15"/>
          <w:szCs w:val="15"/>
          <w:highlight w:val="none"/>
        </w:rPr>
        <w:t xml:space="preserve">P </w:t>
      </w:r>
      <w:r>
        <w:rPr>
          <w:rFonts w:hint="default" w:ascii="Times New Roman" w:hAnsi="Times New Roman" w:eastAsia="Times New Roman" w:cs="Times New Roman"/>
          <w:position w:val="7"/>
          <w:sz w:val="15"/>
          <w:szCs w:val="15"/>
          <w:highlight w:val="none"/>
        </w:rPr>
        <w:t xml:space="preserve">1 </w:t>
      </w:r>
      <w:r>
        <w:rPr>
          <w:rFonts w:hint="default" w:ascii="Times New Roman" w:hAnsi="Times New Roman" w:eastAsia="宋体" w:cs="Times New Roman"/>
          <w:sz w:val="23"/>
          <w:szCs w:val="23"/>
          <w:highlight w:val="none"/>
        </w:rPr>
        <w:t>) ：</w:t>
      </w:r>
      <w:bookmarkEnd w:id="508"/>
      <w:bookmarkEnd w:id="509"/>
      <w:bookmarkEnd w:id="510"/>
    </w:p>
    <w:p>
      <w:pPr>
        <w:spacing w:before="228" w:line="401" w:lineRule="auto"/>
        <w:ind w:left="8" w:right="65" w:firstLine="48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9"/>
          <w:sz w:val="23"/>
          <w:szCs w:val="23"/>
          <w:highlight w:val="none"/>
        </w:rPr>
        <w:t>为</w:t>
      </w:r>
      <w:r>
        <w:rPr>
          <w:rFonts w:hint="default" w:ascii="Times New Roman" w:hAnsi="Times New Roman" w:eastAsia="宋体" w:cs="Times New Roman"/>
          <w:spacing w:val="10"/>
          <w:sz w:val="23"/>
          <w:szCs w:val="23"/>
          <w:highlight w:val="none"/>
        </w:rPr>
        <w:t>一套以湖积为主，边缘可能为冰水沉积层，地表无出露，根据岩性特点，可分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为</w:t>
      </w:r>
      <w:r>
        <w:rPr>
          <w:rFonts w:hint="default" w:ascii="Times New Roman" w:hAnsi="Times New Roman" w:eastAsia="宋体" w:cs="Times New Roman"/>
          <w:spacing w:val="13"/>
          <w:sz w:val="23"/>
          <w:szCs w:val="23"/>
          <w:highlight w:val="none"/>
        </w:rPr>
        <w:t>上</w:t>
      </w:r>
      <w:r>
        <w:rPr>
          <w:rFonts w:hint="default" w:ascii="Times New Roman" w:hAnsi="Times New Roman" w:eastAsia="宋体" w:cs="Times New Roman"/>
          <w:spacing w:val="10"/>
          <w:sz w:val="23"/>
          <w:szCs w:val="23"/>
          <w:highlight w:val="none"/>
        </w:rPr>
        <w:t>下两段：上段为灰黄、灰褐色含淤泥质粘土及砂粘土，层理不明显，夹砂层，厚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度</w:t>
      </w:r>
      <w:r>
        <w:rPr>
          <w:rFonts w:hint="default" w:ascii="Times New Roman" w:hAnsi="Times New Roman" w:eastAsia="宋体" w:cs="Times New Roman"/>
          <w:spacing w:val="16"/>
          <w:sz w:val="23"/>
          <w:szCs w:val="23"/>
          <w:highlight w:val="none"/>
        </w:rPr>
        <w:t xml:space="preserve"> </w:t>
      </w:r>
      <w:r>
        <w:rPr>
          <w:rFonts w:hint="default" w:ascii="Times New Roman" w:hAnsi="Times New Roman" w:eastAsia="Times New Roman" w:cs="Times New Roman"/>
          <w:spacing w:val="9"/>
          <w:sz w:val="23"/>
          <w:szCs w:val="23"/>
          <w:highlight w:val="none"/>
        </w:rPr>
        <w:t>10</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20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。下段为棕红色、紫红色含砾粘土夹泥质砂卵石，含铁锰质结核，砾卵石</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磨</w:t>
      </w:r>
      <w:r>
        <w:rPr>
          <w:rFonts w:hint="default" w:ascii="Times New Roman" w:hAnsi="Times New Roman" w:eastAsia="宋体" w:cs="Times New Roman"/>
          <w:spacing w:val="8"/>
          <w:sz w:val="23"/>
          <w:szCs w:val="23"/>
          <w:highlight w:val="none"/>
        </w:rPr>
        <w:t xml:space="preserve">圆度较差，厚度 </w:t>
      </w:r>
      <w:r>
        <w:rPr>
          <w:rFonts w:hint="default" w:ascii="Times New Roman" w:hAnsi="Times New Roman" w:eastAsia="Times New Roman" w:cs="Times New Roman"/>
          <w:spacing w:val="8"/>
          <w:sz w:val="23"/>
          <w:szCs w:val="23"/>
          <w:highlight w:val="none"/>
        </w:rPr>
        <w:t>10</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25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。不整合覆于基岩风化带之上。</w:t>
      </w:r>
    </w:p>
    <w:p>
      <w:pPr>
        <w:spacing w:before="1" w:line="220" w:lineRule="auto"/>
        <w:ind w:left="487"/>
        <w:jc w:val="both"/>
        <w:outlineLvl w:val="2"/>
        <w:rPr>
          <w:rFonts w:hint="default" w:ascii="Times New Roman" w:hAnsi="Times New Roman" w:eastAsia="宋体" w:cs="Times New Roman"/>
          <w:sz w:val="23"/>
          <w:szCs w:val="23"/>
          <w:highlight w:val="none"/>
        </w:rPr>
      </w:pPr>
      <w:bookmarkStart w:id="511" w:name="_Toc22622"/>
      <w:bookmarkStart w:id="512" w:name="_Toc24525"/>
      <w:bookmarkStart w:id="513" w:name="_Toc26506"/>
      <w:r>
        <w:rPr>
          <w:rFonts w:hint="default" w:ascii="Times New Roman" w:hAnsi="Times New Roman" w:eastAsia="宋体" w:cs="Times New Roman"/>
          <w:spacing w:val="4"/>
          <w:sz w:val="23"/>
          <w:szCs w:val="23"/>
          <w:highlight w:val="none"/>
        </w:rPr>
        <w:t>②</w:t>
      </w:r>
      <w:r>
        <w:rPr>
          <w:rFonts w:hint="default" w:ascii="Times New Roman" w:hAnsi="Times New Roman" w:eastAsia="宋体" w:cs="Times New Roman"/>
          <w:spacing w:val="3"/>
          <w:sz w:val="23"/>
          <w:szCs w:val="23"/>
          <w:highlight w:val="none"/>
        </w:rPr>
        <w:t>中更新统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position w:val="-1"/>
          <w:sz w:val="15"/>
          <w:szCs w:val="15"/>
          <w:highlight w:val="none"/>
        </w:rPr>
        <w:t>P</w:t>
      </w:r>
      <w:r>
        <w:rPr>
          <w:rFonts w:hint="default" w:ascii="Times New Roman" w:hAnsi="Times New Roman" w:eastAsia="Times New Roman" w:cs="Times New Roman"/>
          <w:spacing w:val="3"/>
          <w:position w:val="8"/>
          <w:sz w:val="15"/>
          <w:szCs w:val="15"/>
          <w:highlight w:val="none"/>
        </w:rPr>
        <w:t xml:space="preserve">2 </w:t>
      </w:r>
      <w:r>
        <w:rPr>
          <w:rFonts w:hint="default" w:ascii="Times New Roman" w:hAnsi="Times New Roman" w:eastAsia="宋体" w:cs="Times New Roman"/>
          <w:spacing w:val="3"/>
          <w:sz w:val="23"/>
          <w:szCs w:val="23"/>
          <w:highlight w:val="none"/>
        </w:rPr>
        <w:t>) ：</w:t>
      </w:r>
      <w:bookmarkEnd w:id="511"/>
      <w:bookmarkEnd w:id="512"/>
      <w:bookmarkEnd w:id="513"/>
    </w:p>
    <w:p>
      <w:pPr>
        <w:spacing w:before="225" w:line="408" w:lineRule="auto"/>
        <w:ind w:left="10" w:right="65" w:firstLine="48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9"/>
          <w:sz w:val="23"/>
          <w:szCs w:val="23"/>
          <w:highlight w:val="none"/>
        </w:rPr>
        <w:t>为</w:t>
      </w:r>
      <w:r>
        <w:rPr>
          <w:rFonts w:hint="default" w:ascii="Times New Roman" w:hAnsi="Times New Roman" w:eastAsia="宋体" w:cs="Times New Roman"/>
          <w:spacing w:val="10"/>
          <w:sz w:val="23"/>
          <w:szCs w:val="23"/>
          <w:highlight w:val="none"/>
        </w:rPr>
        <w:t>一还原环境下的灰色湖相沉积层，几乎遍布全区。在东部，沙河及淋河流域为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冲</w:t>
      </w:r>
      <w:r>
        <w:rPr>
          <w:rFonts w:hint="default" w:ascii="Times New Roman" w:hAnsi="Times New Roman" w:eastAsia="宋体" w:cs="Times New Roman"/>
          <w:spacing w:val="11"/>
          <w:sz w:val="23"/>
          <w:szCs w:val="23"/>
          <w:highlight w:val="none"/>
        </w:rPr>
        <w:t>洪</w:t>
      </w:r>
      <w:r>
        <w:rPr>
          <w:rFonts w:hint="default" w:ascii="Times New Roman" w:hAnsi="Times New Roman" w:eastAsia="宋体" w:cs="Times New Roman"/>
          <w:spacing w:val="10"/>
          <w:sz w:val="23"/>
          <w:szCs w:val="23"/>
          <w:highlight w:val="none"/>
        </w:rPr>
        <w:t>积－湖积交互沉积的湖滨三角洲相堆积物。其厚度和底板埋深受基底拗陷深度的</w:t>
      </w:r>
    </w:p>
    <w:p>
      <w:pPr>
        <w:spacing w:line="446" w:lineRule="auto"/>
        <w:jc w:val="both"/>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rect id="_x0000_s1224" o:spid="_x0000_s1224" o:spt="1" style="position:absolute;left:0pt;margin-left:82.2pt;margin-top:790.05pt;height:3.65pt;width:445.1pt;mso-position-horizontal-relative:page;mso-position-vertical-relative:page;z-index:251741184;mso-width-relative:page;mso-height-relative:page;" filled="f" stroked="f" coordsize="21600,21600" o:allowincell="f">
            <v:path/>
            <v:fill on="f" focussize="0,0"/>
            <v:stroke on="f"/>
            <v:imagedata o:title=""/>
            <o:lock v:ext="edit" aspectratio="f"/>
          </v:rect>
        </w:pict>
      </w:r>
      <w:r>
        <w:rPr>
          <w:rFonts w:hint="default" w:ascii="Times New Roman" w:hAnsi="Times New Roman" w:cs="Times New Roman"/>
          <w:highlight w:val="none"/>
        </w:rPr>
        <w:pict>
          <v:shape id="_x0000_s1225" o:spid="_x0000_s1225" style="position:absolute;left:0pt;margin-left:82.2pt;margin-top:52.5pt;height:0.75pt;width:445.1pt;mso-position-horizontal-relative:page;mso-position-vertical-relative:page;z-index:251742208;mso-width-relative:page;mso-height-relative:page;" fillcolor="#000000" filled="t" stroked="f" coordsize="8902,15" o:allowincell="f" path="m0,0l8901,0,8901,14,0,14,0,0xe">
            <v:path/>
            <v:fill on="t" focussize="0,0"/>
            <v:stroke on="f"/>
            <v:imagedata o:title=""/>
            <o:lock v:ext="edit"/>
          </v:shape>
        </w:pict>
      </w:r>
      <w:r>
        <w:rPr>
          <w:rFonts w:hint="default" w:ascii="Times New Roman" w:hAnsi="Times New Roman" w:eastAsia="宋体" w:cs="Times New Roman"/>
          <w:spacing w:val="9"/>
          <w:sz w:val="23"/>
          <w:szCs w:val="23"/>
          <w:highlight w:val="none"/>
        </w:rPr>
        <w:t>控</w:t>
      </w:r>
      <w:r>
        <w:rPr>
          <w:rFonts w:hint="default" w:ascii="Times New Roman" w:hAnsi="Times New Roman" w:eastAsia="宋体" w:cs="Times New Roman"/>
          <w:spacing w:val="7"/>
          <w:sz w:val="23"/>
          <w:szCs w:val="23"/>
          <w:highlight w:val="none"/>
        </w:rPr>
        <w:t>制， 自东向西渐浅变薄，以东部南北山前断裂之间深拗陷带厚度最大，底板深度大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于 </w:t>
      </w:r>
      <w:r>
        <w:rPr>
          <w:rFonts w:hint="default" w:ascii="Times New Roman" w:hAnsi="Times New Roman" w:eastAsia="Times New Roman" w:cs="Times New Roman"/>
          <w:spacing w:val="8"/>
          <w:sz w:val="23"/>
          <w:szCs w:val="23"/>
          <w:highlight w:val="none"/>
        </w:rPr>
        <w:t>200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4"/>
          <w:sz w:val="23"/>
          <w:szCs w:val="23"/>
          <w:highlight w:val="none"/>
        </w:rPr>
        <w:t xml:space="preserve">，向西和盆地边缘地带变薄，一般 </w:t>
      </w:r>
      <w:r>
        <w:rPr>
          <w:rFonts w:hint="default" w:ascii="Times New Roman" w:hAnsi="Times New Roman" w:eastAsia="Times New Roman" w:cs="Times New Roman"/>
          <w:spacing w:val="4"/>
          <w:sz w:val="23"/>
          <w:szCs w:val="23"/>
          <w:highlight w:val="none"/>
        </w:rPr>
        <w:t>60</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80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，由于沉积物源来自北部和东部，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沉</w:t>
      </w:r>
      <w:r>
        <w:rPr>
          <w:rFonts w:hint="default" w:ascii="Times New Roman" w:hAnsi="Times New Roman" w:eastAsia="宋体" w:cs="Times New Roman"/>
          <w:spacing w:val="12"/>
          <w:sz w:val="23"/>
          <w:szCs w:val="23"/>
          <w:highlight w:val="none"/>
        </w:rPr>
        <w:t>积</w:t>
      </w:r>
      <w:r>
        <w:rPr>
          <w:rFonts w:hint="default" w:ascii="Times New Roman" w:hAnsi="Times New Roman" w:eastAsia="宋体" w:cs="Times New Roman"/>
          <w:spacing w:val="10"/>
          <w:sz w:val="23"/>
          <w:szCs w:val="23"/>
          <w:highlight w:val="none"/>
        </w:rPr>
        <w:t>颗粒由东向西和自北向南变细，沉积中心在漳泗河一线。在垂向上，有自下而上</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由</w:t>
      </w:r>
      <w:r>
        <w:rPr>
          <w:rFonts w:hint="default" w:ascii="Times New Roman" w:hAnsi="Times New Roman" w:eastAsia="宋体" w:cs="Times New Roman"/>
          <w:spacing w:val="12"/>
          <w:sz w:val="23"/>
          <w:szCs w:val="23"/>
          <w:highlight w:val="none"/>
        </w:rPr>
        <w:t>粗</w:t>
      </w:r>
      <w:r>
        <w:rPr>
          <w:rFonts w:hint="default" w:ascii="Times New Roman" w:hAnsi="Times New Roman" w:eastAsia="宋体" w:cs="Times New Roman"/>
          <w:spacing w:val="10"/>
          <w:sz w:val="23"/>
          <w:szCs w:val="23"/>
          <w:highlight w:val="none"/>
        </w:rPr>
        <w:t>变细的沉积旋回。可分为上下两组。一般下组较粗，厚度较大，主要岩性为灰黄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色</w:t>
      </w:r>
      <w:r>
        <w:rPr>
          <w:rFonts w:hint="default" w:ascii="Times New Roman" w:hAnsi="Times New Roman" w:eastAsia="宋体" w:cs="Times New Roman"/>
          <w:spacing w:val="12"/>
          <w:sz w:val="23"/>
          <w:szCs w:val="23"/>
          <w:highlight w:val="none"/>
        </w:rPr>
        <w:t>棕</w:t>
      </w:r>
      <w:r>
        <w:rPr>
          <w:rFonts w:hint="default" w:ascii="Times New Roman" w:hAnsi="Times New Roman" w:eastAsia="宋体" w:cs="Times New Roman"/>
          <w:spacing w:val="10"/>
          <w:sz w:val="23"/>
          <w:szCs w:val="23"/>
          <w:highlight w:val="none"/>
        </w:rPr>
        <w:t>黄色砂砾石含砾中组砂夹薄层灰黄色砂粘土，颗粒较粗，砂层厚度大，东部上游</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地</w:t>
      </w:r>
      <w:r>
        <w:rPr>
          <w:rFonts w:hint="default" w:ascii="Times New Roman" w:hAnsi="Times New Roman" w:eastAsia="宋体" w:cs="Times New Roman"/>
          <w:spacing w:val="11"/>
          <w:sz w:val="23"/>
          <w:szCs w:val="23"/>
          <w:highlight w:val="none"/>
        </w:rPr>
        <w:t>区</w:t>
      </w:r>
      <w:r>
        <w:rPr>
          <w:rFonts w:hint="default" w:ascii="Times New Roman" w:hAnsi="Times New Roman" w:eastAsia="宋体" w:cs="Times New Roman"/>
          <w:spacing w:val="6"/>
          <w:sz w:val="23"/>
          <w:szCs w:val="23"/>
          <w:highlight w:val="none"/>
        </w:rPr>
        <w:t xml:space="preserve">砂砾层厚达 </w:t>
      </w:r>
      <w:r>
        <w:rPr>
          <w:rFonts w:hint="default" w:ascii="Times New Roman" w:hAnsi="Times New Roman" w:eastAsia="Times New Roman" w:cs="Times New Roman"/>
          <w:spacing w:val="6"/>
          <w:sz w:val="23"/>
          <w:szCs w:val="23"/>
          <w:highlight w:val="none"/>
        </w:rPr>
        <w:t xml:space="preserve">80 </w:t>
      </w:r>
      <w:r>
        <w:rPr>
          <w:rFonts w:hint="default" w:ascii="Times New Roman" w:hAnsi="Times New Roman" w:eastAsia="宋体" w:cs="Times New Roman"/>
          <w:spacing w:val="6"/>
          <w:sz w:val="23"/>
          <w:szCs w:val="23"/>
          <w:highlight w:val="none"/>
        </w:rPr>
        <w:t xml:space="preserve">余米，向西和盆地内部颗粒变细，厚 </w:t>
      </w:r>
      <w:r>
        <w:rPr>
          <w:rFonts w:hint="default" w:ascii="Times New Roman" w:hAnsi="Times New Roman" w:eastAsia="Times New Roman" w:cs="Times New Roman"/>
          <w:spacing w:val="6"/>
          <w:sz w:val="23"/>
          <w:szCs w:val="23"/>
          <w:highlight w:val="none"/>
        </w:rPr>
        <w:t>40</w:t>
      </w:r>
      <w:r>
        <w:rPr>
          <w:rFonts w:hint="default" w:ascii="Times New Roman" w:hAnsi="Times New Roman" w:eastAsia="宋体" w:cs="Times New Roman"/>
          <w:spacing w:val="6"/>
          <w:sz w:val="23"/>
          <w:szCs w:val="23"/>
          <w:highlight w:val="none"/>
        </w:rPr>
        <w:t>~</w:t>
      </w:r>
      <w:r>
        <w:rPr>
          <w:rFonts w:hint="default" w:ascii="Times New Roman" w:hAnsi="Times New Roman" w:eastAsia="Times New Roman" w:cs="Times New Roman"/>
          <w:spacing w:val="6"/>
          <w:sz w:val="23"/>
          <w:szCs w:val="23"/>
          <w:highlight w:val="none"/>
        </w:rPr>
        <w:t>70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6"/>
          <w:sz w:val="23"/>
          <w:szCs w:val="23"/>
          <w:highlight w:val="none"/>
        </w:rPr>
        <w:t>；上组岩性较细，为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蓝灰</w:t>
      </w:r>
      <w:r>
        <w:rPr>
          <w:rFonts w:hint="default" w:ascii="Times New Roman" w:hAnsi="Times New Roman" w:eastAsia="宋体" w:cs="Times New Roman"/>
          <w:spacing w:val="18"/>
          <w:sz w:val="23"/>
          <w:szCs w:val="23"/>
          <w:highlight w:val="none"/>
        </w:rPr>
        <w:t>色</w:t>
      </w:r>
      <w:r>
        <w:rPr>
          <w:rFonts w:hint="default" w:ascii="Times New Roman" w:hAnsi="Times New Roman" w:eastAsia="宋体" w:cs="Times New Roman"/>
          <w:spacing w:val="10"/>
          <w:sz w:val="23"/>
          <w:szCs w:val="23"/>
          <w:highlight w:val="none"/>
        </w:rPr>
        <w:t>、灰绿色、青灰色淤泥质土夹薄层粉细纱，含大量有机质、腐殖质及石灰质，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含</w:t>
      </w:r>
      <w:r>
        <w:rPr>
          <w:rFonts w:hint="default" w:ascii="Times New Roman" w:hAnsi="Times New Roman" w:eastAsia="宋体" w:cs="Times New Roman"/>
          <w:spacing w:val="15"/>
          <w:sz w:val="23"/>
          <w:szCs w:val="23"/>
          <w:highlight w:val="none"/>
        </w:rPr>
        <w:t>盐</w:t>
      </w:r>
      <w:r>
        <w:rPr>
          <w:rFonts w:hint="default" w:ascii="Times New Roman" w:hAnsi="Times New Roman" w:eastAsia="宋体" w:cs="Times New Roman"/>
          <w:spacing w:val="9"/>
          <w:sz w:val="23"/>
          <w:szCs w:val="23"/>
          <w:highlight w:val="none"/>
        </w:rPr>
        <w:t xml:space="preserve">量相对较高，薄层状水平层理明显，为一静水湖积层，厚 </w:t>
      </w:r>
      <w:r>
        <w:rPr>
          <w:rFonts w:hint="default" w:ascii="Times New Roman" w:hAnsi="Times New Roman" w:eastAsia="Times New Roman" w:cs="Times New Roman"/>
          <w:spacing w:val="9"/>
          <w:sz w:val="23"/>
          <w:szCs w:val="23"/>
          <w:highlight w:val="none"/>
        </w:rPr>
        <w:t>30</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45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。在沉积中心</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7"/>
          <w:sz w:val="23"/>
          <w:szCs w:val="23"/>
          <w:highlight w:val="none"/>
        </w:rPr>
        <w:t>为</w:t>
      </w:r>
      <w:r>
        <w:rPr>
          <w:rFonts w:hint="default" w:ascii="Times New Roman" w:hAnsi="Times New Roman" w:eastAsia="宋体" w:cs="Times New Roman"/>
          <w:spacing w:val="9"/>
          <w:sz w:val="23"/>
          <w:szCs w:val="23"/>
          <w:highlight w:val="none"/>
        </w:rPr>
        <w:t>厚层淤泥质粘土夹薄层粉细砂，与下伏下更新统呈整合接触。</w:t>
      </w:r>
    </w:p>
    <w:p>
      <w:pPr>
        <w:spacing w:line="218" w:lineRule="auto"/>
        <w:ind w:left="487"/>
        <w:jc w:val="both"/>
        <w:outlineLvl w:val="2"/>
        <w:rPr>
          <w:rFonts w:hint="default" w:ascii="Times New Roman" w:hAnsi="Times New Roman" w:eastAsia="宋体" w:cs="Times New Roman"/>
          <w:sz w:val="23"/>
          <w:szCs w:val="23"/>
          <w:highlight w:val="none"/>
        </w:rPr>
      </w:pPr>
      <w:bookmarkStart w:id="514" w:name="_Toc13193"/>
      <w:bookmarkStart w:id="515" w:name="_Toc32638"/>
      <w:bookmarkStart w:id="516" w:name="_Toc15958"/>
      <w:r>
        <w:rPr>
          <w:rFonts w:hint="default" w:ascii="Times New Roman" w:hAnsi="Times New Roman" w:eastAsia="宋体" w:cs="Times New Roman"/>
          <w:spacing w:val="4"/>
          <w:sz w:val="23"/>
          <w:szCs w:val="23"/>
          <w:highlight w:val="none"/>
        </w:rPr>
        <w:t>③</w:t>
      </w:r>
      <w:r>
        <w:rPr>
          <w:rFonts w:hint="default" w:ascii="Times New Roman" w:hAnsi="Times New Roman" w:eastAsia="宋体" w:cs="Times New Roman"/>
          <w:spacing w:val="3"/>
          <w:sz w:val="23"/>
          <w:szCs w:val="23"/>
          <w:highlight w:val="none"/>
        </w:rPr>
        <w:t>上更新统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position w:val="-1"/>
          <w:sz w:val="15"/>
          <w:szCs w:val="15"/>
          <w:highlight w:val="none"/>
        </w:rPr>
        <w:t>P</w:t>
      </w:r>
      <w:r>
        <w:rPr>
          <w:rFonts w:hint="default" w:ascii="Times New Roman" w:hAnsi="Times New Roman" w:eastAsia="Times New Roman" w:cs="Times New Roman"/>
          <w:spacing w:val="3"/>
          <w:position w:val="7"/>
          <w:sz w:val="15"/>
          <w:szCs w:val="15"/>
          <w:highlight w:val="none"/>
        </w:rPr>
        <w:t xml:space="preserve">3 </w:t>
      </w:r>
      <w:r>
        <w:rPr>
          <w:rFonts w:hint="default" w:ascii="Times New Roman" w:hAnsi="Times New Roman" w:eastAsia="宋体" w:cs="Times New Roman"/>
          <w:spacing w:val="3"/>
          <w:sz w:val="23"/>
          <w:szCs w:val="23"/>
          <w:highlight w:val="none"/>
        </w:rPr>
        <w:t>) ：</w:t>
      </w:r>
      <w:bookmarkEnd w:id="514"/>
      <w:bookmarkEnd w:id="515"/>
      <w:bookmarkEnd w:id="516"/>
    </w:p>
    <w:p>
      <w:pPr>
        <w:spacing w:before="228" w:line="401" w:lineRule="auto"/>
        <w:ind w:left="8" w:right="82"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盆</w:t>
      </w:r>
      <w:r>
        <w:rPr>
          <w:rFonts w:hint="default" w:ascii="Times New Roman" w:hAnsi="Times New Roman" w:eastAsia="宋体" w:cs="Times New Roman"/>
          <w:spacing w:val="12"/>
          <w:sz w:val="23"/>
          <w:szCs w:val="23"/>
          <w:highlight w:val="none"/>
        </w:rPr>
        <w:t>地</w:t>
      </w:r>
      <w:r>
        <w:rPr>
          <w:rFonts w:hint="default" w:ascii="Times New Roman" w:hAnsi="Times New Roman" w:eastAsia="宋体" w:cs="Times New Roman"/>
          <w:spacing w:val="10"/>
          <w:sz w:val="23"/>
          <w:szCs w:val="23"/>
          <w:highlight w:val="none"/>
        </w:rPr>
        <w:t>边缘和上部地层为冲洪积相，盆地内部和下部地层为冲积湖积的河湖交互相</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沉</w:t>
      </w:r>
      <w:r>
        <w:rPr>
          <w:rFonts w:hint="default" w:ascii="Times New Roman" w:hAnsi="Times New Roman" w:eastAsia="宋体" w:cs="Times New Roman"/>
          <w:spacing w:val="13"/>
          <w:sz w:val="23"/>
          <w:szCs w:val="23"/>
          <w:highlight w:val="none"/>
        </w:rPr>
        <w:t>积</w:t>
      </w:r>
      <w:r>
        <w:rPr>
          <w:rFonts w:hint="default" w:ascii="Times New Roman" w:hAnsi="Times New Roman" w:eastAsia="宋体" w:cs="Times New Roman"/>
          <w:spacing w:val="10"/>
          <w:sz w:val="23"/>
          <w:szCs w:val="23"/>
          <w:highlight w:val="none"/>
        </w:rPr>
        <w:t>物。由于沉积物来源于北部和东部，沉积颗粒也有自东向西和由边缘向盆地内部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变</w:t>
      </w:r>
      <w:r>
        <w:rPr>
          <w:rFonts w:hint="default" w:ascii="Times New Roman" w:hAnsi="Times New Roman" w:eastAsia="宋体" w:cs="Times New Roman"/>
          <w:spacing w:val="13"/>
          <w:sz w:val="23"/>
          <w:szCs w:val="23"/>
          <w:highlight w:val="none"/>
        </w:rPr>
        <w:t>细</w:t>
      </w:r>
      <w:r>
        <w:rPr>
          <w:rFonts w:hint="default" w:ascii="Times New Roman" w:hAnsi="Times New Roman" w:eastAsia="宋体" w:cs="Times New Roman"/>
          <w:spacing w:val="10"/>
          <w:sz w:val="23"/>
          <w:szCs w:val="23"/>
          <w:highlight w:val="none"/>
        </w:rPr>
        <w:t>的规律，沉积厚度和底板埋深受古地形的影响，由盆地边缘向内部增厚变深，一</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8"/>
          <w:sz w:val="23"/>
          <w:szCs w:val="23"/>
          <w:highlight w:val="none"/>
        </w:rPr>
        <w:t>般</w:t>
      </w:r>
      <w:r>
        <w:rPr>
          <w:rFonts w:hint="default" w:ascii="Times New Roman" w:hAnsi="Times New Roman" w:eastAsia="宋体" w:cs="Times New Roman"/>
          <w:spacing w:val="26"/>
          <w:sz w:val="23"/>
          <w:szCs w:val="23"/>
          <w:highlight w:val="none"/>
        </w:rPr>
        <w:t>厚</w:t>
      </w:r>
      <w:r>
        <w:rPr>
          <w:rFonts w:hint="default" w:ascii="Times New Roman" w:hAnsi="Times New Roman" w:eastAsia="宋体" w:cs="Times New Roman"/>
          <w:spacing w:val="14"/>
          <w:sz w:val="23"/>
          <w:szCs w:val="23"/>
          <w:highlight w:val="none"/>
        </w:rPr>
        <w:t>度</w:t>
      </w:r>
      <w:r>
        <w:rPr>
          <w:rFonts w:hint="default" w:ascii="Times New Roman" w:hAnsi="Times New Roman" w:eastAsia="Times New Roman" w:cs="Times New Roman"/>
          <w:spacing w:val="14"/>
          <w:sz w:val="23"/>
          <w:szCs w:val="23"/>
          <w:highlight w:val="none"/>
        </w:rPr>
        <w:t>40</w:t>
      </w: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14"/>
          <w:sz w:val="23"/>
          <w:szCs w:val="23"/>
          <w:highlight w:val="none"/>
        </w:rPr>
        <w:t>60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4"/>
          <w:sz w:val="23"/>
          <w:szCs w:val="23"/>
          <w:highlight w:val="none"/>
        </w:rPr>
        <w:t xml:space="preserve"> </w:t>
      </w:r>
      <w:r>
        <w:rPr>
          <w:rFonts w:hint="default" w:ascii="Times New Roman" w:hAnsi="Times New Roman" w:eastAsia="宋体" w:cs="Times New Roman"/>
          <w:spacing w:val="14"/>
          <w:sz w:val="23"/>
          <w:szCs w:val="23"/>
          <w:highlight w:val="none"/>
        </w:rPr>
        <w:t>，在盆地边缘地带厚度变薄，变为</w:t>
      </w:r>
      <w:r>
        <w:rPr>
          <w:rFonts w:hint="default" w:ascii="Times New Roman" w:hAnsi="Times New Roman" w:eastAsia="Times New Roman" w:cs="Times New Roman"/>
          <w:spacing w:val="14"/>
          <w:sz w:val="23"/>
          <w:szCs w:val="23"/>
          <w:highlight w:val="none"/>
        </w:rPr>
        <w:t>20</w:t>
      </w: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14"/>
          <w:sz w:val="23"/>
          <w:szCs w:val="23"/>
          <w:highlight w:val="none"/>
        </w:rPr>
        <w:t>30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4"/>
          <w:sz w:val="23"/>
          <w:szCs w:val="23"/>
          <w:highlight w:val="none"/>
        </w:rPr>
        <w:t xml:space="preserve"> </w:t>
      </w:r>
      <w:r>
        <w:rPr>
          <w:rFonts w:hint="default" w:ascii="Times New Roman" w:hAnsi="Times New Roman" w:eastAsia="宋体" w:cs="Times New Roman"/>
          <w:spacing w:val="14"/>
          <w:sz w:val="23"/>
          <w:szCs w:val="23"/>
          <w:highlight w:val="none"/>
        </w:rPr>
        <w:t>。主要岩性在边缘地带为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含</w:t>
      </w:r>
      <w:r>
        <w:rPr>
          <w:rFonts w:hint="default" w:ascii="Times New Roman" w:hAnsi="Times New Roman" w:eastAsia="宋体" w:cs="Times New Roman"/>
          <w:spacing w:val="13"/>
          <w:sz w:val="23"/>
          <w:szCs w:val="23"/>
          <w:highlight w:val="none"/>
        </w:rPr>
        <w:t>卵</w:t>
      </w:r>
      <w:r>
        <w:rPr>
          <w:rFonts w:hint="default" w:ascii="Times New Roman" w:hAnsi="Times New Roman" w:eastAsia="宋体" w:cs="Times New Roman"/>
          <w:spacing w:val="10"/>
          <w:sz w:val="23"/>
          <w:szCs w:val="23"/>
          <w:highlight w:val="none"/>
        </w:rPr>
        <w:t>砂砾石、中粗砂及黄色砂粘土，夹三层薄层灰色淤泥质土，在垂向上以早期和晚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期</w:t>
      </w:r>
      <w:r>
        <w:rPr>
          <w:rFonts w:hint="default" w:ascii="Times New Roman" w:hAnsi="Times New Roman" w:eastAsia="宋体" w:cs="Times New Roman"/>
          <w:spacing w:val="13"/>
          <w:sz w:val="23"/>
          <w:szCs w:val="23"/>
          <w:highlight w:val="none"/>
        </w:rPr>
        <w:t>冲</w:t>
      </w:r>
      <w:r>
        <w:rPr>
          <w:rFonts w:hint="default" w:ascii="Times New Roman" w:hAnsi="Times New Roman" w:eastAsia="宋体" w:cs="Times New Roman"/>
          <w:spacing w:val="10"/>
          <w:sz w:val="23"/>
          <w:szCs w:val="23"/>
          <w:highlight w:val="none"/>
        </w:rPr>
        <w:t>积砂砾石层分布较广；在盆地内部为灰黄色、浅灰色冲湖积含淤泥质砂粘土与中</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细</w:t>
      </w:r>
      <w:r>
        <w:rPr>
          <w:rFonts w:hint="default" w:ascii="Times New Roman" w:hAnsi="Times New Roman" w:eastAsia="宋体" w:cs="Times New Roman"/>
          <w:spacing w:val="16"/>
          <w:sz w:val="23"/>
          <w:szCs w:val="23"/>
          <w:highlight w:val="none"/>
        </w:rPr>
        <w:t>纱</w:t>
      </w:r>
      <w:r>
        <w:rPr>
          <w:rFonts w:hint="default" w:ascii="Times New Roman" w:hAnsi="Times New Roman" w:eastAsia="宋体" w:cs="Times New Roman"/>
          <w:spacing w:val="9"/>
          <w:sz w:val="23"/>
          <w:szCs w:val="23"/>
          <w:highlight w:val="none"/>
        </w:rPr>
        <w:t>，细纱互层。上更新统是在湖水逐渐退缩，过渡为河湖相的过程中形成的。</w:t>
      </w:r>
    </w:p>
    <w:p>
      <w:pPr>
        <w:spacing w:before="1" w:line="401" w:lineRule="auto"/>
        <w:ind w:left="8" w:right="82" w:firstLine="50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山麓</w:t>
      </w:r>
      <w:r>
        <w:rPr>
          <w:rFonts w:hint="default" w:ascii="Times New Roman" w:hAnsi="Times New Roman" w:eastAsia="宋体" w:cs="Times New Roman"/>
          <w:spacing w:val="16"/>
          <w:sz w:val="23"/>
          <w:szCs w:val="23"/>
          <w:highlight w:val="none"/>
        </w:rPr>
        <w:t>地</w:t>
      </w:r>
      <w:r>
        <w:rPr>
          <w:rFonts w:hint="default" w:ascii="Times New Roman" w:hAnsi="Times New Roman" w:eastAsia="宋体" w:cs="Times New Roman"/>
          <w:spacing w:val="9"/>
          <w:sz w:val="23"/>
          <w:szCs w:val="23"/>
          <w:highlight w:val="none"/>
        </w:rPr>
        <w:t>带有分布较广的冲积洪积砂卵石及黄土状土坡积碎石粘土层，覆于盆地周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9"/>
          <w:sz w:val="23"/>
          <w:szCs w:val="23"/>
          <w:highlight w:val="none"/>
        </w:rPr>
        <w:t>边</w:t>
      </w:r>
      <w:r>
        <w:rPr>
          <w:rFonts w:hint="default" w:ascii="Times New Roman" w:hAnsi="Times New Roman" w:eastAsia="宋体" w:cs="Times New Roman"/>
          <w:spacing w:val="11"/>
          <w:sz w:val="23"/>
          <w:szCs w:val="23"/>
          <w:highlight w:val="none"/>
        </w:rPr>
        <w:t xml:space="preserve">山麓阶地之上，一般 </w:t>
      </w:r>
      <w:r>
        <w:rPr>
          <w:rFonts w:hint="default" w:ascii="Times New Roman" w:hAnsi="Times New Roman" w:eastAsia="Times New Roman" w:cs="Times New Roman"/>
          <w:spacing w:val="11"/>
          <w:sz w:val="23"/>
          <w:szCs w:val="23"/>
          <w:highlight w:val="none"/>
        </w:rPr>
        <w:t>5</w:t>
      </w:r>
      <w:r>
        <w:rPr>
          <w:rFonts w:hint="default" w:ascii="Times New Roman" w:hAnsi="Times New Roman" w:eastAsia="宋体" w:cs="Times New Roman"/>
          <w:spacing w:val="11"/>
          <w:sz w:val="23"/>
          <w:szCs w:val="23"/>
          <w:highlight w:val="none"/>
        </w:rPr>
        <w:t>~</w:t>
      </w:r>
      <w:r>
        <w:rPr>
          <w:rFonts w:hint="default" w:ascii="Times New Roman" w:hAnsi="Times New Roman" w:eastAsia="Times New Roman" w:cs="Times New Roman"/>
          <w:spacing w:val="11"/>
          <w:sz w:val="23"/>
          <w:szCs w:val="23"/>
          <w:highlight w:val="none"/>
        </w:rPr>
        <w:t>20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11"/>
          <w:sz w:val="23"/>
          <w:szCs w:val="23"/>
          <w:highlight w:val="none"/>
        </w:rPr>
        <w:t>。</w:t>
      </w:r>
    </w:p>
    <w:p>
      <w:pPr>
        <w:spacing w:before="1" w:line="234" w:lineRule="auto"/>
        <w:ind w:left="487"/>
        <w:jc w:val="both"/>
        <w:outlineLvl w:val="2"/>
        <w:rPr>
          <w:rFonts w:hint="default" w:ascii="Times New Roman" w:hAnsi="Times New Roman" w:eastAsia="宋体" w:cs="Times New Roman"/>
          <w:sz w:val="23"/>
          <w:szCs w:val="23"/>
          <w:highlight w:val="none"/>
        </w:rPr>
      </w:pPr>
      <w:bookmarkStart w:id="517" w:name="_Toc12987"/>
      <w:bookmarkStart w:id="518" w:name="_Toc18853"/>
      <w:bookmarkStart w:id="519" w:name="_Toc32021"/>
      <w:r>
        <w:rPr>
          <w:rFonts w:hint="default" w:ascii="Times New Roman" w:hAnsi="Times New Roman" w:eastAsia="宋体" w:cs="Times New Roman"/>
          <w:spacing w:val="4"/>
          <w:sz w:val="23"/>
          <w:szCs w:val="23"/>
          <w:highlight w:val="none"/>
        </w:rPr>
        <w:t>④全</w:t>
      </w:r>
      <w:r>
        <w:rPr>
          <w:rFonts w:hint="default" w:ascii="Times New Roman" w:hAnsi="Times New Roman" w:eastAsia="宋体" w:cs="Times New Roman"/>
          <w:spacing w:val="2"/>
          <w:sz w:val="23"/>
          <w:szCs w:val="23"/>
          <w:highlight w:val="none"/>
        </w:rPr>
        <w:t>新统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position w:val="-1"/>
          <w:sz w:val="15"/>
          <w:szCs w:val="15"/>
          <w:highlight w:val="none"/>
        </w:rPr>
        <w:t>h</w:t>
      </w:r>
      <w:r>
        <w:rPr>
          <w:rFonts w:hint="default" w:ascii="Times New Roman" w:hAnsi="Times New Roman" w:eastAsia="Times New Roman" w:cs="Times New Roman"/>
          <w:spacing w:val="2"/>
          <w:position w:val="-1"/>
          <w:sz w:val="15"/>
          <w:szCs w:val="15"/>
          <w:highlight w:val="none"/>
        </w:rPr>
        <w:t xml:space="preserve"> </w:t>
      </w:r>
      <w:r>
        <w:rPr>
          <w:rFonts w:hint="default" w:ascii="Times New Roman" w:hAnsi="Times New Roman" w:eastAsia="宋体" w:cs="Times New Roman"/>
          <w:spacing w:val="2"/>
          <w:sz w:val="23"/>
          <w:szCs w:val="23"/>
          <w:highlight w:val="none"/>
        </w:rPr>
        <w:t>) ：</w:t>
      </w:r>
      <w:bookmarkEnd w:id="517"/>
      <w:bookmarkEnd w:id="518"/>
      <w:bookmarkEnd w:id="519"/>
    </w:p>
    <w:p>
      <w:pPr>
        <w:spacing w:before="206" w:line="405" w:lineRule="auto"/>
        <w:ind w:left="8"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广覆于盆地表层，以冲洪积、冲积物为主，局部有冲湖积物。主要为黎河、沙河</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淋河</w:t>
      </w:r>
      <w:r>
        <w:rPr>
          <w:rFonts w:hint="default" w:ascii="Times New Roman" w:hAnsi="Times New Roman" w:eastAsia="宋体" w:cs="Times New Roman"/>
          <w:spacing w:val="19"/>
          <w:sz w:val="23"/>
          <w:szCs w:val="23"/>
          <w:highlight w:val="none"/>
        </w:rPr>
        <w:t>近</w:t>
      </w:r>
      <w:r>
        <w:rPr>
          <w:rFonts w:hint="default" w:ascii="Times New Roman" w:hAnsi="Times New Roman" w:eastAsia="宋体" w:cs="Times New Roman"/>
          <w:spacing w:val="10"/>
          <w:sz w:val="23"/>
          <w:szCs w:val="23"/>
          <w:highlight w:val="none"/>
        </w:rPr>
        <w:t>代洪泛沉积物。主要岩性为黄色、棕黄色、黄褐色砂粘土、粘砂土夹薄层砂，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下</w:t>
      </w:r>
      <w:r>
        <w:rPr>
          <w:rFonts w:hint="default" w:ascii="Times New Roman" w:hAnsi="Times New Roman" w:eastAsia="宋体" w:cs="Times New Roman"/>
          <w:spacing w:val="16"/>
          <w:sz w:val="23"/>
          <w:szCs w:val="23"/>
          <w:highlight w:val="none"/>
        </w:rPr>
        <w:t>部</w:t>
      </w:r>
      <w:r>
        <w:rPr>
          <w:rFonts w:hint="default" w:ascii="Times New Roman" w:hAnsi="Times New Roman" w:eastAsia="宋体" w:cs="Times New Roman"/>
          <w:spacing w:val="9"/>
          <w:sz w:val="23"/>
          <w:szCs w:val="23"/>
          <w:highlight w:val="none"/>
        </w:rPr>
        <w:t xml:space="preserve">往往有砂砾石或中粗细砂层，厚度 </w:t>
      </w:r>
      <w:r>
        <w:rPr>
          <w:rFonts w:hint="default" w:ascii="Times New Roman" w:hAnsi="Times New Roman" w:eastAsia="Times New Roman" w:cs="Times New Roman"/>
          <w:spacing w:val="9"/>
          <w:sz w:val="23"/>
          <w:szCs w:val="23"/>
          <w:highlight w:val="none"/>
        </w:rPr>
        <w:t>10</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20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，沉积物颗粒粒度由北向南和自盆地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边</w:t>
      </w:r>
      <w:r>
        <w:rPr>
          <w:rFonts w:hint="default" w:ascii="Times New Roman" w:hAnsi="Times New Roman" w:eastAsia="宋体" w:cs="Times New Roman"/>
          <w:spacing w:val="8"/>
          <w:sz w:val="23"/>
          <w:szCs w:val="23"/>
          <w:highlight w:val="none"/>
        </w:rPr>
        <w:t>缘向内部变细的趋势。</w:t>
      </w:r>
    </w:p>
    <w:p>
      <w:pPr>
        <w:jc w:val="both"/>
        <w:rPr>
          <w:rFonts w:hint="default" w:ascii="Times New Roman" w:hAnsi="Times New Roman" w:cs="Times New Roman"/>
          <w:highlight w:val="none"/>
        </w:rPr>
      </w:pPr>
    </w:p>
    <w:p>
      <w:pPr>
        <w:tabs>
          <w:tab w:val="left" w:pos="261"/>
        </w:tabs>
        <w:bidi w:val="0"/>
        <w:jc w:val="left"/>
        <w:rPr>
          <w:rFonts w:hint="eastAsia" w:ascii="Arial" w:hAnsi="Arial" w:eastAsia="宋体" w:cs="Arial"/>
          <w:snapToGrid w:val="0"/>
          <w:color w:val="000000"/>
          <w:kern w:val="0"/>
          <w:sz w:val="21"/>
          <w:szCs w:val="21"/>
          <w:highlight w:val="none"/>
          <w:lang w:eastAsia="zh-CN"/>
        </w:rPr>
        <w:sectPr>
          <w:headerReference r:id="rId72" w:type="default"/>
          <w:footerReference r:id="rId73" w:type="default"/>
          <w:pgSz w:w="11907" w:h="16840"/>
          <w:pgMar w:top="1036" w:right="1278" w:bottom="904" w:left="1643" w:header="767" w:footer="743" w:gutter="0"/>
          <w:pgBorders>
            <w:top w:val="none" w:sz="0" w:space="0"/>
            <w:left w:val="none" w:sz="0" w:space="0"/>
            <w:bottom w:val="none" w:sz="0" w:space="0"/>
            <w:right w:val="none" w:sz="0" w:space="0"/>
          </w:pgBorders>
          <w:pgNumType w:fmt="decimal"/>
          <w:cols w:space="720" w:num="1"/>
        </w:sectPr>
      </w:pPr>
      <w:r>
        <w:rPr>
          <w:rFonts w:hint="eastAsia" w:eastAsia="宋体" w:cs="Arial"/>
          <w:snapToGrid w:val="0"/>
          <w:color w:val="000000"/>
          <w:kern w:val="0"/>
          <w:sz w:val="21"/>
          <w:szCs w:val="21"/>
          <w:highlight w:val="none"/>
          <w:lang w:eastAsia="zh-CN"/>
        </w:rPr>
        <w:tab/>
      </w:r>
    </w:p>
    <w:p>
      <w:pPr>
        <w:spacing w:line="246"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226" o:spid="_x0000_s1226" style="position:absolute;left:0pt;margin-left:68.05pt;margin-top:52.5pt;height:0.75pt;width:705.95pt;mso-position-horizontal-relative:page;mso-position-vertical-relative:page;z-index:251744256;mso-width-relative:page;mso-height-relative:page;" fillcolor="#000000" filled="t" stroked="f" coordsize="14119,15" o:allowincell="f" path="m0,0l14118,0,14118,14,0,14,0,0xe">
            <v:path/>
            <v:fill on="t" focussize="0,0"/>
            <v:stroke on="f"/>
            <v:imagedata o:title=""/>
            <o:lock v:ext="edit"/>
          </v:shape>
        </w:pict>
      </w:r>
      <w:r>
        <w:rPr>
          <w:rFonts w:hint="default" w:ascii="Times New Roman" w:hAnsi="Times New Roman" w:cs="Times New Roman"/>
          <w:highlight w:val="none"/>
        </w:rPr>
        <w:drawing>
          <wp:anchor distT="0" distB="0" distL="0" distR="0" simplePos="0" relativeHeight="251743232" behindDoc="1" locked="0" layoutInCell="0" allowOverlap="1">
            <wp:simplePos x="0" y="0"/>
            <wp:positionH relativeFrom="page">
              <wp:posOffset>1168400</wp:posOffset>
            </wp:positionH>
            <wp:positionV relativeFrom="page">
              <wp:posOffset>1043305</wp:posOffset>
            </wp:positionV>
            <wp:extent cx="7825740" cy="5058410"/>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152"/>
                    <a:stretch>
                      <a:fillRect/>
                    </a:stretch>
                  </pic:blipFill>
                  <pic:spPr>
                    <a:xfrm>
                      <a:off x="0" y="0"/>
                      <a:ext cx="7825740" cy="5058156"/>
                    </a:xfrm>
                    <a:prstGeom prst="rect">
                      <a:avLst/>
                    </a:prstGeom>
                  </pic:spPr>
                </pic:pic>
              </a:graphicData>
            </a:graphic>
          </wp:anchor>
        </w:drawing>
      </w:r>
    </w:p>
    <w:p>
      <w:pPr>
        <w:spacing w:line="246"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line="830" w:lineRule="exact"/>
        <w:ind w:firstLine="5921"/>
        <w:textAlignment w:val="center"/>
        <w:rPr>
          <w:rFonts w:hint="default" w:ascii="Times New Roman" w:hAnsi="Times New Roman" w:cs="Times New Roman"/>
          <w:highlight w:val="none"/>
        </w:rPr>
      </w:pPr>
      <w:r>
        <w:rPr>
          <w:rFonts w:hint="default" w:ascii="Times New Roman" w:hAnsi="Times New Roman" w:cs="Times New Roman"/>
          <w:highlight w:val="none"/>
        </w:rPr>
        <w:pict>
          <v:group id="_x0000_s1227" o:spid="_x0000_s1227" o:spt="203" style="height:41.5pt;width:72.8pt;" coordsize="1456,830">
            <o:lock v:ext="edit"/>
            <v:shape id="_x0000_s1228" o:spid="_x0000_s1228" o:spt="75" type="#_x0000_t75" style="position:absolute;left:29;top:0;height:798;width:1426;" filled="f" stroked="f" coordsize="21600,21600">
              <v:path/>
              <v:fill on="f" focussize="0,0"/>
              <v:stroke on="f"/>
              <v:imagedata r:id="rId153" o:title=""/>
              <o:lock v:ext="edit" aspectratio="t"/>
            </v:shape>
            <v:shape id="_x0000_s1229" o:spid="_x0000_s1229" o:spt="202" type="#_x0000_t202" style="position:absolute;left:-20;top:-20;height:870;width:1496;" filled="f" stroked="f" coordsize="21600,21600">
              <v:path/>
              <v:fill on="f" focussize="0,0"/>
              <v:stroke on="f"/>
              <v:imagedata o:title=""/>
              <o:lock v:ext="edit" aspectratio="f"/>
              <v:textbox inset="0mm,0mm,0mm,0mm">
                <w:txbxContent>
                  <w:p>
                    <w:pPr>
                      <w:spacing w:before="148" w:line="228" w:lineRule="auto"/>
                      <w:ind w:left="229"/>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目所在地</w:t>
                    </w:r>
                  </w:p>
                  <w:p>
                    <w:pPr>
                      <w:spacing w:line="308" w:lineRule="auto"/>
                      <w:rPr>
                        <w:rFonts w:ascii="Arial"/>
                        <w:sz w:val="21"/>
                      </w:rPr>
                    </w:pPr>
                  </w:p>
                  <w:p>
                    <w:pPr>
                      <w:spacing w:line="144" w:lineRule="exact"/>
                      <w:ind w:left="20"/>
                    </w:pPr>
                    <w:r>
                      <w:rPr>
                        <w:position w:val="-3"/>
                      </w:rPr>
                      <w:drawing>
                        <wp:inline distT="0" distB="0" distL="0" distR="0">
                          <wp:extent cx="90805" cy="914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4"/>
                                  <a:stretch>
                                    <a:fillRect/>
                                  </a:stretch>
                                </pic:blipFill>
                                <pic:spPr>
                                  <a:xfrm>
                                    <a:off x="0" y="0"/>
                                    <a:ext cx="91439" cy="91440"/>
                                  </a:xfrm>
                                  <a:prstGeom prst="rect">
                                    <a:avLst/>
                                  </a:prstGeom>
                                </pic:spPr>
                              </pic:pic>
                            </a:graphicData>
                          </a:graphic>
                        </wp:inline>
                      </w:drawing>
                    </w:r>
                  </w:p>
                </w:txbxContent>
              </v:textbox>
            </v:shape>
            <w10:wrap type="none"/>
            <w10:anchorlock/>
          </v:group>
        </w:pict>
      </w: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4" w:lineRule="auto"/>
        <w:rPr>
          <w:rFonts w:hint="default" w:ascii="Times New Roman" w:hAnsi="Times New Roman" w:cs="Times New Roman"/>
          <w:sz w:val="21"/>
          <w:highlight w:val="none"/>
        </w:rPr>
      </w:pPr>
    </w:p>
    <w:p>
      <w:pPr>
        <w:spacing w:line="244" w:lineRule="auto"/>
        <w:rPr>
          <w:rFonts w:hint="default" w:ascii="Times New Roman" w:hAnsi="Times New Roman" w:cs="Times New Roman"/>
          <w:sz w:val="21"/>
          <w:highlight w:val="none"/>
        </w:rPr>
      </w:pPr>
    </w:p>
    <w:p>
      <w:pPr>
        <w:spacing w:line="244" w:lineRule="auto"/>
        <w:rPr>
          <w:rFonts w:hint="default" w:ascii="Times New Roman" w:hAnsi="Times New Roman" w:cs="Times New Roman"/>
          <w:sz w:val="21"/>
          <w:highlight w:val="none"/>
        </w:rPr>
      </w:pPr>
    </w:p>
    <w:p>
      <w:pPr>
        <w:spacing w:line="244" w:lineRule="auto"/>
        <w:rPr>
          <w:rFonts w:hint="default" w:ascii="Times New Roman" w:hAnsi="Times New Roman" w:cs="Times New Roman"/>
          <w:sz w:val="21"/>
          <w:highlight w:val="none"/>
        </w:rPr>
      </w:pPr>
    </w:p>
    <w:p>
      <w:pPr>
        <w:spacing w:line="244" w:lineRule="auto"/>
        <w:rPr>
          <w:rFonts w:hint="default" w:ascii="Times New Roman" w:hAnsi="Times New Roman" w:cs="Times New Roman"/>
          <w:sz w:val="21"/>
          <w:highlight w:val="none"/>
        </w:rPr>
      </w:pPr>
    </w:p>
    <w:p>
      <w:pPr>
        <w:spacing w:before="75" w:line="228" w:lineRule="auto"/>
        <w:ind w:left="585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1"/>
          <w:sz w:val="23"/>
          <w:szCs w:val="23"/>
          <w:highlight w:val="none"/>
        </w:rPr>
        <w:t xml:space="preserve"> </w:t>
      </w:r>
      <w:r>
        <w:rPr>
          <w:rFonts w:hint="default" w:ascii="Times New Roman" w:hAnsi="Times New Roman" w:eastAsia="Times New Roman" w:cs="Times New Roman"/>
          <w:b/>
          <w:bCs/>
          <w:spacing w:val="1"/>
          <w:sz w:val="23"/>
          <w:szCs w:val="23"/>
          <w:highlight w:val="none"/>
        </w:rPr>
        <w:t>5.2-</w:t>
      </w:r>
      <w:r>
        <w:rPr>
          <w:rFonts w:hint="eastAsia" w:ascii="Times New Roman" w:hAnsi="Times New Roman" w:eastAsia="宋体" w:cs="Times New Roman"/>
          <w:b/>
          <w:bCs/>
          <w:spacing w:val="1"/>
          <w:sz w:val="23"/>
          <w:szCs w:val="23"/>
          <w:highlight w:val="none"/>
          <w:lang w:val="en-US" w:eastAsia="zh-CN"/>
        </w:rPr>
        <w:t>4</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14:textOutline w14:w="4358" w14:cap="sq" w14:cmpd="sng">
            <w14:solidFill>
              <w14:srgbClr w14:val="000000"/>
            </w14:solidFill>
            <w14:prstDash w14:val="solid"/>
            <w14:bevel/>
          </w14:textOutline>
        </w:rPr>
        <w:t>区域</w:t>
      </w:r>
      <w:r>
        <w:rPr>
          <w:rFonts w:hint="default" w:ascii="Times New Roman" w:hAnsi="Times New Roman" w:eastAsia="宋体" w:cs="Times New Roman"/>
          <w:sz w:val="23"/>
          <w:szCs w:val="23"/>
          <w:highlight w:val="none"/>
          <w14:textOutline w14:w="4358" w14:cap="sq" w14:cmpd="sng">
            <w14:solidFill>
              <w14:srgbClr w14:val="000000"/>
            </w14:solidFill>
            <w14:prstDash w14:val="solid"/>
            <w14:bevel/>
          </w14:textOutline>
        </w:rPr>
        <w:t>地质图</w:t>
      </w:r>
    </w:p>
    <w:p>
      <w:pPr>
        <w:rPr>
          <w:rFonts w:hint="default" w:ascii="Times New Roman" w:hAnsi="Times New Roman" w:cs="Times New Roman"/>
          <w:highlight w:val="none"/>
        </w:rPr>
        <w:sectPr>
          <w:headerReference r:id="rId74" w:type="default"/>
          <w:footerReference r:id="rId75" w:type="default"/>
          <w:pgSz w:w="16840" w:h="11907"/>
          <w:pgMar w:top="1036" w:right="1360" w:bottom="1038" w:left="1361" w:header="767" w:footer="742" w:gutter="0"/>
          <w:pgBorders>
            <w:top w:val="none" w:sz="0" w:space="0"/>
            <w:left w:val="none" w:sz="0" w:space="0"/>
            <w:bottom w:val="none" w:sz="0" w:space="0"/>
            <w:right w:val="none" w:sz="0" w:space="0"/>
          </w:pgBorders>
          <w:pgNumType w:fmt="decimal"/>
          <w:cols w:space="720" w:num="1"/>
        </w:sectPr>
      </w:pPr>
    </w:p>
    <w:p>
      <w:pPr>
        <w:spacing w:line="442"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230" o:spid="_x0000_s1230" style="position:absolute;left:0pt;margin-left:82.2pt;margin-top:52.5pt;height:0.75pt;width:445.1pt;mso-position-horizontal-relative:page;mso-position-vertical-relative:page;z-index:251745280;mso-width-relative:page;mso-height-relative:page;" fillcolor="#000000" filled="t" stroked="f" coordsize="8902,15" o:allowincell="f" path="m0,0l8901,0,8901,14,0,14,0,0xe">
            <v:path/>
            <v:fill on="t" focussize="0,0"/>
            <v:stroke on="f"/>
            <v:imagedata o:title=""/>
            <o:lock v:ext="edit"/>
          </v:shape>
        </w:pict>
      </w:r>
    </w:p>
    <w:p>
      <w:pPr>
        <w:spacing w:before="75" w:line="228" w:lineRule="auto"/>
        <w:ind w:left="489"/>
        <w:jc w:val="both"/>
        <w:outlineLvl w:val="0"/>
        <w:rPr>
          <w:rFonts w:hint="default" w:ascii="Times New Roman" w:hAnsi="Times New Roman" w:eastAsia="宋体" w:cs="Times New Roman"/>
          <w:sz w:val="23"/>
          <w:szCs w:val="23"/>
          <w:highlight w:val="none"/>
        </w:rPr>
      </w:pPr>
      <w:bookmarkStart w:id="520" w:name="_Toc12284"/>
      <w:bookmarkStart w:id="521" w:name="_Toc9610"/>
      <w:bookmarkStart w:id="522" w:name="_Toc2890"/>
      <w:r>
        <w:rPr>
          <w:rFonts w:hint="default" w:ascii="Times New Roman" w:hAnsi="Times New Roman" w:eastAsia="Times New Roman" w:cs="Times New Roman"/>
          <w:spacing w:val="8"/>
          <w:sz w:val="23"/>
          <w:szCs w:val="23"/>
          <w:highlight w:val="none"/>
        </w:rPr>
        <w:t>3</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地质构造特征</w:t>
      </w:r>
      <w:bookmarkEnd w:id="520"/>
      <w:bookmarkEnd w:id="521"/>
      <w:bookmarkEnd w:id="522"/>
    </w:p>
    <w:p>
      <w:pPr>
        <w:spacing w:before="215" w:line="401" w:lineRule="auto"/>
        <w:ind w:left="8" w:right="81" w:firstLine="48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本</w:t>
      </w:r>
      <w:r>
        <w:rPr>
          <w:rFonts w:hint="default" w:ascii="Times New Roman" w:hAnsi="Times New Roman" w:eastAsia="宋体" w:cs="Times New Roman"/>
          <w:spacing w:val="11"/>
          <w:sz w:val="23"/>
          <w:szCs w:val="23"/>
          <w:highlight w:val="none"/>
        </w:rPr>
        <w:t>区</w:t>
      </w:r>
      <w:r>
        <w:rPr>
          <w:rFonts w:hint="default" w:ascii="Times New Roman" w:hAnsi="Times New Roman" w:eastAsia="宋体" w:cs="Times New Roman"/>
          <w:spacing w:val="10"/>
          <w:sz w:val="23"/>
          <w:szCs w:val="23"/>
          <w:highlight w:val="none"/>
        </w:rPr>
        <w:t>太古界变质岩构成的基底构造近南北向，由中元古界长城系构成近东西向的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褶</w:t>
      </w:r>
      <w:r>
        <w:rPr>
          <w:rFonts w:hint="default" w:ascii="Times New Roman" w:hAnsi="Times New Roman" w:eastAsia="宋体" w:cs="Times New Roman"/>
          <w:spacing w:val="7"/>
          <w:sz w:val="23"/>
          <w:szCs w:val="23"/>
          <w:highlight w:val="none"/>
        </w:rPr>
        <w:t>皱群是区内的主体构造； 自北向南的应力场形成一系列中晚期近南北向的张性断裂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和</w:t>
      </w:r>
      <w:r>
        <w:rPr>
          <w:rFonts w:hint="default" w:ascii="Times New Roman" w:hAnsi="Times New Roman" w:eastAsia="宋体" w:cs="Times New Roman"/>
          <w:spacing w:val="13"/>
          <w:sz w:val="23"/>
          <w:szCs w:val="23"/>
          <w:highlight w:val="none"/>
        </w:rPr>
        <w:t>平</w:t>
      </w:r>
      <w:r>
        <w:rPr>
          <w:rFonts w:hint="default" w:ascii="Times New Roman" w:hAnsi="Times New Roman" w:eastAsia="宋体" w:cs="Times New Roman"/>
          <w:spacing w:val="10"/>
          <w:sz w:val="23"/>
          <w:szCs w:val="23"/>
          <w:highlight w:val="none"/>
        </w:rPr>
        <w:t>推断裂；古生带以来的历次构造运动使盖层构造复杂化，并有两次岩浆活动，北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东</w:t>
      </w:r>
      <w:r>
        <w:rPr>
          <w:rFonts w:hint="default" w:ascii="Times New Roman" w:hAnsi="Times New Roman" w:eastAsia="宋体" w:cs="Times New Roman"/>
          <w:spacing w:val="16"/>
          <w:sz w:val="23"/>
          <w:szCs w:val="23"/>
          <w:highlight w:val="none"/>
        </w:rPr>
        <w:t>和</w:t>
      </w:r>
      <w:r>
        <w:rPr>
          <w:rFonts w:hint="default" w:ascii="Times New Roman" w:hAnsi="Times New Roman" w:eastAsia="宋体" w:cs="Times New Roman"/>
          <w:spacing w:val="9"/>
          <w:sz w:val="23"/>
          <w:szCs w:val="23"/>
          <w:highlight w:val="none"/>
        </w:rPr>
        <w:t>东西的菱形断裂控制断陷盆地的形成，断块构造构成本区的宏观构造格局。</w:t>
      </w:r>
    </w:p>
    <w:p>
      <w:pPr>
        <w:spacing w:before="4" w:line="395" w:lineRule="auto"/>
        <w:ind w:left="9" w:right="81" w:firstLine="480"/>
        <w:jc w:val="both"/>
        <w:rPr>
          <w:rFonts w:hint="default" w:ascii="Times New Roman" w:hAnsi="Times New Roman" w:eastAsia="Times New Roman" w:cs="Times New Roman"/>
          <w:sz w:val="23"/>
          <w:szCs w:val="23"/>
          <w:highlight w:val="none"/>
        </w:rPr>
      </w:pPr>
      <w:r>
        <w:rPr>
          <w:rFonts w:hint="default" w:ascii="Times New Roman" w:hAnsi="Times New Roman" w:eastAsia="宋体" w:cs="Times New Roman"/>
          <w:spacing w:val="20"/>
          <w:sz w:val="23"/>
          <w:szCs w:val="23"/>
          <w:highlight w:val="none"/>
        </w:rPr>
        <w:t>新</w:t>
      </w:r>
      <w:r>
        <w:rPr>
          <w:rFonts w:hint="default" w:ascii="Times New Roman" w:hAnsi="Times New Roman" w:eastAsia="宋体" w:cs="Times New Roman"/>
          <w:spacing w:val="11"/>
          <w:sz w:val="23"/>
          <w:szCs w:val="23"/>
          <w:highlight w:val="none"/>
        </w:rPr>
        <w:t>构</w:t>
      </w:r>
      <w:r>
        <w:rPr>
          <w:rFonts w:hint="default" w:ascii="Times New Roman" w:hAnsi="Times New Roman" w:eastAsia="宋体" w:cs="Times New Roman"/>
          <w:spacing w:val="10"/>
          <w:sz w:val="23"/>
          <w:szCs w:val="23"/>
          <w:highlight w:val="none"/>
        </w:rPr>
        <w:t>造运动活跃，在老构造的基础上有继承性的发展，在区域上受北东和东西向</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菱</w:t>
      </w:r>
      <w:r>
        <w:rPr>
          <w:rFonts w:hint="default" w:ascii="Times New Roman" w:hAnsi="Times New Roman" w:eastAsia="宋体" w:cs="Times New Roman"/>
          <w:spacing w:val="12"/>
          <w:sz w:val="23"/>
          <w:szCs w:val="23"/>
          <w:highlight w:val="none"/>
        </w:rPr>
        <w:t>形</w:t>
      </w:r>
      <w:r>
        <w:rPr>
          <w:rFonts w:hint="default" w:ascii="Times New Roman" w:hAnsi="Times New Roman" w:eastAsia="宋体" w:cs="Times New Roman"/>
          <w:spacing w:val="10"/>
          <w:sz w:val="23"/>
          <w:szCs w:val="23"/>
          <w:highlight w:val="none"/>
        </w:rPr>
        <w:t>断裂的控制，形成本区第四纪断陷盆地，周边断裂控制着盆地的发育。盆地的主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体</w:t>
      </w:r>
      <w:r>
        <w:rPr>
          <w:rFonts w:hint="default" w:ascii="Times New Roman" w:hAnsi="Times New Roman" w:eastAsia="宋体" w:cs="Times New Roman"/>
          <w:spacing w:val="12"/>
          <w:sz w:val="23"/>
          <w:szCs w:val="23"/>
          <w:highlight w:val="none"/>
        </w:rPr>
        <w:t>延</w:t>
      </w:r>
      <w:r>
        <w:rPr>
          <w:rFonts w:hint="default" w:ascii="Times New Roman" w:hAnsi="Times New Roman" w:eastAsia="宋体" w:cs="Times New Roman"/>
          <w:spacing w:val="10"/>
          <w:sz w:val="23"/>
          <w:szCs w:val="23"/>
          <w:highlight w:val="none"/>
        </w:rPr>
        <w:t>展方向近东西向，与区域构造一致。山区和平原的差异运动，不仅在山前形成广</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部</w:t>
      </w:r>
      <w:r>
        <w:rPr>
          <w:rFonts w:hint="default" w:ascii="Times New Roman" w:hAnsi="Times New Roman" w:eastAsia="宋体" w:cs="Times New Roman"/>
          <w:spacing w:val="12"/>
          <w:sz w:val="23"/>
          <w:szCs w:val="23"/>
          <w:highlight w:val="none"/>
        </w:rPr>
        <w:t>的</w:t>
      </w:r>
      <w:r>
        <w:rPr>
          <w:rFonts w:hint="default" w:ascii="Times New Roman" w:hAnsi="Times New Roman" w:eastAsia="宋体" w:cs="Times New Roman"/>
          <w:spacing w:val="10"/>
          <w:sz w:val="23"/>
          <w:szCs w:val="23"/>
          <w:highlight w:val="none"/>
        </w:rPr>
        <w:t>山麓基座阶地，也使盆地进一步下沉，盆地内呈东西向展布的阶梯断裂，使盆地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 xml:space="preserve">中部深陷，在南北山前断裂之间，相成本区最深的幼陷带，据物探资料，最深达 </w:t>
      </w:r>
      <w:r>
        <w:rPr>
          <w:rFonts w:hint="default" w:ascii="Times New Roman" w:hAnsi="Times New Roman" w:eastAsia="Times New Roman" w:cs="Times New Roman"/>
          <w:spacing w:val="10"/>
          <w:sz w:val="23"/>
          <w:szCs w:val="23"/>
          <w:highlight w:val="none"/>
        </w:rPr>
        <w:t>30</w:t>
      </w:r>
      <w:r>
        <w:rPr>
          <w:rFonts w:hint="default" w:ascii="Times New Roman" w:hAnsi="Times New Roman" w:eastAsia="Times New Roman" w:cs="Times New Roman"/>
          <w:spacing w:val="2"/>
          <w:sz w:val="23"/>
          <w:szCs w:val="23"/>
          <w:highlight w:val="none"/>
        </w:rPr>
        <w:t>0</w:t>
      </w:r>
    </w:p>
    <w:p>
      <w:pPr>
        <w:spacing w:line="315" w:lineRule="exact"/>
        <w:ind w:left="1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3"/>
          <w:position w:val="1"/>
          <w:sz w:val="23"/>
          <w:szCs w:val="23"/>
          <w:highlight w:val="none"/>
        </w:rPr>
        <w:t>余</w:t>
      </w:r>
      <w:r>
        <w:rPr>
          <w:rFonts w:hint="default" w:ascii="Times New Roman" w:hAnsi="Times New Roman" w:eastAsia="宋体" w:cs="Times New Roman"/>
          <w:spacing w:val="11"/>
          <w:position w:val="1"/>
          <w:sz w:val="23"/>
          <w:szCs w:val="23"/>
          <w:highlight w:val="none"/>
        </w:rPr>
        <w:t xml:space="preserve"> </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11"/>
          <w:position w:val="1"/>
          <w:sz w:val="23"/>
          <w:szCs w:val="23"/>
          <w:highlight w:val="none"/>
        </w:rPr>
        <w:t xml:space="preserve"> </w:t>
      </w:r>
      <w:r>
        <w:rPr>
          <w:rFonts w:hint="default" w:ascii="Times New Roman" w:hAnsi="Times New Roman" w:eastAsia="宋体" w:cs="Times New Roman"/>
          <w:spacing w:val="11"/>
          <w:position w:val="1"/>
          <w:sz w:val="23"/>
          <w:szCs w:val="23"/>
          <w:highlight w:val="none"/>
        </w:rPr>
        <w:t xml:space="preserve">。根据 </w:t>
      </w:r>
      <w:r>
        <w:rPr>
          <w:rFonts w:hint="default" w:ascii="Times New Roman" w:hAnsi="Times New Roman" w:eastAsia="Times New Roman" w:cs="Times New Roman"/>
          <w:spacing w:val="11"/>
          <w:position w:val="9"/>
          <w:sz w:val="15"/>
          <w:szCs w:val="15"/>
          <w:highlight w:val="none"/>
        </w:rPr>
        <w:t xml:space="preserve">14 </w:t>
      </w:r>
      <w:r>
        <w:rPr>
          <w:rFonts w:hint="default" w:ascii="Times New Roman" w:hAnsi="Times New Roman" w:eastAsia="宋体" w:cs="Times New Roman"/>
          <w:position w:val="1"/>
          <w:sz w:val="23"/>
          <w:szCs w:val="23"/>
          <w:highlight w:val="none"/>
        </w:rPr>
        <w:t>C</w:t>
      </w:r>
      <w:r>
        <w:rPr>
          <w:rFonts w:hint="default" w:ascii="Times New Roman" w:hAnsi="Times New Roman" w:eastAsia="宋体" w:cs="Times New Roman"/>
          <w:spacing w:val="11"/>
          <w:position w:val="1"/>
          <w:sz w:val="23"/>
          <w:szCs w:val="23"/>
          <w:highlight w:val="none"/>
        </w:rPr>
        <w:t>侧年资料，上更新世沉降速度</w:t>
      </w:r>
      <w:r>
        <w:rPr>
          <w:rFonts w:hint="default" w:ascii="Times New Roman" w:hAnsi="Times New Roman" w:eastAsia="Times New Roman" w:cs="Times New Roman"/>
          <w:spacing w:val="11"/>
          <w:position w:val="1"/>
          <w:sz w:val="23"/>
          <w:szCs w:val="23"/>
          <w:highlight w:val="none"/>
        </w:rPr>
        <w:t>4</w:t>
      </w:r>
      <w:r>
        <w:rPr>
          <w:rFonts w:hint="default" w:ascii="Times New Roman" w:hAnsi="Times New Roman" w:eastAsia="宋体" w:cs="Times New Roman"/>
          <w:spacing w:val="11"/>
          <w:position w:val="1"/>
          <w:sz w:val="23"/>
          <w:szCs w:val="23"/>
          <w:highlight w:val="none"/>
        </w:rPr>
        <w:t>~</w:t>
      </w:r>
      <w:r>
        <w:rPr>
          <w:rFonts w:hint="default" w:ascii="Times New Roman" w:hAnsi="Times New Roman" w:eastAsia="Times New Roman" w:cs="Times New Roman"/>
          <w:spacing w:val="11"/>
          <w:position w:val="1"/>
          <w:sz w:val="23"/>
          <w:szCs w:val="23"/>
          <w:highlight w:val="none"/>
        </w:rPr>
        <w:t>7</w:t>
      </w:r>
      <w:r>
        <w:rPr>
          <w:rFonts w:hint="default" w:ascii="Times New Roman" w:hAnsi="Times New Roman" w:eastAsia="Times New Roman" w:cs="Times New Roman"/>
          <w:position w:val="1"/>
          <w:sz w:val="23"/>
          <w:szCs w:val="23"/>
          <w:highlight w:val="none"/>
        </w:rPr>
        <w:t>mm</w:t>
      </w:r>
      <w:r>
        <w:rPr>
          <w:rFonts w:hint="default" w:ascii="Times New Roman" w:hAnsi="Times New Roman" w:eastAsia="Times New Roman" w:cs="Times New Roman"/>
          <w:spacing w:val="11"/>
          <w:position w:val="1"/>
          <w:sz w:val="23"/>
          <w:szCs w:val="23"/>
          <w:highlight w:val="none"/>
        </w:rPr>
        <w:t>/</w:t>
      </w:r>
      <w:r>
        <w:rPr>
          <w:rFonts w:hint="default" w:ascii="Times New Roman" w:hAnsi="Times New Roman" w:eastAsia="Times New Roman" w:cs="Times New Roman"/>
          <w:position w:val="1"/>
          <w:sz w:val="23"/>
          <w:szCs w:val="23"/>
          <w:highlight w:val="none"/>
        </w:rPr>
        <w:t>a</w:t>
      </w:r>
      <w:r>
        <w:rPr>
          <w:rFonts w:hint="default" w:ascii="Times New Roman" w:hAnsi="Times New Roman" w:eastAsia="宋体" w:cs="Times New Roman"/>
          <w:spacing w:val="11"/>
          <w:position w:val="1"/>
          <w:sz w:val="23"/>
          <w:szCs w:val="23"/>
          <w:highlight w:val="none"/>
        </w:rPr>
        <w:t>。</w:t>
      </w:r>
    </w:p>
    <w:p>
      <w:pPr>
        <w:spacing w:before="221" w:line="401" w:lineRule="auto"/>
        <w:ind w:left="10" w:right="81" w:firstLine="47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在</w:t>
      </w:r>
      <w:r>
        <w:rPr>
          <w:rFonts w:hint="default" w:ascii="Times New Roman" w:hAnsi="Times New Roman" w:eastAsia="宋体" w:cs="Times New Roman"/>
          <w:spacing w:val="13"/>
          <w:sz w:val="23"/>
          <w:szCs w:val="23"/>
          <w:highlight w:val="none"/>
        </w:rPr>
        <w:t>北</w:t>
      </w:r>
      <w:r>
        <w:rPr>
          <w:rFonts w:hint="default" w:ascii="Times New Roman" w:hAnsi="Times New Roman" w:eastAsia="宋体" w:cs="Times New Roman"/>
          <w:spacing w:val="10"/>
          <w:sz w:val="23"/>
          <w:szCs w:val="23"/>
          <w:highlight w:val="none"/>
        </w:rPr>
        <w:t>部变质岩地区，一般呈单斜构造，片麻理走向近于南北或东北，向西或北西</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 xml:space="preserve">方向倾斜，倾角一般 </w:t>
      </w:r>
      <w:r>
        <w:rPr>
          <w:rFonts w:hint="default" w:ascii="Times New Roman" w:hAnsi="Times New Roman" w:eastAsia="Times New Roman" w:cs="Times New Roman"/>
          <w:spacing w:val="13"/>
          <w:sz w:val="23"/>
          <w:szCs w:val="23"/>
          <w:highlight w:val="none"/>
        </w:rPr>
        <w:t>30</w:t>
      </w:r>
      <w:r>
        <w:rPr>
          <w:rFonts w:hint="default" w:ascii="Times New Roman" w:hAnsi="Times New Roman" w:eastAsia="宋体" w:cs="Times New Roman"/>
          <w:spacing w:val="13"/>
          <w:sz w:val="23"/>
          <w:szCs w:val="23"/>
          <w:highlight w:val="none"/>
        </w:rPr>
        <w:t>~</w:t>
      </w:r>
      <w:r>
        <w:rPr>
          <w:rFonts w:hint="default" w:ascii="Times New Roman" w:hAnsi="Times New Roman" w:eastAsia="Times New Roman" w:cs="Times New Roman"/>
          <w:spacing w:val="13"/>
          <w:sz w:val="23"/>
          <w:szCs w:val="23"/>
          <w:highlight w:val="none"/>
        </w:rPr>
        <w:t>70°</w:t>
      </w:r>
      <w:r>
        <w:rPr>
          <w:rFonts w:hint="default" w:ascii="Times New Roman" w:hAnsi="Times New Roman" w:eastAsia="宋体" w:cs="Times New Roman"/>
          <w:spacing w:val="13"/>
          <w:sz w:val="23"/>
          <w:szCs w:val="23"/>
          <w:highlight w:val="none"/>
        </w:rPr>
        <w:t>不等。局部地区出现直立和倒转现象。较大的断裂以</w:t>
      </w:r>
      <w:r>
        <w:rPr>
          <w:rFonts w:hint="default" w:ascii="Times New Roman" w:hAnsi="Times New Roman" w:eastAsia="宋体" w:cs="Times New Roman"/>
          <w:spacing w:val="12"/>
          <w:sz w:val="23"/>
          <w:szCs w:val="23"/>
          <w:highlight w:val="none"/>
        </w:rPr>
        <w:t>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东、北西或近南北向为主。其它方向规模较小。</w:t>
      </w:r>
    </w:p>
    <w:p>
      <w:pPr>
        <w:spacing w:before="1" w:line="401" w:lineRule="auto"/>
        <w:ind w:left="13" w:firstLine="475"/>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9"/>
          <w:sz w:val="23"/>
          <w:szCs w:val="23"/>
          <w:highlight w:val="none"/>
        </w:rPr>
        <w:t>在</w:t>
      </w:r>
      <w:r>
        <w:rPr>
          <w:rFonts w:hint="default" w:ascii="Times New Roman" w:hAnsi="Times New Roman" w:eastAsia="宋体" w:cs="Times New Roman"/>
          <w:spacing w:val="16"/>
          <w:sz w:val="23"/>
          <w:szCs w:val="23"/>
          <w:highlight w:val="none"/>
        </w:rPr>
        <w:t>南部沉积岩地区，基岩总体走向近东西方向，向南倾斜。在莫台寺~大虫峪~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2"/>
          <w:sz w:val="23"/>
          <w:szCs w:val="23"/>
          <w:highlight w:val="none"/>
        </w:rPr>
        <w:t>吊</w:t>
      </w:r>
      <w:r>
        <w:rPr>
          <w:rFonts w:hint="default" w:ascii="Times New Roman" w:hAnsi="Times New Roman" w:eastAsia="宋体" w:cs="Times New Roman"/>
          <w:spacing w:val="16"/>
          <w:sz w:val="23"/>
          <w:szCs w:val="23"/>
          <w:highlight w:val="none"/>
        </w:rPr>
        <w:t>虎崖形成向斜构造；而在党峪~大官屯~刘庄形成背斜构造。断裂也很发育，主要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是</w:t>
      </w:r>
      <w:r>
        <w:rPr>
          <w:rFonts w:hint="default" w:ascii="Times New Roman" w:hAnsi="Times New Roman" w:eastAsia="宋体" w:cs="Times New Roman"/>
          <w:spacing w:val="6"/>
          <w:sz w:val="23"/>
          <w:szCs w:val="23"/>
          <w:highlight w:val="none"/>
        </w:rPr>
        <w:t>北西向和东西向的断裂规模比较大，而北西方向的断裂大部分被后期煌斑岩脉充填。</w:t>
      </w:r>
    </w:p>
    <w:p>
      <w:pPr>
        <w:spacing w:line="228" w:lineRule="auto"/>
        <w:ind w:left="485"/>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E</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区域水文地质条件</w:t>
      </w:r>
    </w:p>
    <w:p>
      <w:pPr>
        <w:spacing w:before="218" w:line="227" w:lineRule="auto"/>
        <w:ind w:left="508"/>
        <w:jc w:val="both"/>
        <w:outlineLvl w:val="0"/>
        <w:rPr>
          <w:rFonts w:hint="default" w:ascii="Times New Roman" w:hAnsi="Times New Roman" w:eastAsia="宋体" w:cs="Times New Roman"/>
          <w:sz w:val="23"/>
          <w:szCs w:val="23"/>
          <w:highlight w:val="none"/>
        </w:rPr>
      </w:pPr>
      <w:bookmarkStart w:id="523" w:name="_Toc2561"/>
      <w:bookmarkStart w:id="524" w:name="_Toc13265"/>
      <w:bookmarkStart w:id="525" w:name="_Toc18840"/>
      <w:r>
        <w:rPr>
          <w:rFonts w:hint="default" w:ascii="Times New Roman" w:hAnsi="Times New Roman" w:eastAsia="Times New Roman" w:cs="Times New Roman"/>
          <w:spacing w:val="8"/>
          <w:sz w:val="23"/>
          <w:szCs w:val="23"/>
          <w:highlight w:val="none"/>
        </w:rPr>
        <w:t>1</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含水层组划分</w:t>
      </w:r>
      <w:bookmarkEnd w:id="523"/>
      <w:bookmarkEnd w:id="524"/>
      <w:bookmarkEnd w:id="525"/>
    </w:p>
    <w:p>
      <w:pPr>
        <w:spacing w:before="215" w:line="402" w:lineRule="auto"/>
        <w:ind w:left="9" w:right="81"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根</w:t>
      </w:r>
      <w:r>
        <w:rPr>
          <w:rFonts w:hint="default" w:ascii="Times New Roman" w:hAnsi="Times New Roman" w:eastAsia="宋体" w:cs="Times New Roman"/>
          <w:spacing w:val="12"/>
          <w:sz w:val="23"/>
          <w:szCs w:val="23"/>
          <w:highlight w:val="none"/>
        </w:rPr>
        <w:t>据</w:t>
      </w:r>
      <w:r>
        <w:rPr>
          <w:rFonts w:hint="default" w:ascii="Times New Roman" w:hAnsi="Times New Roman" w:eastAsia="宋体" w:cs="Times New Roman"/>
          <w:spacing w:val="10"/>
          <w:sz w:val="23"/>
          <w:szCs w:val="23"/>
          <w:highlight w:val="none"/>
        </w:rPr>
        <w:t>研究区的含水层介质条件，可以分为第四系孔隙水含水岩组、碳酸岩类岩溶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裂</w:t>
      </w:r>
      <w:r>
        <w:rPr>
          <w:rFonts w:hint="default" w:ascii="Times New Roman" w:hAnsi="Times New Roman" w:eastAsia="宋体" w:cs="Times New Roman"/>
          <w:spacing w:val="9"/>
          <w:sz w:val="23"/>
          <w:szCs w:val="23"/>
          <w:highlight w:val="none"/>
        </w:rPr>
        <w:t>隙水含水岩组、碎屑岩、变质岩岩浆岩裂隙水含水岩组。</w:t>
      </w:r>
    </w:p>
    <w:p>
      <w:pPr>
        <w:spacing w:line="228" w:lineRule="auto"/>
        <w:ind w:left="500"/>
        <w:jc w:val="both"/>
        <w:outlineLvl w:val="1"/>
        <w:rPr>
          <w:rFonts w:hint="default" w:ascii="Times New Roman" w:hAnsi="Times New Roman" w:eastAsia="宋体" w:cs="Times New Roman"/>
          <w:sz w:val="23"/>
          <w:szCs w:val="23"/>
          <w:highlight w:val="none"/>
        </w:rPr>
      </w:pPr>
      <w:bookmarkStart w:id="526" w:name="_Toc9880"/>
      <w:bookmarkStart w:id="527" w:name="_Toc6043"/>
      <w:bookmarkStart w:id="528" w:name="_Toc27964"/>
      <w:r>
        <w:rPr>
          <w:rFonts w:hint="default" w:ascii="Times New Roman" w:hAnsi="Times New Roman" w:eastAsia="宋体" w:cs="Times New Roman"/>
          <w:spacing w:val="15"/>
          <w:sz w:val="23"/>
          <w:szCs w:val="23"/>
          <w:highlight w:val="none"/>
        </w:rPr>
        <w:t>(</w:t>
      </w:r>
      <w:r>
        <w:rPr>
          <w:rFonts w:hint="default" w:ascii="Times New Roman" w:hAnsi="Times New Roman" w:eastAsia="Times New Roman" w:cs="Times New Roman"/>
          <w:spacing w:val="15"/>
          <w:sz w:val="23"/>
          <w:szCs w:val="23"/>
          <w:highlight w:val="none"/>
        </w:rPr>
        <w:t>1</w:t>
      </w:r>
      <w:r>
        <w:rPr>
          <w:rFonts w:hint="default" w:ascii="Times New Roman" w:hAnsi="Times New Roman" w:eastAsia="宋体" w:cs="Times New Roman"/>
          <w:spacing w:val="15"/>
          <w:sz w:val="23"/>
          <w:szCs w:val="23"/>
          <w:highlight w:val="none"/>
        </w:rPr>
        <w:t>) 碳酸岩类岩溶裂隙含水岩</w:t>
      </w:r>
      <w:r>
        <w:rPr>
          <w:rFonts w:hint="default" w:ascii="Times New Roman" w:hAnsi="Times New Roman" w:eastAsia="宋体" w:cs="Times New Roman"/>
          <w:spacing w:val="14"/>
          <w:sz w:val="23"/>
          <w:szCs w:val="23"/>
          <w:highlight w:val="none"/>
        </w:rPr>
        <w:t>组</w:t>
      </w:r>
      <w:bookmarkEnd w:id="526"/>
      <w:bookmarkEnd w:id="527"/>
      <w:bookmarkEnd w:id="528"/>
    </w:p>
    <w:p>
      <w:pPr>
        <w:spacing w:before="215" w:line="227" w:lineRule="auto"/>
        <w:ind w:left="49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该</w:t>
      </w:r>
      <w:r>
        <w:rPr>
          <w:rFonts w:hint="default" w:ascii="Times New Roman" w:hAnsi="Times New Roman" w:eastAsia="宋体" w:cs="Times New Roman"/>
          <w:spacing w:val="10"/>
          <w:sz w:val="23"/>
          <w:szCs w:val="23"/>
          <w:highlight w:val="none"/>
        </w:rPr>
        <w:t>含水岩组主要为长城系大红峪组、团山子组碳酸盐岩夹碎屑岩岩溶裂隙含水岩</w:t>
      </w:r>
    </w:p>
    <w:p>
      <w:pPr>
        <w:spacing w:before="218" w:line="401" w:lineRule="auto"/>
        <w:ind w:left="12" w:right="8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9"/>
          <w:sz w:val="23"/>
          <w:szCs w:val="23"/>
          <w:highlight w:val="none"/>
        </w:rPr>
        <w:t>组</w:t>
      </w:r>
      <w:r>
        <w:rPr>
          <w:rFonts w:hint="default" w:ascii="Times New Roman" w:hAnsi="Times New Roman" w:eastAsia="宋体" w:cs="Times New Roman"/>
          <w:spacing w:val="10"/>
          <w:sz w:val="23"/>
          <w:szCs w:val="23"/>
          <w:highlight w:val="none"/>
        </w:rPr>
        <w:t>，呈东西向条带状分布于南北盆地之间的弧形山南缘，部分裸露，大部分为半裸露</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浅埋区</w:t>
      </w:r>
      <w:r>
        <w:rPr>
          <w:rFonts w:hint="default" w:ascii="Times New Roman" w:hAnsi="Times New Roman" w:eastAsia="宋体" w:cs="Times New Roman"/>
          <w:spacing w:val="13"/>
          <w:sz w:val="23"/>
          <w:szCs w:val="23"/>
          <w:highlight w:val="none"/>
        </w:rPr>
        <w:t>。</w:t>
      </w:r>
      <w:r>
        <w:rPr>
          <w:rFonts w:hint="default" w:ascii="Times New Roman" w:hAnsi="Times New Roman" w:eastAsia="宋体" w:cs="Times New Roman"/>
          <w:spacing w:val="8"/>
          <w:sz w:val="23"/>
          <w:szCs w:val="23"/>
          <w:highlight w:val="none"/>
        </w:rPr>
        <w:t xml:space="preserve">岩溶裂隙不发育，富水性较差，单井涌水量一般小于 </w:t>
      </w:r>
      <w:r>
        <w:rPr>
          <w:rFonts w:hint="default" w:ascii="Times New Roman" w:hAnsi="Times New Roman" w:eastAsia="Times New Roman" w:cs="Times New Roman"/>
          <w:spacing w:val="8"/>
          <w:sz w:val="23"/>
          <w:szCs w:val="23"/>
          <w:highlight w:val="none"/>
        </w:rPr>
        <w:t>500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position w:val="8"/>
          <w:sz w:val="15"/>
          <w:szCs w:val="15"/>
          <w:highlight w:val="none"/>
        </w:rPr>
        <w:t>3</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。局部团山子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组中</w:t>
      </w:r>
      <w:r>
        <w:rPr>
          <w:rFonts w:hint="default" w:ascii="Times New Roman" w:hAnsi="Times New Roman" w:eastAsia="宋体" w:cs="Times New Roman"/>
          <w:spacing w:val="11"/>
          <w:sz w:val="23"/>
          <w:szCs w:val="23"/>
          <w:highlight w:val="none"/>
        </w:rPr>
        <w:t>白</w:t>
      </w:r>
      <w:r>
        <w:rPr>
          <w:rFonts w:hint="default" w:ascii="Times New Roman" w:hAnsi="Times New Roman" w:eastAsia="宋体" w:cs="Times New Roman"/>
          <w:spacing w:val="9"/>
          <w:sz w:val="23"/>
          <w:szCs w:val="23"/>
          <w:highlight w:val="none"/>
        </w:rPr>
        <w:t xml:space="preserve">云岩岩溶裂隙较为发育，水量较大，可达 </w:t>
      </w:r>
      <w:r>
        <w:rPr>
          <w:rFonts w:hint="default" w:ascii="Times New Roman" w:hAnsi="Times New Roman" w:eastAsia="Times New Roman" w:cs="Times New Roman"/>
          <w:spacing w:val="9"/>
          <w:sz w:val="23"/>
          <w:szCs w:val="23"/>
          <w:highlight w:val="none"/>
        </w:rPr>
        <w:t>1000</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2000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position w:val="8"/>
          <w:sz w:val="15"/>
          <w:szCs w:val="15"/>
          <w:highlight w:val="none"/>
        </w:rPr>
        <w:t>3</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宋体" w:cs="Times New Roman"/>
          <w:spacing w:val="9"/>
          <w:sz w:val="23"/>
          <w:szCs w:val="23"/>
          <w:highlight w:val="none"/>
        </w:rPr>
        <w:t>。</w:t>
      </w:r>
    </w:p>
    <w:p>
      <w:pPr>
        <w:spacing w:line="228" w:lineRule="auto"/>
        <w:ind w:left="500"/>
        <w:jc w:val="both"/>
        <w:outlineLvl w:val="1"/>
        <w:rPr>
          <w:rFonts w:hint="default" w:ascii="Times New Roman" w:hAnsi="Times New Roman" w:eastAsia="宋体" w:cs="Times New Roman"/>
          <w:sz w:val="23"/>
          <w:szCs w:val="23"/>
          <w:highlight w:val="none"/>
        </w:rPr>
      </w:pPr>
      <w:bookmarkStart w:id="529" w:name="_Toc25254"/>
      <w:bookmarkStart w:id="530" w:name="_Toc5236"/>
      <w:bookmarkStart w:id="531" w:name="_Toc14413"/>
      <w:r>
        <w:rPr>
          <w:rFonts w:hint="default" w:ascii="Times New Roman" w:hAnsi="Times New Roman" w:eastAsia="宋体" w:cs="Times New Roman"/>
          <w:spacing w:val="26"/>
          <w:sz w:val="23"/>
          <w:szCs w:val="23"/>
          <w:highlight w:val="none"/>
        </w:rPr>
        <w:t>(</w:t>
      </w:r>
      <w:r>
        <w:rPr>
          <w:rFonts w:hint="default" w:ascii="Times New Roman" w:hAnsi="Times New Roman" w:eastAsia="Times New Roman" w:cs="Times New Roman"/>
          <w:spacing w:val="16"/>
          <w:sz w:val="23"/>
          <w:szCs w:val="23"/>
          <w:highlight w:val="none"/>
        </w:rPr>
        <w:t>2</w:t>
      </w:r>
      <w:r>
        <w:rPr>
          <w:rFonts w:hint="default" w:ascii="Times New Roman" w:hAnsi="Times New Roman" w:eastAsia="宋体" w:cs="Times New Roman"/>
          <w:spacing w:val="13"/>
          <w:sz w:val="23"/>
          <w:szCs w:val="23"/>
          <w:highlight w:val="none"/>
        </w:rPr>
        <w:t>) 碎屑岩、变质岩岩浆岩裂隙水含水岩组</w:t>
      </w:r>
      <w:bookmarkEnd w:id="529"/>
      <w:bookmarkEnd w:id="530"/>
      <w:bookmarkEnd w:id="531"/>
    </w:p>
    <w:p>
      <w:pPr>
        <w:spacing w:before="217" w:line="227" w:lineRule="auto"/>
        <w:ind w:left="48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碎</w:t>
      </w:r>
      <w:r>
        <w:rPr>
          <w:rFonts w:hint="default" w:ascii="Times New Roman" w:hAnsi="Times New Roman" w:eastAsia="宋体" w:cs="Times New Roman"/>
          <w:spacing w:val="13"/>
          <w:sz w:val="23"/>
          <w:szCs w:val="23"/>
          <w:highlight w:val="none"/>
        </w:rPr>
        <w:t>屑</w:t>
      </w:r>
      <w:r>
        <w:rPr>
          <w:rFonts w:hint="default" w:ascii="Times New Roman" w:hAnsi="Times New Roman" w:eastAsia="宋体" w:cs="Times New Roman"/>
          <w:spacing w:val="10"/>
          <w:sz w:val="23"/>
          <w:szCs w:val="23"/>
          <w:highlight w:val="none"/>
        </w:rPr>
        <w:t>岩裂隙含水岩组主要为长城系的串岭沟组、常州沟组，呈东西向条带状分布</w:t>
      </w:r>
    </w:p>
    <w:p>
      <w:pPr>
        <w:spacing w:line="459" w:lineRule="auto"/>
        <w:jc w:val="both"/>
        <w:rPr>
          <w:rFonts w:hint="default" w:ascii="Times New Roman" w:hAnsi="Times New Roman" w:cs="Times New Roman"/>
          <w:sz w:val="21"/>
          <w:highlight w:val="none"/>
        </w:rPr>
      </w:pPr>
    </w:p>
    <w:p>
      <w:pPr>
        <w:spacing w:line="72" w:lineRule="exact"/>
        <w:jc w:val="both"/>
        <w:textAlignment w:val="center"/>
        <w:rPr>
          <w:rFonts w:hint="default" w:ascii="Times New Roman" w:hAnsi="Times New Roman" w:cs="Times New Roman"/>
          <w:highlight w:val="none"/>
        </w:rPr>
      </w:pPr>
      <w:r>
        <w:rPr>
          <w:rFonts w:hint="default" w:ascii="Times New Roman" w:hAnsi="Times New Roman" w:cs="Times New Roman"/>
          <w:highlight w:val="none"/>
        </w:rPr>
        <w:pict>
          <v:shape id="_x0000_s1231" o:spid="_x0000_s1231" style="height:3.65pt;width:445.1pt;" filled="f" stroked="f" coordsize="8902,73" path="m0,0l8901,0,8901,14,0,14,0,0xem0,28l8901,28,8901,72,0,72,0,28xe">
            <v:path/>
            <v:fill on="f" focussize="0,0"/>
            <v:stroke on="f"/>
            <v:imagedata o:title=""/>
            <o:lock v:ext="edit" aspectratio="f"/>
            <w10:wrap type="none"/>
            <w10:anchorlock/>
          </v:shape>
        </w:pict>
      </w:r>
    </w:p>
    <w:p>
      <w:pPr>
        <w:jc w:val="both"/>
        <w:rPr>
          <w:rFonts w:hint="default" w:ascii="Times New Roman" w:hAnsi="Times New Roman" w:cs="Times New Roman"/>
          <w:highlight w:val="none"/>
        </w:rPr>
        <w:sectPr>
          <w:headerReference r:id="rId76" w:type="default"/>
          <w:footerReference r:id="rId77" w:type="default"/>
          <w:pgSz w:w="11907" w:h="16840"/>
          <w:pgMar w:top="1036" w:right="1280" w:bottom="904" w:left="1643" w:header="767" w:footer="743" w:gutter="0"/>
          <w:pgBorders>
            <w:top w:val="none" w:sz="0" w:space="0"/>
            <w:left w:val="none" w:sz="0" w:space="0"/>
            <w:bottom w:val="none" w:sz="0" w:space="0"/>
            <w:right w:val="none" w:sz="0" w:space="0"/>
          </w:pgBorders>
          <w:pgNumType w:fmt="decimal"/>
          <w:cols w:space="720" w:num="1"/>
        </w:sectPr>
      </w:pPr>
    </w:p>
    <w:p>
      <w:pPr>
        <w:spacing w:line="442" w:lineRule="auto"/>
        <w:jc w:val="both"/>
        <w:rPr>
          <w:rFonts w:hint="default" w:ascii="Times New Roman" w:hAnsi="Times New Roman" w:cs="Times New Roman"/>
          <w:sz w:val="21"/>
          <w:highlight w:val="none"/>
        </w:rPr>
      </w:pPr>
      <w:r>
        <w:rPr>
          <w:rFonts w:hint="default" w:ascii="Times New Roman" w:hAnsi="Times New Roman" w:cs="Times New Roman"/>
          <w:highlight w:val="none"/>
        </w:rPr>
        <w:pict>
          <v:shape id="_x0000_s1232" o:spid="_x0000_s1232" style="position:absolute;left:0pt;margin-left:82.2pt;margin-top:52.5pt;height:0.75pt;width:445.1pt;mso-position-horizontal-relative:page;mso-position-vertical-relative:page;z-index:251746304;mso-width-relative:page;mso-height-relative:page;" fillcolor="#000000" filled="t" stroked="f" coordsize="8902,15" o:allowincell="f" path="m0,0l8901,0,8901,14,0,14,0,0xe">
            <v:path/>
            <v:fill on="t" focussize="0,0"/>
            <v:stroke on="f"/>
            <v:imagedata o:title=""/>
            <o:lock v:ext="edit"/>
          </v:shape>
        </w:pict>
      </w:r>
    </w:p>
    <w:p>
      <w:pPr>
        <w:spacing w:before="75" w:line="396" w:lineRule="auto"/>
        <w:ind w:left="12" w:firstLine="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于</w:t>
      </w:r>
      <w:r>
        <w:rPr>
          <w:rFonts w:hint="default" w:ascii="Times New Roman" w:hAnsi="Times New Roman" w:eastAsia="宋体" w:cs="Times New Roman"/>
          <w:spacing w:val="10"/>
          <w:sz w:val="23"/>
          <w:szCs w:val="23"/>
          <w:highlight w:val="none"/>
        </w:rPr>
        <w:t>南北盆地之间的弧形山，是南北盆地的分界体。裂隙不发育，富水性差，单井涌水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 xml:space="preserve">量一般小于 </w:t>
      </w:r>
      <w:r>
        <w:rPr>
          <w:rFonts w:hint="default" w:ascii="Times New Roman" w:hAnsi="Times New Roman" w:eastAsia="Times New Roman" w:cs="Times New Roman"/>
          <w:spacing w:val="6"/>
          <w:sz w:val="23"/>
          <w:szCs w:val="23"/>
          <w:highlight w:val="none"/>
        </w:rPr>
        <w:t>500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8"/>
          <w:sz w:val="15"/>
          <w:szCs w:val="15"/>
          <w:highlight w:val="none"/>
        </w:rPr>
        <w:t>3</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 由于弧形山为张性断裂群穿切，局部地段裂隙发育，岩层</w:t>
      </w:r>
      <w:r>
        <w:rPr>
          <w:rFonts w:hint="default" w:ascii="Times New Roman" w:hAnsi="Times New Roman" w:eastAsia="宋体" w:cs="Times New Roman"/>
          <w:spacing w:val="5"/>
          <w:sz w:val="23"/>
          <w:szCs w:val="23"/>
          <w:highlight w:val="none"/>
        </w:rPr>
        <w:t>含</w:t>
      </w:r>
      <w:r>
        <w:rPr>
          <w:rFonts w:hint="default" w:ascii="Times New Roman" w:hAnsi="Times New Roman" w:eastAsia="宋体" w:cs="Times New Roman"/>
          <w:sz w:val="23"/>
          <w:szCs w:val="23"/>
          <w:highlight w:val="none"/>
        </w:rPr>
        <w:t xml:space="preserve">水 </w:t>
      </w:r>
      <w:r>
        <w:rPr>
          <w:rFonts w:hint="default" w:ascii="Times New Roman" w:hAnsi="Times New Roman" w:eastAsia="宋体" w:cs="Times New Roman"/>
          <w:spacing w:val="16"/>
          <w:sz w:val="23"/>
          <w:szCs w:val="23"/>
          <w:highlight w:val="none"/>
        </w:rPr>
        <w:t>量</w:t>
      </w:r>
      <w:r>
        <w:rPr>
          <w:rFonts w:hint="default" w:ascii="Times New Roman" w:hAnsi="Times New Roman" w:eastAsia="宋体" w:cs="Times New Roman"/>
          <w:spacing w:val="13"/>
          <w:sz w:val="23"/>
          <w:szCs w:val="23"/>
          <w:highlight w:val="none"/>
        </w:rPr>
        <w:t>较</w:t>
      </w:r>
      <w:r>
        <w:rPr>
          <w:rFonts w:hint="default" w:ascii="Times New Roman" w:hAnsi="Times New Roman" w:eastAsia="宋体" w:cs="Times New Roman"/>
          <w:spacing w:val="8"/>
          <w:sz w:val="23"/>
          <w:szCs w:val="23"/>
          <w:highlight w:val="none"/>
        </w:rPr>
        <w:t xml:space="preserve">大，涌水量可达 </w:t>
      </w:r>
      <w:r>
        <w:rPr>
          <w:rFonts w:hint="default" w:ascii="Times New Roman" w:hAnsi="Times New Roman" w:eastAsia="Times New Roman" w:cs="Times New Roman"/>
          <w:spacing w:val="8"/>
          <w:sz w:val="23"/>
          <w:szCs w:val="23"/>
          <w:highlight w:val="none"/>
        </w:rPr>
        <w:t>500</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 xml:space="preserve">1000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position w:val="7"/>
          <w:sz w:val="15"/>
          <w:szCs w:val="15"/>
          <w:highlight w:val="none"/>
        </w:rPr>
        <w:t>3</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宋体" w:cs="Times New Roman"/>
          <w:spacing w:val="8"/>
          <w:sz w:val="23"/>
          <w:szCs w:val="23"/>
          <w:highlight w:val="none"/>
        </w:rPr>
        <w:t xml:space="preserve">。水位埋深受地形影响，变化较大多在 </w:t>
      </w:r>
      <w:r>
        <w:rPr>
          <w:rFonts w:hint="default" w:ascii="Times New Roman" w:hAnsi="Times New Roman" w:eastAsia="Times New Roman" w:cs="Times New Roman"/>
          <w:spacing w:val="8"/>
          <w:sz w:val="23"/>
          <w:szCs w:val="23"/>
          <w:highlight w:val="none"/>
        </w:rPr>
        <w:t>10</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50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8"/>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该岩组含水微弱，可视为相对隔水层</w:t>
      </w:r>
      <w:r>
        <w:rPr>
          <w:rFonts w:hint="default" w:ascii="Times New Roman" w:hAnsi="Times New Roman" w:eastAsia="宋体" w:cs="Times New Roman"/>
          <w:spacing w:val="6"/>
          <w:sz w:val="23"/>
          <w:szCs w:val="23"/>
          <w:highlight w:val="none"/>
        </w:rPr>
        <w:t>。</w:t>
      </w:r>
    </w:p>
    <w:p>
      <w:pPr>
        <w:spacing w:before="29" w:line="400" w:lineRule="auto"/>
        <w:ind w:left="12" w:right="81"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变</w:t>
      </w:r>
      <w:r>
        <w:rPr>
          <w:rFonts w:hint="default" w:ascii="Times New Roman" w:hAnsi="Times New Roman" w:eastAsia="宋体" w:cs="Times New Roman"/>
          <w:spacing w:val="16"/>
          <w:sz w:val="23"/>
          <w:szCs w:val="23"/>
          <w:highlight w:val="none"/>
        </w:rPr>
        <w:t>质</w:t>
      </w:r>
      <w:r>
        <w:rPr>
          <w:rFonts w:hint="default" w:ascii="Times New Roman" w:hAnsi="Times New Roman" w:eastAsia="宋体" w:cs="Times New Roman"/>
          <w:spacing w:val="10"/>
          <w:sz w:val="23"/>
          <w:szCs w:val="23"/>
          <w:highlight w:val="none"/>
        </w:rPr>
        <w:t>岩、火成岩裂隙含水组，主要分布于北盆地。盆地北部周边山区为裸露区，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盆</w:t>
      </w:r>
      <w:r>
        <w:rPr>
          <w:rFonts w:hint="default" w:ascii="Times New Roman" w:hAnsi="Times New Roman" w:eastAsia="宋体" w:cs="Times New Roman"/>
          <w:spacing w:val="16"/>
          <w:sz w:val="23"/>
          <w:szCs w:val="23"/>
          <w:highlight w:val="none"/>
        </w:rPr>
        <w:t>地</w:t>
      </w:r>
      <w:r>
        <w:rPr>
          <w:rFonts w:hint="default" w:ascii="Times New Roman" w:hAnsi="Times New Roman" w:eastAsia="宋体" w:cs="Times New Roman"/>
          <w:spacing w:val="10"/>
          <w:sz w:val="23"/>
          <w:szCs w:val="23"/>
          <w:highlight w:val="none"/>
        </w:rPr>
        <w:t>内被第四系覆盖。片麻岩主要为风化裂隙水和局部构造裂隙脉状水，含水性差，</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 xml:space="preserve">一般水量甚小，多小于 </w:t>
      </w:r>
      <w:r>
        <w:rPr>
          <w:rFonts w:hint="default" w:ascii="Times New Roman" w:hAnsi="Times New Roman" w:eastAsia="Times New Roman" w:cs="Times New Roman"/>
          <w:spacing w:val="7"/>
          <w:sz w:val="23"/>
          <w:szCs w:val="23"/>
          <w:highlight w:val="none"/>
        </w:rPr>
        <w:t xml:space="preserve">200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position w:val="7"/>
          <w:sz w:val="15"/>
          <w:szCs w:val="15"/>
          <w:highlight w:val="none"/>
        </w:rPr>
        <w:t>3</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 xml:space="preserve">，破碎地段可达 </w:t>
      </w:r>
      <w:r>
        <w:rPr>
          <w:rFonts w:hint="default" w:ascii="Times New Roman" w:hAnsi="Times New Roman" w:eastAsia="Times New Roman" w:cs="Times New Roman"/>
          <w:spacing w:val="7"/>
          <w:sz w:val="23"/>
          <w:szCs w:val="23"/>
          <w:highlight w:val="none"/>
        </w:rPr>
        <w:t>500</w:t>
      </w:r>
      <w:r>
        <w:rPr>
          <w:rFonts w:hint="default" w:ascii="Times New Roman" w:hAnsi="Times New Roman" w:eastAsia="宋体" w:cs="Times New Roman"/>
          <w:spacing w:val="7"/>
          <w:sz w:val="23"/>
          <w:szCs w:val="23"/>
          <w:highlight w:val="none"/>
        </w:rPr>
        <w:t>~</w:t>
      </w:r>
      <w:r>
        <w:rPr>
          <w:rFonts w:hint="default" w:ascii="Times New Roman" w:hAnsi="Times New Roman" w:eastAsia="Times New Roman" w:cs="Times New Roman"/>
          <w:spacing w:val="7"/>
          <w:sz w:val="23"/>
          <w:szCs w:val="23"/>
          <w:highlight w:val="none"/>
        </w:rPr>
        <w:t xml:space="preserve">1000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position w:val="7"/>
          <w:sz w:val="15"/>
          <w:szCs w:val="15"/>
          <w:highlight w:val="none"/>
        </w:rPr>
        <w:t>3</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，泉水较发育，但</w:t>
      </w:r>
      <w:r>
        <w:rPr>
          <w:rFonts w:hint="default" w:ascii="Times New Roman" w:hAnsi="Times New Roman" w:eastAsia="宋体" w:cs="Times New Roman"/>
          <w:spacing w:val="4"/>
          <w:sz w:val="23"/>
          <w:szCs w:val="23"/>
          <w:highlight w:val="none"/>
        </w:rPr>
        <w:t>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 xml:space="preserve">量不大，一般 </w:t>
      </w:r>
      <w:r>
        <w:rPr>
          <w:rFonts w:hint="default" w:ascii="Times New Roman" w:hAnsi="Times New Roman" w:eastAsia="Times New Roman" w:cs="Times New Roman"/>
          <w:spacing w:val="6"/>
          <w:sz w:val="23"/>
          <w:szCs w:val="23"/>
          <w:highlight w:val="none"/>
        </w:rPr>
        <w:t>2</w:t>
      </w:r>
      <w:r>
        <w:rPr>
          <w:rFonts w:hint="default" w:ascii="Times New Roman" w:hAnsi="Times New Roman" w:eastAsia="Times New Roman" w:cs="Times New Roman"/>
          <w:spacing w:val="5"/>
          <w:sz w:val="23"/>
          <w:szCs w:val="23"/>
          <w:highlight w:val="none"/>
        </w:rPr>
        <w:t xml:space="preserve">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position w:val="8"/>
          <w:sz w:val="15"/>
          <w:szCs w:val="15"/>
          <w:highlight w:val="none"/>
        </w:rPr>
        <w:t>3</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 xml:space="preserve">小于，泉群流量往往较大，可达 </w:t>
      </w:r>
      <w:r>
        <w:rPr>
          <w:rFonts w:hint="default" w:ascii="Times New Roman" w:hAnsi="Times New Roman" w:eastAsia="Times New Roman" w:cs="Times New Roman"/>
          <w:spacing w:val="5"/>
          <w:sz w:val="23"/>
          <w:szCs w:val="23"/>
          <w:highlight w:val="none"/>
        </w:rPr>
        <w:t>300</w:t>
      </w:r>
      <w:r>
        <w:rPr>
          <w:rFonts w:hint="default" w:ascii="Times New Roman" w:hAnsi="Times New Roman" w:eastAsia="宋体" w:cs="Times New Roman"/>
          <w:spacing w:val="5"/>
          <w:sz w:val="23"/>
          <w:szCs w:val="23"/>
          <w:highlight w:val="none"/>
        </w:rPr>
        <w:t>~</w:t>
      </w:r>
      <w:r>
        <w:rPr>
          <w:rFonts w:hint="default" w:ascii="Times New Roman" w:hAnsi="Times New Roman" w:eastAsia="Times New Roman" w:cs="Times New Roman"/>
          <w:spacing w:val="5"/>
          <w:sz w:val="23"/>
          <w:szCs w:val="23"/>
          <w:highlight w:val="none"/>
        </w:rPr>
        <w:t xml:space="preserve">800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position w:val="8"/>
          <w:sz w:val="15"/>
          <w:szCs w:val="15"/>
          <w:highlight w:val="none"/>
        </w:rPr>
        <w:t>3</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宋体" w:cs="Times New Roman"/>
          <w:spacing w:val="5"/>
          <w:sz w:val="23"/>
          <w:szCs w:val="23"/>
          <w:highlight w:val="none"/>
        </w:rPr>
        <w:t>。裸露的片麻岩</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片</w:t>
      </w:r>
      <w:r>
        <w:rPr>
          <w:rFonts w:hint="default" w:ascii="Times New Roman" w:hAnsi="Times New Roman" w:eastAsia="宋体" w:cs="Times New Roman"/>
          <w:spacing w:val="16"/>
          <w:sz w:val="23"/>
          <w:szCs w:val="23"/>
          <w:highlight w:val="none"/>
        </w:rPr>
        <w:t>麻</w:t>
      </w:r>
      <w:r>
        <w:rPr>
          <w:rFonts w:hint="default" w:ascii="Times New Roman" w:hAnsi="Times New Roman" w:eastAsia="宋体" w:cs="Times New Roman"/>
          <w:spacing w:val="10"/>
          <w:sz w:val="23"/>
          <w:szCs w:val="23"/>
          <w:highlight w:val="none"/>
        </w:rPr>
        <w:t>理近南北向，且与地形坡向一致，有利于降水的入渗补给。水位埋深变化较大，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7"/>
          <w:sz w:val="23"/>
          <w:szCs w:val="23"/>
          <w:highlight w:val="none"/>
        </w:rPr>
        <w:t>一</w:t>
      </w:r>
      <w:r>
        <w:rPr>
          <w:rFonts w:hint="default" w:ascii="Times New Roman" w:hAnsi="Times New Roman" w:eastAsia="宋体" w:cs="Times New Roman"/>
          <w:spacing w:val="12"/>
          <w:sz w:val="23"/>
          <w:szCs w:val="23"/>
          <w:highlight w:val="none"/>
        </w:rPr>
        <w:t xml:space="preserve">般在 </w:t>
      </w:r>
      <w:r>
        <w:rPr>
          <w:rFonts w:hint="default" w:ascii="Times New Roman" w:hAnsi="Times New Roman" w:eastAsia="Times New Roman" w:cs="Times New Roman"/>
          <w:spacing w:val="12"/>
          <w:sz w:val="23"/>
          <w:szCs w:val="23"/>
          <w:highlight w:val="none"/>
        </w:rPr>
        <w:t>0</w:t>
      </w:r>
      <w:r>
        <w:rPr>
          <w:rFonts w:hint="default" w:ascii="Times New Roman" w:hAnsi="Times New Roman" w:eastAsia="宋体" w:cs="Times New Roman"/>
          <w:spacing w:val="12"/>
          <w:sz w:val="23"/>
          <w:szCs w:val="23"/>
          <w:highlight w:val="none"/>
        </w:rPr>
        <w:t>~</w:t>
      </w:r>
      <w:r>
        <w:rPr>
          <w:rFonts w:hint="default" w:ascii="Times New Roman" w:hAnsi="Times New Roman" w:eastAsia="Times New Roman" w:cs="Times New Roman"/>
          <w:spacing w:val="12"/>
          <w:sz w:val="23"/>
          <w:szCs w:val="23"/>
          <w:highlight w:val="none"/>
        </w:rPr>
        <w:t>20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12"/>
          <w:sz w:val="23"/>
          <w:szCs w:val="23"/>
          <w:highlight w:val="none"/>
        </w:rPr>
        <w:t>。</w:t>
      </w:r>
    </w:p>
    <w:p>
      <w:pPr>
        <w:spacing w:before="6" w:line="228" w:lineRule="auto"/>
        <w:ind w:left="503"/>
        <w:jc w:val="both"/>
        <w:outlineLvl w:val="1"/>
        <w:rPr>
          <w:rFonts w:hint="default" w:ascii="Times New Roman" w:hAnsi="Times New Roman" w:eastAsia="宋体" w:cs="Times New Roman"/>
          <w:sz w:val="23"/>
          <w:szCs w:val="23"/>
          <w:highlight w:val="none"/>
        </w:rPr>
      </w:pPr>
      <w:bookmarkStart w:id="532" w:name="_Toc410"/>
      <w:bookmarkStart w:id="533" w:name="_Toc22145"/>
      <w:bookmarkStart w:id="534" w:name="_Toc29200"/>
      <w:r>
        <w:rPr>
          <w:rFonts w:hint="default" w:ascii="Times New Roman" w:hAnsi="Times New Roman" w:eastAsia="宋体" w:cs="Times New Roman"/>
          <w:spacing w:val="24"/>
          <w:sz w:val="23"/>
          <w:szCs w:val="23"/>
          <w:highlight w:val="none"/>
        </w:rPr>
        <w:t>(</w:t>
      </w:r>
      <w:r>
        <w:rPr>
          <w:rFonts w:hint="default" w:ascii="Times New Roman" w:hAnsi="Times New Roman" w:eastAsia="Times New Roman" w:cs="Times New Roman"/>
          <w:spacing w:val="15"/>
          <w:sz w:val="23"/>
          <w:szCs w:val="23"/>
          <w:highlight w:val="none"/>
        </w:rPr>
        <w:t>3</w:t>
      </w:r>
      <w:r>
        <w:rPr>
          <w:rFonts w:hint="default" w:ascii="Times New Roman" w:hAnsi="Times New Roman" w:eastAsia="宋体" w:cs="Times New Roman"/>
          <w:spacing w:val="15"/>
          <w:sz w:val="23"/>
          <w:szCs w:val="23"/>
          <w:highlight w:val="none"/>
        </w:rPr>
        <w:t>) 第四系孔隙水含水岩组</w:t>
      </w:r>
      <w:bookmarkEnd w:id="532"/>
      <w:bookmarkEnd w:id="533"/>
      <w:bookmarkEnd w:id="534"/>
    </w:p>
    <w:p>
      <w:pPr>
        <w:spacing w:before="213" w:line="402" w:lineRule="auto"/>
        <w:ind w:left="14" w:right="86" w:firstLine="48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7"/>
          <w:sz w:val="23"/>
          <w:szCs w:val="23"/>
          <w:highlight w:val="none"/>
        </w:rPr>
        <w:t>受</w:t>
      </w:r>
      <w:r>
        <w:rPr>
          <w:rFonts w:hint="default" w:ascii="Times New Roman" w:hAnsi="Times New Roman" w:eastAsia="宋体" w:cs="Times New Roman"/>
          <w:spacing w:val="10"/>
          <w:sz w:val="23"/>
          <w:szCs w:val="23"/>
          <w:highlight w:val="none"/>
        </w:rPr>
        <w:t>古沉积环境的影响，论证区第四系含水层厚度变化较大，在山前地带，第四系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厚度仅为几米到十余米，有山前到沉积盆地中心，第四系厚度达到 </w:t>
      </w:r>
      <w:r>
        <w:rPr>
          <w:rFonts w:hint="default" w:ascii="Times New Roman" w:hAnsi="Times New Roman" w:eastAsia="Times New Roman" w:cs="Times New Roman"/>
          <w:spacing w:val="8"/>
          <w:sz w:val="23"/>
          <w:szCs w:val="23"/>
          <w:highlight w:val="none"/>
        </w:rPr>
        <w:t xml:space="preserve">280 </w:t>
      </w:r>
      <w:r>
        <w:rPr>
          <w:rFonts w:hint="default" w:ascii="Times New Roman" w:hAnsi="Times New Roman" w:eastAsia="宋体" w:cs="Times New Roman"/>
          <w:spacing w:val="8"/>
          <w:sz w:val="23"/>
          <w:szCs w:val="23"/>
          <w:highlight w:val="none"/>
        </w:rPr>
        <w:t>余米，由于第</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四</w:t>
      </w:r>
      <w:r>
        <w:rPr>
          <w:rFonts w:hint="default" w:ascii="Times New Roman" w:hAnsi="Times New Roman" w:eastAsia="宋体" w:cs="Times New Roman"/>
          <w:spacing w:val="10"/>
          <w:sz w:val="23"/>
          <w:szCs w:val="23"/>
          <w:highlight w:val="none"/>
        </w:rPr>
        <w:t>系地层的沉积特点，决定了该区地层的含水条件变化较大。第四系含水层是本区的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主要含水层，也是本次水源地的开采层</w:t>
      </w:r>
      <w:r>
        <w:rPr>
          <w:rFonts w:hint="default" w:ascii="Times New Roman" w:hAnsi="Times New Roman" w:eastAsia="宋体" w:cs="Times New Roman"/>
          <w:spacing w:val="5"/>
          <w:sz w:val="23"/>
          <w:szCs w:val="23"/>
          <w:highlight w:val="none"/>
        </w:rPr>
        <w:t>。</w:t>
      </w:r>
    </w:p>
    <w:p>
      <w:pPr>
        <w:spacing w:before="2" w:line="395" w:lineRule="auto"/>
        <w:ind w:left="13" w:right="83" w:firstLine="47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遵</w:t>
      </w:r>
      <w:r>
        <w:rPr>
          <w:rFonts w:hint="default" w:ascii="Times New Roman" w:hAnsi="Times New Roman" w:eastAsia="宋体" w:cs="Times New Roman"/>
          <w:spacing w:val="13"/>
          <w:sz w:val="23"/>
          <w:szCs w:val="23"/>
          <w:highlight w:val="none"/>
        </w:rPr>
        <w:t>化</w:t>
      </w:r>
      <w:r>
        <w:rPr>
          <w:rFonts w:hint="default" w:ascii="Times New Roman" w:hAnsi="Times New Roman" w:eastAsia="宋体" w:cs="Times New Roman"/>
          <w:spacing w:val="10"/>
          <w:sz w:val="23"/>
          <w:szCs w:val="23"/>
          <w:highlight w:val="none"/>
        </w:rPr>
        <w:t>北盆地，上部含水层为冲洪积层，主要为全新统和上更新统及中更新统的上</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段</w:t>
      </w:r>
      <w:r>
        <w:rPr>
          <w:rFonts w:hint="default" w:ascii="Times New Roman" w:hAnsi="Times New Roman" w:eastAsia="宋体" w:cs="Times New Roman"/>
          <w:spacing w:val="11"/>
          <w:sz w:val="23"/>
          <w:szCs w:val="23"/>
          <w:highlight w:val="none"/>
        </w:rPr>
        <w:t>地层，底界埋深一般在</w:t>
      </w:r>
      <w:r>
        <w:rPr>
          <w:rFonts w:hint="default" w:ascii="Times New Roman" w:hAnsi="Times New Roman" w:eastAsia="Times New Roman" w:cs="Times New Roman"/>
          <w:spacing w:val="11"/>
          <w:sz w:val="23"/>
          <w:szCs w:val="23"/>
          <w:highlight w:val="none"/>
        </w:rPr>
        <w:t>40</w:t>
      </w:r>
      <w:r>
        <w:rPr>
          <w:rFonts w:hint="default" w:ascii="Times New Roman" w:hAnsi="Times New Roman" w:eastAsia="宋体" w:cs="Times New Roman"/>
          <w:spacing w:val="11"/>
          <w:sz w:val="23"/>
          <w:szCs w:val="23"/>
          <w:highlight w:val="none"/>
        </w:rPr>
        <w:t>~</w:t>
      </w:r>
      <w:r>
        <w:rPr>
          <w:rFonts w:hint="default" w:ascii="Times New Roman" w:hAnsi="Times New Roman" w:eastAsia="Times New Roman" w:cs="Times New Roman"/>
          <w:spacing w:val="11"/>
          <w:sz w:val="23"/>
          <w:szCs w:val="23"/>
          <w:highlight w:val="none"/>
        </w:rPr>
        <w:t>110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11"/>
          <w:sz w:val="23"/>
          <w:szCs w:val="23"/>
          <w:highlight w:val="none"/>
        </w:rPr>
        <w:t>，水力学性质为潜水－微承压水，含水层岩性有从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东</w:t>
      </w:r>
      <w:r>
        <w:rPr>
          <w:rFonts w:hint="default" w:ascii="Times New Roman" w:hAnsi="Times New Roman" w:eastAsia="宋体" w:cs="Times New Roman"/>
          <w:spacing w:val="11"/>
          <w:sz w:val="23"/>
          <w:szCs w:val="23"/>
          <w:highlight w:val="none"/>
        </w:rPr>
        <w:t>向</w:t>
      </w:r>
      <w:r>
        <w:rPr>
          <w:rFonts w:hint="default" w:ascii="Times New Roman" w:hAnsi="Times New Roman" w:eastAsia="宋体" w:cs="Times New Roman"/>
          <w:spacing w:val="10"/>
          <w:sz w:val="23"/>
          <w:szCs w:val="23"/>
          <w:highlight w:val="none"/>
        </w:rPr>
        <w:t>西、由北至南逐渐变粗、变厚的特征，在西留村－蒲池河地区以细砂为主，砂层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厚 </w:t>
      </w:r>
      <w:r>
        <w:rPr>
          <w:rFonts w:hint="default" w:ascii="Times New Roman" w:hAnsi="Times New Roman" w:eastAsia="Times New Roman" w:cs="Times New Roman"/>
          <w:spacing w:val="8"/>
          <w:sz w:val="23"/>
          <w:szCs w:val="23"/>
          <w:highlight w:val="none"/>
        </w:rPr>
        <w:t>1</w:t>
      </w:r>
      <w:r>
        <w:rPr>
          <w:rFonts w:hint="default" w:ascii="Times New Roman" w:hAnsi="Times New Roman" w:eastAsia="Times New Roman" w:cs="Times New Roman"/>
          <w:spacing w:val="6"/>
          <w:sz w:val="23"/>
          <w:szCs w:val="23"/>
          <w:highlight w:val="none"/>
        </w:rPr>
        <w:t>9</w:t>
      </w:r>
      <w:r>
        <w:rPr>
          <w:rFonts w:hint="default" w:ascii="Times New Roman" w:hAnsi="Times New Roman" w:eastAsia="Times New Roman" w:cs="Times New Roman"/>
          <w:spacing w:val="4"/>
          <w:sz w:val="23"/>
          <w:szCs w:val="23"/>
          <w:highlight w:val="none"/>
        </w:rPr>
        <w:t>.0</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25.2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 xml:space="preserve">，在夏庄子地区最薄仅 </w:t>
      </w:r>
      <w:r>
        <w:rPr>
          <w:rFonts w:hint="default" w:ascii="Times New Roman" w:hAnsi="Times New Roman" w:eastAsia="Times New Roman" w:cs="Times New Roman"/>
          <w:spacing w:val="4"/>
          <w:sz w:val="23"/>
          <w:szCs w:val="23"/>
          <w:highlight w:val="none"/>
        </w:rPr>
        <w:t>8.08</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，到纪各庄－小渤海寨一带以砾卵石、砂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卵砾</w:t>
      </w:r>
      <w:r>
        <w:rPr>
          <w:rFonts w:hint="default" w:ascii="Times New Roman" w:hAnsi="Times New Roman" w:eastAsia="宋体" w:cs="Times New Roman"/>
          <w:spacing w:val="9"/>
          <w:sz w:val="23"/>
          <w:szCs w:val="23"/>
          <w:highlight w:val="none"/>
        </w:rPr>
        <w:t>石</w:t>
      </w:r>
      <w:r>
        <w:rPr>
          <w:rFonts w:hint="default" w:ascii="Times New Roman" w:hAnsi="Times New Roman" w:eastAsia="宋体" w:cs="Times New Roman"/>
          <w:spacing w:val="6"/>
          <w:sz w:val="23"/>
          <w:szCs w:val="23"/>
          <w:highlight w:val="none"/>
        </w:rPr>
        <w:t xml:space="preserve">为主，砂层最厚可达 </w:t>
      </w:r>
      <w:r>
        <w:rPr>
          <w:rFonts w:hint="default" w:ascii="Times New Roman" w:hAnsi="Times New Roman" w:eastAsia="Times New Roman" w:cs="Times New Roman"/>
          <w:spacing w:val="6"/>
          <w:sz w:val="23"/>
          <w:szCs w:val="23"/>
          <w:highlight w:val="none"/>
        </w:rPr>
        <w:t>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。浅层潜水－微承压水的含水层颗粒粗，水量丰富，</w:t>
      </w:r>
    </w:p>
    <w:p>
      <w:pPr>
        <w:spacing w:line="315" w:lineRule="exact"/>
        <w:ind w:left="14"/>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
          <w:position w:val="1"/>
          <w:sz w:val="23"/>
          <w:szCs w:val="23"/>
          <w:highlight w:val="none"/>
        </w:rPr>
        <w:t xml:space="preserve">单井涌水量 (按井深 </w:t>
      </w:r>
      <w:r>
        <w:rPr>
          <w:rFonts w:hint="default" w:ascii="Times New Roman" w:hAnsi="Times New Roman" w:eastAsia="Times New Roman" w:cs="Times New Roman"/>
          <w:spacing w:val="1"/>
          <w:position w:val="1"/>
          <w:sz w:val="23"/>
          <w:szCs w:val="23"/>
          <w:highlight w:val="none"/>
        </w:rPr>
        <w:t>40</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1"/>
          <w:position w:val="1"/>
          <w:sz w:val="23"/>
          <w:szCs w:val="23"/>
          <w:highlight w:val="none"/>
        </w:rPr>
        <w:t xml:space="preserve"> </w:t>
      </w:r>
      <w:r>
        <w:rPr>
          <w:rFonts w:hint="default" w:ascii="Times New Roman" w:hAnsi="Times New Roman" w:eastAsia="宋体" w:cs="Times New Roman"/>
          <w:spacing w:val="1"/>
          <w:position w:val="1"/>
          <w:sz w:val="23"/>
          <w:szCs w:val="23"/>
          <w:highlight w:val="none"/>
        </w:rPr>
        <w:t xml:space="preserve">、井径 </w:t>
      </w:r>
      <w:r>
        <w:rPr>
          <w:rFonts w:hint="default" w:ascii="Times New Roman" w:hAnsi="Times New Roman" w:eastAsia="Times New Roman" w:cs="Times New Roman"/>
          <w:spacing w:val="1"/>
          <w:position w:val="1"/>
          <w:sz w:val="23"/>
          <w:szCs w:val="23"/>
          <w:highlight w:val="none"/>
        </w:rPr>
        <w:t>0.25</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1"/>
          <w:position w:val="1"/>
          <w:sz w:val="23"/>
          <w:szCs w:val="23"/>
          <w:highlight w:val="none"/>
        </w:rPr>
        <w:t xml:space="preserve"> </w:t>
      </w:r>
      <w:r>
        <w:rPr>
          <w:rFonts w:hint="default" w:ascii="Times New Roman" w:hAnsi="Times New Roman" w:eastAsia="宋体" w:cs="Times New Roman"/>
          <w:spacing w:val="1"/>
          <w:position w:val="1"/>
          <w:sz w:val="23"/>
          <w:szCs w:val="23"/>
          <w:highlight w:val="none"/>
        </w:rPr>
        <w:t xml:space="preserve">、降深 </w:t>
      </w:r>
      <w:r>
        <w:rPr>
          <w:rFonts w:hint="default" w:ascii="Times New Roman" w:hAnsi="Times New Roman" w:eastAsia="Times New Roman" w:cs="Times New Roman"/>
          <w:spacing w:val="1"/>
          <w:position w:val="1"/>
          <w:sz w:val="23"/>
          <w:szCs w:val="23"/>
          <w:highlight w:val="none"/>
        </w:rPr>
        <w:t>2</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1"/>
          <w:position w:val="1"/>
          <w:sz w:val="23"/>
          <w:szCs w:val="23"/>
          <w:highlight w:val="none"/>
        </w:rPr>
        <w:t xml:space="preserve"> </w:t>
      </w:r>
      <w:r>
        <w:rPr>
          <w:rFonts w:hint="default" w:ascii="Times New Roman" w:hAnsi="Times New Roman" w:eastAsia="宋体" w:cs="Times New Roman"/>
          <w:spacing w:val="1"/>
          <w:position w:val="1"/>
          <w:sz w:val="23"/>
          <w:szCs w:val="23"/>
          <w:highlight w:val="none"/>
        </w:rPr>
        <w:t xml:space="preserve">的出水量) </w:t>
      </w:r>
      <w:r>
        <w:rPr>
          <w:rFonts w:hint="default" w:ascii="Times New Roman" w:hAnsi="Times New Roman" w:eastAsia="宋体" w:cs="Times New Roman"/>
          <w:position w:val="1"/>
          <w:sz w:val="23"/>
          <w:szCs w:val="23"/>
          <w:highlight w:val="none"/>
        </w:rPr>
        <w:t xml:space="preserve">最大可达 </w:t>
      </w:r>
      <w:r>
        <w:rPr>
          <w:rFonts w:hint="default" w:ascii="Times New Roman" w:hAnsi="Times New Roman" w:eastAsia="Times New Roman" w:cs="Times New Roman"/>
          <w:position w:val="1"/>
          <w:sz w:val="23"/>
          <w:szCs w:val="23"/>
          <w:highlight w:val="none"/>
        </w:rPr>
        <w:t>3102.77m</w:t>
      </w:r>
      <w:r>
        <w:rPr>
          <w:rFonts w:hint="default" w:ascii="Times New Roman" w:hAnsi="Times New Roman" w:eastAsia="Times New Roman" w:cs="Times New Roman"/>
          <w:position w:val="8"/>
          <w:sz w:val="15"/>
          <w:szCs w:val="15"/>
          <w:highlight w:val="none"/>
        </w:rPr>
        <w:t>3</w:t>
      </w:r>
      <w:r>
        <w:rPr>
          <w:rFonts w:hint="default" w:ascii="Times New Roman" w:hAnsi="Times New Roman" w:eastAsia="Times New Roman" w:cs="Times New Roman"/>
          <w:position w:val="1"/>
          <w:sz w:val="23"/>
          <w:szCs w:val="23"/>
          <w:highlight w:val="none"/>
        </w:rPr>
        <w:t>/h</w:t>
      </w:r>
      <w:r>
        <w:rPr>
          <w:rFonts w:hint="default" w:ascii="Times New Roman" w:hAnsi="Times New Roman" w:eastAsia="宋体" w:cs="Times New Roman"/>
          <w:position w:val="1"/>
          <w:sz w:val="23"/>
          <w:szCs w:val="23"/>
          <w:highlight w:val="none"/>
        </w:rPr>
        <w:t>，</w:t>
      </w:r>
    </w:p>
    <w:p>
      <w:pPr>
        <w:spacing w:before="183" w:line="407" w:lineRule="auto"/>
        <w:ind w:right="83" w:firstLine="14"/>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2"/>
          <w:sz w:val="23"/>
          <w:szCs w:val="23"/>
          <w:highlight w:val="none"/>
        </w:rPr>
        <w:t>主</w:t>
      </w:r>
      <w:r>
        <w:rPr>
          <w:rFonts w:hint="default" w:ascii="Times New Roman" w:hAnsi="Times New Roman" w:eastAsia="宋体" w:cs="Times New Roman"/>
          <w:spacing w:val="16"/>
          <w:sz w:val="23"/>
          <w:szCs w:val="23"/>
          <w:highlight w:val="none"/>
        </w:rPr>
        <w:t>要</w:t>
      </w:r>
      <w:r>
        <w:rPr>
          <w:rFonts w:hint="default" w:ascii="Times New Roman" w:hAnsi="Times New Roman" w:eastAsia="宋体" w:cs="Times New Roman"/>
          <w:spacing w:val="11"/>
          <w:sz w:val="23"/>
          <w:szCs w:val="23"/>
          <w:highlight w:val="none"/>
        </w:rPr>
        <w:t>分布在提举坞至小渤海寨一带，其它地区一般在</w:t>
      </w:r>
      <w:r>
        <w:rPr>
          <w:rFonts w:hint="default" w:ascii="Times New Roman" w:hAnsi="Times New Roman" w:eastAsia="Times New Roman" w:cs="Times New Roman"/>
          <w:spacing w:val="11"/>
          <w:sz w:val="23"/>
          <w:szCs w:val="23"/>
          <w:highlight w:val="none"/>
        </w:rPr>
        <w:t>200</w:t>
      </w:r>
      <w:r>
        <w:rPr>
          <w:rFonts w:hint="default" w:ascii="Times New Roman" w:hAnsi="Times New Roman" w:eastAsia="宋体" w:cs="Times New Roman"/>
          <w:spacing w:val="11"/>
          <w:sz w:val="23"/>
          <w:szCs w:val="23"/>
          <w:highlight w:val="none"/>
        </w:rPr>
        <w:t>~</w:t>
      </w:r>
      <w:r>
        <w:rPr>
          <w:rFonts w:hint="default" w:ascii="Times New Roman" w:hAnsi="Times New Roman" w:eastAsia="Times New Roman" w:cs="Times New Roman"/>
          <w:spacing w:val="11"/>
          <w:sz w:val="23"/>
          <w:szCs w:val="23"/>
          <w:highlight w:val="none"/>
        </w:rPr>
        <w:t xml:space="preserve">500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1"/>
          <w:position w:val="8"/>
          <w:sz w:val="15"/>
          <w:szCs w:val="15"/>
          <w:highlight w:val="none"/>
        </w:rPr>
        <w:t>3</w:t>
      </w:r>
      <w:r>
        <w:rPr>
          <w:rFonts w:hint="default" w:ascii="Times New Roman" w:hAnsi="Times New Roman" w:eastAsia="Times New Roman" w:cs="Times New Roman"/>
          <w:spacing w:val="11"/>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11"/>
          <w:sz w:val="23"/>
          <w:szCs w:val="23"/>
          <w:highlight w:val="none"/>
        </w:rPr>
        <w:t>。该含水组水量丰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富，</w:t>
      </w:r>
      <w:r>
        <w:rPr>
          <w:rFonts w:hint="default" w:ascii="Times New Roman" w:hAnsi="Times New Roman" w:eastAsia="宋体" w:cs="Times New Roman"/>
          <w:spacing w:val="14"/>
          <w:sz w:val="23"/>
          <w:szCs w:val="23"/>
          <w:highlight w:val="none"/>
        </w:rPr>
        <w:t>补</w:t>
      </w:r>
      <w:r>
        <w:rPr>
          <w:rFonts w:hint="default" w:ascii="Times New Roman" w:hAnsi="Times New Roman" w:eastAsia="宋体" w:cs="Times New Roman"/>
          <w:spacing w:val="10"/>
          <w:sz w:val="23"/>
          <w:szCs w:val="23"/>
          <w:highlight w:val="none"/>
        </w:rPr>
        <w:t>给量充沛，含水层埋藏浅，成井容易，开采方便，是生活用水和农业用水的主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要水</w:t>
      </w:r>
      <w:r>
        <w:rPr>
          <w:rFonts w:hint="default" w:ascii="Times New Roman" w:hAnsi="Times New Roman" w:eastAsia="宋体" w:cs="Times New Roman"/>
          <w:spacing w:val="14"/>
          <w:sz w:val="23"/>
          <w:szCs w:val="23"/>
          <w:highlight w:val="none"/>
        </w:rPr>
        <w:t>源</w:t>
      </w:r>
      <w:r>
        <w:rPr>
          <w:rFonts w:hint="default" w:ascii="Times New Roman" w:hAnsi="Times New Roman" w:eastAsia="宋体" w:cs="Times New Roman"/>
          <w:spacing w:val="10"/>
          <w:sz w:val="23"/>
          <w:szCs w:val="23"/>
          <w:highlight w:val="none"/>
        </w:rPr>
        <w:t>。但是由于该含水组的上覆地层以亚砂土为主，且厚度较薄，防护能力差，受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 xml:space="preserve">当地人类活动的影响较大，个别地区近年来污染较为严重，主要表现在水中 </w:t>
      </w:r>
      <w:r>
        <w:rPr>
          <w:rFonts w:hint="default" w:ascii="Times New Roman" w:hAnsi="Times New Roman" w:eastAsia="Times New Roman" w:cs="Times New Roman"/>
          <w:sz w:val="23"/>
          <w:szCs w:val="23"/>
          <w:highlight w:val="none"/>
        </w:rPr>
        <w:t>NO</w:t>
      </w:r>
      <w:r>
        <w:rPr>
          <w:rFonts w:hint="default" w:ascii="Times New Roman" w:hAnsi="Times New Roman" w:eastAsia="Times New Roman" w:cs="Times New Roman"/>
          <w:spacing w:val="11"/>
          <w:position w:val="-1"/>
          <w:sz w:val="15"/>
          <w:szCs w:val="15"/>
          <w:highlight w:val="none"/>
        </w:rPr>
        <w:t xml:space="preserve">3 </w:t>
      </w:r>
      <w:r>
        <w:rPr>
          <w:rFonts w:hint="default" w:ascii="Times New Roman" w:hAnsi="Times New Roman" w:eastAsia="宋体" w:cs="Times New Roman"/>
          <w:spacing w:val="11"/>
          <w:position w:val="12"/>
          <w:sz w:val="11"/>
          <w:szCs w:val="11"/>
          <w:highlight w:val="none"/>
        </w:rPr>
        <w:t>－</w:t>
      </w:r>
      <w:r>
        <w:rPr>
          <w:rFonts w:hint="default" w:ascii="Times New Roman" w:hAnsi="Times New Roman" w:eastAsia="宋体" w:cs="Times New Roman"/>
          <w:spacing w:val="10"/>
          <w:sz w:val="23"/>
          <w:szCs w:val="23"/>
          <w:highlight w:val="none"/>
        </w:rPr>
        <w:t>和</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z w:val="23"/>
          <w:szCs w:val="23"/>
          <w:highlight w:val="none"/>
        </w:rPr>
        <w:t>NH</w:t>
      </w:r>
      <w:r>
        <w:rPr>
          <w:rFonts w:hint="default" w:ascii="Times New Roman" w:hAnsi="Times New Roman" w:eastAsia="Times New Roman" w:cs="Times New Roman"/>
          <w:spacing w:val="9"/>
          <w:position w:val="-2"/>
          <w:sz w:val="15"/>
          <w:szCs w:val="15"/>
          <w:highlight w:val="none"/>
        </w:rPr>
        <w:t>4</w:t>
      </w:r>
      <w:r>
        <w:rPr>
          <w:rFonts w:hint="default" w:ascii="Times New Roman" w:hAnsi="Times New Roman" w:eastAsia="Times New Roman" w:cs="Times New Roman"/>
          <w:spacing w:val="9"/>
          <w:position w:val="7"/>
          <w:sz w:val="15"/>
          <w:szCs w:val="15"/>
          <w:highlight w:val="none"/>
        </w:rPr>
        <w:t>+</w:t>
      </w:r>
      <w:r>
        <w:rPr>
          <w:rFonts w:hint="default" w:ascii="Times New Roman" w:hAnsi="Times New Roman" w:eastAsia="宋体" w:cs="Times New Roman"/>
          <w:spacing w:val="9"/>
          <w:sz w:val="23"/>
          <w:szCs w:val="23"/>
          <w:highlight w:val="none"/>
        </w:rPr>
        <w:t>含量较高</w:t>
      </w:r>
      <w:r>
        <w:rPr>
          <w:rFonts w:hint="default" w:ascii="Times New Roman" w:hAnsi="Times New Roman" w:eastAsia="宋体" w:cs="Times New Roman"/>
          <w:spacing w:val="8"/>
          <w:sz w:val="23"/>
          <w:szCs w:val="23"/>
          <w:highlight w:val="none"/>
        </w:rPr>
        <w:t>。</w:t>
      </w:r>
    </w:p>
    <w:p>
      <w:pPr>
        <w:spacing w:before="2" w:line="409" w:lineRule="auto"/>
        <w:ind w:left="15" w:right="20" w:firstLine="484"/>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下</w:t>
      </w:r>
      <w:r>
        <w:rPr>
          <w:rFonts w:hint="default" w:ascii="Times New Roman" w:hAnsi="Times New Roman" w:eastAsia="宋体" w:cs="Times New Roman"/>
          <w:spacing w:val="10"/>
          <w:sz w:val="23"/>
          <w:szCs w:val="23"/>
          <w:highlight w:val="none"/>
        </w:rPr>
        <w:t>部含水层主要是中更新统下段和早更新统地层，该段地层厚度变化较大，主要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分</w:t>
      </w:r>
      <w:r>
        <w:rPr>
          <w:rFonts w:hint="default" w:ascii="Times New Roman" w:hAnsi="Times New Roman" w:eastAsia="宋体" w:cs="Times New Roman"/>
          <w:spacing w:val="2"/>
          <w:sz w:val="23"/>
          <w:szCs w:val="23"/>
          <w:highlight w:val="none"/>
        </w:rPr>
        <w:t xml:space="preserve">布在盆地的低洼地段，含水组底界最大埋深一般在 </w:t>
      </w:r>
      <w:r>
        <w:rPr>
          <w:rFonts w:hint="default" w:ascii="Times New Roman" w:hAnsi="Times New Roman" w:eastAsia="Times New Roman" w:cs="Times New Roman"/>
          <w:spacing w:val="2"/>
          <w:sz w:val="23"/>
          <w:szCs w:val="23"/>
          <w:highlight w:val="none"/>
        </w:rPr>
        <w:t>150</w:t>
      </w:r>
      <w:r>
        <w:rPr>
          <w:rFonts w:hint="default" w:ascii="Times New Roman" w:hAnsi="Times New Roman" w:eastAsia="宋体" w:cs="Times New Roman"/>
          <w:spacing w:val="2"/>
          <w:sz w:val="23"/>
          <w:szCs w:val="23"/>
          <w:highlight w:val="none"/>
        </w:rPr>
        <w:t>~</w:t>
      </w:r>
      <w:r>
        <w:rPr>
          <w:rFonts w:hint="default" w:ascii="Times New Roman" w:hAnsi="Times New Roman" w:eastAsia="Times New Roman" w:cs="Times New Roman"/>
          <w:spacing w:val="2"/>
          <w:sz w:val="23"/>
          <w:szCs w:val="23"/>
          <w:highlight w:val="none"/>
        </w:rPr>
        <w:t>240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2"/>
          <w:sz w:val="23"/>
          <w:szCs w:val="23"/>
          <w:highlight w:val="none"/>
        </w:rPr>
        <w:t xml:space="preserve">，局部地区大于 </w:t>
      </w:r>
      <w:r>
        <w:rPr>
          <w:rFonts w:hint="default" w:ascii="Times New Roman" w:hAnsi="Times New Roman" w:eastAsia="Times New Roman" w:cs="Times New Roman"/>
          <w:spacing w:val="2"/>
          <w:sz w:val="23"/>
          <w:szCs w:val="23"/>
          <w:highlight w:val="none"/>
        </w:rPr>
        <w:t>270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2"/>
          <w:sz w:val="23"/>
          <w:szCs w:val="23"/>
          <w:highlight w:val="none"/>
        </w:rPr>
        <w:t>，</w:t>
      </w:r>
    </w:p>
    <w:p>
      <w:pPr>
        <w:spacing w:before="227" w:line="72" w:lineRule="exact"/>
        <w:ind w:firstLine="2"/>
        <w:textAlignment w:val="center"/>
        <w:rPr>
          <w:rFonts w:hint="default" w:ascii="Times New Roman" w:hAnsi="Times New Roman" w:cs="Times New Roman"/>
          <w:highlight w:val="none"/>
        </w:rPr>
      </w:pPr>
      <w:r>
        <w:rPr>
          <w:rFonts w:hint="default" w:ascii="Times New Roman" w:hAnsi="Times New Roman" w:cs="Times New Roman"/>
          <w:highlight w:val="none"/>
        </w:rPr>
        <w:pict>
          <v:shape id="_x0000_s1233" o:spid="_x0000_s1233" style="height:3.65pt;width:445.1pt;" fillcolor="#000000" filled="t" stroked="f" coordsize="8902,73" path="m0,0l8901,0,8901,14,0,14,0,0xem0,28l8901,28,8901,72,0,72,0,28xe">
            <v:path/>
            <v:fill on="t" focussize="0,0"/>
            <v:stroke on="f"/>
            <v:imagedata o:title=""/>
            <o:lock v:ext="edit"/>
            <w10:wrap type="none"/>
            <w10:anchorlock/>
          </v:shape>
        </w:pict>
      </w:r>
    </w:p>
    <w:p>
      <w:pPr>
        <w:bidi w:val="0"/>
        <w:rPr>
          <w:rFonts w:hint="default"/>
          <w:highlight w:val="none"/>
        </w:rPr>
      </w:pPr>
    </w:p>
    <w:p>
      <w:pPr>
        <w:spacing w:before="2" w:line="401" w:lineRule="auto"/>
        <w:ind w:right="65"/>
        <w:rPr>
          <w:rFonts w:hint="default" w:ascii="Times New Roman" w:hAnsi="Times New Roman" w:eastAsia="宋体" w:cs="Times New Roman"/>
          <w:spacing w:val="10"/>
          <w:sz w:val="23"/>
          <w:szCs w:val="23"/>
          <w:highlight w:val="none"/>
        </w:rPr>
      </w:pPr>
      <w:r>
        <w:rPr>
          <w:rFonts w:hint="default" w:ascii="Times New Roman" w:hAnsi="Times New Roman" w:eastAsia="宋体" w:cs="Times New Roman"/>
          <w:spacing w:val="10"/>
          <w:sz w:val="23"/>
          <w:szCs w:val="23"/>
          <w:highlight w:val="none"/>
        </w:rPr>
        <w:pict>
          <v:shape id="_x0000_s1234" o:spid="_x0000_s1234" style="position:absolute;left:0pt;margin-left:82.2pt;margin-top:52.5pt;height:0.75pt;width:445.1pt;mso-position-horizontal-relative:page;mso-position-vertical-relative:page;z-index:251747328;mso-width-relative:page;mso-height-relative:page;" fillcolor="#000000" filled="t" stroked="f" coordsize="8902,15" o:allowincell="f" path="m0,0l8901,0,8901,14,0,14,0,0xe">
            <v:path/>
            <v:fill on="t" focussize="0,0"/>
            <v:stroke on="f"/>
            <v:imagedata o:title=""/>
            <o:lock v:ext="edit"/>
          </v:shape>
        </w:pict>
      </w:r>
      <w:r>
        <w:rPr>
          <w:rFonts w:hint="default" w:ascii="Times New Roman" w:hAnsi="Times New Roman" w:eastAsia="宋体" w:cs="Times New Roman"/>
          <w:spacing w:val="10"/>
          <w:sz w:val="23"/>
          <w:szCs w:val="23"/>
          <w:highlight w:val="none"/>
        </w:rPr>
        <w:t>在小埝庄－纪各庄一带最深大于 250m。含水层岩性沿北阁老湾－南岭－北岭一线可分 为东西两部分，在东部地区含水层岩性以粉细砂、中砂为主，而在西部地区以卵石、 卵砾石为主。该段含水层由于风化较强烈，含水层颗粒多被风化为粘性土和粉细砂， 富水性较差。</w:t>
      </w:r>
    </w:p>
    <w:p>
      <w:pPr>
        <w:spacing w:before="1" w:line="401" w:lineRule="auto"/>
        <w:ind w:left="7" w:firstLine="48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根据钻</w:t>
      </w:r>
      <w:r>
        <w:rPr>
          <w:rFonts w:hint="default" w:ascii="Times New Roman" w:hAnsi="Times New Roman" w:eastAsia="宋体" w:cs="Times New Roman"/>
          <w:spacing w:val="8"/>
          <w:sz w:val="23"/>
          <w:szCs w:val="23"/>
          <w:highlight w:val="none"/>
        </w:rPr>
        <w:t>孔</w:t>
      </w:r>
      <w:r>
        <w:rPr>
          <w:rFonts w:hint="default" w:ascii="Times New Roman" w:hAnsi="Times New Roman" w:eastAsia="宋体" w:cs="Times New Roman"/>
          <w:spacing w:val="5"/>
          <w:sz w:val="23"/>
          <w:szCs w:val="23"/>
          <w:highlight w:val="none"/>
        </w:rPr>
        <w:t>资料和钻孔物探资料分析、以及水源地的勘探钻孔资料，我们可以看出，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勘</w:t>
      </w:r>
      <w:r>
        <w:rPr>
          <w:rFonts w:hint="default" w:ascii="Times New Roman" w:hAnsi="Times New Roman" w:eastAsia="宋体" w:cs="Times New Roman"/>
          <w:spacing w:val="14"/>
          <w:sz w:val="23"/>
          <w:szCs w:val="23"/>
          <w:highlight w:val="none"/>
        </w:rPr>
        <w:t>探</w:t>
      </w:r>
      <w:r>
        <w:rPr>
          <w:rFonts w:hint="default" w:ascii="Times New Roman" w:hAnsi="Times New Roman" w:eastAsia="宋体" w:cs="Times New Roman"/>
          <w:spacing w:val="10"/>
          <w:sz w:val="23"/>
          <w:szCs w:val="23"/>
          <w:highlight w:val="none"/>
        </w:rPr>
        <w:t>孔的出水量与含水层的利用厚度不成正相关，而出水量却与利用上部含水层利用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 xml:space="preserve">情况成正相关，如 </w:t>
      </w:r>
      <w:r>
        <w:rPr>
          <w:rFonts w:hint="default" w:ascii="Times New Roman" w:hAnsi="Times New Roman" w:eastAsia="Times New Roman" w:cs="Times New Roman"/>
          <w:sz w:val="23"/>
          <w:szCs w:val="23"/>
          <w:highlight w:val="none"/>
        </w:rPr>
        <w:t>ZS</w:t>
      </w:r>
      <w:r>
        <w:rPr>
          <w:rFonts w:hint="default" w:ascii="Times New Roman" w:hAnsi="Times New Roman" w:eastAsia="Times New Roman" w:cs="Times New Roman"/>
          <w:spacing w:val="1"/>
          <w:sz w:val="23"/>
          <w:szCs w:val="23"/>
          <w:highlight w:val="none"/>
        </w:rPr>
        <w:t xml:space="preserve">04 </w:t>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z w:val="23"/>
          <w:szCs w:val="23"/>
          <w:highlight w:val="none"/>
        </w:rPr>
        <w:t>ZS</w:t>
      </w:r>
      <w:r>
        <w:rPr>
          <w:rFonts w:hint="default" w:ascii="Times New Roman" w:hAnsi="Times New Roman" w:eastAsia="Times New Roman" w:cs="Times New Roman"/>
          <w:spacing w:val="1"/>
          <w:sz w:val="23"/>
          <w:szCs w:val="23"/>
          <w:highlight w:val="none"/>
        </w:rPr>
        <w:t xml:space="preserve">06 </w:t>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z w:val="23"/>
          <w:szCs w:val="23"/>
          <w:highlight w:val="none"/>
        </w:rPr>
        <w:t>ZS</w:t>
      </w:r>
      <w:r>
        <w:rPr>
          <w:rFonts w:hint="default" w:ascii="Times New Roman" w:hAnsi="Times New Roman" w:eastAsia="Times New Roman" w:cs="Times New Roman"/>
          <w:spacing w:val="1"/>
          <w:sz w:val="23"/>
          <w:szCs w:val="23"/>
          <w:highlight w:val="none"/>
        </w:rPr>
        <w:t xml:space="preserve">07 </w:t>
      </w:r>
      <w:r>
        <w:rPr>
          <w:rFonts w:hint="default" w:ascii="Times New Roman" w:hAnsi="Times New Roman" w:eastAsia="宋体" w:cs="Times New Roman"/>
          <w:spacing w:val="1"/>
          <w:sz w:val="23"/>
          <w:szCs w:val="23"/>
          <w:highlight w:val="none"/>
        </w:rPr>
        <w:t xml:space="preserve">号孔，利用段是从 </w:t>
      </w:r>
      <w:r>
        <w:rPr>
          <w:rFonts w:hint="default" w:ascii="Times New Roman" w:hAnsi="Times New Roman" w:eastAsia="Times New Roman" w:cs="Times New Roman"/>
          <w:spacing w:val="1"/>
          <w:sz w:val="23"/>
          <w:szCs w:val="23"/>
          <w:highlight w:val="none"/>
        </w:rPr>
        <w:t xml:space="preserve">60 </w:t>
      </w:r>
      <w:r>
        <w:rPr>
          <w:rFonts w:hint="default" w:ascii="Times New Roman" w:hAnsi="Times New Roman" w:eastAsia="宋体" w:cs="Times New Roman"/>
          <w:spacing w:val="1"/>
          <w:sz w:val="23"/>
          <w:szCs w:val="23"/>
          <w:highlight w:val="none"/>
        </w:rPr>
        <w:t>米左右开始利用，单位出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 xml:space="preserve">水量 </w:t>
      </w:r>
      <w:r>
        <w:rPr>
          <w:rFonts w:hint="default" w:ascii="Times New Roman" w:hAnsi="Times New Roman" w:eastAsia="Times New Roman" w:cs="Times New Roman"/>
          <w:spacing w:val="4"/>
          <w:sz w:val="23"/>
          <w:szCs w:val="23"/>
          <w:highlight w:val="none"/>
        </w:rPr>
        <w:t>18.65</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48.68</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position w:val="8"/>
          <w:sz w:val="15"/>
          <w:szCs w:val="15"/>
          <w:highlight w:val="none"/>
        </w:rPr>
        <w:t>3</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4"/>
          <w:sz w:val="23"/>
          <w:szCs w:val="23"/>
          <w:highlight w:val="none"/>
        </w:rPr>
        <w:t xml:space="preserve">，而其它钻孔利用段大多在 </w:t>
      </w:r>
      <w:r>
        <w:rPr>
          <w:rFonts w:hint="default" w:ascii="Times New Roman" w:hAnsi="Times New Roman" w:eastAsia="Times New Roman" w:cs="Times New Roman"/>
          <w:spacing w:val="4"/>
          <w:sz w:val="23"/>
          <w:szCs w:val="23"/>
          <w:highlight w:val="none"/>
        </w:rPr>
        <w:t xml:space="preserve">80 </w:t>
      </w:r>
      <w:r>
        <w:rPr>
          <w:rFonts w:hint="default" w:ascii="Times New Roman" w:hAnsi="Times New Roman" w:eastAsia="宋体" w:cs="Times New Roman"/>
          <w:spacing w:val="4"/>
          <w:sz w:val="23"/>
          <w:szCs w:val="23"/>
          <w:highlight w:val="none"/>
        </w:rPr>
        <w:t>米以下，单位出水量却比较</w:t>
      </w:r>
      <w:r>
        <w:rPr>
          <w:rFonts w:hint="default" w:ascii="Times New Roman" w:hAnsi="Times New Roman" w:eastAsia="宋体" w:cs="Times New Roman"/>
          <w:spacing w:val="3"/>
          <w:sz w:val="23"/>
          <w:szCs w:val="23"/>
          <w:highlight w:val="none"/>
        </w:rPr>
        <w:t>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因</w:t>
      </w:r>
      <w:r>
        <w:rPr>
          <w:rFonts w:hint="default" w:ascii="Times New Roman" w:hAnsi="Times New Roman" w:eastAsia="宋体" w:cs="Times New Roman"/>
          <w:spacing w:val="14"/>
          <w:sz w:val="23"/>
          <w:szCs w:val="23"/>
          <w:highlight w:val="none"/>
        </w:rPr>
        <w:t>此</w:t>
      </w:r>
      <w:r>
        <w:rPr>
          <w:rFonts w:hint="default" w:ascii="Times New Roman" w:hAnsi="Times New Roman" w:eastAsia="宋体" w:cs="Times New Roman"/>
          <w:spacing w:val="9"/>
          <w:sz w:val="23"/>
          <w:szCs w:val="23"/>
          <w:highlight w:val="none"/>
        </w:rPr>
        <w:t>可以看出，深部含水层富水性较差，含水层风化或含泥质成分较高。</w:t>
      </w:r>
    </w:p>
    <w:p>
      <w:pPr>
        <w:spacing w:before="2" w:line="401" w:lineRule="auto"/>
        <w:ind w:left="9" w:right="65"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9"/>
          <w:sz w:val="23"/>
          <w:szCs w:val="23"/>
          <w:highlight w:val="none"/>
        </w:rPr>
        <w:t>从</w:t>
      </w:r>
      <w:r>
        <w:rPr>
          <w:rFonts w:hint="default" w:ascii="Times New Roman" w:hAnsi="Times New Roman" w:eastAsia="宋体" w:cs="Times New Roman"/>
          <w:spacing w:val="10"/>
          <w:sz w:val="23"/>
          <w:szCs w:val="23"/>
          <w:highlight w:val="none"/>
        </w:rPr>
        <w:t>总体上分析，该盆地的主要富水地段为上部含水层。根据地层结构分析，该区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含</w:t>
      </w:r>
      <w:r>
        <w:rPr>
          <w:rFonts w:hint="default" w:ascii="Times New Roman" w:hAnsi="Times New Roman" w:eastAsia="宋体" w:cs="Times New Roman"/>
          <w:spacing w:val="12"/>
          <w:sz w:val="23"/>
          <w:szCs w:val="23"/>
          <w:highlight w:val="none"/>
        </w:rPr>
        <w:t>水</w:t>
      </w:r>
      <w:r>
        <w:rPr>
          <w:rFonts w:hint="default" w:ascii="Times New Roman" w:hAnsi="Times New Roman" w:eastAsia="宋体" w:cs="Times New Roman"/>
          <w:spacing w:val="10"/>
          <w:sz w:val="23"/>
          <w:szCs w:val="23"/>
          <w:highlight w:val="none"/>
        </w:rPr>
        <w:t>层为一个统一的第四系含水层，各含水层之间没有稳定的隔水层，因此该区的地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下水含水层为一潜水微承压水含水系统</w:t>
      </w:r>
      <w:r>
        <w:rPr>
          <w:rFonts w:hint="default" w:ascii="Times New Roman" w:hAnsi="Times New Roman" w:eastAsia="宋体" w:cs="Times New Roman"/>
          <w:spacing w:val="7"/>
          <w:sz w:val="23"/>
          <w:szCs w:val="23"/>
          <w:highlight w:val="none"/>
        </w:rPr>
        <w:t>。</w:t>
      </w:r>
    </w:p>
    <w:p>
      <w:pPr>
        <w:ind w:left="485"/>
        <w:outlineLvl w:val="0"/>
        <w:rPr>
          <w:rFonts w:hint="default" w:ascii="Times New Roman" w:hAnsi="Times New Roman" w:eastAsia="宋体" w:cs="Times New Roman"/>
          <w:sz w:val="23"/>
          <w:szCs w:val="23"/>
          <w:highlight w:val="none"/>
        </w:rPr>
      </w:pPr>
      <w:bookmarkStart w:id="535" w:name="_Toc12873"/>
      <w:bookmarkStart w:id="536" w:name="_Toc22941"/>
      <w:bookmarkStart w:id="537" w:name="_Toc14027"/>
      <w:r>
        <w:rPr>
          <w:rFonts w:hint="default" w:ascii="Times New Roman" w:hAnsi="Times New Roman" w:eastAsia="Times New Roman" w:cs="Times New Roman"/>
          <w:spacing w:val="2"/>
          <w:sz w:val="23"/>
          <w:szCs w:val="23"/>
          <w:highlight w:val="none"/>
        </w:rPr>
        <w:t xml:space="preserve">2 </w:t>
      </w:r>
      <w:r>
        <w:rPr>
          <w:rFonts w:hint="default" w:ascii="Times New Roman" w:hAnsi="Times New Roman" w:eastAsia="宋体" w:cs="Times New Roman"/>
          <w:spacing w:val="2"/>
          <w:sz w:val="23"/>
          <w:szCs w:val="23"/>
          <w:highlight w:val="none"/>
        </w:rPr>
        <w:t>、</w:t>
      </w:r>
      <w:r>
        <w:rPr>
          <w:rFonts w:hint="default" w:ascii="Times New Roman" w:hAnsi="Times New Roman" w:eastAsia="宋体" w:cs="Times New Roman"/>
          <w:spacing w:val="1"/>
          <w:sz w:val="23"/>
          <w:szCs w:val="23"/>
          <w:highlight w:val="none"/>
        </w:rPr>
        <w:t>水文地质分区</w:t>
      </w:r>
      <w:bookmarkEnd w:id="535"/>
      <w:bookmarkEnd w:id="536"/>
      <w:bookmarkEnd w:id="537"/>
    </w:p>
    <w:p>
      <w:pPr>
        <w:spacing w:before="200" w:line="401" w:lineRule="auto"/>
        <w:ind w:left="8" w:right="65"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遵</w:t>
      </w:r>
      <w:r>
        <w:rPr>
          <w:rFonts w:hint="default" w:ascii="Times New Roman" w:hAnsi="Times New Roman" w:eastAsia="宋体" w:cs="Times New Roman"/>
          <w:spacing w:val="13"/>
          <w:sz w:val="23"/>
          <w:szCs w:val="23"/>
          <w:highlight w:val="none"/>
        </w:rPr>
        <w:t>化</w:t>
      </w:r>
      <w:r>
        <w:rPr>
          <w:rFonts w:hint="default" w:ascii="Times New Roman" w:hAnsi="Times New Roman" w:eastAsia="宋体" w:cs="Times New Roman"/>
          <w:spacing w:val="10"/>
          <w:sz w:val="23"/>
          <w:szCs w:val="23"/>
          <w:highlight w:val="none"/>
        </w:rPr>
        <w:t>市城区饮用水地下水水源分布于遵化市北川平原境内，根据地下水水源地附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近</w:t>
      </w:r>
      <w:r>
        <w:rPr>
          <w:rFonts w:hint="default" w:ascii="Times New Roman" w:hAnsi="Times New Roman" w:eastAsia="宋体" w:cs="Times New Roman"/>
          <w:spacing w:val="13"/>
          <w:sz w:val="23"/>
          <w:szCs w:val="23"/>
          <w:highlight w:val="none"/>
        </w:rPr>
        <w:t>区</w:t>
      </w:r>
      <w:r>
        <w:rPr>
          <w:rFonts w:hint="default" w:ascii="Times New Roman" w:hAnsi="Times New Roman" w:eastAsia="宋体" w:cs="Times New Roman"/>
          <w:spacing w:val="10"/>
          <w:sz w:val="23"/>
          <w:szCs w:val="23"/>
          <w:highlight w:val="none"/>
        </w:rPr>
        <w:t>域地下水赋存条件及富水程度、岩性、地貌以及地下水补给条件，依据不同岩类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地</w:t>
      </w:r>
      <w:r>
        <w:rPr>
          <w:rFonts w:hint="default" w:ascii="Times New Roman" w:hAnsi="Times New Roman" w:eastAsia="宋体" w:cs="Times New Roman"/>
          <w:spacing w:val="13"/>
          <w:sz w:val="23"/>
          <w:szCs w:val="23"/>
          <w:highlight w:val="none"/>
        </w:rPr>
        <w:t>下</w:t>
      </w:r>
      <w:r>
        <w:rPr>
          <w:rFonts w:hint="default" w:ascii="Times New Roman" w:hAnsi="Times New Roman" w:eastAsia="宋体" w:cs="Times New Roman"/>
          <w:spacing w:val="10"/>
          <w:sz w:val="23"/>
          <w:szCs w:val="23"/>
          <w:highlight w:val="none"/>
        </w:rPr>
        <w:t>水赋存特征，将遵化市北川平原划分为二个水文地质区，并根据各含水组的富水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强</w:t>
      </w:r>
      <w:r>
        <w:rPr>
          <w:rFonts w:hint="default" w:ascii="Times New Roman" w:hAnsi="Times New Roman" w:eastAsia="宋体" w:cs="Times New Roman"/>
          <w:spacing w:val="4"/>
          <w:sz w:val="23"/>
          <w:szCs w:val="23"/>
          <w:highlight w:val="none"/>
        </w:rPr>
        <w:t>弱</w:t>
      </w:r>
      <w:r>
        <w:rPr>
          <w:rFonts w:hint="default" w:ascii="Times New Roman" w:hAnsi="Times New Roman" w:eastAsia="宋体" w:cs="Times New Roman"/>
          <w:spacing w:val="3"/>
          <w:sz w:val="23"/>
          <w:szCs w:val="23"/>
          <w:highlight w:val="none"/>
        </w:rPr>
        <w:t>，划分为四个含水亚区，如下：</w:t>
      </w:r>
    </w:p>
    <w:p>
      <w:pPr>
        <w:spacing w:line="228" w:lineRule="auto"/>
        <w:ind w:left="500"/>
        <w:jc w:val="both"/>
        <w:outlineLvl w:val="1"/>
        <w:rPr>
          <w:rFonts w:hint="default" w:ascii="Times New Roman" w:hAnsi="Times New Roman" w:eastAsia="宋体" w:cs="Times New Roman"/>
          <w:sz w:val="23"/>
          <w:szCs w:val="23"/>
          <w:highlight w:val="none"/>
        </w:rPr>
      </w:pPr>
      <w:bookmarkStart w:id="538" w:name="_Toc28687"/>
      <w:bookmarkStart w:id="539" w:name="_Toc2528"/>
      <w:bookmarkStart w:id="540" w:name="_Toc3651"/>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1</w:t>
      </w:r>
      <w:r>
        <w:rPr>
          <w:rFonts w:hint="default" w:ascii="Times New Roman" w:hAnsi="Times New Roman" w:eastAsia="宋体" w:cs="Times New Roman"/>
          <w:spacing w:val="4"/>
          <w:sz w:val="23"/>
          <w:szCs w:val="23"/>
          <w:highlight w:val="none"/>
        </w:rPr>
        <w:t>) 松</w:t>
      </w:r>
      <w:r>
        <w:rPr>
          <w:rFonts w:hint="default" w:ascii="Times New Roman" w:hAnsi="Times New Roman" w:eastAsia="宋体" w:cs="Times New Roman"/>
          <w:spacing w:val="3"/>
          <w:sz w:val="23"/>
          <w:szCs w:val="23"/>
          <w:highlight w:val="none"/>
        </w:rPr>
        <w:t>散</w:t>
      </w:r>
      <w:r>
        <w:rPr>
          <w:rFonts w:hint="default" w:ascii="Times New Roman" w:hAnsi="Times New Roman" w:eastAsia="宋体" w:cs="Times New Roman"/>
          <w:spacing w:val="2"/>
          <w:sz w:val="23"/>
          <w:szCs w:val="23"/>
          <w:highlight w:val="none"/>
        </w:rPr>
        <w:t>岩类孔隙潜水含水区 ( Ⅰ )</w:t>
      </w:r>
      <w:bookmarkEnd w:id="538"/>
      <w:bookmarkEnd w:id="539"/>
      <w:bookmarkEnd w:id="540"/>
    </w:p>
    <w:p>
      <w:pPr>
        <w:spacing w:before="219" w:line="400" w:lineRule="auto"/>
        <w:ind w:left="10" w:right="61" w:firstLine="47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 xml:space="preserve">①极富水亚区 ( </w:t>
      </w:r>
      <w:r>
        <w:rPr>
          <w:rFonts w:hint="default" w:ascii="Times New Roman" w:hAnsi="Times New Roman" w:eastAsia="宋体" w:cs="Times New Roman"/>
          <w:spacing w:val="3"/>
          <w:sz w:val="23"/>
          <w:szCs w:val="23"/>
          <w:highlight w:val="none"/>
        </w:rPr>
        <w:t>Ⅰ</w:t>
      </w:r>
      <w:r>
        <w:rPr>
          <w:rFonts w:hint="default" w:ascii="Times New Roman" w:hAnsi="Times New Roman" w:eastAsia="Times New Roman" w:cs="Times New Roman"/>
          <w:spacing w:val="2"/>
          <w:position w:val="-1"/>
          <w:sz w:val="15"/>
          <w:szCs w:val="15"/>
          <w:highlight w:val="none"/>
        </w:rPr>
        <w:t xml:space="preserve">1 </w:t>
      </w:r>
      <w:r>
        <w:rPr>
          <w:rFonts w:hint="default" w:ascii="Times New Roman" w:hAnsi="Times New Roman" w:eastAsia="宋体" w:cs="Times New Roman"/>
          <w:spacing w:val="2"/>
          <w:sz w:val="23"/>
          <w:szCs w:val="23"/>
          <w:highlight w:val="none"/>
        </w:rPr>
        <w:t xml:space="preserve">) ：为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2"/>
          <w:position w:val="-1"/>
          <w:sz w:val="15"/>
          <w:szCs w:val="15"/>
          <w:highlight w:val="none"/>
        </w:rPr>
        <w:t xml:space="preserve">4 </w:t>
      </w:r>
      <w:r>
        <w:rPr>
          <w:rFonts w:hint="default" w:ascii="Times New Roman" w:hAnsi="Times New Roman" w:eastAsia="宋体" w:cs="Times New Roman"/>
          <w:spacing w:val="2"/>
          <w:sz w:val="23"/>
          <w:szCs w:val="23"/>
          <w:highlight w:val="none"/>
        </w:rPr>
        <w:t xml:space="preserve">及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2"/>
          <w:position w:val="-1"/>
          <w:sz w:val="15"/>
          <w:szCs w:val="15"/>
          <w:highlight w:val="none"/>
        </w:rPr>
        <w:t xml:space="preserve">3 </w:t>
      </w:r>
      <w:r>
        <w:rPr>
          <w:rFonts w:hint="default" w:ascii="Times New Roman" w:hAnsi="Times New Roman" w:eastAsia="宋体" w:cs="Times New Roman"/>
          <w:spacing w:val="2"/>
          <w:sz w:val="23"/>
          <w:szCs w:val="23"/>
          <w:highlight w:val="none"/>
        </w:rPr>
        <w:t xml:space="preserve">冲洪积卵砾石层，及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2"/>
          <w:position w:val="-1"/>
          <w:sz w:val="15"/>
          <w:szCs w:val="15"/>
          <w:highlight w:val="none"/>
        </w:rPr>
        <w:t xml:space="preserve">2 </w:t>
      </w:r>
      <w:r>
        <w:rPr>
          <w:rFonts w:hint="default" w:ascii="Times New Roman" w:hAnsi="Times New Roman" w:eastAsia="宋体" w:cs="Times New Roman"/>
          <w:spacing w:val="2"/>
          <w:sz w:val="23"/>
          <w:szCs w:val="23"/>
          <w:highlight w:val="none"/>
        </w:rPr>
        <w:t>的砾石层。卵砾石层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占开</w:t>
      </w:r>
      <w:r>
        <w:rPr>
          <w:rFonts w:hint="default" w:ascii="Times New Roman" w:hAnsi="Times New Roman" w:eastAsia="宋体" w:cs="Times New Roman"/>
          <w:spacing w:val="15"/>
          <w:sz w:val="23"/>
          <w:szCs w:val="23"/>
          <w:highlight w:val="none"/>
        </w:rPr>
        <w:t>采</w:t>
      </w:r>
      <w:r>
        <w:rPr>
          <w:rFonts w:hint="default" w:ascii="Times New Roman" w:hAnsi="Times New Roman" w:eastAsia="宋体" w:cs="Times New Roman"/>
          <w:spacing w:val="10"/>
          <w:sz w:val="23"/>
          <w:szCs w:val="23"/>
          <w:highlight w:val="none"/>
        </w:rPr>
        <w:t>深度的</w:t>
      </w:r>
      <w:r>
        <w:rPr>
          <w:rFonts w:hint="default" w:ascii="Times New Roman" w:hAnsi="Times New Roman" w:eastAsia="Times New Roman" w:cs="Times New Roman"/>
          <w:spacing w:val="10"/>
          <w:sz w:val="23"/>
          <w:szCs w:val="23"/>
          <w:highlight w:val="none"/>
        </w:rPr>
        <w:t>70</w:t>
      </w:r>
      <w:r>
        <w:rPr>
          <w:rFonts w:hint="default" w:ascii="Times New Roman" w:hAnsi="Times New Roman" w:eastAsia="宋体" w:cs="Times New Roman"/>
          <w:spacing w:val="10"/>
          <w:sz w:val="23"/>
          <w:szCs w:val="23"/>
          <w:highlight w:val="none"/>
        </w:rPr>
        <w:t>~</w:t>
      </w:r>
      <w:r>
        <w:rPr>
          <w:rFonts w:hint="default" w:ascii="Times New Roman" w:hAnsi="Times New Roman" w:eastAsia="Times New Roman" w:cs="Times New Roman"/>
          <w:spacing w:val="10"/>
          <w:sz w:val="23"/>
          <w:szCs w:val="23"/>
          <w:highlight w:val="none"/>
        </w:rPr>
        <w:t>80</w:t>
      </w:r>
      <w:r>
        <w:rPr>
          <w:rFonts w:hint="default" w:ascii="Times New Roman" w:hAnsi="Times New Roman" w:eastAsia="宋体" w:cs="Times New Roman"/>
          <w:spacing w:val="10"/>
          <w:sz w:val="23"/>
          <w:szCs w:val="23"/>
          <w:highlight w:val="none"/>
        </w:rPr>
        <w:t xml:space="preserve">％，单井单位涌水量 </w:t>
      </w:r>
      <w:r>
        <w:rPr>
          <w:rFonts w:hint="default" w:ascii="Times New Roman" w:hAnsi="Times New Roman" w:eastAsia="Times New Roman" w:cs="Times New Roman"/>
          <w:spacing w:val="10"/>
          <w:sz w:val="23"/>
          <w:szCs w:val="23"/>
          <w:highlight w:val="none"/>
        </w:rPr>
        <w:t>100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0"/>
          <w:position w:val="8"/>
          <w:sz w:val="15"/>
          <w:szCs w:val="15"/>
          <w:highlight w:val="none"/>
        </w:rPr>
        <w:t>3</w:t>
      </w:r>
      <w:r>
        <w:rPr>
          <w:rFonts w:hint="default" w:ascii="Times New Roman" w:hAnsi="Times New Roman" w:eastAsia="Times New Roman" w:cs="Times New Roman"/>
          <w:spacing w:val="10"/>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10"/>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0"/>
          <w:sz w:val="23"/>
          <w:szCs w:val="23"/>
          <w:highlight w:val="none"/>
        </w:rPr>
        <w:t xml:space="preserve"> </w:t>
      </w:r>
      <w:r>
        <w:rPr>
          <w:rFonts w:hint="default" w:ascii="Times New Roman" w:hAnsi="Times New Roman" w:eastAsia="宋体" w:cs="Times New Roman"/>
          <w:spacing w:val="10"/>
          <w:sz w:val="23"/>
          <w:szCs w:val="23"/>
          <w:highlight w:val="none"/>
        </w:rPr>
        <w:t>。分布在北川平原，其东部位于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冲</w:t>
      </w:r>
      <w:r>
        <w:rPr>
          <w:rFonts w:hint="default" w:ascii="Times New Roman" w:hAnsi="Times New Roman" w:eastAsia="宋体" w:cs="Times New Roman"/>
          <w:spacing w:val="11"/>
          <w:sz w:val="23"/>
          <w:szCs w:val="23"/>
          <w:highlight w:val="none"/>
        </w:rPr>
        <w:t>洪</w:t>
      </w:r>
      <w:r>
        <w:rPr>
          <w:rFonts w:hint="default" w:ascii="Times New Roman" w:hAnsi="Times New Roman" w:eastAsia="宋体" w:cs="Times New Roman"/>
          <w:spacing w:val="10"/>
          <w:sz w:val="23"/>
          <w:szCs w:val="23"/>
          <w:highlight w:val="none"/>
        </w:rPr>
        <w:t>积扇上部，西部位于冲洪积扇下部。此含水组为遵化市地下水水源地开采的主要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组段。</w:t>
      </w:r>
    </w:p>
    <w:p>
      <w:pPr>
        <w:spacing w:before="4" w:line="402" w:lineRule="auto"/>
        <w:ind w:left="8" w:right="61"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
          <w:sz w:val="23"/>
          <w:szCs w:val="23"/>
          <w:highlight w:val="none"/>
        </w:rPr>
        <w:t>②富水亚区 ( Ⅰ</w:t>
      </w:r>
      <w:r>
        <w:rPr>
          <w:rFonts w:hint="default" w:ascii="Times New Roman" w:hAnsi="Times New Roman" w:eastAsia="Times New Roman" w:cs="Times New Roman"/>
          <w:spacing w:val="1"/>
          <w:position w:val="-1"/>
          <w:sz w:val="15"/>
          <w:szCs w:val="15"/>
          <w:highlight w:val="none"/>
        </w:rPr>
        <w:t xml:space="preserve">2 </w:t>
      </w:r>
      <w:r>
        <w:rPr>
          <w:rFonts w:hint="default" w:ascii="Times New Roman" w:hAnsi="Times New Roman" w:eastAsia="宋体" w:cs="Times New Roman"/>
          <w:spacing w:val="1"/>
          <w:sz w:val="23"/>
          <w:szCs w:val="23"/>
          <w:highlight w:val="none"/>
        </w:rPr>
        <w:t xml:space="preserve">) ：为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1"/>
          <w:position w:val="-1"/>
          <w:sz w:val="15"/>
          <w:szCs w:val="15"/>
          <w:highlight w:val="none"/>
        </w:rPr>
        <w:t xml:space="preserve">3 </w:t>
      </w:r>
      <w:r>
        <w:rPr>
          <w:rFonts w:hint="default" w:ascii="Times New Roman" w:hAnsi="Times New Roman" w:eastAsia="宋体" w:cs="Times New Roman"/>
          <w:spacing w:val="1"/>
          <w:sz w:val="23"/>
          <w:szCs w:val="23"/>
          <w:highlight w:val="none"/>
        </w:rPr>
        <w:t xml:space="preserve">及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1"/>
          <w:position w:val="-1"/>
          <w:sz w:val="15"/>
          <w:szCs w:val="15"/>
          <w:highlight w:val="none"/>
        </w:rPr>
        <w:t xml:space="preserve">4 </w:t>
      </w:r>
      <w:r>
        <w:rPr>
          <w:rFonts w:hint="default" w:ascii="Times New Roman" w:hAnsi="Times New Roman" w:eastAsia="宋体" w:cs="Times New Roman"/>
          <w:spacing w:val="1"/>
          <w:sz w:val="23"/>
          <w:szCs w:val="23"/>
          <w:highlight w:val="none"/>
        </w:rPr>
        <w:t>冲洪积及洪积砂砾石和卵砾石层。砂砾石层</w:t>
      </w:r>
      <w:r>
        <w:rPr>
          <w:rFonts w:hint="default" w:ascii="Times New Roman" w:hAnsi="Times New Roman" w:eastAsia="宋体" w:cs="Times New Roman"/>
          <w:sz w:val="23"/>
          <w:szCs w:val="23"/>
          <w:highlight w:val="none"/>
        </w:rPr>
        <w:t xml:space="preserve">厚一 </w:t>
      </w:r>
      <w:r>
        <w:rPr>
          <w:rFonts w:hint="default" w:ascii="Times New Roman" w:hAnsi="Times New Roman" w:eastAsia="宋体" w:cs="Times New Roman"/>
          <w:spacing w:val="14"/>
          <w:sz w:val="23"/>
          <w:szCs w:val="23"/>
          <w:highlight w:val="none"/>
        </w:rPr>
        <w:t xml:space="preserve">般 </w:t>
      </w:r>
      <w:r>
        <w:rPr>
          <w:rFonts w:hint="default" w:ascii="Times New Roman" w:hAnsi="Times New Roman" w:eastAsia="Times New Roman" w:cs="Times New Roman"/>
          <w:spacing w:val="10"/>
          <w:sz w:val="23"/>
          <w:szCs w:val="23"/>
          <w:highlight w:val="none"/>
        </w:rPr>
        <w:t>5</w:t>
      </w:r>
      <w:r>
        <w:rPr>
          <w:rFonts w:hint="default" w:ascii="Times New Roman" w:hAnsi="Times New Roman" w:eastAsia="宋体" w:cs="Times New Roman"/>
          <w:spacing w:val="7"/>
          <w:sz w:val="23"/>
          <w:szCs w:val="23"/>
          <w:highlight w:val="none"/>
        </w:rPr>
        <w:t>~</w:t>
      </w:r>
      <w:r>
        <w:rPr>
          <w:rFonts w:hint="default" w:ascii="Times New Roman" w:hAnsi="Times New Roman" w:eastAsia="Times New Roman" w:cs="Times New Roman"/>
          <w:spacing w:val="7"/>
          <w:sz w:val="23"/>
          <w:szCs w:val="23"/>
          <w:highlight w:val="none"/>
        </w:rPr>
        <w:t>15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 xml:space="preserve">，单井单位涌水量 </w:t>
      </w:r>
      <w:r>
        <w:rPr>
          <w:rFonts w:hint="default" w:ascii="Times New Roman" w:hAnsi="Times New Roman" w:eastAsia="Times New Roman" w:cs="Times New Roman"/>
          <w:spacing w:val="7"/>
          <w:sz w:val="23"/>
          <w:szCs w:val="23"/>
          <w:highlight w:val="none"/>
        </w:rPr>
        <w:t>50</w:t>
      </w:r>
      <w:r>
        <w:rPr>
          <w:rFonts w:hint="default" w:ascii="Times New Roman" w:hAnsi="Times New Roman" w:eastAsia="宋体" w:cs="Times New Roman"/>
          <w:spacing w:val="7"/>
          <w:sz w:val="23"/>
          <w:szCs w:val="23"/>
          <w:highlight w:val="none"/>
        </w:rPr>
        <w:t>~</w:t>
      </w:r>
      <w:r>
        <w:rPr>
          <w:rFonts w:hint="default" w:ascii="Times New Roman" w:hAnsi="Times New Roman" w:eastAsia="Times New Roman" w:cs="Times New Roman"/>
          <w:spacing w:val="7"/>
          <w:sz w:val="23"/>
          <w:szCs w:val="23"/>
          <w:highlight w:val="none"/>
        </w:rPr>
        <w:t>100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position w:val="7"/>
          <w:sz w:val="15"/>
          <w:szCs w:val="15"/>
          <w:highlight w:val="none"/>
        </w:rPr>
        <w:t>3</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。分布于冲洪积扇前缘及近洪积扇地带。</w:t>
      </w:r>
    </w:p>
    <w:p>
      <w:pPr>
        <w:spacing w:line="395" w:lineRule="auto"/>
        <w:ind w:left="9" w:right="63" w:firstLine="47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③中等富水亚区 ( Ⅰ</w:t>
      </w:r>
      <w:r>
        <w:rPr>
          <w:rFonts w:hint="default" w:ascii="Times New Roman" w:hAnsi="Times New Roman" w:eastAsia="Times New Roman" w:cs="Times New Roman"/>
          <w:spacing w:val="-2"/>
          <w:position w:val="-1"/>
          <w:sz w:val="15"/>
          <w:szCs w:val="15"/>
          <w:highlight w:val="none"/>
        </w:rPr>
        <w:t xml:space="preserve">3 </w:t>
      </w:r>
      <w:r>
        <w:rPr>
          <w:rFonts w:hint="default" w:ascii="Times New Roman" w:hAnsi="Times New Roman" w:eastAsia="宋体" w:cs="Times New Roman"/>
          <w:spacing w:val="-2"/>
          <w:sz w:val="23"/>
          <w:szCs w:val="23"/>
          <w:highlight w:val="none"/>
        </w:rPr>
        <w:t xml:space="preserve">) ：为 </w:t>
      </w:r>
      <w:r>
        <w:rPr>
          <w:rFonts w:hint="default" w:ascii="Times New Roman" w:hAnsi="Times New Roman" w:eastAsia="Times New Roman" w:cs="Times New Roman"/>
          <w:spacing w:val="-2"/>
          <w:sz w:val="23"/>
          <w:szCs w:val="23"/>
          <w:highlight w:val="none"/>
        </w:rPr>
        <w:t>Q</w:t>
      </w:r>
      <w:r>
        <w:rPr>
          <w:rFonts w:hint="default" w:ascii="Times New Roman" w:hAnsi="Times New Roman" w:eastAsia="Times New Roman" w:cs="Times New Roman"/>
          <w:spacing w:val="-2"/>
          <w:position w:val="-1"/>
          <w:sz w:val="15"/>
          <w:szCs w:val="15"/>
          <w:highlight w:val="none"/>
        </w:rPr>
        <w:t xml:space="preserve">3 </w:t>
      </w:r>
      <w:r>
        <w:rPr>
          <w:rFonts w:hint="default" w:ascii="Times New Roman" w:hAnsi="Times New Roman" w:eastAsia="宋体" w:cs="Times New Roman"/>
          <w:spacing w:val="-2"/>
          <w:sz w:val="23"/>
          <w:szCs w:val="23"/>
          <w:highlight w:val="none"/>
        </w:rPr>
        <w:t xml:space="preserve">冲洪积砂砾石及砂含砾石层。砂砾石层厚一般 </w:t>
      </w:r>
      <w:r>
        <w:rPr>
          <w:rFonts w:hint="default" w:ascii="Times New Roman" w:hAnsi="Times New Roman" w:eastAsia="Times New Roman" w:cs="Times New Roman"/>
          <w:spacing w:val="-2"/>
          <w:sz w:val="23"/>
          <w:szCs w:val="23"/>
          <w:highlight w:val="none"/>
        </w:rPr>
        <w:t>10m</w:t>
      </w:r>
      <w:r>
        <w:rPr>
          <w:rFonts w:hint="default" w:ascii="Times New Roman" w:hAnsi="Times New Roman" w:eastAsia="Times New Roman"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左右，该组下部个别地段夹有薄层淤泥质砂粘土。单井单位涌水量 </w:t>
      </w:r>
      <w:r>
        <w:rPr>
          <w:rFonts w:hint="default" w:ascii="Times New Roman" w:hAnsi="Times New Roman" w:eastAsia="Times New Roman" w:cs="Times New Roman"/>
          <w:spacing w:val="8"/>
          <w:sz w:val="23"/>
          <w:szCs w:val="23"/>
          <w:highlight w:val="none"/>
        </w:rPr>
        <w:t>25</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position w:val="8"/>
          <w:sz w:val="15"/>
          <w:szCs w:val="15"/>
          <w:highlight w:val="none"/>
        </w:rPr>
        <w:t>3</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布</w:t>
      </w:r>
      <w:r>
        <w:rPr>
          <w:rFonts w:hint="default" w:ascii="Times New Roman" w:hAnsi="Times New Roman" w:eastAsia="宋体" w:cs="Times New Roman"/>
          <w:spacing w:val="8"/>
          <w:sz w:val="23"/>
          <w:szCs w:val="23"/>
          <w:highlight w:val="none"/>
        </w:rPr>
        <w:t>于北川平原的扇间地带。</w:t>
      </w:r>
    </w:p>
    <w:p>
      <w:pPr>
        <w:spacing w:before="24" w:line="228" w:lineRule="auto"/>
        <w:ind w:left="500"/>
        <w:outlineLvl w:val="1"/>
        <w:rPr>
          <w:rFonts w:hint="default" w:ascii="Times New Roman" w:hAnsi="Times New Roman" w:eastAsia="宋体" w:cs="Times New Roman"/>
          <w:sz w:val="23"/>
          <w:szCs w:val="23"/>
          <w:highlight w:val="none"/>
        </w:rPr>
      </w:pPr>
      <w:bookmarkStart w:id="541" w:name="_Toc25246"/>
      <w:bookmarkStart w:id="542" w:name="_Toc32321"/>
      <w:bookmarkStart w:id="543" w:name="_Toc27887"/>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2</w:t>
      </w:r>
      <w:r>
        <w:rPr>
          <w:rFonts w:hint="default" w:ascii="Times New Roman" w:hAnsi="Times New Roman" w:eastAsia="宋体" w:cs="Times New Roman"/>
          <w:spacing w:val="4"/>
          <w:sz w:val="23"/>
          <w:szCs w:val="23"/>
          <w:highlight w:val="none"/>
        </w:rPr>
        <w:t>) 变</w:t>
      </w:r>
      <w:r>
        <w:rPr>
          <w:rFonts w:hint="default" w:ascii="Times New Roman" w:hAnsi="Times New Roman" w:eastAsia="宋体" w:cs="Times New Roman"/>
          <w:spacing w:val="3"/>
          <w:sz w:val="23"/>
          <w:szCs w:val="23"/>
          <w:highlight w:val="none"/>
        </w:rPr>
        <w:t>质</w:t>
      </w:r>
      <w:r>
        <w:rPr>
          <w:rFonts w:hint="default" w:ascii="Times New Roman" w:hAnsi="Times New Roman" w:eastAsia="宋体" w:cs="Times New Roman"/>
          <w:spacing w:val="2"/>
          <w:sz w:val="23"/>
          <w:szCs w:val="23"/>
          <w:highlight w:val="none"/>
        </w:rPr>
        <w:t>岩风化裂隙含水岩区 ( Ⅱ )</w:t>
      </w:r>
      <w:bookmarkEnd w:id="541"/>
      <w:bookmarkEnd w:id="542"/>
      <w:bookmarkEnd w:id="543"/>
    </w:p>
    <w:p>
      <w:pPr>
        <w:spacing w:line="457" w:lineRule="auto"/>
        <w:rPr>
          <w:rFonts w:hint="default" w:ascii="Times New Roman" w:hAnsi="Times New Roman" w:cs="Times New Roman"/>
          <w:sz w:val="21"/>
          <w:highlight w:val="none"/>
        </w:rPr>
      </w:pPr>
    </w:p>
    <w:p>
      <w:pPr>
        <w:spacing w:line="72" w:lineRule="exact"/>
        <w:textAlignment w:val="center"/>
        <w:rPr>
          <w:rFonts w:hint="default" w:ascii="Times New Roman" w:hAnsi="Times New Roman" w:cs="Times New Roman"/>
          <w:highlight w:val="none"/>
        </w:rPr>
      </w:pPr>
      <w:r>
        <w:rPr>
          <w:rFonts w:hint="default" w:ascii="Times New Roman" w:hAnsi="Times New Roman" w:cs="Times New Roman"/>
          <w:highlight w:val="none"/>
        </w:rPr>
        <w:pict>
          <v:shape id="_x0000_s1235" o:spid="_x0000_s1235" style="height:3.65pt;width:445.1pt;" filled="f" stroked="f" coordsize="8902,73" path="m0,0l8901,0,8901,14,0,14,0,0xem0,28l8901,28,8901,72,0,72,0,28xe">
            <v:path/>
            <v:fill on="f" focussize="0,0"/>
            <v:stroke on="f"/>
            <v:imagedata o:title=""/>
            <o:lock v:ext="edit" aspectratio="f"/>
            <w10:wrap type="none"/>
            <w10:anchorlock/>
          </v:shape>
        </w:pict>
      </w:r>
    </w:p>
    <w:p>
      <w:pPr>
        <w:rPr>
          <w:rFonts w:hint="default" w:ascii="Times New Roman" w:hAnsi="Times New Roman" w:cs="Times New Roman"/>
          <w:highlight w:val="none"/>
        </w:rPr>
        <w:sectPr>
          <w:headerReference r:id="rId78" w:type="default"/>
          <w:footerReference r:id="rId79" w:type="default"/>
          <w:pgSz w:w="11907" w:h="16840"/>
          <w:pgMar w:top="1036" w:right="1295" w:bottom="904" w:left="1643" w:header="767" w:footer="743" w:gutter="0"/>
          <w:pgBorders>
            <w:top w:val="none" w:sz="0" w:space="0"/>
            <w:left w:val="none" w:sz="0" w:space="0"/>
            <w:bottom w:val="none" w:sz="0" w:space="0"/>
            <w:right w:val="none" w:sz="0" w:space="0"/>
          </w:pgBorders>
          <w:pgNumType w:fmt="decimal"/>
          <w:cols w:space="720" w:num="1"/>
        </w:sectPr>
      </w:pPr>
    </w:p>
    <w:p>
      <w:pPr>
        <w:spacing w:line="444"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236" o:spid="_x0000_s1236" o:spt="1" style="position:absolute;left:0pt;margin-left:82.2pt;margin-top:790.05pt;height:3.65pt;width:445.1pt;mso-position-horizontal-relative:page;mso-position-vertical-relative:page;z-index:251748352;mso-width-relative:page;mso-height-relative:page;" filled="f" stroked="f" coordsize="21600,21600" o:allowincell="f">
            <v:path/>
            <v:fill on="f" focussize="0,0"/>
            <v:stroke on="f"/>
            <v:imagedata o:title=""/>
            <o:lock v:ext="edit" aspectratio="f"/>
          </v:rect>
        </w:pict>
      </w:r>
      <w:r>
        <w:rPr>
          <w:rFonts w:hint="default" w:ascii="Times New Roman" w:hAnsi="Times New Roman" w:cs="Times New Roman"/>
          <w:highlight w:val="none"/>
        </w:rPr>
        <w:pict>
          <v:shape id="_x0000_s1237" o:spid="_x0000_s1237" style="position:absolute;left:0pt;margin-left:82.2pt;margin-top:52.5pt;height:0.75pt;width:445.1pt;mso-position-horizontal-relative:page;mso-position-vertical-relative:page;z-index:251749376;mso-width-relative:page;mso-height-relative:page;" fillcolor="#000000" filled="t" stroked="f" coordsize="8902,15" o:allowincell="f" path="m0,0l8901,0,8901,14,0,14,0,0xe">
            <v:path/>
            <v:fill on="t" focussize="0,0"/>
            <v:stroke on="f"/>
            <v:imagedata o:title=""/>
            <o:lock v:ext="edit"/>
          </v:shape>
        </w:pict>
      </w:r>
    </w:p>
    <w:p>
      <w:pPr>
        <w:spacing w:before="75" w:line="396" w:lineRule="auto"/>
        <w:ind w:left="8"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9"/>
          <w:sz w:val="23"/>
          <w:szCs w:val="23"/>
          <w:highlight w:val="none"/>
        </w:rPr>
        <w:t>为</w:t>
      </w:r>
      <w:r>
        <w:rPr>
          <w:rFonts w:hint="default" w:ascii="Times New Roman" w:hAnsi="Times New Roman" w:eastAsia="宋体" w:cs="Times New Roman"/>
          <w:spacing w:val="10"/>
          <w:sz w:val="23"/>
          <w:szCs w:val="23"/>
          <w:highlight w:val="none"/>
        </w:rPr>
        <w:t>太古界片麻岩，主要为上部风化裂隙水和局部脉状构造裂隙水。单井涌水量一</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 xml:space="preserve">般 </w:t>
      </w:r>
      <w:r>
        <w:rPr>
          <w:rFonts w:hint="default" w:ascii="Times New Roman" w:hAnsi="Times New Roman" w:eastAsia="Times New Roman" w:cs="Times New Roman"/>
          <w:spacing w:val="18"/>
          <w:sz w:val="23"/>
          <w:szCs w:val="23"/>
          <w:highlight w:val="none"/>
        </w:rPr>
        <w:t>0</w:t>
      </w:r>
      <w:r>
        <w:rPr>
          <w:rFonts w:hint="default" w:ascii="Times New Roman" w:hAnsi="Times New Roman" w:eastAsia="Times New Roman" w:cs="Times New Roman"/>
          <w:spacing w:val="10"/>
          <w:sz w:val="23"/>
          <w:szCs w:val="23"/>
          <w:highlight w:val="none"/>
        </w:rPr>
        <w:t>.</w:t>
      </w:r>
      <w:r>
        <w:rPr>
          <w:rFonts w:hint="default" w:ascii="Times New Roman" w:hAnsi="Times New Roman" w:eastAsia="Times New Roman" w:cs="Times New Roman"/>
          <w:spacing w:val="9"/>
          <w:sz w:val="23"/>
          <w:szCs w:val="23"/>
          <w:highlight w:val="none"/>
        </w:rPr>
        <w:t>6</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1.3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position w:val="8"/>
          <w:sz w:val="15"/>
          <w:szCs w:val="15"/>
          <w:highlight w:val="none"/>
        </w:rPr>
        <w:t>3</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 xml:space="preserve">，构造破碎带地段可达 </w:t>
      </w:r>
      <w:r>
        <w:rPr>
          <w:rFonts w:hint="default" w:ascii="Times New Roman" w:hAnsi="Times New Roman" w:eastAsia="Times New Roman" w:cs="Times New Roman"/>
          <w:spacing w:val="9"/>
          <w:sz w:val="23"/>
          <w:szCs w:val="23"/>
          <w:highlight w:val="none"/>
        </w:rPr>
        <w:t>30</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40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position w:val="8"/>
          <w:sz w:val="15"/>
          <w:szCs w:val="15"/>
          <w:highlight w:val="none"/>
        </w:rPr>
        <w:t>3</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。此含水组与上部松散岩类孔隙潜</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水</w:t>
      </w:r>
      <w:r>
        <w:rPr>
          <w:rFonts w:hint="default" w:ascii="Times New Roman" w:hAnsi="Times New Roman" w:eastAsia="宋体" w:cs="Times New Roman"/>
          <w:spacing w:val="8"/>
          <w:sz w:val="23"/>
          <w:szCs w:val="23"/>
          <w:highlight w:val="none"/>
        </w:rPr>
        <w:t>含水组水力联系密切。</w:t>
      </w:r>
    </w:p>
    <w:p>
      <w:pPr>
        <w:rPr>
          <w:rFonts w:hint="default" w:ascii="Times New Roman" w:hAnsi="Times New Roman" w:cs="Times New Roman"/>
          <w:highlight w:val="none"/>
        </w:rPr>
        <w:sectPr>
          <w:headerReference r:id="rId80" w:type="default"/>
          <w:footerReference r:id="rId81" w:type="default"/>
          <w:pgSz w:w="11907" w:h="16840"/>
          <w:pgMar w:top="1036" w:right="1356" w:bottom="904" w:left="1643" w:header="767" w:footer="743" w:gutter="0"/>
          <w:pgBorders>
            <w:top w:val="none" w:sz="0" w:space="0"/>
            <w:left w:val="none" w:sz="0" w:space="0"/>
            <w:bottom w:val="none" w:sz="0" w:space="0"/>
            <w:right w:val="none" w:sz="0" w:space="0"/>
          </w:pgBorders>
          <w:pgNumType w:fmt="decimal"/>
          <w:cols w:space="720" w:num="1"/>
        </w:sectPr>
      </w:pPr>
    </w:p>
    <w:p>
      <w:pPr>
        <w:spacing w:line="269"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238" o:spid="_x0000_s1238" style="position:absolute;left:0pt;margin-left:72pt;margin-top:59.05pt;height:0.75pt;width:697.95pt;mso-position-horizontal-relative:page;mso-position-vertical-relative:page;z-index:251752448;mso-width-relative:page;mso-height-relative:page;" fillcolor="#000000" filled="t" stroked="f" coordsize="13959,15" o:allowincell="f" path="m0,0l13958,0,13958,14,0,14,0,0xe">
            <v:path/>
            <v:fill on="t" focussize="0,0"/>
            <v:stroke on="f"/>
            <v:imagedata o:title=""/>
            <o:lock v:ext="edit"/>
          </v:shape>
        </w:pict>
      </w:r>
    </w:p>
    <w:p>
      <w:pPr>
        <w:spacing w:line="269" w:lineRule="auto"/>
        <w:rPr>
          <w:rFonts w:hint="default" w:ascii="Times New Roman" w:hAnsi="Times New Roman" w:cs="Times New Roman"/>
          <w:sz w:val="21"/>
          <w:highlight w:val="none"/>
        </w:rPr>
      </w:pPr>
    </w:p>
    <w:p>
      <w:pPr>
        <w:spacing w:line="269" w:lineRule="auto"/>
        <w:rPr>
          <w:rFonts w:hint="default" w:ascii="Times New Roman" w:hAnsi="Times New Roman" w:cs="Times New Roman"/>
          <w:sz w:val="21"/>
          <w:highlight w:val="none"/>
        </w:rPr>
      </w:pPr>
    </w:p>
    <w:p>
      <w:pPr>
        <w:spacing w:line="269" w:lineRule="auto"/>
        <w:rPr>
          <w:rFonts w:hint="default" w:ascii="Times New Roman" w:hAnsi="Times New Roman" w:cs="Times New Roman"/>
          <w:sz w:val="21"/>
          <w:highlight w:val="none"/>
        </w:rPr>
      </w:pPr>
    </w:p>
    <w:p>
      <w:pPr>
        <w:spacing w:line="270" w:lineRule="auto"/>
        <w:rPr>
          <w:rFonts w:hint="default" w:ascii="Times New Roman" w:hAnsi="Times New Roman" w:cs="Times New Roman"/>
          <w:sz w:val="21"/>
          <w:highlight w:val="none"/>
        </w:rPr>
      </w:pPr>
    </w:p>
    <w:p>
      <w:pPr>
        <w:spacing w:before="65" w:line="228" w:lineRule="auto"/>
        <w:ind w:left="8435"/>
        <w:rPr>
          <w:rFonts w:hint="default" w:ascii="Times New Roman" w:hAnsi="Times New Roman" w:eastAsia="宋体" w:cs="Times New Roman"/>
          <w:sz w:val="20"/>
          <w:szCs w:val="20"/>
          <w:highlight w:val="none"/>
        </w:rPr>
      </w:pPr>
      <w:r>
        <w:rPr>
          <w:rFonts w:hint="default" w:ascii="Times New Roman" w:hAnsi="Times New Roman" w:cs="Times New Roman"/>
          <w:highlight w:val="none"/>
        </w:rPr>
        <w:drawing>
          <wp:anchor distT="0" distB="0" distL="0" distR="0" simplePos="0" relativeHeight="251751424" behindDoc="1" locked="0" layoutInCell="1" allowOverlap="1">
            <wp:simplePos x="0" y="0"/>
            <wp:positionH relativeFrom="column">
              <wp:posOffset>5158740</wp:posOffset>
            </wp:positionH>
            <wp:positionV relativeFrom="paragraph">
              <wp:posOffset>-39370</wp:posOffset>
            </wp:positionV>
            <wp:extent cx="979805" cy="450215"/>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155"/>
                    <a:stretch>
                      <a:fillRect/>
                    </a:stretch>
                  </pic:blipFill>
                  <pic:spPr>
                    <a:xfrm>
                      <a:off x="0" y="0"/>
                      <a:ext cx="979804" cy="450215"/>
                    </a:xfrm>
                    <a:prstGeom prst="rect">
                      <a:avLst/>
                    </a:prstGeom>
                  </pic:spPr>
                </pic:pic>
              </a:graphicData>
            </a:graphic>
          </wp:anchor>
        </w:drawing>
      </w:r>
      <w:r>
        <w:rPr>
          <w:rFonts w:hint="default" w:ascii="Times New Roman" w:hAnsi="Times New Roman" w:cs="Times New Roman"/>
          <w:highlight w:val="none"/>
        </w:rPr>
        <w:drawing>
          <wp:anchor distT="0" distB="0" distL="0" distR="0" simplePos="0" relativeHeight="251750400" behindDoc="1" locked="0" layoutInCell="1" allowOverlap="1">
            <wp:simplePos x="0" y="0"/>
            <wp:positionH relativeFrom="column">
              <wp:posOffset>304800</wp:posOffset>
            </wp:positionH>
            <wp:positionV relativeFrom="paragraph">
              <wp:posOffset>-459105</wp:posOffset>
            </wp:positionV>
            <wp:extent cx="8174990" cy="491363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56"/>
                    <a:stretch>
                      <a:fillRect/>
                    </a:stretch>
                  </pic:blipFill>
                  <pic:spPr>
                    <a:xfrm>
                      <a:off x="0" y="0"/>
                      <a:ext cx="8174735" cy="4913375"/>
                    </a:xfrm>
                    <a:prstGeom prst="rect">
                      <a:avLst/>
                    </a:prstGeom>
                  </pic:spPr>
                </pic:pic>
              </a:graphicData>
            </a:graphic>
          </wp:anchor>
        </w:drawing>
      </w:r>
      <w:r>
        <w:rPr>
          <w:rFonts w:hint="default" w:ascii="Times New Roman" w:hAnsi="Times New Roman" w:eastAsia="宋体" w:cs="Times New Roman"/>
          <w:spacing w:val="9"/>
          <w:sz w:val="20"/>
          <w:szCs w:val="20"/>
          <w:highlight w:val="none"/>
        </w:rPr>
        <w:t>项</w:t>
      </w:r>
      <w:r>
        <w:rPr>
          <w:rFonts w:hint="default" w:ascii="Times New Roman" w:hAnsi="Times New Roman" w:eastAsia="宋体" w:cs="Times New Roman"/>
          <w:spacing w:val="7"/>
          <w:sz w:val="20"/>
          <w:szCs w:val="20"/>
          <w:highlight w:val="none"/>
        </w:rPr>
        <w:t>目所在地</w:t>
      </w: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line="243" w:lineRule="auto"/>
        <w:rPr>
          <w:rFonts w:hint="default" w:ascii="Times New Roman" w:hAnsi="Times New Roman" w:cs="Times New Roman"/>
          <w:sz w:val="21"/>
          <w:highlight w:val="none"/>
        </w:rPr>
      </w:pPr>
    </w:p>
    <w:p>
      <w:pPr>
        <w:spacing w:before="75" w:line="228" w:lineRule="auto"/>
        <w:ind w:left="511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3"/>
          <w:sz w:val="23"/>
          <w:szCs w:val="23"/>
          <w:highlight w:val="none"/>
        </w:rPr>
        <w:t xml:space="preserve"> </w:t>
      </w:r>
      <w:r>
        <w:rPr>
          <w:rFonts w:hint="default" w:ascii="Times New Roman" w:hAnsi="Times New Roman" w:eastAsia="Times New Roman" w:cs="Times New Roman"/>
          <w:b/>
          <w:bCs/>
          <w:spacing w:val="3"/>
          <w:sz w:val="23"/>
          <w:szCs w:val="23"/>
          <w:highlight w:val="none"/>
        </w:rPr>
        <w:t>5.2-</w:t>
      </w:r>
      <w:r>
        <w:rPr>
          <w:rFonts w:hint="eastAsia" w:ascii="Times New Roman" w:hAnsi="Times New Roman" w:eastAsia="宋体" w:cs="Times New Roman"/>
          <w:b/>
          <w:bCs/>
          <w:spacing w:val="3"/>
          <w:sz w:val="23"/>
          <w:szCs w:val="23"/>
          <w:highlight w:val="none"/>
          <w:lang w:val="en-US" w:eastAsia="zh-CN"/>
        </w:rPr>
        <w:t>5</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遵化市区域水文地质图</w:t>
      </w:r>
    </w:p>
    <w:p>
      <w:pPr>
        <w:rPr>
          <w:rFonts w:hint="default" w:ascii="Times New Roman" w:hAnsi="Times New Roman" w:cs="Times New Roman"/>
          <w:highlight w:val="none"/>
        </w:rPr>
        <w:sectPr>
          <w:headerReference r:id="rId82" w:type="default"/>
          <w:footerReference r:id="rId83" w:type="default"/>
          <w:pgSz w:w="16839" w:h="11906"/>
          <w:pgMar w:top="1167" w:right="1440" w:bottom="1310" w:left="1440" w:header="897" w:footer="1015" w:gutter="0"/>
          <w:pgBorders>
            <w:top w:val="none" w:sz="0" w:space="0"/>
            <w:left w:val="none" w:sz="0" w:space="0"/>
            <w:bottom w:val="none" w:sz="0" w:space="0"/>
            <w:right w:val="none" w:sz="0" w:space="0"/>
          </w:pgBorders>
          <w:pgNumType w:fmt="decimal"/>
          <w:cols w:space="720" w:num="1"/>
        </w:sectPr>
      </w:pPr>
    </w:p>
    <w:p>
      <w:pPr>
        <w:spacing w:line="391"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239" o:spid="_x0000_s1239" o:spt="1" style="position:absolute;left:0pt;margin-left:90pt;margin-top:776.35pt;height:0.75pt;width:415.3pt;mso-position-horizontal-relative:page;mso-position-vertical-relative:page;z-index:251753472;mso-width-relative:page;mso-height-relative:page;" fillcolor="#FFFFFF" filled="t" stroked="f" coordsize="21600,21600" o:allowincell="f">
            <v:path/>
            <v:fill on="t" color2="#FFFFFF" focussize="0,0"/>
            <v:stroke on="f"/>
            <v:imagedata o:title=""/>
            <o:lock v:ext="edit" aspectratio="f"/>
          </v:rect>
        </w:pict>
      </w:r>
      <w:r>
        <w:rPr>
          <w:rFonts w:hint="default" w:ascii="Times New Roman" w:hAnsi="Times New Roman" w:cs="Times New Roman"/>
          <w:highlight w:val="none"/>
        </w:rPr>
        <w:pict>
          <v:shape id="_x0000_s1240" o:spid="_x0000_s1240" style="position:absolute;left:0pt;margin-left:90pt;margin-top:59.05pt;height:0.75pt;width:415.3pt;mso-position-horizontal-relative:page;mso-position-vertical-relative:page;z-index:251754496;mso-width-relative:page;mso-height-relative:page;" fillcolor="#000000" filled="t" stroked="f" coordsize="8305,15" o:allowincell="f" path="m0,0l8305,0,8305,14,0,14,0,0xe">
            <v:path/>
            <v:fill on="t" focussize="0,0"/>
            <v:stroke on="f"/>
            <v:imagedata o:title=""/>
            <o:lock v:ext="edit"/>
          </v:shape>
        </w:pict>
      </w:r>
    </w:p>
    <w:p>
      <w:pPr>
        <w:spacing w:before="75"/>
        <w:ind w:left="503"/>
        <w:outlineLvl w:val="0"/>
        <w:rPr>
          <w:rFonts w:hint="default" w:ascii="Times New Roman" w:hAnsi="Times New Roman" w:eastAsia="宋体" w:cs="Times New Roman"/>
          <w:sz w:val="23"/>
          <w:szCs w:val="23"/>
          <w:highlight w:val="none"/>
        </w:rPr>
      </w:pPr>
      <w:bookmarkStart w:id="544" w:name="_Toc9200"/>
      <w:bookmarkStart w:id="545" w:name="_Toc783"/>
      <w:bookmarkStart w:id="546" w:name="_Toc27057"/>
      <w:r>
        <w:rPr>
          <w:rFonts w:hint="default" w:ascii="Times New Roman" w:hAnsi="Times New Roman" w:eastAsia="Times New Roman" w:cs="Times New Roman"/>
          <w:spacing w:val="4"/>
          <w:sz w:val="23"/>
          <w:szCs w:val="23"/>
          <w:highlight w:val="none"/>
        </w:rPr>
        <w:t xml:space="preserve">3 </w:t>
      </w:r>
      <w:r>
        <w:rPr>
          <w:rFonts w:hint="default" w:ascii="Times New Roman" w:hAnsi="Times New Roman" w:eastAsia="宋体" w:cs="Times New Roman"/>
          <w:spacing w:val="3"/>
          <w:sz w:val="23"/>
          <w:szCs w:val="23"/>
          <w:highlight w:val="none"/>
        </w:rPr>
        <w:t>、</w:t>
      </w:r>
      <w:r>
        <w:rPr>
          <w:rFonts w:hint="default" w:ascii="Times New Roman" w:hAnsi="Times New Roman" w:eastAsia="宋体" w:cs="Times New Roman"/>
          <w:spacing w:val="2"/>
          <w:sz w:val="23"/>
          <w:szCs w:val="23"/>
          <w:highlight w:val="none"/>
        </w:rPr>
        <w:t>地下水补径排条件</w:t>
      </w:r>
      <w:bookmarkEnd w:id="544"/>
      <w:bookmarkEnd w:id="545"/>
      <w:bookmarkEnd w:id="546"/>
    </w:p>
    <w:p>
      <w:pPr>
        <w:spacing w:before="199" w:line="392" w:lineRule="auto"/>
        <w:ind w:left="26" w:right="80" w:firstLine="47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遵化北盆地是一个相对独立的水文地质单元，四周地表水分水岭和地下水</w:t>
      </w:r>
      <w:r>
        <w:rPr>
          <w:rFonts w:hint="default" w:ascii="Times New Roman" w:hAnsi="Times New Roman" w:eastAsia="宋体" w:cs="Times New Roman"/>
          <w:spacing w:val="3"/>
          <w:sz w:val="23"/>
          <w:szCs w:val="23"/>
          <w:highlight w:val="none"/>
        </w:rPr>
        <w:t>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水岭基本一致，北部分水岭为冀北山地与冀东丘陵区的分界线，东边界为潮白</w:t>
      </w:r>
      <w:r>
        <w:rPr>
          <w:rFonts w:hint="default" w:ascii="Times New Roman" w:hAnsi="Times New Roman" w:eastAsia="宋体" w:cs="Times New Roman"/>
          <w:spacing w:val="6"/>
          <w:sz w:val="23"/>
          <w:szCs w:val="23"/>
          <w:highlight w:val="none"/>
        </w:rPr>
        <w:t>河</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水系与滦河水系的分水岭，西边界大致为河北省与天津市的分界线，南边界为</w:t>
      </w:r>
      <w:r>
        <w:rPr>
          <w:rFonts w:hint="default" w:ascii="Times New Roman" w:hAnsi="Times New Roman" w:eastAsia="宋体" w:cs="Times New Roman"/>
          <w:spacing w:val="6"/>
          <w:sz w:val="23"/>
          <w:szCs w:val="23"/>
          <w:highlight w:val="none"/>
        </w:rPr>
        <w:t>遵</w:t>
      </w:r>
    </w:p>
    <w:p>
      <w:pPr>
        <w:spacing w:line="314" w:lineRule="exact"/>
        <w:ind w:left="2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position w:val="1"/>
          <w:sz w:val="23"/>
          <w:szCs w:val="23"/>
          <w:highlight w:val="none"/>
        </w:rPr>
        <w:t>化南</w:t>
      </w:r>
      <w:r>
        <w:rPr>
          <w:rFonts w:hint="default" w:ascii="Times New Roman" w:hAnsi="Times New Roman" w:eastAsia="宋体" w:cs="Times New Roman"/>
          <w:spacing w:val="6"/>
          <w:position w:val="1"/>
          <w:sz w:val="23"/>
          <w:szCs w:val="23"/>
          <w:highlight w:val="none"/>
        </w:rPr>
        <w:t>、</w:t>
      </w:r>
      <w:r>
        <w:rPr>
          <w:rFonts w:hint="default" w:ascii="Times New Roman" w:hAnsi="Times New Roman" w:eastAsia="宋体" w:cs="Times New Roman"/>
          <w:spacing w:val="5"/>
          <w:position w:val="1"/>
          <w:sz w:val="23"/>
          <w:szCs w:val="23"/>
          <w:highlight w:val="none"/>
        </w:rPr>
        <w:t xml:space="preserve">北盆地的分界线，盆地流域面积 </w:t>
      </w:r>
      <w:r>
        <w:rPr>
          <w:rFonts w:hint="default" w:ascii="Times New Roman" w:hAnsi="Times New Roman" w:eastAsia="Times New Roman" w:cs="Times New Roman"/>
          <w:spacing w:val="5"/>
          <w:position w:val="1"/>
          <w:sz w:val="23"/>
          <w:szCs w:val="23"/>
          <w:highlight w:val="none"/>
        </w:rPr>
        <w:t>1107</w:t>
      </w:r>
      <w:r>
        <w:rPr>
          <w:rFonts w:hint="default" w:ascii="Times New Roman" w:hAnsi="Times New Roman" w:eastAsia="Times New Roman" w:cs="Times New Roman"/>
          <w:position w:val="1"/>
          <w:sz w:val="23"/>
          <w:szCs w:val="23"/>
          <w:highlight w:val="none"/>
        </w:rPr>
        <w:t>km</w:t>
      </w:r>
      <w:r>
        <w:rPr>
          <w:rFonts w:hint="default" w:ascii="Times New Roman" w:hAnsi="Times New Roman" w:eastAsia="Times New Roman" w:cs="Times New Roman"/>
          <w:spacing w:val="5"/>
          <w:position w:val="9"/>
          <w:sz w:val="15"/>
          <w:szCs w:val="15"/>
          <w:highlight w:val="none"/>
        </w:rPr>
        <w:t>2</w:t>
      </w:r>
      <w:r>
        <w:rPr>
          <w:rFonts w:hint="default" w:ascii="Times New Roman" w:hAnsi="Times New Roman" w:eastAsia="宋体" w:cs="Times New Roman"/>
          <w:spacing w:val="5"/>
          <w:position w:val="1"/>
          <w:sz w:val="23"/>
          <w:szCs w:val="23"/>
          <w:highlight w:val="none"/>
        </w:rPr>
        <w:t>。</w:t>
      </w:r>
    </w:p>
    <w:p>
      <w:pPr>
        <w:spacing w:before="220" w:line="401" w:lineRule="auto"/>
        <w:ind w:left="23"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盆地区第</w:t>
      </w:r>
      <w:r>
        <w:rPr>
          <w:rFonts w:hint="default" w:ascii="Times New Roman" w:hAnsi="Times New Roman" w:eastAsia="宋体" w:cs="Times New Roman"/>
          <w:spacing w:val="3"/>
          <w:sz w:val="23"/>
          <w:szCs w:val="23"/>
          <w:highlight w:val="none"/>
        </w:rPr>
        <w:t>四</w:t>
      </w:r>
      <w:r>
        <w:rPr>
          <w:rFonts w:hint="default" w:ascii="Times New Roman" w:hAnsi="Times New Roman" w:eastAsia="宋体" w:cs="Times New Roman"/>
          <w:spacing w:val="2"/>
          <w:sz w:val="23"/>
          <w:szCs w:val="23"/>
          <w:highlight w:val="none"/>
        </w:rPr>
        <w:t>系地下水的补给主要有大气降水补给、河渠入渗补给、山区河谷、</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沟</w:t>
      </w:r>
      <w:r>
        <w:rPr>
          <w:rFonts w:hint="default" w:ascii="Times New Roman" w:hAnsi="Times New Roman" w:eastAsia="宋体" w:cs="Times New Roman"/>
          <w:spacing w:val="7"/>
          <w:sz w:val="23"/>
          <w:szCs w:val="23"/>
          <w:highlight w:val="none"/>
        </w:rPr>
        <w:t>谷第四系潜流径流补给、山区基岩裂隙水的径流补给、除此之外还有灌溉回归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补</w:t>
      </w:r>
      <w:r>
        <w:rPr>
          <w:rFonts w:hint="default" w:ascii="Times New Roman" w:hAnsi="Times New Roman" w:eastAsia="宋体" w:cs="Times New Roman"/>
          <w:spacing w:val="3"/>
          <w:sz w:val="23"/>
          <w:szCs w:val="23"/>
          <w:highlight w:val="none"/>
        </w:rPr>
        <w:t>给。</w:t>
      </w:r>
    </w:p>
    <w:p>
      <w:pPr>
        <w:spacing w:line="228" w:lineRule="auto"/>
        <w:ind w:left="50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盆地流域的山区，降水后，一部分转换为地表径流顺沟谷汇入河流进入盆</w:t>
      </w:r>
      <w:r>
        <w:rPr>
          <w:rFonts w:hint="default" w:ascii="Times New Roman" w:hAnsi="Times New Roman" w:eastAsia="宋体" w:cs="Times New Roman"/>
          <w:spacing w:val="3"/>
          <w:sz w:val="23"/>
          <w:szCs w:val="23"/>
          <w:highlight w:val="none"/>
        </w:rPr>
        <w:t>地</w:t>
      </w:r>
    </w:p>
    <w:p>
      <w:pPr>
        <w:spacing w:before="219" w:line="401" w:lineRule="auto"/>
        <w:ind w:left="23" w:right="80" w:firstLine="1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区，一</w:t>
      </w:r>
      <w:r>
        <w:rPr>
          <w:rFonts w:hint="default" w:ascii="Times New Roman" w:hAnsi="Times New Roman" w:eastAsia="宋体" w:cs="Times New Roman"/>
          <w:spacing w:val="7"/>
          <w:sz w:val="23"/>
          <w:szCs w:val="23"/>
          <w:highlight w:val="none"/>
        </w:rPr>
        <w:t>部</w:t>
      </w:r>
      <w:r>
        <w:rPr>
          <w:rFonts w:hint="default" w:ascii="Times New Roman" w:hAnsi="Times New Roman" w:eastAsia="宋体" w:cs="Times New Roman"/>
          <w:spacing w:val="6"/>
          <w:sz w:val="23"/>
          <w:szCs w:val="23"/>
          <w:highlight w:val="none"/>
        </w:rPr>
        <w:t>分是大气降水后入渗补给风化裂隙带和构造裂隙带，基岩裂隙水经过径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流</w:t>
      </w:r>
      <w:r>
        <w:rPr>
          <w:rFonts w:hint="default" w:ascii="Times New Roman" w:hAnsi="Times New Roman" w:eastAsia="宋体" w:cs="Times New Roman"/>
          <w:spacing w:val="7"/>
          <w:sz w:val="23"/>
          <w:szCs w:val="23"/>
          <w:highlight w:val="none"/>
        </w:rPr>
        <w:t>汇入低洼的沟谷形成地下水潜流或直接以泉的形式出露于地表，地下潜流直接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补</w:t>
      </w:r>
      <w:r>
        <w:rPr>
          <w:rFonts w:hint="default" w:ascii="Times New Roman" w:hAnsi="Times New Roman" w:eastAsia="宋体" w:cs="Times New Roman"/>
          <w:spacing w:val="7"/>
          <w:sz w:val="23"/>
          <w:szCs w:val="23"/>
          <w:highlight w:val="none"/>
        </w:rPr>
        <w:t>给盆地区第四系地下水，出露于地表的泉水形成地表径流，一部分在有利地区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补</w:t>
      </w:r>
      <w:r>
        <w:rPr>
          <w:rFonts w:hint="default" w:ascii="Times New Roman" w:hAnsi="Times New Roman" w:eastAsia="宋体" w:cs="Times New Roman"/>
          <w:spacing w:val="6"/>
          <w:sz w:val="23"/>
          <w:szCs w:val="23"/>
          <w:highlight w:val="none"/>
        </w:rPr>
        <w:t>给地下水。</w:t>
      </w:r>
    </w:p>
    <w:p>
      <w:pPr>
        <w:spacing w:before="1" w:line="228" w:lineRule="auto"/>
        <w:ind w:left="50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通过</w:t>
      </w:r>
      <w:r>
        <w:rPr>
          <w:rFonts w:hint="default" w:ascii="Times New Roman" w:hAnsi="Times New Roman" w:eastAsia="宋体" w:cs="Times New Roman"/>
          <w:spacing w:val="9"/>
          <w:sz w:val="23"/>
          <w:szCs w:val="23"/>
          <w:highlight w:val="none"/>
        </w:rPr>
        <w:t>以</w:t>
      </w:r>
      <w:r>
        <w:rPr>
          <w:rFonts w:hint="default" w:ascii="Times New Roman" w:hAnsi="Times New Roman" w:eastAsia="宋体" w:cs="Times New Roman"/>
          <w:spacing w:val="8"/>
          <w:sz w:val="23"/>
          <w:szCs w:val="23"/>
          <w:highlight w:val="none"/>
        </w:rPr>
        <w:t>上分析，盆地区的地下水补给就是来源于该区域内的降水入渗补给。</w:t>
      </w:r>
    </w:p>
    <w:p>
      <w:pPr>
        <w:spacing w:before="213" w:line="392" w:lineRule="auto"/>
        <w:ind w:left="24" w:right="80"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地下水的径流，在盆地内地下水的径流主要是受地形影响，总的方向是由</w:t>
      </w:r>
      <w:r>
        <w:rPr>
          <w:rFonts w:hint="default" w:ascii="Times New Roman" w:hAnsi="Times New Roman" w:eastAsia="宋体" w:cs="Times New Roman"/>
          <w:spacing w:val="3"/>
          <w:sz w:val="23"/>
          <w:szCs w:val="23"/>
          <w:highlight w:val="none"/>
        </w:rPr>
        <w:t>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向</w:t>
      </w:r>
      <w:r>
        <w:rPr>
          <w:rFonts w:hint="default" w:ascii="Times New Roman" w:hAnsi="Times New Roman" w:eastAsia="宋体" w:cs="Times New Roman"/>
          <w:spacing w:val="7"/>
          <w:sz w:val="23"/>
          <w:szCs w:val="23"/>
          <w:highlight w:val="none"/>
        </w:rPr>
        <w:t>南。最终流向最低洼地带，山区基岩裂隙地下水径流则是由高向低处径流，主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要</w:t>
      </w:r>
      <w:r>
        <w:rPr>
          <w:rFonts w:hint="default" w:ascii="Times New Roman" w:hAnsi="Times New Roman" w:eastAsia="宋体" w:cs="Times New Roman"/>
          <w:spacing w:val="7"/>
          <w:sz w:val="23"/>
          <w:szCs w:val="23"/>
          <w:highlight w:val="none"/>
        </w:rPr>
        <w:t>受地形及裂隙发育情况控制。盆地区地下水含水层主要以卵砾石构成径流条件</w:t>
      </w:r>
    </w:p>
    <w:p>
      <w:pPr>
        <w:spacing w:line="315" w:lineRule="exact"/>
        <w:ind w:left="2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position w:val="1"/>
          <w:sz w:val="23"/>
          <w:szCs w:val="23"/>
          <w:highlight w:val="none"/>
        </w:rPr>
        <w:t>较</w:t>
      </w:r>
      <w:r>
        <w:rPr>
          <w:rFonts w:hint="default" w:ascii="Times New Roman" w:hAnsi="Times New Roman" w:eastAsia="宋体" w:cs="Times New Roman"/>
          <w:spacing w:val="12"/>
          <w:position w:val="1"/>
          <w:sz w:val="23"/>
          <w:szCs w:val="23"/>
          <w:highlight w:val="none"/>
        </w:rPr>
        <w:t>好</w:t>
      </w:r>
      <w:r>
        <w:rPr>
          <w:rFonts w:hint="default" w:ascii="Times New Roman" w:hAnsi="Times New Roman" w:eastAsia="宋体" w:cs="Times New Roman"/>
          <w:spacing w:val="10"/>
          <w:position w:val="1"/>
          <w:sz w:val="23"/>
          <w:szCs w:val="23"/>
          <w:highlight w:val="none"/>
        </w:rPr>
        <w:t xml:space="preserve">，渗透系数一般在 </w:t>
      </w:r>
      <w:r>
        <w:rPr>
          <w:rFonts w:hint="default" w:ascii="Times New Roman" w:hAnsi="Times New Roman" w:eastAsia="Times New Roman" w:cs="Times New Roman"/>
          <w:spacing w:val="10"/>
          <w:position w:val="1"/>
          <w:sz w:val="23"/>
          <w:szCs w:val="23"/>
          <w:highlight w:val="none"/>
        </w:rPr>
        <w:t>30</w:t>
      </w:r>
      <w:r>
        <w:rPr>
          <w:rFonts w:hint="default" w:ascii="Times New Roman" w:hAnsi="Times New Roman" w:eastAsia="宋体" w:cs="Times New Roman"/>
          <w:spacing w:val="10"/>
          <w:position w:val="1"/>
          <w:sz w:val="23"/>
          <w:szCs w:val="23"/>
          <w:highlight w:val="none"/>
        </w:rPr>
        <w:t>~</w:t>
      </w:r>
      <w:r>
        <w:rPr>
          <w:rFonts w:hint="default" w:ascii="Times New Roman" w:hAnsi="Times New Roman" w:eastAsia="Times New Roman" w:cs="Times New Roman"/>
          <w:spacing w:val="10"/>
          <w:position w:val="1"/>
          <w:sz w:val="23"/>
          <w:szCs w:val="23"/>
          <w:highlight w:val="none"/>
        </w:rPr>
        <w:t>200</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10"/>
          <w:position w:val="1"/>
          <w:sz w:val="23"/>
          <w:szCs w:val="23"/>
          <w:highlight w:val="none"/>
        </w:rPr>
        <w:t>/</w:t>
      </w:r>
      <w:r>
        <w:rPr>
          <w:rFonts w:hint="default" w:ascii="Times New Roman" w:hAnsi="Times New Roman" w:eastAsia="Times New Roman" w:cs="Times New Roman"/>
          <w:position w:val="1"/>
          <w:sz w:val="23"/>
          <w:szCs w:val="23"/>
          <w:highlight w:val="none"/>
        </w:rPr>
        <w:t>d</w:t>
      </w:r>
      <w:r>
        <w:rPr>
          <w:rFonts w:hint="default" w:ascii="Times New Roman" w:hAnsi="Times New Roman" w:eastAsia="宋体" w:cs="Times New Roman"/>
          <w:spacing w:val="10"/>
          <w:position w:val="1"/>
          <w:sz w:val="23"/>
          <w:szCs w:val="23"/>
          <w:highlight w:val="none"/>
        </w:rPr>
        <w:t>。</w:t>
      </w:r>
    </w:p>
    <w:p>
      <w:pPr>
        <w:spacing w:before="222" w:line="228" w:lineRule="auto"/>
        <w:ind w:left="50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地下水的排泄，天然条件下，地下水的径流在南北盆地连接处受到基岩的</w:t>
      </w:r>
      <w:r>
        <w:rPr>
          <w:rFonts w:hint="default" w:ascii="Times New Roman" w:hAnsi="Times New Roman" w:eastAsia="宋体" w:cs="Times New Roman"/>
          <w:spacing w:val="3"/>
          <w:sz w:val="23"/>
          <w:szCs w:val="23"/>
          <w:highlight w:val="none"/>
        </w:rPr>
        <w:t>阻</w:t>
      </w:r>
    </w:p>
    <w:p>
      <w:pPr>
        <w:spacing w:before="218" w:line="401" w:lineRule="auto"/>
        <w:ind w:left="22" w:right="2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挡</w:t>
      </w:r>
      <w:r>
        <w:rPr>
          <w:rFonts w:hint="default" w:ascii="Times New Roman" w:hAnsi="Times New Roman" w:eastAsia="宋体" w:cs="Times New Roman"/>
          <w:spacing w:val="7"/>
          <w:sz w:val="23"/>
          <w:szCs w:val="23"/>
          <w:highlight w:val="none"/>
        </w:rPr>
        <w:t>，地下水的排泄是在低洼地带转换成地表水，在基岩的低洼段，经河流流向南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部盆</w:t>
      </w:r>
      <w:r>
        <w:rPr>
          <w:rFonts w:hint="default" w:ascii="Times New Roman" w:hAnsi="Times New Roman" w:eastAsia="宋体" w:cs="Times New Roman"/>
          <w:spacing w:val="14"/>
          <w:sz w:val="23"/>
          <w:szCs w:val="23"/>
          <w:highlight w:val="none"/>
        </w:rPr>
        <w:t>地</w:t>
      </w:r>
      <w:r>
        <w:rPr>
          <w:rFonts w:hint="default" w:ascii="Times New Roman" w:hAnsi="Times New Roman" w:eastAsia="宋体" w:cs="Times New Roman"/>
          <w:spacing w:val="8"/>
          <w:sz w:val="23"/>
          <w:szCs w:val="23"/>
          <w:highlight w:val="none"/>
        </w:rPr>
        <w:t>，主要河流有黎河和沙河，其它排泄方式还有潜水蒸发和地表水的蒸发。</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在</w:t>
      </w:r>
      <w:r>
        <w:rPr>
          <w:rFonts w:hint="default" w:ascii="Times New Roman" w:hAnsi="Times New Roman" w:eastAsia="宋体" w:cs="Times New Roman"/>
          <w:spacing w:val="7"/>
          <w:sz w:val="23"/>
          <w:szCs w:val="23"/>
          <w:highlight w:val="none"/>
        </w:rPr>
        <w:t>目前条件下，地下水的人工开采成为了该区地下水的主要排泄方式，地下水转</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换为</w:t>
      </w:r>
      <w:r>
        <w:rPr>
          <w:rFonts w:hint="default" w:ascii="Times New Roman" w:hAnsi="Times New Roman" w:eastAsia="宋体" w:cs="Times New Roman"/>
          <w:spacing w:val="14"/>
          <w:sz w:val="23"/>
          <w:szCs w:val="23"/>
          <w:highlight w:val="none"/>
        </w:rPr>
        <w:t>地</w:t>
      </w:r>
      <w:r>
        <w:rPr>
          <w:rFonts w:hint="default" w:ascii="Times New Roman" w:hAnsi="Times New Roman" w:eastAsia="宋体" w:cs="Times New Roman"/>
          <w:spacing w:val="8"/>
          <w:sz w:val="23"/>
          <w:szCs w:val="23"/>
          <w:highlight w:val="none"/>
        </w:rPr>
        <w:t>表径流排泄和潜水蒸发，随着地下水开采量的不断增加，地下水位下降，</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地</w:t>
      </w:r>
      <w:r>
        <w:rPr>
          <w:rFonts w:hint="default" w:ascii="Times New Roman" w:hAnsi="Times New Roman" w:eastAsia="宋体" w:cs="Times New Roman"/>
          <w:spacing w:val="13"/>
          <w:sz w:val="23"/>
          <w:szCs w:val="23"/>
          <w:highlight w:val="none"/>
        </w:rPr>
        <w:t>下</w:t>
      </w:r>
      <w:r>
        <w:rPr>
          <w:rFonts w:hint="default" w:ascii="Times New Roman" w:hAnsi="Times New Roman" w:eastAsia="宋体" w:cs="Times New Roman"/>
          <w:spacing w:val="9"/>
          <w:sz w:val="23"/>
          <w:szCs w:val="23"/>
          <w:highlight w:val="none"/>
        </w:rPr>
        <w:t>水蒸发量目前很小，地下水的转换成地表径流量的水量也逐渐减少。</w:t>
      </w:r>
    </w:p>
    <w:p>
      <w:pPr>
        <w:spacing w:before="1"/>
        <w:ind w:left="497"/>
        <w:outlineLvl w:val="0"/>
        <w:rPr>
          <w:rFonts w:hint="default" w:ascii="Times New Roman" w:hAnsi="Times New Roman" w:eastAsia="宋体" w:cs="Times New Roman"/>
          <w:sz w:val="23"/>
          <w:szCs w:val="23"/>
          <w:highlight w:val="none"/>
        </w:rPr>
      </w:pPr>
      <w:bookmarkStart w:id="547" w:name="_Toc19575"/>
      <w:bookmarkStart w:id="548" w:name="_Toc1884"/>
      <w:bookmarkStart w:id="549" w:name="_Toc30440"/>
      <w:r>
        <w:rPr>
          <w:rFonts w:hint="default" w:ascii="Times New Roman" w:hAnsi="Times New Roman" w:eastAsia="Times New Roman" w:cs="Times New Roman"/>
          <w:spacing w:val="4"/>
          <w:sz w:val="23"/>
          <w:szCs w:val="23"/>
          <w:highlight w:val="none"/>
        </w:rPr>
        <w:t>4</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2"/>
          <w:sz w:val="23"/>
          <w:szCs w:val="23"/>
          <w:highlight w:val="none"/>
        </w:rPr>
        <w:t>、地下水动态特征</w:t>
      </w:r>
      <w:bookmarkEnd w:id="547"/>
      <w:bookmarkEnd w:id="548"/>
      <w:bookmarkEnd w:id="549"/>
    </w:p>
    <w:p>
      <w:pPr>
        <w:spacing w:before="200" w:line="228" w:lineRule="auto"/>
        <w:ind w:left="514"/>
        <w:outlineLvl w:val="1"/>
        <w:rPr>
          <w:rFonts w:hint="default" w:ascii="Times New Roman" w:hAnsi="Times New Roman" w:eastAsia="宋体" w:cs="Times New Roman"/>
          <w:sz w:val="23"/>
          <w:szCs w:val="23"/>
          <w:highlight w:val="none"/>
        </w:rPr>
      </w:pPr>
      <w:bookmarkStart w:id="550" w:name="_Toc2270"/>
      <w:bookmarkStart w:id="551" w:name="_Toc27618"/>
      <w:bookmarkStart w:id="552" w:name="_Toc9815"/>
      <w:r>
        <w:rPr>
          <w:rFonts w:hint="default" w:ascii="Times New Roman" w:hAnsi="Times New Roman" w:eastAsia="宋体" w:cs="Times New Roman"/>
          <w:spacing w:val="17"/>
          <w:sz w:val="23"/>
          <w:szCs w:val="23"/>
          <w:highlight w:val="none"/>
        </w:rPr>
        <w:t>(</w:t>
      </w:r>
      <w:r>
        <w:rPr>
          <w:rFonts w:hint="default" w:ascii="Times New Roman" w:hAnsi="Times New Roman" w:eastAsia="Times New Roman" w:cs="Times New Roman"/>
          <w:spacing w:val="16"/>
          <w:sz w:val="23"/>
          <w:szCs w:val="23"/>
          <w:highlight w:val="none"/>
        </w:rPr>
        <w:t>1</w:t>
      </w:r>
      <w:r>
        <w:rPr>
          <w:rFonts w:hint="default" w:ascii="Times New Roman" w:hAnsi="Times New Roman" w:eastAsia="宋体" w:cs="Times New Roman"/>
          <w:spacing w:val="16"/>
          <w:sz w:val="23"/>
          <w:szCs w:val="23"/>
          <w:highlight w:val="none"/>
        </w:rPr>
        <w:t>) 地下水多年变化特征</w:t>
      </w:r>
      <w:bookmarkEnd w:id="550"/>
      <w:bookmarkEnd w:id="551"/>
      <w:bookmarkEnd w:id="552"/>
    </w:p>
    <w:p>
      <w:pPr>
        <w:spacing w:before="214" w:line="230" w:lineRule="auto"/>
        <w:ind w:left="50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遵化盆地，从总体上分析，是一个地下水比较丰富的地区。根据该区的地</w:t>
      </w:r>
      <w:r>
        <w:rPr>
          <w:rFonts w:hint="default" w:ascii="Times New Roman" w:hAnsi="Times New Roman" w:eastAsia="宋体" w:cs="Times New Roman"/>
          <w:spacing w:val="3"/>
          <w:sz w:val="23"/>
          <w:szCs w:val="23"/>
          <w:highlight w:val="none"/>
        </w:rPr>
        <w:t>下</w:t>
      </w:r>
    </w:p>
    <w:p>
      <w:pPr>
        <w:rPr>
          <w:rFonts w:hint="default" w:ascii="Times New Roman" w:hAnsi="Times New Roman" w:cs="Times New Roman"/>
          <w:highlight w:val="none"/>
        </w:rPr>
        <w:sectPr>
          <w:headerReference r:id="rId84" w:type="default"/>
          <w:footerReference r:id="rId85" w:type="default"/>
          <w:pgSz w:w="11906" w:h="16839"/>
          <w:pgMar w:top="1167" w:right="1719" w:bottom="1282" w:left="1785" w:header="897" w:footer="1015" w:gutter="0"/>
          <w:pgBorders>
            <w:top w:val="none" w:sz="0" w:space="0"/>
            <w:left w:val="none" w:sz="0" w:space="0"/>
            <w:bottom w:val="none" w:sz="0" w:space="0"/>
            <w:right w:val="none" w:sz="0" w:space="0"/>
          </w:pgBorders>
          <w:pgNumType w:fmt="decimal"/>
          <w:cols w:space="720" w:num="1"/>
        </w:sectPr>
      </w:pPr>
    </w:p>
    <w:p>
      <w:pPr>
        <w:spacing w:line="439" w:lineRule="auto"/>
        <w:rPr>
          <w:rFonts w:hint="default" w:ascii="Times New Roman" w:hAnsi="Times New Roman" w:cs="Times New Roman"/>
          <w:sz w:val="21"/>
          <w:highlight w:val="none"/>
        </w:rPr>
      </w:pPr>
    </w:p>
    <w:p>
      <w:pPr>
        <w:spacing w:before="55" w:line="230" w:lineRule="auto"/>
        <w:ind w:left="978"/>
        <w:rPr>
          <w:rFonts w:hint="default" w:ascii="Times New Roman" w:hAnsi="Times New Roman" w:eastAsia="宋体" w:cs="Times New Roman"/>
          <w:sz w:val="17"/>
          <w:szCs w:val="17"/>
          <w:highlight w:val="none"/>
        </w:rPr>
      </w:pPr>
      <w:r>
        <w:rPr>
          <w:rFonts w:hint="default" w:ascii="Times New Roman" w:hAnsi="Times New Roman" w:eastAsia="宋体" w:cs="Times New Roman"/>
          <w:spacing w:val="7"/>
          <w:sz w:val="17"/>
          <w:szCs w:val="17"/>
          <w:highlight w:val="none"/>
        </w:rPr>
        <w:t>遵化市势竹矿业有限公司</w:t>
      </w:r>
      <w:r>
        <w:rPr>
          <w:rFonts w:hint="default" w:ascii="Times New Roman" w:hAnsi="Times New Roman" w:eastAsia="宋体" w:cs="Times New Roman"/>
          <w:spacing w:val="7"/>
          <w:sz w:val="17"/>
          <w:szCs w:val="17"/>
          <w:highlight w:val="none"/>
          <w:lang w:eastAsia="zh-CN"/>
        </w:rPr>
        <w:t>年处理110万吨铁矿石破碎改扩建项目</w:t>
      </w:r>
      <w:r>
        <w:rPr>
          <w:rFonts w:hint="default" w:ascii="Times New Roman" w:hAnsi="Times New Roman" w:eastAsia="宋体" w:cs="Times New Roman"/>
          <w:spacing w:val="7"/>
          <w:sz w:val="17"/>
          <w:szCs w:val="17"/>
          <w:highlight w:val="none"/>
        </w:rPr>
        <w:t>项目环境影响报告</w:t>
      </w:r>
      <w:r>
        <w:rPr>
          <w:rFonts w:hint="default" w:ascii="Times New Roman" w:hAnsi="Times New Roman" w:eastAsia="宋体" w:cs="Times New Roman"/>
          <w:spacing w:val="5"/>
          <w:sz w:val="17"/>
          <w:szCs w:val="17"/>
          <w:highlight w:val="none"/>
        </w:rPr>
        <w:t>书</w:t>
      </w:r>
    </w:p>
    <w:p>
      <w:pPr>
        <w:spacing w:before="15" w:line="72" w:lineRule="exact"/>
        <w:ind w:firstLine="14"/>
        <w:textAlignment w:val="center"/>
        <w:rPr>
          <w:rFonts w:hint="default" w:ascii="Times New Roman" w:hAnsi="Times New Roman" w:cs="Times New Roman"/>
          <w:highlight w:val="none"/>
        </w:rPr>
      </w:pPr>
      <w:r>
        <w:rPr>
          <w:rFonts w:hint="default" w:ascii="Times New Roman" w:hAnsi="Times New Roman" w:cs="Times New Roman"/>
          <w:highlight w:val="none"/>
        </w:rPr>
        <w:pict>
          <v:shape id="_x0000_s1241" o:spid="_x0000_s1241" style="height:3.6pt;width:415.3pt;" fillcolor="#000000" filled="t" stroked="f" coordsize="8305,71" path="m0,0l8305,0,8305,43,0,43,0,0xem0,57l8305,57,8305,71,0,71,0,57xe">
            <v:path/>
            <v:fill on="t" focussize="0,0"/>
            <v:stroke on="f"/>
            <v:imagedata o:title=""/>
            <o:lock v:ext="edit"/>
            <w10:wrap type="none"/>
            <w10:anchorlock/>
          </v:shape>
        </w:pict>
      </w:r>
    </w:p>
    <w:p>
      <w:pPr>
        <w:spacing w:line="362" w:lineRule="auto"/>
        <w:rPr>
          <w:rFonts w:hint="default" w:ascii="Times New Roman" w:hAnsi="Times New Roman" w:cs="Times New Roman"/>
          <w:sz w:val="21"/>
          <w:highlight w:val="none"/>
        </w:rPr>
      </w:pPr>
    </w:p>
    <w:p>
      <w:pPr>
        <w:spacing w:before="75" w:line="228" w:lineRule="auto"/>
        <w:ind w:left="2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水</w:t>
      </w:r>
      <w:r>
        <w:rPr>
          <w:rFonts w:hint="default" w:ascii="Times New Roman" w:hAnsi="Times New Roman" w:eastAsia="宋体" w:cs="Times New Roman"/>
          <w:spacing w:val="9"/>
          <w:sz w:val="23"/>
          <w:szCs w:val="23"/>
          <w:highlight w:val="none"/>
        </w:rPr>
        <w:t>水位动态曲线分析，研究区可以大致分为两种类型。</w:t>
      </w:r>
    </w:p>
    <w:p>
      <w:pPr>
        <w:spacing w:before="216" w:line="401" w:lineRule="auto"/>
        <w:ind w:left="23" w:right="748" w:firstLine="50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以</w:t>
      </w:r>
      <w:r>
        <w:rPr>
          <w:rFonts w:hint="default" w:ascii="Times New Roman" w:hAnsi="Times New Roman" w:eastAsia="宋体" w:cs="Times New Roman"/>
          <w:spacing w:val="6"/>
          <w:sz w:val="23"/>
          <w:szCs w:val="23"/>
          <w:highlight w:val="none"/>
        </w:rPr>
        <w:t>农业和农村生活为主的开采区，地下水水位没有明显的下降趋势，年内动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态</w:t>
      </w:r>
      <w:r>
        <w:rPr>
          <w:rFonts w:hint="default" w:ascii="Times New Roman" w:hAnsi="Times New Roman" w:eastAsia="宋体" w:cs="Times New Roman"/>
          <w:spacing w:val="7"/>
          <w:sz w:val="23"/>
          <w:szCs w:val="23"/>
          <w:highlight w:val="none"/>
        </w:rPr>
        <w:t>变化较大，但多年水位动态的总趋势基本趋于平衡，见后铺地下水观测孔动态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 xml:space="preserve">曲线，图 </w:t>
      </w:r>
      <w:r>
        <w:rPr>
          <w:rFonts w:hint="default" w:ascii="Times New Roman" w:hAnsi="Times New Roman" w:eastAsia="Times New Roman" w:cs="Times New Roman"/>
          <w:spacing w:val="3"/>
          <w:sz w:val="23"/>
          <w:szCs w:val="23"/>
          <w:highlight w:val="none"/>
        </w:rPr>
        <w:t xml:space="preserve">5.2- </w:t>
      </w:r>
      <w:r>
        <w:rPr>
          <w:rFonts w:hint="eastAsia" w:ascii="Times New Roman" w:hAnsi="Times New Roman" w:eastAsia="宋体" w:cs="Times New Roman"/>
          <w:spacing w:val="3"/>
          <w:sz w:val="23"/>
          <w:szCs w:val="23"/>
          <w:highlight w:val="none"/>
          <w:lang w:val="en-US" w:eastAsia="zh-CN"/>
        </w:rPr>
        <w:t>6</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，由于上述地区含水层较发育，颗粒松散，且地下水开采</w:t>
      </w:r>
      <w:r>
        <w:rPr>
          <w:rFonts w:hint="default" w:ascii="Times New Roman" w:hAnsi="Times New Roman" w:eastAsia="宋体" w:cs="Times New Roman"/>
          <w:spacing w:val="1"/>
          <w:sz w:val="23"/>
          <w:szCs w:val="23"/>
          <w:highlight w:val="none"/>
        </w:rPr>
        <w:t>以</w:t>
      </w:r>
      <w:r>
        <w:rPr>
          <w:rFonts w:hint="default" w:ascii="Times New Roman" w:hAnsi="Times New Roman" w:eastAsia="宋体" w:cs="Times New Roman"/>
          <w:sz w:val="23"/>
          <w:szCs w:val="23"/>
          <w:highlight w:val="none"/>
        </w:rPr>
        <w:t>农业</w:t>
      </w:r>
    </w:p>
    <w:p>
      <w:pPr>
        <w:spacing w:line="228" w:lineRule="auto"/>
        <w:ind w:left="2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5"/>
          <w:sz w:val="23"/>
          <w:szCs w:val="23"/>
          <w:highlight w:val="none"/>
        </w:rPr>
        <w:t>灌</w:t>
      </w:r>
      <w:r>
        <w:rPr>
          <w:rFonts w:hint="default" w:ascii="Times New Roman" w:hAnsi="Times New Roman" w:eastAsia="宋体" w:cs="Times New Roman"/>
          <w:spacing w:val="9"/>
          <w:sz w:val="23"/>
          <w:szCs w:val="23"/>
          <w:highlight w:val="none"/>
        </w:rPr>
        <w:t>溉为主，故含水层多年调节能力较强，总的水位升降趋势持平。</w:t>
      </w:r>
    </w:p>
    <w:p>
      <w:pPr>
        <w:spacing w:before="108" w:line="3571" w:lineRule="exact"/>
        <w:ind w:firstLine="14"/>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5734685" cy="2267585"/>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157"/>
                    <a:stretch>
                      <a:fillRect/>
                    </a:stretch>
                  </pic:blipFill>
                  <pic:spPr>
                    <a:xfrm>
                      <a:off x="0" y="0"/>
                      <a:ext cx="5734811" cy="2267711"/>
                    </a:xfrm>
                    <a:prstGeom prst="rect">
                      <a:avLst/>
                    </a:prstGeom>
                  </pic:spPr>
                </pic:pic>
              </a:graphicData>
            </a:graphic>
          </wp:inline>
        </w:drawing>
      </w:r>
    </w:p>
    <w:p>
      <w:pPr>
        <w:spacing w:before="280" w:line="227" w:lineRule="auto"/>
        <w:ind w:left="236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Times New Roman" w:cs="Times New Roman"/>
          <w:b/>
          <w:bCs/>
          <w:spacing w:val="4"/>
          <w:sz w:val="23"/>
          <w:szCs w:val="23"/>
          <w:highlight w:val="none"/>
        </w:rPr>
        <w:t>5.</w:t>
      </w:r>
      <w:r>
        <w:rPr>
          <w:rFonts w:hint="default" w:ascii="Times New Roman" w:hAnsi="Times New Roman" w:eastAsia="Times New Roman" w:cs="Times New Roman"/>
          <w:b/>
          <w:bCs/>
          <w:spacing w:val="3"/>
          <w:sz w:val="23"/>
          <w:szCs w:val="23"/>
          <w:highlight w:val="none"/>
        </w:rPr>
        <w:t>2</w:t>
      </w:r>
      <w:r>
        <w:rPr>
          <w:rFonts w:hint="default" w:ascii="Times New Roman" w:hAnsi="Times New Roman" w:eastAsia="Times New Roman" w:cs="Times New Roman"/>
          <w:b/>
          <w:bCs/>
          <w:spacing w:val="2"/>
          <w:sz w:val="23"/>
          <w:szCs w:val="23"/>
          <w:highlight w:val="none"/>
        </w:rPr>
        <w:t>-</w:t>
      </w:r>
      <w:r>
        <w:rPr>
          <w:rFonts w:hint="eastAsia" w:ascii="Times New Roman" w:hAnsi="Times New Roman" w:eastAsia="宋体" w:cs="Times New Roman"/>
          <w:b/>
          <w:bCs/>
          <w:spacing w:val="2"/>
          <w:sz w:val="23"/>
          <w:szCs w:val="23"/>
          <w:highlight w:val="none"/>
          <w:lang w:val="en-US" w:eastAsia="zh-CN"/>
        </w:rPr>
        <w:t>6</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后铺村地下水动态曲线</w:t>
      </w:r>
    </w:p>
    <w:p>
      <w:pPr>
        <w:spacing w:before="219" w:line="417" w:lineRule="auto"/>
        <w:ind w:left="24" w:right="714"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在</w:t>
      </w:r>
      <w:r>
        <w:rPr>
          <w:rFonts w:hint="default" w:ascii="Times New Roman" w:hAnsi="Times New Roman" w:eastAsia="宋体" w:cs="Times New Roman"/>
          <w:spacing w:val="8"/>
          <w:sz w:val="23"/>
          <w:szCs w:val="23"/>
          <w:highlight w:val="none"/>
        </w:rPr>
        <w:t>人口较为集中，经济较发达的水源地集中开采区，由于生产生活的需要，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开</w:t>
      </w:r>
      <w:r>
        <w:rPr>
          <w:rFonts w:hint="default" w:ascii="Times New Roman" w:hAnsi="Times New Roman" w:eastAsia="宋体" w:cs="Times New Roman"/>
          <w:spacing w:val="7"/>
          <w:sz w:val="23"/>
          <w:szCs w:val="23"/>
          <w:highlight w:val="none"/>
        </w:rPr>
        <w:t>采量相对增大，且多年水位变化略有下降，如堡子店周围情况就是如此。见图</w:t>
      </w:r>
    </w:p>
    <w:p>
      <w:pPr>
        <w:spacing w:line="186" w:lineRule="auto"/>
        <w:ind w:left="25"/>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9"/>
          <w:sz w:val="23"/>
          <w:szCs w:val="23"/>
          <w:highlight w:val="none"/>
        </w:rPr>
        <w:t>5</w:t>
      </w:r>
      <w:r>
        <w:rPr>
          <w:rFonts w:hint="default" w:ascii="Times New Roman" w:hAnsi="Times New Roman" w:eastAsia="Times New Roman" w:cs="Times New Roman"/>
          <w:spacing w:val="-5"/>
          <w:sz w:val="23"/>
          <w:szCs w:val="23"/>
          <w:highlight w:val="none"/>
        </w:rPr>
        <w:t xml:space="preserve">.2- </w:t>
      </w:r>
      <w:r>
        <w:rPr>
          <w:rFonts w:hint="eastAsia" w:ascii="Times New Roman" w:hAnsi="Times New Roman" w:eastAsia="宋体" w:cs="Times New Roman"/>
          <w:spacing w:val="-5"/>
          <w:sz w:val="23"/>
          <w:szCs w:val="23"/>
          <w:highlight w:val="none"/>
          <w:lang w:val="en-US" w:eastAsia="zh-CN"/>
        </w:rPr>
        <w:t>7</w:t>
      </w:r>
      <w:r>
        <w:rPr>
          <w:rFonts w:hint="default" w:ascii="Times New Roman" w:hAnsi="Times New Roman" w:eastAsia="宋体" w:cs="Times New Roman"/>
          <w:spacing w:val="-5"/>
          <w:sz w:val="23"/>
          <w:szCs w:val="23"/>
          <w:highlight w:val="none"/>
        </w:rPr>
        <w:t>。</w:t>
      </w:r>
    </w:p>
    <w:p>
      <w:pPr>
        <w:spacing w:before="140" w:line="2904" w:lineRule="exact"/>
        <w:ind w:firstLine="14"/>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5751195" cy="184404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8"/>
                    <a:stretch>
                      <a:fillRect/>
                    </a:stretch>
                  </pic:blipFill>
                  <pic:spPr>
                    <a:xfrm>
                      <a:off x="0" y="0"/>
                      <a:ext cx="5751576" cy="1844040"/>
                    </a:xfrm>
                    <a:prstGeom prst="rect">
                      <a:avLst/>
                    </a:prstGeom>
                  </pic:spPr>
                </pic:pic>
              </a:graphicData>
            </a:graphic>
          </wp:inline>
        </w:drawing>
      </w:r>
    </w:p>
    <w:p>
      <w:pPr>
        <w:spacing w:before="304" w:line="228" w:lineRule="auto"/>
        <w:ind w:left="242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3"/>
          <w:sz w:val="23"/>
          <w:szCs w:val="23"/>
          <w:highlight w:val="none"/>
        </w:rPr>
        <w:t xml:space="preserve"> </w:t>
      </w:r>
      <w:r>
        <w:rPr>
          <w:rFonts w:hint="default" w:ascii="Times New Roman" w:hAnsi="Times New Roman" w:eastAsia="Times New Roman" w:cs="Times New Roman"/>
          <w:b/>
          <w:bCs/>
          <w:spacing w:val="3"/>
          <w:sz w:val="23"/>
          <w:szCs w:val="23"/>
          <w:highlight w:val="none"/>
        </w:rPr>
        <w:t>5.2-</w:t>
      </w:r>
      <w:r>
        <w:rPr>
          <w:rFonts w:hint="eastAsia" w:ascii="Times New Roman" w:hAnsi="Times New Roman" w:eastAsia="宋体" w:cs="Times New Roman"/>
          <w:b/>
          <w:bCs/>
          <w:spacing w:val="3"/>
          <w:sz w:val="23"/>
          <w:szCs w:val="23"/>
          <w:highlight w:val="none"/>
          <w:lang w:val="en-US" w:eastAsia="zh-CN"/>
        </w:rPr>
        <w:t>7</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堡子店地下水动态曲线</w:t>
      </w:r>
    </w:p>
    <w:p>
      <w:pPr>
        <w:spacing w:before="215" w:line="227" w:lineRule="auto"/>
        <w:ind w:left="503"/>
        <w:outlineLvl w:val="0"/>
        <w:rPr>
          <w:rFonts w:hint="default" w:ascii="Times New Roman" w:hAnsi="Times New Roman" w:eastAsia="宋体" w:cs="Times New Roman"/>
          <w:sz w:val="23"/>
          <w:szCs w:val="23"/>
          <w:highlight w:val="none"/>
        </w:rPr>
      </w:pPr>
      <w:bookmarkStart w:id="553" w:name="_Toc17781"/>
      <w:bookmarkStart w:id="554" w:name="_Toc27462"/>
      <w:bookmarkStart w:id="555" w:name="_Toc10780"/>
      <w:r>
        <w:rPr>
          <w:rFonts w:hint="default" w:ascii="Times New Roman" w:hAnsi="Times New Roman" w:eastAsia="宋体" w:cs="Times New Roman"/>
          <w:spacing w:val="7"/>
          <w:sz w:val="23"/>
          <w:szCs w:val="23"/>
          <w:highlight w:val="none"/>
        </w:rPr>
        <w:t>通过对遵化市城区的水位监测资料显示，遵化市城区水位处于季节性波动</w:t>
      </w:r>
      <w:r>
        <w:rPr>
          <w:rFonts w:hint="default" w:ascii="Times New Roman" w:hAnsi="Times New Roman" w:eastAsia="宋体" w:cs="Times New Roman"/>
          <w:spacing w:val="3"/>
          <w:sz w:val="23"/>
          <w:szCs w:val="23"/>
          <w:highlight w:val="none"/>
        </w:rPr>
        <w:t>状</w:t>
      </w:r>
      <w:bookmarkEnd w:id="553"/>
      <w:bookmarkEnd w:id="554"/>
      <w:bookmarkEnd w:id="555"/>
    </w:p>
    <w:p>
      <w:pPr>
        <w:spacing w:before="218" w:line="406" w:lineRule="auto"/>
        <w:ind w:left="22" w:right="75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态</w:t>
      </w:r>
      <w:r>
        <w:rPr>
          <w:rFonts w:hint="default" w:ascii="Times New Roman" w:hAnsi="Times New Roman" w:eastAsia="宋体" w:cs="Times New Roman"/>
          <w:spacing w:val="6"/>
          <w:sz w:val="23"/>
          <w:szCs w:val="23"/>
          <w:highlight w:val="none"/>
        </w:rPr>
        <w:t>，没有明显的水位下降下降趋势。在大草甸</w:t>
      </w:r>
      <w:r>
        <w:rPr>
          <w:rFonts w:hint="default" w:ascii="Times New Roman" w:hAnsi="Times New Roman" w:eastAsia="Times New Roman" w:cs="Times New Roman"/>
          <w:spacing w:val="6"/>
          <w:sz w:val="23"/>
          <w:szCs w:val="23"/>
          <w:highlight w:val="none"/>
        </w:rPr>
        <w:t xml:space="preserve">5 </w:t>
      </w:r>
      <w:r>
        <w:rPr>
          <w:rFonts w:hint="default" w:ascii="Times New Roman" w:hAnsi="Times New Roman" w:eastAsia="宋体" w:cs="Times New Roman"/>
          <w:spacing w:val="6"/>
          <w:sz w:val="23"/>
          <w:szCs w:val="23"/>
          <w:highlight w:val="none"/>
        </w:rPr>
        <w:t xml:space="preserve">年水位下降了 </w:t>
      </w:r>
      <w:r>
        <w:rPr>
          <w:rFonts w:hint="default" w:ascii="Times New Roman" w:hAnsi="Times New Roman" w:eastAsia="Times New Roman" w:cs="Times New Roman"/>
          <w:spacing w:val="6"/>
          <w:sz w:val="23"/>
          <w:szCs w:val="23"/>
          <w:highlight w:val="none"/>
        </w:rPr>
        <w:t>0.55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，井队家属</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 xml:space="preserve">院观测井水位下降 </w:t>
      </w:r>
      <w:r>
        <w:rPr>
          <w:rFonts w:hint="default" w:ascii="Times New Roman" w:hAnsi="Times New Roman" w:eastAsia="Times New Roman" w:cs="Times New Roman"/>
          <w:spacing w:val="1"/>
          <w:sz w:val="23"/>
          <w:szCs w:val="23"/>
          <w:highlight w:val="none"/>
        </w:rPr>
        <w:t>1.</w:t>
      </w:r>
      <w:r>
        <w:rPr>
          <w:rFonts w:hint="default" w:ascii="Times New Roman" w:hAnsi="Times New Roman" w:eastAsia="Times New Roman" w:cs="Times New Roman"/>
          <w:sz w:val="23"/>
          <w:szCs w:val="23"/>
          <w:highlight w:val="none"/>
        </w:rPr>
        <w:t xml:space="preserve"> 1m</w:t>
      </w:r>
      <w:r>
        <w:rPr>
          <w:rFonts w:hint="default" w:ascii="Times New Roman" w:hAnsi="Times New Roman" w:eastAsia="宋体" w:cs="Times New Roman"/>
          <w:sz w:val="23"/>
          <w:szCs w:val="23"/>
          <w:highlight w:val="none"/>
        </w:rPr>
        <w:t xml:space="preserve">，汽车五厂家属院水位下降仅为 </w:t>
      </w:r>
      <w:r>
        <w:rPr>
          <w:rFonts w:hint="default" w:ascii="Times New Roman" w:hAnsi="Times New Roman" w:eastAsia="Times New Roman" w:cs="Times New Roman"/>
          <w:sz w:val="23"/>
          <w:szCs w:val="23"/>
          <w:highlight w:val="none"/>
        </w:rPr>
        <w:t xml:space="preserve">0. 1 </w:t>
      </w:r>
      <w:r>
        <w:rPr>
          <w:rFonts w:hint="default" w:ascii="Times New Roman" w:hAnsi="Times New Roman" w:eastAsia="宋体" w:cs="Times New Roman"/>
          <w:sz w:val="23"/>
          <w:szCs w:val="23"/>
          <w:highlight w:val="none"/>
        </w:rPr>
        <w:t xml:space="preserve">米。由此可以看出在 </w:t>
      </w:r>
      <w:r>
        <w:rPr>
          <w:rFonts w:hint="default" w:ascii="Times New Roman" w:hAnsi="Times New Roman" w:eastAsia="宋体" w:cs="Times New Roman"/>
          <w:spacing w:val="6"/>
          <w:sz w:val="23"/>
          <w:szCs w:val="23"/>
          <w:highlight w:val="none"/>
        </w:rPr>
        <w:t>遵化市</w:t>
      </w:r>
      <w:r>
        <w:rPr>
          <w:rFonts w:hint="default" w:ascii="Times New Roman" w:hAnsi="Times New Roman" w:eastAsia="宋体" w:cs="Times New Roman"/>
          <w:spacing w:val="4"/>
          <w:sz w:val="23"/>
          <w:szCs w:val="23"/>
          <w:highlight w:val="none"/>
        </w:rPr>
        <w:t>市</w:t>
      </w:r>
      <w:r>
        <w:rPr>
          <w:rFonts w:hint="default" w:ascii="Times New Roman" w:hAnsi="Times New Roman" w:eastAsia="宋体" w:cs="Times New Roman"/>
          <w:spacing w:val="3"/>
          <w:sz w:val="23"/>
          <w:szCs w:val="23"/>
          <w:highlight w:val="none"/>
        </w:rPr>
        <w:t xml:space="preserve">区水位下降趋势不是很明显。见图 </w:t>
      </w:r>
      <w:r>
        <w:rPr>
          <w:rFonts w:hint="default" w:ascii="Times New Roman" w:hAnsi="Times New Roman" w:eastAsia="Times New Roman" w:cs="Times New Roman"/>
          <w:spacing w:val="3"/>
          <w:sz w:val="23"/>
          <w:szCs w:val="23"/>
          <w:highlight w:val="none"/>
        </w:rPr>
        <w:t xml:space="preserve">5.2- </w:t>
      </w:r>
      <w:r>
        <w:rPr>
          <w:rFonts w:hint="eastAsia" w:ascii="Times New Roman" w:hAnsi="Times New Roman" w:eastAsia="宋体" w:cs="Times New Roman"/>
          <w:spacing w:val="3"/>
          <w:sz w:val="23"/>
          <w:szCs w:val="23"/>
          <w:highlight w:val="none"/>
          <w:lang w:val="en-US" w:eastAsia="zh-CN"/>
        </w:rPr>
        <w:t>8</w:t>
      </w:r>
      <w:r>
        <w:rPr>
          <w:rFonts w:hint="default" w:ascii="Times New Roman" w:hAnsi="Times New Roman" w:eastAsia="宋体" w:cs="Times New Roman"/>
          <w:spacing w:val="3"/>
          <w:sz w:val="23"/>
          <w:szCs w:val="23"/>
          <w:highlight w:val="none"/>
        </w:rPr>
        <w:t>。</w:t>
      </w:r>
    </w:p>
    <w:p>
      <w:pPr>
        <w:spacing w:before="10" w:line="72" w:lineRule="exact"/>
        <w:ind w:firstLine="14"/>
        <w:textAlignment w:val="center"/>
        <w:rPr>
          <w:rFonts w:hint="default" w:ascii="Times New Roman" w:hAnsi="Times New Roman" w:cs="Times New Roman"/>
          <w:highlight w:val="none"/>
        </w:rPr>
      </w:pPr>
      <w:r>
        <w:rPr>
          <w:rFonts w:hint="default" w:ascii="Times New Roman" w:hAnsi="Times New Roman" w:cs="Times New Roman"/>
          <w:highlight w:val="none"/>
        </w:rPr>
        <w:pict>
          <v:shape id="_x0000_s1242" o:spid="_x0000_s1242" style="height:3.65pt;width:415.3pt;" fillcolor="#FFFFFF" filled="t" stroked="f" coordsize="8305,73" path="m0,0l8305,0,8305,14,0,14,0,0xem0,28l8305,28,8305,72,0,72,0,28xe">
            <v:path/>
            <v:fill on="t" color2="#FFFFFF" focussize="0,0"/>
            <v:stroke on="f"/>
            <v:imagedata o:title=""/>
            <o:lock v:ext="edit" aspectratio="f"/>
            <w10:wrap type="none"/>
            <w10:anchorlock/>
          </v:shape>
        </w:pict>
      </w:r>
    </w:p>
    <w:p>
      <w:pPr>
        <w:rPr>
          <w:rFonts w:hint="default" w:ascii="Times New Roman" w:hAnsi="Times New Roman" w:cs="Times New Roman"/>
          <w:highlight w:val="none"/>
        </w:rPr>
        <w:sectPr>
          <w:headerReference r:id="rId86" w:type="default"/>
          <w:footerReference r:id="rId87" w:type="default"/>
          <w:pgSz w:w="11906" w:h="16839"/>
          <w:pgMar w:top="400" w:right="1048" w:bottom="1175" w:left="1785" w:header="0" w:footer="1015" w:gutter="0"/>
          <w:pgBorders>
            <w:top w:val="none" w:sz="0" w:space="0"/>
            <w:left w:val="none" w:sz="0" w:space="0"/>
            <w:bottom w:val="none" w:sz="0" w:space="0"/>
            <w:right w:val="none" w:sz="0" w:space="0"/>
          </w:pgBorders>
          <w:pgNumType w:fmt="decimal"/>
          <w:cols w:space="720" w:num="1"/>
        </w:sectPr>
      </w:pPr>
    </w:p>
    <w:p>
      <w:pPr>
        <w:spacing w:line="333"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243" o:spid="_x0000_s1243" o:spt="1" style="position:absolute;left:0pt;margin-left:90pt;margin-top:776.35pt;height:0.75pt;width:415.3pt;mso-position-horizontal-relative:page;mso-position-vertical-relative:page;z-index:251755520;mso-width-relative:page;mso-height-relative:page;" fillcolor="#FFFFFF" filled="t" stroked="f" coordsize="21600,21600" o:allowincell="f">
            <v:path/>
            <v:fill on="t" color2="#FFFFFF" focussize="0,0"/>
            <v:stroke on="f"/>
            <v:imagedata o:title=""/>
            <o:lock v:ext="edit" aspectratio="f"/>
          </v:rect>
        </w:pict>
      </w:r>
      <w:r>
        <w:rPr>
          <w:rFonts w:hint="default" w:ascii="Times New Roman" w:hAnsi="Times New Roman" w:cs="Times New Roman"/>
          <w:highlight w:val="none"/>
        </w:rPr>
        <w:pict>
          <v:shape id="_x0000_s1244" o:spid="_x0000_s1244" style="position:absolute;left:0pt;margin-left:90pt;margin-top:59.05pt;height:0.75pt;width:415.3pt;mso-position-horizontal-relative:page;mso-position-vertical-relative:page;z-index:251756544;mso-width-relative:page;mso-height-relative:page;" fillcolor="#000000" filled="t" stroked="f" coordsize="8305,15" o:allowincell="f" path="m0,0l8305,0,8305,14,0,14,0,0xe">
            <v:path/>
            <v:fill on="t" focussize="0,0"/>
            <v:stroke on="f"/>
            <v:imagedata o:title=""/>
            <o:lock v:ext="edit"/>
          </v:shape>
        </w:pict>
      </w:r>
    </w:p>
    <w:p>
      <w:pPr>
        <w:spacing w:line="4240" w:lineRule="exact"/>
        <w:ind w:firstLine="14"/>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5269865" cy="269240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159"/>
                    <a:stretch>
                      <a:fillRect/>
                    </a:stretch>
                  </pic:blipFill>
                  <pic:spPr>
                    <a:xfrm>
                      <a:off x="0" y="0"/>
                      <a:ext cx="5269991" cy="2692907"/>
                    </a:xfrm>
                    <a:prstGeom prst="rect">
                      <a:avLst/>
                    </a:prstGeom>
                  </pic:spPr>
                </pic:pic>
              </a:graphicData>
            </a:graphic>
          </wp:inline>
        </w:drawing>
      </w:r>
    </w:p>
    <w:p>
      <w:pPr>
        <w:spacing w:before="260" w:line="227" w:lineRule="auto"/>
        <w:ind w:left="18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Times New Roman" w:cs="Times New Roman"/>
          <w:b/>
          <w:bCs/>
          <w:spacing w:val="4"/>
          <w:sz w:val="23"/>
          <w:szCs w:val="23"/>
          <w:highlight w:val="none"/>
        </w:rPr>
        <w:t>5.2-</w:t>
      </w:r>
      <w:r>
        <w:rPr>
          <w:rFonts w:hint="eastAsia" w:ascii="Times New Roman" w:hAnsi="Times New Roman" w:eastAsia="宋体" w:cs="Times New Roman"/>
          <w:b/>
          <w:bCs/>
          <w:spacing w:val="4"/>
          <w:sz w:val="23"/>
          <w:szCs w:val="23"/>
          <w:highlight w:val="none"/>
          <w:lang w:val="en-US" w:eastAsia="zh-CN"/>
        </w:rPr>
        <w:t>8</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遵化市城区地下水多年动态曲线</w:t>
      </w:r>
    </w:p>
    <w:p>
      <w:pPr>
        <w:spacing w:before="217" w:line="401" w:lineRule="auto"/>
        <w:ind w:left="23" w:right="77"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纵观多年</w:t>
      </w:r>
      <w:r>
        <w:rPr>
          <w:rFonts w:hint="default" w:ascii="Times New Roman" w:hAnsi="Times New Roman" w:eastAsia="宋体" w:cs="Times New Roman"/>
          <w:spacing w:val="7"/>
          <w:sz w:val="23"/>
          <w:szCs w:val="23"/>
          <w:highlight w:val="none"/>
        </w:rPr>
        <w:t>水</w:t>
      </w:r>
      <w:r>
        <w:rPr>
          <w:rFonts w:hint="default" w:ascii="Times New Roman" w:hAnsi="Times New Roman" w:eastAsia="宋体" w:cs="Times New Roman"/>
          <w:spacing w:val="6"/>
          <w:sz w:val="23"/>
          <w:szCs w:val="23"/>
          <w:highlight w:val="none"/>
        </w:rPr>
        <w:t>位动态曲线，地下水水位的变化主要受降水量的影响，随着降水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量</w:t>
      </w:r>
      <w:r>
        <w:rPr>
          <w:rFonts w:hint="default" w:ascii="Times New Roman" w:hAnsi="Times New Roman" w:eastAsia="宋体" w:cs="Times New Roman"/>
          <w:spacing w:val="7"/>
          <w:sz w:val="23"/>
          <w:szCs w:val="23"/>
          <w:highlight w:val="none"/>
        </w:rPr>
        <w:t>的变化而呈现规律性变化，在偏枯水年份，降水量少，开采随之增大，往往水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位</w:t>
      </w:r>
      <w:r>
        <w:rPr>
          <w:rFonts w:hint="default" w:ascii="Times New Roman" w:hAnsi="Times New Roman" w:eastAsia="宋体" w:cs="Times New Roman"/>
          <w:spacing w:val="7"/>
          <w:sz w:val="23"/>
          <w:szCs w:val="23"/>
          <w:highlight w:val="none"/>
        </w:rPr>
        <w:t>较低，全年水位呈下降趋势；而偏丰水年水位又得以回升。总的来说，在多年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动</w:t>
      </w:r>
      <w:r>
        <w:rPr>
          <w:rFonts w:hint="default" w:ascii="Times New Roman" w:hAnsi="Times New Roman" w:eastAsia="宋体" w:cs="Times New Roman"/>
          <w:spacing w:val="10"/>
          <w:sz w:val="23"/>
          <w:szCs w:val="23"/>
          <w:highlight w:val="none"/>
        </w:rPr>
        <w:t>态</w:t>
      </w:r>
      <w:r>
        <w:rPr>
          <w:rFonts w:hint="default" w:ascii="Times New Roman" w:hAnsi="Times New Roman" w:eastAsia="宋体" w:cs="Times New Roman"/>
          <w:spacing w:val="8"/>
          <w:sz w:val="23"/>
          <w:szCs w:val="23"/>
          <w:highlight w:val="none"/>
        </w:rPr>
        <w:t>变化中，水位基本保持稳定。</w:t>
      </w:r>
    </w:p>
    <w:p>
      <w:pPr>
        <w:spacing w:before="2" w:line="401" w:lineRule="auto"/>
        <w:ind w:left="22" w:right="14"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地下水</w:t>
      </w:r>
      <w:r>
        <w:rPr>
          <w:rFonts w:hint="default" w:ascii="Times New Roman" w:hAnsi="Times New Roman" w:eastAsia="宋体" w:cs="Times New Roman"/>
          <w:spacing w:val="3"/>
          <w:sz w:val="23"/>
          <w:szCs w:val="23"/>
          <w:highlight w:val="none"/>
        </w:rPr>
        <w:t xml:space="preserve">水位年内变化特征： 自 </w:t>
      </w:r>
      <w:r>
        <w:rPr>
          <w:rFonts w:hint="default" w:ascii="Times New Roman" w:hAnsi="Times New Roman" w:eastAsia="Times New Roman" w:cs="Times New Roman"/>
          <w:spacing w:val="3"/>
          <w:sz w:val="23"/>
          <w:szCs w:val="23"/>
          <w:highlight w:val="none"/>
        </w:rPr>
        <w:t xml:space="preserve">3 </w:t>
      </w:r>
      <w:r>
        <w:rPr>
          <w:rFonts w:hint="default" w:ascii="Times New Roman" w:hAnsi="Times New Roman" w:eastAsia="宋体" w:cs="Times New Roman"/>
          <w:spacing w:val="3"/>
          <w:sz w:val="23"/>
          <w:szCs w:val="23"/>
          <w:highlight w:val="none"/>
        </w:rPr>
        <w:t>月份农业灌溉开始，地下水水位开始下降，</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 xml:space="preserve">在 </w:t>
      </w:r>
      <w:r>
        <w:rPr>
          <w:rFonts w:hint="default" w:ascii="Times New Roman" w:hAnsi="Times New Roman" w:eastAsia="Times New Roman" w:cs="Times New Roman"/>
          <w:spacing w:val="6"/>
          <w:sz w:val="23"/>
          <w:szCs w:val="23"/>
          <w:highlight w:val="none"/>
        </w:rPr>
        <w:t xml:space="preserve">5 </w:t>
      </w:r>
      <w:r>
        <w:rPr>
          <w:rFonts w:hint="default" w:ascii="Times New Roman" w:hAnsi="Times New Roman" w:eastAsia="宋体" w:cs="Times New Roman"/>
          <w:spacing w:val="6"/>
          <w:sz w:val="23"/>
          <w:szCs w:val="23"/>
          <w:highlight w:val="none"/>
        </w:rPr>
        <w:t>月</w:t>
      </w:r>
      <w:r>
        <w:rPr>
          <w:rFonts w:hint="default" w:ascii="Times New Roman" w:hAnsi="Times New Roman" w:eastAsia="宋体" w:cs="Times New Roman"/>
          <w:spacing w:val="3"/>
          <w:sz w:val="23"/>
          <w:szCs w:val="23"/>
          <w:highlight w:val="none"/>
        </w:rPr>
        <w:t xml:space="preserve">下旬至 </w:t>
      </w:r>
      <w:r>
        <w:rPr>
          <w:rFonts w:hint="default" w:ascii="Times New Roman" w:hAnsi="Times New Roman" w:eastAsia="Times New Roman" w:cs="Times New Roman"/>
          <w:spacing w:val="3"/>
          <w:sz w:val="23"/>
          <w:szCs w:val="23"/>
          <w:highlight w:val="none"/>
        </w:rPr>
        <w:t xml:space="preserve">6 </w:t>
      </w:r>
      <w:r>
        <w:rPr>
          <w:rFonts w:hint="default" w:ascii="Times New Roman" w:hAnsi="Times New Roman" w:eastAsia="宋体" w:cs="Times New Roman"/>
          <w:spacing w:val="3"/>
          <w:sz w:val="23"/>
          <w:szCs w:val="23"/>
          <w:highlight w:val="none"/>
        </w:rPr>
        <w:t>月中旬出现年内最低水位，这一时期正是春夏灌溉的高峰期，且</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降</w:t>
      </w:r>
      <w:r>
        <w:rPr>
          <w:rFonts w:hint="default" w:ascii="Times New Roman" w:hAnsi="Times New Roman" w:eastAsia="宋体" w:cs="Times New Roman"/>
          <w:spacing w:val="7"/>
          <w:sz w:val="23"/>
          <w:szCs w:val="23"/>
          <w:highlight w:val="none"/>
        </w:rPr>
        <w:t>水偏少，集中开采强度较大，随着雨季的到来，随着农业开采量减少，地下水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 xml:space="preserve">位开始回升，一般出现在 </w:t>
      </w:r>
      <w:r>
        <w:rPr>
          <w:rFonts w:hint="default" w:ascii="Times New Roman" w:hAnsi="Times New Roman" w:eastAsia="Times New Roman" w:cs="Times New Roman"/>
          <w:spacing w:val="-1"/>
          <w:sz w:val="23"/>
          <w:szCs w:val="23"/>
          <w:highlight w:val="none"/>
        </w:rPr>
        <w:t xml:space="preserve">8 </w:t>
      </w:r>
      <w:r>
        <w:rPr>
          <w:rFonts w:hint="default" w:ascii="Times New Roman" w:hAnsi="Times New Roman" w:eastAsia="宋体" w:cs="Times New Roman"/>
          <w:spacing w:val="-1"/>
          <w:sz w:val="23"/>
          <w:szCs w:val="23"/>
          <w:highlight w:val="none"/>
        </w:rPr>
        <w:t xml:space="preserve">月下旬至 </w:t>
      </w:r>
      <w:r>
        <w:rPr>
          <w:rFonts w:hint="default" w:ascii="Times New Roman" w:hAnsi="Times New Roman" w:eastAsia="Times New Roman" w:cs="Times New Roman"/>
          <w:spacing w:val="-1"/>
          <w:sz w:val="23"/>
          <w:szCs w:val="23"/>
          <w:highlight w:val="none"/>
        </w:rPr>
        <w:t xml:space="preserve">9 </w:t>
      </w:r>
      <w:r>
        <w:rPr>
          <w:rFonts w:hint="default" w:ascii="Times New Roman" w:hAnsi="Times New Roman" w:eastAsia="宋体" w:cs="Times New Roman"/>
          <w:spacing w:val="-1"/>
          <w:sz w:val="23"/>
          <w:szCs w:val="23"/>
          <w:highlight w:val="none"/>
        </w:rPr>
        <w:t>月上旬水位上升加快；然后上</w:t>
      </w:r>
      <w:r>
        <w:rPr>
          <w:rFonts w:hint="default" w:ascii="Times New Roman" w:hAnsi="Times New Roman" w:eastAsia="宋体" w:cs="Times New Roman"/>
          <w:sz w:val="23"/>
          <w:szCs w:val="23"/>
          <w:highlight w:val="none"/>
        </w:rPr>
        <w:t xml:space="preserve">升速度变缓， </w:t>
      </w:r>
      <w:r>
        <w:rPr>
          <w:rFonts w:hint="default" w:ascii="Times New Roman" w:hAnsi="Times New Roman" w:eastAsia="宋体" w:cs="Times New Roman"/>
          <w:spacing w:val="8"/>
          <w:sz w:val="23"/>
          <w:szCs w:val="23"/>
          <w:highlight w:val="none"/>
        </w:rPr>
        <w:t>一</w:t>
      </w:r>
      <w:r>
        <w:rPr>
          <w:rFonts w:hint="default" w:ascii="Times New Roman" w:hAnsi="Times New Roman" w:eastAsia="宋体" w:cs="Times New Roman"/>
          <w:spacing w:val="7"/>
          <w:sz w:val="23"/>
          <w:szCs w:val="23"/>
          <w:highlight w:val="none"/>
        </w:rPr>
        <w:t>般</w:t>
      </w:r>
      <w:r>
        <w:rPr>
          <w:rFonts w:hint="default" w:ascii="Times New Roman" w:hAnsi="Times New Roman" w:eastAsia="宋体" w:cs="Times New Roman"/>
          <w:spacing w:val="4"/>
          <w:sz w:val="23"/>
          <w:szCs w:val="23"/>
          <w:highlight w:val="none"/>
        </w:rPr>
        <w:t xml:space="preserve">在 </w:t>
      </w:r>
      <w:r>
        <w:rPr>
          <w:rFonts w:hint="default" w:ascii="Times New Roman" w:hAnsi="Times New Roman" w:eastAsia="Times New Roman" w:cs="Times New Roman"/>
          <w:spacing w:val="4"/>
          <w:sz w:val="23"/>
          <w:szCs w:val="23"/>
          <w:highlight w:val="none"/>
        </w:rPr>
        <w:t>1</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 xml:space="preserve">2 </w:t>
      </w:r>
      <w:r>
        <w:rPr>
          <w:rFonts w:hint="default" w:ascii="Times New Roman" w:hAnsi="Times New Roman" w:eastAsia="宋体" w:cs="Times New Roman"/>
          <w:spacing w:val="4"/>
          <w:sz w:val="23"/>
          <w:szCs w:val="23"/>
          <w:highlight w:val="none"/>
        </w:rPr>
        <w:t>月出现年内最高水位。</w:t>
      </w:r>
    </w:p>
    <w:p>
      <w:pPr>
        <w:spacing w:before="1"/>
        <w:ind w:left="505"/>
        <w:outlineLvl w:val="0"/>
        <w:rPr>
          <w:rFonts w:hint="default" w:ascii="Times New Roman" w:hAnsi="Times New Roman" w:eastAsia="宋体" w:cs="Times New Roman"/>
          <w:sz w:val="23"/>
          <w:szCs w:val="23"/>
          <w:highlight w:val="none"/>
        </w:rPr>
      </w:pPr>
      <w:bookmarkStart w:id="556" w:name="_Toc16137"/>
      <w:bookmarkStart w:id="557" w:name="_Toc3983"/>
      <w:bookmarkStart w:id="558" w:name="_Toc30098"/>
      <w:r>
        <w:rPr>
          <w:rFonts w:hint="default" w:ascii="Times New Roman" w:hAnsi="Times New Roman" w:eastAsia="Times New Roman" w:cs="Times New Roman"/>
          <w:spacing w:val="2"/>
          <w:sz w:val="23"/>
          <w:szCs w:val="23"/>
          <w:highlight w:val="none"/>
        </w:rPr>
        <w:t xml:space="preserve">5 </w:t>
      </w:r>
      <w:r>
        <w:rPr>
          <w:rFonts w:hint="default" w:ascii="Times New Roman" w:hAnsi="Times New Roman" w:eastAsia="宋体" w:cs="Times New Roman"/>
          <w:spacing w:val="2"/>
          <w:sz w:val="23"/>
          <w:szCs w:val="23"/>
          <w:highlight w:val="none"/>
        </w:rPr>
        <w:t>、地下</w:t>
      </w:r>
      <w:r>
        <w:rPr>
          <w:rFonts w:hint="default" w:ascii="Times New Roman" w:hAnsi="Times New Roman" w:eastAsia="宋体" w:cs="Times New Roman"/>
          <w:spacing w:val="1"/>
          <w:sz w:val="23"/>
          <w:szCs w:val="23"/>
          <w:highlight w:val="none"/>
        </w:rPr>
        <w:t>水化学特征</w:t>
      </w:r>
      <w:bookmarkEnd w:id="556"/>
      <w:bookmarkEnd w:id="557"/>
      <w:bookmarkEnd w:id="558"/>
    </w:p>
    <w:p>
      <w:pPr>
        <w:spacing w:before="167" w:line="352" w:lineRule="auto"/>
        <w:ind w:left="18" w:firstLine="48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遵化市地处河流源头，地下水补排条件好，大气降水落到地面之后，迅速</w:t>
      </w:r>
      <w:r>
        <w:rPr>
          <w:rFonts w:hint="default" w:ascii="Times New Roman" w:hAnsi="Times New Roman" w:eastAsia="宋体" w:cs="Times New Roman"/>
          <w:spacing w:val="3"/>
          <w:sz w:val="23"/>
          <w:szCs w:val="23"/>
          <w:highlight w:val="none"/>
        </w:rPr>
        <w:t>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入</w:t>
      </w:r>
      <w:r>
        <w:rPr>
          <w:rFonts w:hint="default" w:ascii="Times New Roman" w:hAnsi="Times New Roman" w:eastAsia="宋体" w:cs="Times New Roman"/>
          <w:spacing w:val="7"/>
          <w:sz w:val="23"/>
          <w:szCs w:val="23"/>
          <w:highlight w:val="none"/>
        </w:rPr>
        <w:t>地下或汇入河川，续而径流出境，地下水在含水层中停滞时间短，因而导致其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矿化度较低，区域 </w:t>
      </w:r>
      <w:r>
        <w:rPr>
          <w:rFonts w:hint="default" w:ascii="Times New Roman" w:hAnsi="Times New Roman" w:eastAsia="Times New Roman" w:cs="Times New Roman"/>
          <w:sz w:val="23"/>
          <w:szCs w:val="23"/>
          <w:highlight w:val="none"/>
        </w:rPr>
        <w:t>pH</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 xml:space="preserve">值多数在 </w:t>
      </w:r>
      <w:r>
        <w:rPr>
          <w:rFonts w:hint="default" w:ascii="Times New Roman" w:hAnsi="Times New Roman" w:eastAsia="Times New Roman" w:cs="Times New Roman"/>
          <w:spacing w:val="2"/>
          <w:sz w:val="23"/>
          <w:szCs w:val="23"/>
          <w:highlight w:val="none"/>
        </w:rPr>
        <w:t xml:space="preserve">7.25-7.58 </w:t>
      </w:r>
      <w:r>
        <w:rPr>
          <w:rFonts w:hint="default" w:ascii="Times New Roman" w:hAnsi="Times New Roman" w:eastAsia="宋体" w:cs="Times New Roman"/>
          <w:spacing w:val="2"/>
          <w:sz w:val="23"/>
          <w:szCs w:val="23"/>
          <w:highlight w:val="none"/>
        </w:rPr>
        <w:t>，</w:t>
      </w:r>
      <w:r>
        <w:rPr>
          <w:rFonts w:hint="default" w:ascii="Times New Roman" w:hAnsi="Times New Roman" w:eastAsia="宋体" w:cs="Times New Roman"/>
          <w:spacing w:val="1"/>
          <w:sz w:val="23"/>
          <w:szCs w:val="23"/>
          <w:highlight w:val="none"/>
        </w:rPr>
        <w:t xml:space="preserve">总硬度 </w:t>
      </w:r>
      <w:r>
        <w:rPr>
          <w:rFonts w:hint="default" w:ascii="Times New Roman" w:hAnsi="Times New Roman" w:eastAsia="Times New Roman" w:cs="Times New Roman"/>
          <w:spacing w:val="1"/>
          <w:sz w:val="23"/>
          <w:szCs w:val="23"/>
          <w:highlight w:val="none"/>
        </w:rPr>
        <w:t>260-438</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L</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，总溶解性固体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 xml:space="preserve">在 </w:t>
      </w:r>
      <w:r>
        <w:rPr>
          <w:rFonts w:hint="default" w:ascii="Times New Roman" w:hAnsi="Times New Roman" w:eastAsia="Times New Roman" w:cs="Times New Roman"/>
          <w:spacing w:val="-4"/>
          <w:sz w:val="23"/>
          <w:szCs w:val="23"/>
          <w:highlight w:val="none"/>
        </w:rPr>
        <w:t>4</w:t>
      </w:r>
      <w:r>
        <w:rPr>
          <w:rFonts w:hint="default" w:ascii="Times New Roman" w:hAnsi="Times New Roman" w:eastAsia="Times New Roman" w:cs="Times New Roman"/>
          <w:spacing w:val="-2"/>
          <w:sz w:val="23"/>
          <w:szCs w:val="23"/>
          <w:highlight w:val="none"/>
        </w:rPr>
        <w:t>34-691mg/L</w:t>
      </w:r>
      <w:r>
        <w:rPr>
          <w:rFonts w:hint="default" w:ascii="Times New Roman" w:hAnsi="Times New Roman" w:eastAsia="宋体" w:cs="Times New Roman"/>
          <w:spacing w:val="-2"/>
          <w:sz w:val="23"/>
          <w:szCs w:val="23"/>
          <w:highlight w:val="none"/>
        </w:rPr>
        <w:t xml:space="preserve">，硫酸盐 </w:t>
      </w:r>
      <w:r>
        <w:rPr>
          <w:rFonts w:hint="default" w:ascii="Times New Roman" w:hAnsi="Times New Roman" w:eastAsia="Times New Roman" w:cs="Times New Roman"/>
          <w:spacing w:val="-2"/>
          <w:sz w:val="23"/>
          <w:szCs w:val="23"/>
          <w:highlight w:val="none"/>
        </w:rPr>
        <w:t>63-221mg/L</w:t>
      </w:r>
      <w:r>
        <w:rPr>
          <w:rFonts w:hint="default" w:ascii="Times New Roman" w:hAnsi="Times New Roman" w:eastAsia="宋体" w:cs="Times New Roman"/>
          <w:spacing w:val="-2"/>
          <w:sz w:val="23"/>
          <w:szCs w:val="23"/>
          <w:highlight w:val="none"/>
        </w:rPr>
        <w:t xml:space="preserve">，碳酸氢根 </w:t>
      </w:r>
      <w:r>
        <w:rPr>
          <w:rFonts w:hint="default" w:ascii="Times New Roman" w:hAnsi="Times New Roman" w:eastAsia="Times New Roman" w:cs="Times New Roman"/>
          <w:spacing w:val="-2"/>
          <w:sz w:val="23"/>
          <w:szCs w:val="23"/>
          <w:highlight w:val="none"/>
        </w:rPr>
        <w:t>142-285mg/L</w:t>
      </w:r>
      <w:r>
        <w:rPr>
          <w:rFonts w:hint="default" w:ascii="Times New Roman" w:hAnsi="Times New Roman" w:eastAsia="宋体" w:cs="Times New Roman"/>
          <w:spacing w:val="-2"/>
          <w:sz w:val="23"/>
          <w:szCs w:val="23"/>
          <w:highlight w:val="none"/>
        </w:rPr>
        <w:t xml:space="preserve">，钾 </w:t>
      </w:r>
      <w:r>
        <w:rPr>
          <w:rFonts w:hint="default" w:ascii="Times New Roman" w:hAnsi="Times New Roman" w:eastAsia="Times New Roman" w:cs="Times New Roman"/>
          <w:spacing w:val="-2"/>
          <w:sz w:val="23"/>
          <w:szCs w:val="23"/>
          <w:highlight w:val="none"/>
        </w:rPr>
        <w:t>1.08-4.49mg/L</w:t>
      </w:r>
      <w:r>
        <w:rPr>
          <w:rFonts w:hint="default" w:ascii="Times New Roman" w:hAnsi="Times New Roman" w:eastAsia="宋体" w:cs="Times New Roman"/>
          <w:spacing w:val="-2"/>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钠 </w:t>
      </w:r>
      <w:r>
        <w:rPr>
          <w:rFonts w:hint="default" w:ascii="Times New Roman" w:hAnsi="Times New Roman" w:eastAsia="Times New Roman" w:cs="Times New Roman"/>
          <w:spacing w:val="-2"/>
          <w:sz w:val="23"/>
          <w:szCs w:val="23"/>
          <w:highlight w:val="none"/>
        </w:rPr>
        <w:t>9.53- 17.8</w:t>
      </w:r>
      <w:r>
        <w:rPr>
          <w:rFonts w:hint="default" w:ascii="Times New Roman" w:hAnsi="Times New Roman" w:eastAsia="Times New Roman" w:cs="Times New Roman"/>
          <w:spacing w:val="-1"/>
          <w:sz w:val="23"/>
          <w:szCs w:val="23"/>
          <w:highlight w:val="none"/>
        </w:rPr>
        <w:t>mg</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pacing w:val="-1"/>
          <w:sz w:val="23"/>
          <w:szCs w:val="23"/>
          <w:highlight w:val="none"/>
        </w:rPr>
        <w:t>L</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 xml:space="preserve">，钙 </w:t>
      </w:r>
      <w:r>
        <w:rPr>
          <w:rFonts w:hint="default" w:ascii="Times New Roman" w:hAnsi="Times New Roman" w:eastAsia="Times New Roman" w:cs="Times New Roman"/>
          <w:spacing w:val="-2"/>
          <w:sz w:val="23"/>
          <w:szCs w:val="23"/>
          <w:highlight w:val="none"/>
        </w:rPr>
        <w:t>22.8</w:t>
      </w:r>
      <w:r>
        <w:rPr>
          <w:rFonts w:hint="default" w:ascii="Times New Roman" w:hAnsi="Times New Roman" w:eastAsia="Times New Roman" w:cs="Times New Roman"/>
          <w:spacing w:val="-1"/>
          <w:sz w:val="23"/>
          <w:szCs w:val="23"/>
          <w:highlight w:val="none"/>
        </w:rPr>
        <w:t xml:space="preserve">-42.4mg/L </w:t>
      </w:r>
      <w:r>
        <w:rPr>
          <w:rFonts w:hint="default" w:ascii="Times New Roman" w:hAnsi="Times New Roman" w:eastAsia="宋体" w:cs="Times New Roman"/>
          <w:spacing w:val="-1"/>
          <w:sz w:val="23"/>
          <w:szCs w:val="23"/>
          <w:highlight w:val="none"/>
        </w:rPr>
        <w:t xml:space="preserve">，镁 </w:t>
      </w:r>
      <w:r>
        <w:rPr>
          <w:rFonts w:hint="default" w:ascii="Times New Roman" w:hAnsi="Times New Roman" w:eastAsia="Times New Roman" w:cs="Times New Roman"/>
          <w:spacing w:val="-1"/>
          <w:sz w:val="23"/>
          <w:szCs w:val="23"/>
          <w:highlight w:val="none"/>
        </w:rPr>
        <w:t xml:space="preserve">22.8-42.4mg/L </w:t>
      </w:r>
      <w:r>
        <w:rPr>
          <w:rFonts w:hint="default" w:ascii="Times New Roman" w:hAnsi="Times New Roman" w:eastAsia="宋体" w:cs="Times New Roman"/>
          <w:spacing w:val="-1"/>
          <w:sz w:val="23"/>
          <w:szCs w:val="23"/>
          <w:highlight w:val="none"/>
        </w:rPr>
        <w:t>，地下水的化学类型多为</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z w:val="23"/>
          <w:szCs w:val="23"/>
          <w:highlight w:val="none"/>
        </w:rPr>
        <w:t>HCO</w:t>
      </w:r>
      <w:r>
        <w:rPr>
          <w:rFonts w:hint="default" w:ascii="Times New Roman" w:hAnsi="Times New Roman" w:eastAsia="Times New Roman" w:cs="Times New Roman"/>
          <w:spacing w:val="4"/>
          <w:position w:val="-1"/>
          <w:sz w:val="15"/>
          <w:szCs w:val="15"/>
          <w:highlight w:val="none"/>
        </w:rPr>
        <w:t>3</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Ca</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型</w:t>
      </w:r>
      <w:r>
        <w:rPr>
          <w:rFonts w:hint="default" w:ascii="Times New Roman" w:hAnsi="Times New Roman" w:eastAsia="宋体" w:cs="Times New Roman"/>
          <w:spacing w:val="2"/>
          <w:sz w:val="23"/>
          <w:szCs w:val="23"/>
          <w:highlight w:val="none"/>
        </w:rPr>
        <w:t xml:space="preserve">水，少数为 </w:t>
      </w:r>
      <w:r>
        <w:rPr>
          <w:rFonts w:hint="default" w:ascii="Times New Roman" w:hAnsi="Times New Roman" w:eastAsia="Times New Roman" w:cs="Times New Roman"/>
          <w:sz w:val="23"/>
          <w:szCs w:val="23"/>
          <w:highlight w:val="none"/>
        </w:rPr>
        <w:t>HCO</w:t>
      </w:r>
      <w:r>
        <w:rPr>
          <w:rFonts w:hint="default" w:ascii="Times New Roman" w:hAnsi="Times New Roman" w:eastAsia="Times New Roman" w:cs="Times New Roman"/>
          <w:spacing w:val="2"/>
          <w:position w:val="-1"/>
          <w:sz w:val="15"/>
          <w:szCs w:val="15"/>
          <w:highlight w:val="none"/>
        </w:rPr>
        <w:t xml:space="preserve">3 </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Times New Roman" w:cs="Times New Roman"/>
          <w:sz w:val="23"/>
          <w:szCs w:val="23"/>
          <w:highlight w:val="none"/>
        </w:rPr>
        <w:t>Cl</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Ca</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型水。</w:t>
      </w:r>
    </w:p>
    <w:p>
      <w:pPr>
        <w:rPr>
          <w:rFonts w:hint="default" w:ascii="Times New Roman" w:hAnsi="Times New Roman" w:cs="Times New Roman"/>
          <w:highlight w:val="none"/>
        </w:rPr>
        <w:sectPr>
          <w:headerReference r:id="rId88" w:type="default"/>
          <w:footerReference r:id="rId89" w:type="default"/>
          <w:pgSz w:w="11906" w:h="16839"/>
          <w:pgMar w:top="1167" w:right="1721" w:bottom="1282" w:left="1785" w:header="897" w:footer="1015" w:gutter="0"/>
          <w:pgBorders>
            <w:top w:val="none" w:sz="0" w:space="0"/>
            <w:left w:val="none" w:sz="0" w:space="0"/>
            <w:bottom w:val="none" w:sz="0" w:space="0"/>
            <w:right w:val="none" w:sz="0" w:space="0"/>
          </w:pgBorders>
          <w:pgNumType w:fmt="decimal"/>
          <w:cols w:space="720" w:num="1"/>
        </w:sectPr>
      </w:pPr>
    </w:p>
    <w:p>
      <w:pPr>
        <w:spacing w:line="290"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245" o:spid="_x0000_s1245" o:spt="1" style="position:absolute;left:0pt;margin-left:90pt;margin-top:59.05pt;height:0.75pt;width:415.3pt;mso-position-horizontal-relative:page;mso-position-vertical-relative:page;z-index:251757568;mso-width-relative:page;mso-height-relative:page;" fillcolor="#000000" filled="t" stroked="f" coordsize="21600,21600" o:allowincell="f">
            <v:path/>
            <v:fill on="t" focussize="0,0"/>
            <v:stroke on="f"/>
            <v:imagedata o:title=""/>
            <o:lock v:ext="edit"/>
          </v:rect>
        </w:pict>
      </w:r>
    </w:p>
    <w:p>
      <w:pPr>
        <w:spacing w:line="5580" w:lineRule="exact"/>
        <w:ind w:firstLine="1134"/>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3852545" cy="35433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0"/>
                    <a:stretch>
                      <a:fillRect/>
                    </a:stretch>
                  </pic:blipFill>
                  <pic:spPr>
                    <a:xfrm>
                      <a:off x="0" y="0"/>
                      <a:ext cx="3852671" cy="3543300"/>
                    </a:xfrm>
                    <a:prstGeom prst="rect">
                      <a:avLst/>
                    </a:prstGeom>
                  </pic:spPr>
                </pic:pic>
              </a:graphicData>
            </a:graphic>
          </wp:inline>
        </w:drawing>
      </w:r>
    </w:p>
    <w:p>
      <w:pPr>
        <w:spacing w:before="170" w:line="319" w:lineRule="exact"/>
        <w:ind w:left="214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position w:val="3"/>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4"/>
          <w:position w:val="3"/>
          <w:sz w:val="23"/>
          <w:szCs w:val="23"/>
          <w:highlight w:val="none"/>
        </w:rPr>
        <w:t xml:space="preserve"> </w:t>
      </w:r>
      <w:r>
        <w:rPr>
          <w:rFonts w:hint="default" w:ascii="Times New Roman" w:hAnsi="Times New Roman" w:eastAsia="Times New Roman" w:cs="Times New Roman"/>
          <w:b/>
          <w:bCs/>
          <w:spacing w:val="3"/>
          <w:position w:val="3"/>
          <w:sz w:val="23"/>
          <w:szCs w:val="23"/>
          <w:highlight w:val="none"/>
        </w:rPr>
        <w:t>5</w:t>
      </w:r>
      <w:r>
        <w:rPr>
          <w:rFonts w:hint="default" w:ascii="Times New Roman" w:hAnsi="Times New Roman" w:eastAsia="Times New Roman" w:cs="Times New Roman"/>
          <w:b/>
          <w:bCs/>
          <w:spacing w:val="2"/>
          <w:position w:val="3"/>
          <w:sz w:val="23"/>
          <w:szCs w:val="23"/>
          <w:highlight w:val="none"/>
        </w:rPr>
        <w:t>.2-</w:t>
      </w:r>
      <w:r>
        <w:rPr>
          <w:rFonts w:hint="eastAsia" w:ascii="Times New Roman" w:hAnsi="Times New Roman" w:eastAsia="宋体" w:cs="Times New Roman"/>
          <w:b/>
          <w:bCs/>
          <w:spacing w:val="2"/>
          <w:position w:val="3"/>
          <w:sz w:val="23"/>
          <w:szCs w:val="23"/>
          <w:highlight w:val="none"/>
          <w:lang w:val="en-US" w:eastAsia="zh-CN"/>
        </w:rPr>
        <w:t>9</w:t>
      </w:r>
      <w:r>
        <w:rPr>
          <w:rFonts w:hint="default" w:ascii="Times New Roman" w:hAnsi="Times New Roman" w:eastAsia="Times New Roman" w:cs="Times New Roman"/>
          <w:spacing w:val="2"/>
          <w:position w:val="3"/>
          <w:sz w:val="23"/>
          <w:szCs w:val="23"/>
          <w:highlight w:val="none"/>
        </w:rPr>
        <w:t xml:space="preserve">      </w:t>
      </w:r>
      <w:r>
        <w:rPr>
          <w:rFonts w:hint="default" w:ascii="Times New Roman" w:hAnsi="Times New Roman" w:eastAsia="宋体" w:cs="Times New Roman"/>
          <w:spacing w:val="2"/>
          <w:position w:val="3"/>
          <w:sz w:val="23"/>
          <w:szCs w:val="23"/>
          <w:highlight w:val="none"/>
          <w14:textOutline w14:w="4358" w14:cap="sq" w14:cmpd="sng">
            <w14:solidFill>
              <w14:srgbClr w14:val="000000"/>
            </w14:solidFill>
            <w14:prstDash w14:val="solid"/>
            <w14:bevel/>
          </w14:textOutline>
        </w:rPr>
        <w:t>研究区水化学类型</w:t>
      </w:r>
      <w:r>
        <w:rPr>
          <w:rFonts w:hint="default" w:ascii="Times New Roman" w:hAnsi="Times New Roman" w:eastAsia="宋体" w:cs="Times New Roman"/>
          <w:spacing w:val="2"/>
          <w:position w:val="3"/>
          <w:sz w:val="23"/>
          <w:szCs w:val="23"/>
          <w:highlight w:val="none"/>
        </w:rPr>
        <w:t xml:space="preserve"> </w:t>
      </w:r>
      <w:r>
        <w:rPr>
          <w:rFonts w:hint="default" w:ascii="Times New Roman" w:hAnsi="Times New Roman" w:eastAsia="Times New Roman" w:cs="Times New Roman"/>
          <w:b/>
          <w:bCs/>
          <w:position w:val="3"/>
          <w:sz w:val="23"/>
          <w:szCs w:val="23"/>
          <w:highlight w:val="none"/>
        </w:rPr>
        <w:t>piper</w:t>
      </w:r>
      <w:r>
        <w:rPr>
          <w:rFonts w:hint="default" w:ascii="Times New Roman" w:hAnsi="Times New Roman" w:eastAsia="Times New Roman" w:cs="Times New Roman"/>
          <w:spacing w:val="2"/>
          <w:position w:val="3"/>
          <w:sz w:val="23"/>
          <w:szCs w:val="23"/>
          <w:highlight w:val="none"/>
        </w:rPr>
        <w:t xml:space="preserve"> </w:t>
      </w:r>
      <w:r>
        <w:rPr>
          <w:rFonts w:hint="default" w:ascii="Times New Roman" w:hAnsi="Times New Roman" w:eastAsia="宋体" w:cs="Times New Roman"/>
          <w:spacing w:val="2"/>
          <w:position w:val="3"/>
          <w:sz w:val="23"/>
          <w:szCs w:val="23"/>
          <w:highlight w:val="none"/>
          <w14:textOutline w14:w="4358" w14:cap="sq" w14:cmpd="sng">
            <w14:solidFill>
              <w14:srgbClr w14:val="000000"/>
            </w14:solidFill>
            <w14:prstDash w14:val="solid"/>
            <w14:bevel/>
          </w14:textOutline>
        </w:rPr>
        <w:t>图</w:t>
      </w:r>
    </w:p>
    <w:p>
      <w:pPr>
        <w:spacing w:line="300" w:lineRule="auto"/>
        <w:rPr>
          <w:rFonts w:hint="default" w:ascii="Times New Roman" w:hAnsi="Times New Roman" w:cs="Times New Roman"/>
          <w:sz w:val="21"/>
          <w:highlight w:val="none"/>
        </w:rPr>
      </w:pPr>
    </w:p>
    <w:p>
      <w:pPr>
        <w:spacing w:before="75" w:line="227" w:lineRule="auto"/>
        <w:ind w:left="25"/>
        <w:outlineLvl w:val="1"/>
        <w:rPr>
          <w:rFonts w:hint="default" w:ascii="Times New Roman" w:hAnsi="Times New Roman" w:eastAsia="宋体" w:cs="Times New Roman"/>
          <w:sz w:val="23"/>
          <w:szCs w:val="23"/>
          <w:highlight w:val="none"/>
        </w:rPr>
      </w:pPr>
      <w:bookmarkStart w:id="559" w:name="_Toc24096"/>
      <w:bookmarkStart w:id="560" w:name="_Toc11314"/>
      <w:bookmarkStart w:id="561" w:name="_Toc4850"/>
      <w:r>
        <w:rPr>
          <w:rFonts w:hint="default" w:ascii="Times New Roman" w:hAnsi="Times New Roman" w:eastAsia="Times New Roman" w:cs="Times New Roman"/>
          <w:spacing w:val="12"/>
          <w:sz w:val="23"/>
          <w:szCs w:val="23"/>
          <w:highlight w:val="none"/>
        </w:rPr>
        <w:t>5</w:t>
      </w:r>
      <w:r>
        <w:rPr>
          <w:rFonts w:hint="default" w:ascii="Times New Roman" w:hAnsi="Times New Roman" w:eastAsia="Times New Roman" w:cs="Times New Roman"/>
          <w:spacing w:val="6"/>
          <w:sz w:val="23"/>
          <w:szCs w:val="23"/>
          <w:highlight w:val="none"/>
        </w:rPr>
        <w:t xml:space="preserve">.2.3.2 </w:t>
      </w:r>
      <w:r>
        <w:rPr>
          <w:rFonts w:hint="default" w:ascii="Times New Roman" w:hAnsi="Times New Roman" w:eastAsia="宋体" w:cs="Times New Roman"/>
          <w:spacing w:val="6"/>
          <w:sz w:val="23"/>
          <w:szCs w:val="23"/>
          <w:highlight w:val="none"/>
        </w:rPr>
        <w:t>评价区水文地质特征</w:t>
      </w:r>
      <w:bookmarkEnd w:id="559"/>
      <w:bookmarkEnd w:id="560"/>
      <w:bookmarkEnd w:id="561"/>
    </w:p>
    <w:p>
      <w:pPr>
        <w:spacing w:line="296" w:lineRule="auto"/>
        <w:rPr>
          <w:rFonts w:hint="default" w:ascii="Times New Roman" w:hAnsi="Times New Roman" w:cs="Times New Roman"/>
          <w:sz w:val="21"/>
          <w:highlight w:val="none"/>
        </w:rPr>
      </w:pPr>
    </w:p>
    <w:p>
      <w:pPr>
        <w:spacing w:before="75" w:line="228" w:lineRule="auto"/>
        <w:ind w:left="496"/>
        <w:rPr>
          <w:rFonts w:hint="default" w:ascii="Times New Roman" w:hAnsi="Times New Roman" w:eastAsia="宋体" w:cs="Times New Roman"/>
          <w:sz w:val="23"/>
          <w:szCs w:val="23"/>
          <w:highlight w:val="none"/>
        </w:rPr>
      </w:pPr>
      <w:r>
        <w:rPr>
          <w:rFonts w:hint="default" w:ascii="Times New Roman" w:hAnsi="Times New Roman" w:eastAsia="Times New Roman" w:cs="Times New Roman"/>
          <w:b/>
          <w:bCs/>
          <w:sz w:val="23"/>
          <w:szCs w:val="23"/>
          <w:highlight w:val="none"/>
        </w:rPr>
        <w:t>A</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含</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水层</w:t>
      </w:r>
      <w:r>
        <w:rPr>
          <w:rFonts w:hint="default" w:ascii="Times New Roman" w:hAnsi="Times New Roman" w:eastAsia="宋体"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(组)</w:t>
      </w:r>
      <w:r>
        <w:rPr>
          <w:rFonts w:hint="default" w:ascii="Times New Roman" w:hAnsi="Times New Roman" w:eastAsia="宋体"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特征</w:t>
      </w:r>
    </w:p>
    <w:p>
      <w:pPr>
        <w:spacing w:before="216" w:line="389" w:lineRule="auto"/>
        <w:ind w:left="34" w:right="82" w:firstLine="467"/>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7"/>
          <w:sz w:val="23"/>
          <w:szCs w:val="23"/>
          <w:highlight w:val="none"/>
        </w:rPr>
        <w:t>评</w:t>
      </w:r>
      <w:r>
        <w:rPr>
          <w:rFonts w:hint="default" w:ascii="Times New Roman" w:hAnsi="Times New Roman" w:eastAsia="宋体" w:cs="Times New Roman"/>
          <w:spacing w:val="22"/>
          <w:sz w:val="23"/>
          <w:szCs w:val="23"/>
          <w:highlight w:val="none"/>
        </w:rPr>
        <w:t>价区出露地层主要为第四系松散岩类，包括全新统冲积层及冲洪积层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position w:val="-1"/>
          <w:sz w:val="23"/>
          <w:szCs w:val="23"/>
          <w:highlight w:val="none"/>
        </w:rPr>
        <w:t>(</w:t>
      </w:r>
      <w:r>
        <w:rPr>
          <w:rFonts w:hint="default" w:ascii="Times New Roman" w:hAnsi="Times New Roman" w:eastAsia="Times New Roman" w:cs="Times New Roman"/>
          <w:position w:val="-1"/>
          <w:sz w:val="23"/>
          <w:szCs w:val="23"/>
          <w:highlight w:val="none"/>
        </w:rPr>
        <w:t>Q</w:t>
      </w:r>
      <w:r>
        <w:rPr>
          <w:rFonts w:hint="default" w:ascii="Times New Roman" w:hAnsi="Times New Roman" w:eastAsia="Times New Roman" w:cs="Times New Roman"/>
          <w:spacing w:val="15"/>
          <w:position w:val="-3"/>
          <w:sz w:val="15"/>
          <w:szCs w:val="15"/>
          <w:highlight w:val="none"/>
        </w:rPr>
        <w:t>4</w:t>
      </w:r>
      <w:r>
        <w:rPr>
          <w:rFonts w:hint="default" w:ascii="Times New Roman" w:hAnsi="Times New Roman" w:eastAsia="Times New Roman" w:cs="Times New Roman"/>
          <w:position w:val="6"/>
          <w:sz w:val="15"/>
          <w:szCs w:val="15"/>
          <w:highlight w:val="none"/>
        </w:rPr>
        <w:t>al</w:t>
      </w:r>
      <w:r>
        <w:rPr>
          <w:rFonts w:hint="default" w:ascii="Times New Roman" w:hAnsi="Times New Roman" w:eastAsia="Times New Roman" w:cs="Times New Roman"/>
          <w:spacing w:val="9"/>
          <w:position w:val="6"/>
          <w:sz w:val="15"/>
          <w:szCs w:val="15"/>
          <w:highlight w:val="none"/>
        </w:rPr>
        <w:t>+</w:t>
      </w:r>
      <w:r>
        <w:rPr>
          <w:rFonts w:hint="default" w:ascii="Times New Roman" w:hAnsi="Times New Roman" w:eastAsia="Times New Roman" w:cs="Times New Roman"/>
          <w:position w:val="6"/>
          <w:sz w:val="15"/>
          <w:szCs w:val="15"/>
          <w:highlight w:val="none"/>
        </w:rPr>
        <w:t>pl</w:t>
      </w:r>
      <w:r>
        <w:rPr>
          <w:rFonts w:hint="default" w:ascii="Times New Roman" w:hAnsi="Times New Roman" w:eastAsia="Times New Roman" w:cs="Times New Roman"/>
          <w:spacing w:val="9"/>
          <w:position w:val="6"/>
          <w:sz w:val="15"/>
          <w:szCs w:val="15"/>
          <w:highlight w:val="none"/>
        </w:rPr>
        <w:t xml:space="preserve"> </w:t>
      </w:r>
      <w:r>
        <w:rPr>
          <w:rFonts w:hint="default" w:ascii="Times New Roman" w:hAnsi="Times New Roman" w:eastAsia="宋体" w:cs="Times New Roman"/>
          <w:spacing w:val="9"/>
          <w:position w:val="-1"/>
          <w:sz w:val="23"/>
          <w:szCs w:val="23"/>
          <w:highlight w:val="none"/>
        </w:rPr>
        <w:t>) 、全新统洪积层 (</w:t>
      </w:r>
      <w:r>
        <w:rPr>
          <w:rFonts w:hint="default" w:ascii="Times New Roman" w:hAnsi="Times New Roman" w:eastAsia="Times New Roman" w:cs="Times New Roman"/>
          <w:position w:val="-1"/>
          <w:sz w:val="23"/>
          <w:szCs w:val="23"/>
          <w:highlight w:val="none"/>
        </w:rPr>
        <w:t>Q</w:t>
      </w:r>
      <w:r>
        <w:rPr>
          <w:rFonts w:hint="default" w:ascii="Times New Roman" w:hAnsi="Times New Roman" w:eastAsia="Times New Roman" w:cs="Times New Roman"/>
          <w:spacing w:val="9"/>
          <w:position w:val="-3"/>
          <w:sz w:val="15"/>
          <w:szCs w:val="15"/>
          <w:highlight w:val="none"/>
        </w:rPr>
        <w:t>4</w:t>
      </w:r>
      <w:r>
        <w:rPr>
          <w:rFonts w:hint="default" w:ascii="Times New Roman" w:hAnsi="Times New Roman" w:eastAsia="Times New Roman" w:cs="Times New Roman"/>
          <w:position w:val="6"/>
          <w:sz w:val="15"/>
          <w:szCs w:val="15"/>
          <w:highlight w:val="none"/>
        </w:rPr>
        <w:t>pl</w:t>
      </w:r>
      <w:r>
        <w:rPr>
          <w:rFonts w:hint="default" w:ascii="Times New Roman" w:hAnsi="Times New Roman" w:eastAsia="Times New Roman" w:cs="Times New Roman"/>
          <w:spacing w:val="9"/>
          <w:position w:val="6"/>
          <w:sz w:val="15"/>
          <w:szCs w:val="15"/>
          <w:highlight w:val="none"/>
        </w:rPr>
        <w:t xml:space="preserve"> </w:t>
      </w:r>
      <w:r>
        <w:rPr>
          <w:rFonts w:hint="default" w:ascii="Times New Roman" w:hAnsi="Times New Roman" w:eastAsia="宋体" w:cs="Times New Roman"/>
          <w:spacing w:val="9"/>
          <w:position w:val="-1"/>
          <w:sz w:val="23"/>
          <w:szCs w:val="23"/>
          <w:highlight w:val="none"/>
        </w:rPr>
        <w:t>) ；上更新统洪冲积层及冲洪积层 (</w:t>
      </w:r>
      <w:r>
        <w:rPr>
          <w:rFonts w:hint="default" w:ascii="Times New Roman" w:hAnsi="Times New Roman" w:eastAsia="Times New Roman" w:cs="Times New Roman"/>
          <w:position w:val="-1"/>
          <w:sz w:val="23"/>
          <w:szCs w:val="23"/>
          <w:highlight w:val="none"/>
        </w:rPr>
        <w:t>Q</w:t>
      </w:r>
      <w:r>
        <w:rPr>
          <w:rFonts w:hint="default" w:ascii="Times New Roman" w:hAnsi="Times New Roman" w:eastAsia="Times New Roman" w:cs="Times New Roman"/>
          <w:spacing w:val="9"/>
          <w:position w:val="-3"/>
          <w:sz w:val="15"/>
          <w:szCs w:val="15"/>
          <w:highlight w:val="none"/>
        </w:rPr>
        <w:t>3</w:t>
      </w:r>
      <w:r>
        <w:rPr>
          <w:rFonts w:hint="default" w:ascii="Times New Roman" w:hAnsi="Times New Roman" w:eastAsia="Times New Roman" w:cs="Times New Roman"/>
          <w:position w:val="6"/>
          <w:sz w:val="15"/>
          <w:szCs w:val="15"/>
          <w:highlight w:val="none"/>
        </w:rPr>
        <w:t>pl</w:t>
      </w:r>
      <w:r>
        <w:rPr>
          <w:rFonts w:hint="default" w:ascii="Times New Roman" w:hAnsi="Times New Roman" w:eastAsia="Times New Roman" w:cs="Times New Roman"/>
          <w:spacing w:val="9"/>
          <w:position w:val="6"/>
          <w:sz w:val="15"/>
          <w:szCs w:val="15"/>
          <w:highlight w:val="none"/>
        </w:rPr>
        <w:t>+</w:t>
      </w:r>
      <w:r>
        <w:rPr>
          <w:rFonts w:hint="default" w:ascii="Times New Roman" w:hAnsi="Times New Roman" w:eastAsia="Times New Roman" w:cs="Times New Roman"/>
          <w:position w:val="6"/>
          <w:sz w:val="15"/>
          <w:szCs w:val="15"/>
          <w:highlight w:val="none"/>
        </w:rPr>
        <w:t>al</w:t>
      </w:r>
      <w:r>
        <w:rPr>
          <w:rFonts w:hint="default" w:ascii="Times New Roman" w:hAnsi="Times New Roman" w:eastAsia="Times New Roman" w:cs="Times New Roman"/>
          <w:spacing w:val="9"/>
          <w:position w:val="6"/>
          <w:sz w:val="15"/>
          <w:szCs w:val="15"/>
          <w:highlight w:val="none"/>
        </w:rPr>
        <w:t xml:space="preserve"> </w:t>
      </w:r>
      <w:r>
        <w:rPr>
          <w:rFonts w:hint="default" w:ascii="Times New Roman" w:hAnsi="Times New Roman" w:eastAsia="宋体" w:cs="Times New Roman"/>
          <w:spacing w:val="9"/>
          <w:position w:val="-1"/>
          <w:sz w:val="23"/>
          <w:szCs w:val="23"/>
          <w:highlight w:val="none"/>
        </w:rPr>
        <w:t>) 、</w:t>
      </w:r>
      <w:r>
        <w:rPr>
          <w:rFonts w:hint="default" w:ascii="Times New Roman" w:hAnsi="Times New Roman" w:eastAsia="宋体" w:cs="Times New Roman"/>
          <w:spacing w:val="10"/>
          <w:position w:val="2"/>
          <w:sz w:val="23"/>
          <w:szCs w:val="23"/>
          <w:highlight w:val="none"/>
        </w:rPr>
        <w:t>上更新</w:t>
      </w:r>
      <w:r>
        <w:rPr>
          <w:rFonts w:hint="default" w:ascii="Times New Roman" w:hAnsi="Times New Roman" w:eastAsia="宋体" w:cs="Times New Roman"/>
          <w:spacing w:val="8"/>
          <w:position w:val="2"/>
          <w:sz w:val="23"/>
          <w:szCs w:val="23"/>
          <w:highlight w:val="none"/>
        </w:rPr>
        <w:t>统</w:t>
      </w:r>
      <w:r>
        <w:rPr>
          <w:rFonts w:hint="default" w:ascii="Times New Roman" w:hAnsi="Times New Roman" w:eastAsia="宋体" w:cs="Times New Roman"/>
          <w:spacing w:val="5"/>
          <w:position w:val="2"/>
          <w:sz w:val="23"/>
          <w:szCs w:val="23"/>
          <w:highlight w:val="none"/>
        </w:rPr>
        <w:t>洪坡积层 (</w:t>
      </w:r>
      <w:r>
        <w:rPr>
          <w:rFonts w:hint="default" w:ascii="Times New Roman" w:hAnsi="Times New Roman" w:eastAsia="Times New Roman" w:cs="Times New Roman"/>
          <w:position w:val="2"/>
          <w:sz w:val="23"/>
          <w:szCs w:val="23"/>
          <w:highlight w:val="none"/>
        </w:rPr>
        <w:t>Q</w:t>
      </w:r>
      <w:r>
        <w:rPr>
          <w:rFonts w:hint="default" w:ascii="Times New Roman" w:hAnsi="Times New Roman" w:eastAsia="Times New Roman" w:cs="Times New Roman"/>
          <w:spacing w:val="5"/>
          <w:sz w:val="15"/>
          <w:szCs w:val="15"/>
          <w:highlight w:val="none"/>
        </w:rPr>
        <w:t>3</w:t>
      </w:r>
      <w:r>
        <w:rPr>
          <w:rFonts w:hint="default" w:ascii="Times New Roman" w:hAnsi="Times New Roman" w:eastAsia="Times New Roman" w:cs="Times New Roman"/>
          <w:position w:val="9"/>
          <w:sz w:val="15"/>
          <w:szCs w:val="15"/>
          <w:highlight w:val="none"/>
        </w:rPr>
        <w:t>pl</w:t>
      </w:r>
      <w:r>
        <w:rPr>
          <w:rFonts w:hint="default" w:ascii="Times New Roman" w:hAnsi="Times New Roman" w:eastAsia="Times New Roman" w:cs="Times New Roman"/>
          <w:spacing w:val="5"/>
          <w:position w:val="9"/>
          <w:sz w:val="15"/>
          <w:szCs w:val="15"/>
          <w:highlight w:val="none"/>
        </w:rPr>
        <w:t>+</w:t>
      </w:r>
      <w:r>
        <w:rPr>
          <w:rFonts w:hint="default" w:ascii="Times New Roman" w:hAnsi="Times New Roman" w:eastAsia="Times New Roman" w:cs="Times New Roman"/>
          <w:position w:val="9"/>
          <w:sz w:val="15"/>
          <w:szCs w:val="15"/>
          <w:highlight w:val="none"/>
        </w:rPr>
        <w:t>dl</w:t>
      </w:r>
      <w:r>
        <w:rPr>
          <w:rFonts w:hint="default" w:ascii="Times New Roman" w:hAnsi="Times New Roman" w:eastAsia="宋体" w:cs="Times New Roman"/>
          <w:spacing w:val="5"/>
          <w:position w:val="2"/>
          <w:sz w:val="23"/>
          <w:szCs w:val="23"/>
          <w:highlight w:val="none"/>
        </w:rPr>
        <w:t>) 和中更新统洪积层 (</w:t>
      </w:r>
      <w:r>
        <w:rPr>
          <w:rFonts w:hint="default" w:ascii="Times New Roman" w:hAnsi="Times New Roman" w:eastAsia="Times New Roman" w:cs="Times New Roman"/>
          <w:position w:val="2"/>
          <w:sz w:val="23"/>
          <w:szCs w:val="23"/>
          <w:highlight w:val="none"/>
        </w:rPr>
        <w:t>Q</w:t>
      </w:r>
      <w:r>
        <w:rPr>
          <w:rFonts w:hint="default" w:ascii="Times New Roman" w:hAnsi="Times New Roman" w:eastAsia="Times New Roman" w:cs="Times New Roman"/>
          <w:spacing w:val="5"/>
          <w:sz w:val="15"/>
          <w:szCs w:val="15"/>
          <w:highlight w:val="none"/>
        </w:rPr>
        <w:t>2</w:t>
      </w:r>
      <w:r>
        <w:rPr>
          <w:rFonts w:hint="default" w:ascii="Times New Roman" w:hAnsi="Times New Roman" w:eastAsia="Times New Roman" w:cs="Times New Roman"/>
          <w:position w:val="9"/>
          <w:sz w:val="15"/>
          <w:szCs w:val="15"/>
          <w:highlight w:val="none"/>
        </w:rPr>
        <w:t>pl</w:t>
      </w:r>
      <w:r>
        <w:rPr>
          <w:rFonts w:hint="default" w:ascii="Times New Roman" w:hAnsi="Times New Roman" w:eastAsia="Times New Roman" w:cs="Times New Roman"/>
          <w:spacing w:val="5"/>
          <w:position w:val="9"/>
          <w:sz w:val="15"/>
          <w:szCs w:val="15"/>
          <w:highlight w:val="none"/>
        </w:rPr>
        <w:t xml:space="preserve"> </w:t>
      </w:r>
      <w:r>
        <w:rPr>
          <w:rFonts w:hint="default" w:ascii="Times New Roman" w:hAnsi="Times New Roman" w:eastAsia="宋体" w:cs="Times New Roman"/>
          <w:spacing w:val="5"/>
          <w:position w:val="2"/>
          <w:sz w:val="23"/>
          <w:szCs w:val="23"/>
          <w:highlight w:val="none"/>
        </w:rPr>
        <w:t>) 。其中全新统冲积层及冲</w:t>
      </w:r>
      <w:r>
        <w:rPr>
          <w:rFonts w:hint="default" w:ascii="Times New Roman" w:hAnsi="Times New Roman" w:eastAsia="宋体" w:cs="Times New Roman"/>
          <w:spacing w:val="10"/>
          <w:position w:val="8"/>
          <w:sz w:val="23"/>
          <w:szCs w:val="23"/>
          <w:highlight w:val="none"/>
        </w:rPr>
        <w:t>洪</w:t>
      </w:r>
      <w:r>
        <w:rPr>
          <w:rFonts w:hint="default" w:ascii="Times New Roman" w:hAnsi="Times New Roman" w:eastAsia="宋体" w:cs="Times New Roman"/>
          <w:spacing w:val="9"/>
          <w:position w:val="8"/>
          <w:sz w:val="23"/>
          <w:szCs w:val="23"/>
          <w:highlight w:val="none"/>
        </w:rPr>
        <w:t>积</w:t>
      </w:r>
      <w:r>
        <w:rPr>
          <w:rFonts w:hint="default" w:ascii="Times New Roman" w:hAnsi="Times New Roman" w:eastAsia="宋体" w:cs="Times New Roman"/>
          <w:spacing w:val="5"/>
          <w:position w:val="8"/>
          <w:sz w:val="23"/>
          <w:szCs w:val="23"/>
          <w:highlight w:val="none"/>
        </w:rPr>
        <w:t xml:space="preserve">层 </w:t>
      </w:r>
      <w:r>
        <w:rPr>
          <w:rFonts w:hint="default" w:ascii="Times New Roman" w:hAnsi="Times New Roman" w:eastAsia="宋体" w:cs="Times New Roman"/>
          <w:spacing w:val="7"/>
          <w:sz w:val="23"/>
          <w:szCs w:val="23"/>
          <w:highlight w:val="none"/>
        </w:rPr>
        <w:t>(Q</w:t>
      </w:r>
      <w:r>
        <w:rPr>
          <w:rFonts w:hint="default" w:ascii="Times New Roman" w:hAnsi="Times New Roman" w:eastAsia="宋体" w:cs="Times New Roman"/>
          <w:spacing w:val="7"/>
          <w:sz w:val="23"/>
          <w:szCs w:val="23"/>
          <w:highlight w:val="none"/>
          <w:vertAlign w:val="superscript"/>
        </w:rPr>
        <w:t xml:space="preserve">4al+pl </w:t>
      </w:r>
      <w:r>
        <w:rPr>
          <w:rFonts w:hint="default" w:ascii="Times New Roman" w:hAnsi="Times New Roman" w:eastAsia="宋体" w:cs="Times New Roman"/>
          <w:spacing w:val="7"/>
          <w:sz w:val="23"/>
          <w:szCs w:val="23"/>
          <w:highlight w:val="none"/>
        </w:rPr>
        <w:t>) 岩性上部为可塑粘土或</w:t>
      </w:r>
      <w:r>
        <w:rPr>
          <w:rFonts w:hint="default" w:ascii="Times New Roman" w:hAnsi="Times New Roman" w:eastAsia="宋体" w:cs="Times New Roman"/>
          <w:spacing w:val="7"/>
          <w:sz w:val="23"/>
          <w:szCs w:val="23"/>
          <w:highlight w:val="none"/>
        </w:rPr>
        <w:fldChar w:fldCharType="begin"/>
      </w:r>
      <w:r>
        <w:rPr>
          <w:rFonts w:hint="default" w:ascii="Times New Roman" w:hAnsi="Times New Roman" w:eastAsia="宋体" w:cs="Times New Roman"/>
          <w:spacing w:val="7"/>
          <w:sz w:val="23"/>
          <w:szCs w:val="23"/>
          <w:highlight w:val="none"/>
        </w:rPr>
        <w:instrText xml:space="preserve"> HYPERLINK "https://www.baidu.com/s?wd=%E7%B2%89%E8%B4%A8%E7%B2%98%E5%9C%9F&amp;tn=44039180_cpr&amp;fenlei=mv6quAkxTZn0IZRqIHckPjm4nH00T1Y3myfsmWfYPjTYnhcdPyNW0ZwV5Hcvrjm3rH6sPfKWUMw85HfYnjn4nH6sgvPsT6KdThsqpZwYTjCEQLGCpyw9Uz4Bmy-bIi4WUvYETgN-TLwGUv3EnW0kPHbLPHnd" </w:instrText>
      </w:r>
      <w:r>
        <w:rPr>
          <w:rFonts w:hint="default" w:ascii="Times New Roman" w:hAnsi="Times New Roman" w:eastAsia="宋体" w:cs="Times New Roman"/>
          <w:spacing w:val="7"/>
          <w:sz w:val="23"/>
          <w:szCs w:val="23"/>
          <w:highlight w:val="none"/>
        </w:rPr>
        <w:fldChar w:fldCharType="separate"/>
      </w:r>
      <w:r>
        <w:rPr>
          <w:rFonts w:hint="default" w:ascii="Times New Roman" w:hAnsi="Times New Roman" w:eastAsia="宋体" w:cs="Times New Roman"/>
          <w:spacing w:val="7"/>
          <w:sz w:val="23"/>
          <w:szCs w:val="23"/>
          <w:highlight w:val="none"/>
        </w:rPr>
        <w:t>粉质粘土</w:t>
      </w:r>
      <w:r>
        <w:rPr>
          <w:rFonts w:hint="default" w:ascii="Times New Roman" w:hAnsi="Times New Roman" w:eastAsia="宋体" w:cs="Times New Roman"/>
          <w:spacing w:val="7"/>
          <w:sz w:val="23"/>
          <w:szCs w:val="23"/>
          <w:highlight w:val="none"/>
        </w:rPr>
        <w:fldChar w:fldCharType="end"/>
      </w:r>
      <w:r>
        <w:rPr>
          <w:rFonts w:hint="default" w:ascii="Times New Roman" w:hAnsi="Times New Roman" w:eastAsia="宋体" w:cs="Times New Roman"/>
          <w:spacing w:val="7"/>
          <w:sz w:val="23"/>
          <w:szCs w:val="23"/>
          <w:highlight w:val="none"/>
        </w:rPr>
        <w:t>，下部为冲洪积及洪积砂砾石</w:t>
      </w:r>
      <w:r>
        <w:rPr>
          <w:rFonts w:hint="default" w:ascii="Times New Roman" w:hAnsi="Times New Roman" w:eastAsia="宋体" w:cs="Times New Roman"/>
          <w:spacing w:val="22"/>
          <w:sz w:val="23"/>
          <w:szCs w:val="23"/>
          <w:highlight w:val="none"/>
        </w:rPr>
        <w:t>、卵砾石</w:t>
      </w:r>
      <w:r>
        <w:rPr>
          <w:rFonts w:hint="default" w:ascii="Times New Roman" w:hAnsi="Times New Roman" w:eastAsia="宋体" w:cs="Times New Roman"/>
          <w:spacing w:val="7"/>
          <w:sz w:val="23"/>
          <w:szCs w:val="23"/>
          <w:highlight w:val="none"/>
        </w:rPr>
        <w:t>层，砂砾石英质，分选性及磨圆度较差，均匀性较好，分布于遵化县东</w:t>
      </w:r>
      <w:r>
        <w:rPr>
          <w:rFonts w:hint="default" w:ascii="Times New Roman" w:hAnsi="Times New Roman" w:eastAsia="宋体" w:cs="Times New Roman"/>
          <w:spacing w:val="2"/>
          <w:sz w:val="23"/>
          <w:szCs w:val="23"/>
          <w:highlight w:val="none"/>
        </w:rPr>
        <w:t>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2"/>
          <w:sz w:val="23"/>
          <w:szCs w:val="23"/>
          <w:highlight w:val="none"/>
        </w:rPr>
        <w:t>部</w:t>
      </w:r>
      <w:r>
        <w:rPr>
          <w:rFonts w:hint="default" w:ascii="Times New Roman" w:hAnsi="Times New Roman" w:eastAsia="宋体" w:cs="Times New Roman"/>
          <w:spacing w:val="12"/>
          <w:sz w:val="23"/>
          <w:szCs w:val="23"/>
          <w:highlight w:val="none"/>
        </w:rPr>
        <w:t>的大二里</w:t>
      </w:r>
      <w:r>
        <w:rPr>
          <w:rFonts w:hint="default" w:ascii="Times New Roman" w:hAnsi="Times New Roman" w:eastAsia="Times New Roman" w:cs="Times New Roman"/>
          <w:spacing w:val="12"/>
          <w:sz w:val="23"/>
          <w:szCs w:val="23"/>
          <w:highlight w:val="none"/>
        </w:rPr>
        <w:t xml:space="preserve">— </w:t>
      </w:r>
      <w:r>
        <w:rPr>
          <w:rFonts w:hint="default" w:ascii="Times New Roman" w:hAnsi="Times New Roman" w:eastAsia="宋体" w:cs="Times New Roman"/>
          <w:spacing w:val="12"/>
          <w:sz w:val="23"/>
          <w:szCs w:val="23"/>
          <w:highlight w:val="none"/>
        </w:rPr>
        <w:t>田庄</w:t>
      </w:r>
      <w:r>
        <w:rPr>
          <w:rFonts w:hint="default" w:ascii="Times New Roman" w:hAnsi="Times New Roman" w:eastAsia="Times New Roman" w:cs="Times New Roman"/>
          <w:spacing w:val="12"/>
          <w:sz w:val="23"/>
          <w:szCs w:val="23"/>
          <w:highlight w:val="none"/>
        </w:rPr>
        <w:t xml:space="preserve">— </w:t>
      </w:r>
      <w:r>
        <w:rPr>
          <w:rFonts w:hint="default" w:ascii="Times New Roman" w:hAnsi="Times New Roman" w:eastAsia="宋体" w:cs="Times New Roman"/>
          <w:spacing w:val="12"/>
          <w:sz w:val="23"/>
          <w:szCs w:val="23"/>
          <w:highlight w:val="none"/>
        </w:rPr>
        <w:t xml:space="preserve">上石河一带，导水性和富水性较好，含水层厚度一般 </w:t>
      </w:r>
      <w:r>
        <w:rPr>
          <w:rFonts w:hint="default" w:ascii="Times New Roman" w:hAnsi="Times New Roman" w:eastAsia="Times New Roman" w:cs="Times New Roman"/>
          <w:spacing w:val="12"/>
          <w:sz w:val="23"/>
          <w:szCs w:val="23"/>
          <w:highlight w:val="none"/>
        </w:rPr>
        <w:t>5</w:t>
      </w:r>
      <w:r>
        <w:rPr>
          <w:rFonts w:hint="default" w:ascii="Times New Roman" w:hAnsi="Times New Roman" w:eastAsia="宋体" w:cs="Times New Roman"/>
          <w:spacing w:val="12"/>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8"/>
          <w:sz w:val="23"/>
          <w:szCs w:val="23"/>
          <w:highlight w:val="none"/>
        </w:rPr>
        <w:t>1</w:t>
      </w:r>
      <w:r>
        <w:rPr>
          <w:rFonts w:hint="default" w:ascii="Times New Roman" w:hAnsi="Times New Roman" w:eastAsia="Times New Roman" w:cs="Times New Roman"/>
          <w:spacing w:val="7"/>
          <w:sz w:val="23"/>
          <w:szCs w:val="23"/>
          <w:highlight w:val="none"/>
        </w:rPr>
        <w:t>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，单井单位涌水量大于</w:t>
      </w:r>
      <w:r>
        <w:rPr>
          <w:rFonts w:hint="default" w:ascii="Times New Roman" w:hAnsi="Times New Roman" w:eastAsia="Times New Roman" w:cs="Times New Roman"/>
          <w:spacing w:val="4"/>
          <w:sz w:val="23"/>
          <w:szCs w:val="23"/>
          <w:highlight w:val="none"/>
        </w:rPr>
        <w:t>100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position w:val="7"/>
          <w:sz w:val="15"/>
          <w:szCs w:val="15"/>
          <w:highlight w:val="none"/>
        </w:rPr>
        <w:t>3</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4"/>
          <w:sz w:val="23"/>
          <w:szCs w:val="23"/>
          <w:highlight w:val="none"/>
        </w:rPr>
        <w:t>；上更新统洪冲积层及冲洪积层 (</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4"/>
          <w:position w:val="-2"/>
          <w:sz w:val="15"/>
          <w:szCs w:val="15"/>
          <w:highlight w:val="none"/>
        </w:rPr>
        <w:t>3</w:t>
      </w:r>
      <w:r>
        <w:rPr>
          <w:rFonts w:hint="default" w:ascii="Times New Roman" w:hAnsi="Times New Roman" w:eastAsia="Times New Roman" w:cs="Times New Roman"/>
          <w:position w:val="7"/>
          <w:sz w:val="15"/>
          <w:szCs w:val="15"/>
          <w:highlight w:val="none"/>
        </w:rPr>
        <w:t>pl</w:t>
      </w:r>
      <w:r>
        <w:rPr>
          <w:rFonts w:hint="default" w:ascii="Times New Roman" w:hAnsi="Times New Roman" w:eastAsia="Times New Roman" w:cs="Times New Roman"/>
          <w:spacing w:val="4"/>
          <w:position w:val="7"/>
          <w:sz w:val="15"/>
          <w:szCs w:val="15"/>
          <w:highlight w:val="none"/>
        </w:rPr>
        <w:t>+</w:t>
      </w:r>
      <w:r>
        <w:rPr>
          <w:rFonts w:hint="default" w:ascii="Times New Roman" w:hAnsi="Times New Roman" w:eastAsia="Times New Roman" w:cs="Times New Roman"/>
          <w:position w:val="7"/>
          <w:sz w:val="15"/>
          <w:szCs w:val="15"/>
          <w:highlight w:val="none"/>
        </w:rPr>
        <w:t>al</w:t>
      </w:r>
      <w:r>
        <w:rPr>
          <w:rFonts w:hint="default" w:ascii="Times New Roman" w:hAnsi="Times New Roman" w:eastAsia="Times New Roman" w:cs="Times New Roman"/>
          <w:spacing w:val="4"/>
          <w:position w:val="7"/>
          <w:sz w:val="15"/>
          <w:szCs w:val="15"/>
          <w:highlight w:val="none"/>
        </w:rPr>
        <w:t xml:space="preserve"> </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岩性多为洪冲积或冲积的砂层和砂砾石层，下部个别地段夹有薄层淤泥质砂</w:t>
      </w:r>
      <w:r>
        <w:rPr>
          <w:rFonts w:hint="default" w:ascii="Times New Roman" w:hAnsi="Times New Roman" w:eastAsia="宋体" w:cs="Times New Roman"/>
          <w:spacing w:val="12"/>
          <w:sz w:val="23"/>
          <w:szCs w:val="23"/>
          <w:highlight w:val="none"/>
        </w:rPr>
        <w:t>粘</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土</w:t>
      </w:r>
      <w:r>
        <w:rPr>
          <w:rFonts w:hint="default" w:ascii="Times New Roman" w:hAnsi="Times New Roman" w:eastAsia="宋体" w:cs="Times New Roman"/>
          <w:spacing w:val="11"/>
          <w:sz w:val="23"/>
          <w:szCs w:val="23"/>
          <w:highlight w:val="none"/>
        </w:rPr>
        <w:t>，</w:t>
      </w:r>
      <w:r>
        <w:rPr>
          <w:rFonts w:hint="default" w:ascii="Times New Roman" w:hAnsi="Times New Roman" w:eastAsia="宋体" w:cs="Times New Roman"/>
          <w:spacing w:val="9"/>
          <w:sz w:val="23"/>
          <w:szCs w:val="23"/>
          <w:highlight w:val="none"/>
        </w:rPr>
        <w:t xml:space="preserve">砂砾石厚度一般 </w:t>
      </w:r>
      <w:r>
        <w:rPr>
          <w:rFonts w:hint="default" w:ascii="Times New Roman" w:hAnsi="Times New Roman" w:eastAsia="Times New Roman" w:cs="Times New Roman"/>
          <w:spacing w:val="9"/>
          <w:sz w:val="23"/>
          <w:szCs w:val="23"/>
          <w:highlight w:val="none"/>
        </w:rPr>
        <w:t>10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 xml:space="preserve">左右，单井涌水量 </w:t>
      </w:r>
      <w:r>
        <w:rPr>
          <w:rFonts w:hint="default" w:ascii="Times New Roman" w:hAnsi="Times New Roman" w:eastAsia="Times New Roman" w:cs="Times New Roman"/>
          <w:spacing w:val="9"/>
          <w:sz w:val="23"/>
          <w:szCs w:val="23"/>
          <w:highlight w:val="none"/>
        </w:rPr>
        <w:t>25</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50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position w:val="7"/>
          <w:sz w:val="15"/>
          <w:szCs w:val="15"/>
          <w:highlight w:val="none"/>
        </w:rPr>
        <w:t>3</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9"/>
          <w:sz w:val="23"/>
          <w:szCs w:val="23"/>
          <w:highlight w:val="none"/>
        </w:rPr>
        <w:t>；上更新统洪坡积层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z w:val="23"/>
          <w:szCs w:val="23"/>
          <w:highlight w:val="none"/>
        </w:rPr>
        <w:tab/>
      </w:r>
      <w:r>
        <w:rPr>
          <w:rFonts w:hint="default" w:ascii="Times New Roman" w:hAnsi="Times New Roman" w:eastAsia="宋体" w:cs="Times New Roman"/>
          <w:spacing w:val="18"/>
          <w:sz w:val="23"/>
          <w:szCs w:val="23"/>
          <w:highlight w:val="none"/>
        </w:rPr>
        <w:t>(</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18"/>
          <w:position w:val="-2"/>
          <w:sz w:val="15"/>
          <w:szCs w:val="15"/>
          <w:highlight w:val="none"/>
        </w:rPr>
        <w:t>3</w:t>
      </w:r>
      <w:r>
        <w:rPr>
          <w:rFonts w:hint="default" w:ascii="Times New Roman" w:hAnsi="Times New Roman" w:eastAsia="Times New Roman" w:cs="Times New Roman"/>
          <w:position w:val="7"/>
          <w:sz w:val="15"/>
          <w:szCs w:val="15"/>
          <w:highlight w:val="none"/>
        </w:rPr>
        <w:t>pl</w:t>
      </w:r>
      <w:r>
        <w:rPr>
          <w:rFonts w:hint="default" w:ascii="Times New Roman" w:hAnsi="Times New Roman" w:eastAsia="Times New Roman" w:cs="Times New Roman"/>
          <w:spacing w:val="12"/>
          <w:position w:val="7"/>
          <w:sz w:val="15"/>
          <w:szCs w:val="15"/>
          <w:highlight w:val="none"/>
        </w:rPr>
        <w:t>+</w:t>
      </w:r>
      <w:r>
        <w:rPr>
          <w:rFonts w:hint="default" w:ascii="Times New Roman" w:hAnsi="Times New Roman" w:eastAsia="Times New Roman" w:cs="Times New Roman"/>
          <w:position w:val="7"/>
          <w:sz w:val="15"/>
          <w:szCs w:val="15"/>
          <w:highlight w:val="none"/>
        </w:rPr>
        <w:t>dl</w:t>
      </w:r>
      <w:r>
        <w:rPr>
          <w:rFonts w:hint="default" w:ascii="Times New Roman" w:hAnsi="Times New Roman" w:eastAsia="宋体" w:cs="Times New Roman"/>
          <w:spacing w:val="9"/>
          <w:sz w:val="23"/>
          <w:szCs w:val="23"/>
          <w:highlight w:val="none"/>
        </w:rPr>
        <w:t xml:space="preserve">) 岩性主要为粉砂、粗砂和泥质砂粘土，含水层厚度一般 </w:t>
      </w:r>
      <w:r>
        <w:rPr>
          <w:rFonts w:hint="default" w:ascii="Times New Roman" w:hAnsi="Times New Roman" w:eastAsia="Times New Roman" w:cs="Times New Roman"/>
          <w:spacing w:val="9"/>
          <w:sz w:val="23"/>
          <w:szCs w:val="23"/>
          <w:highlight w:val="none"/>
        </w:rPr>
        <w:t>10</w:t>
      </w:r>
      <w:r>
        <w:rPr>
          <w:rFonts w:hint="default" w:ascii="Times New Roman" w:hAnsi="Times New Roman" w:eastAsia="宋体" w:cs="Times New Roman"/>
          <w:spacing w:val="9"/>
          <w:sz w:val="23"/>
          <w:szCs w:val="23"/>
          <w:highlight w:val="none"/>
        </w:rPr>
        <w:t>~</w:t>
      </w:r>
      <w:r>
        <w:rPr>
          <w:rFonts w:hint="default" w:ascii="Times New Roman" w:hAnsi="Times New Roman" w:eastAsia="Times New Roman" w:cs="Times New Roman"/>
          <w:spacing w:val="9"/>
          <w:sz w:val="23"/>
          <w:szCs w:val="23"/>
          <w:highlight w:val="none"/>
        </w:rPr>
        <w:t>20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 xml:space="preserve">水性稍差，单井涌水量为 </w:t>
      </w:r>
      <w:r>
        <w:rPr>
          <w:rFonts w:hint="default" w:ascii="Times New Roman" w:hAnsi="Times New Roman" w:eastAsia="Times New Roman" w:cs="Times New Roman"/>
          <w:spacing w:val="11"/>
          <w:sz w:val="23"/>
          <w:szCs w:val="23"/>
          <w:highlight w:val="none"/>
        </w:rPr>
        <w:t>10</w:t>
      </w:r>
      <w:r>
        <w:rPr>
          <w:rFonts w:hint="default" w:ascii="Times New Roman" w:hAnsi="Times New Roman" w:eastAsia="宋体" w:cs="Times New Roman"/>
          <w:spacing w:val="11"/>
          <w:sz w:val="23"/>
          <w:szCs w:val="23"/>
          <w:highlight w:val="none"/>
        </w:rPr>
        <w:t>~</w:t>
      </w:r>
      <w:r>
        <w:rPr>
          <w:rFonts w:hint="default" w:ascii="Times New Roman" w:hAnsi="Times New Roman" w:eastAsia="Times New Roman" w:cs="Times New Roman"/>
          <w:spacing w:val="11"/>
          <w:sz w:val="23"/>
          <w:szCs w:val="23"/>
          <w:highlight w:val="none"/>
        </w:rPr>
        <w:t xml:space="preserve">25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1"/>
          <w:position w:val="8"/>
          <w:sz w:val="15"/>
          <w:szCs w:val="15"/>
          <w:highlight w:val="none"/>
        </w:rPr>
        <w:t>3</w:t>
      </w:r>
      <w:r>
        <w:rPr>
          <w:rFonts w:hint="default" w:ascii="Times New Roman" w:hAnsi="Times New Roman" w:eastAsia="Times New Roman" w:cs="Times New Roman"/>
          <w:spacing w:val="11"/>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11"/>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11"/>
          <w:sz w:val="23"/>
          <w:szCs w:val="23"/>
          <w:highlight w:val="none"/>
        </w:rPr>
        <w:t>；</w:t>
      </w:r>
      <w:r>
        <w:rPr>
          <w:rFonts w:hint="default" w:ascii="Times New Roman" w:hAnsi="Times New Roman" w:eastAsia="Times New Roman" w:cs="Times New Roman"/>
          <w:sz w:val="23"/>
          <w:szCs w:val="23"/>
          <w:highlight w:val="none"/>
        </w:rPr>
        <w:t>Arm</w:t>
      </w:r>
      <w:r>
        <w:rPr>
          <w:rFonts w:hint="default" w:ascii="Times New Roman" w:hAnsi="Times New Roman" w:eastAsia="Times New Roman" w:cs="Times New Roman"/>
          <w:spacing w:val="11"/>
          <w:sz w:val="23"/>
          <w:szCs w:val="23"/>
          <w:highlight w:val="none"/>
        </w:rPr>
        <w:t xml:space="preserve"> </w:t>
      </w:r>
      <w:r>
        <w:rPr>
          <w:rFonts w:hint="default" w:ascii="Times New Roman" w:hAnsi="Times New Roman" w:eastAsia="宋体" w:cs="Times New Roman"/>
          <w:spacing w:val="11"/>
          <w:sz w:val="23"/>
          <w:szCs w:val="23"/>
          <w:highlight w:val="none"/>
        </w:rPr>
        <w:t>为太古界片麻岩，主要为上部</w:t>
      </w:r>
      <w:r>
        <w:rPr>
          <w:rFonts w:hint="default" w:ascii="Times New Roman" w:hAnsi="Times New Roman" w:eastAsia="宋体" w:cs="Times New Roman"/>
          <w:spacing w:val="10"/>
          <w:sz w:val="23"/>
          <w:szCs w:val="23"/>
          <w:highlight w:val="none"/>
        </w:rPr>
        <w:t>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化</w:t>
      </w:r>
      <w:r>
        <w:rPr>
          <w:rFonts w:hint="default" w:ascii="Times New Roman" w:hAnsi="Times New Roman" w:eastAsia="宋体" w:cs="Times New Roman"/>
          <w:spacing w:val="14"/>
          <w:sz w:val="23"/>
          <w:szCs w:val="23"/>
          <w:highlight w:val="none"/>
        </w:rPr>
        <w:t>裂</w:t>
      </w:r>
      <w:r>
        <w:rPr>
          <w:rFonts w:hint="default" w:ascii="Times New Roman" w:hAnsi="Times New Roman" w:eastAsia="宋体" w:cs="Times New Roman"/>
          <w:spacing w:val="8"/>
          <w:sz w:val="23"/>
          <w:szCs w:val="23"/>
          <w:highlight w:val="none"/>
        </w:rPr>
        <w:t xml:space="preserve">隙水和局部脉状构造裂隙水。单井涌水量一般 </w:t>
      </w:r>
      <w:r>
        <w:rPr>
          <w:rFonts w:hint="default" w:ascii="Times New Roman" w:hAnsi="Times New Roman" w:eastAsia="Times New Roman" w:cs="Times New Roman"/>
          <w:spacing w:val="8"/>
          <w:sz w:val="23"/>
          <w:szCs w:val="23"/>
          <w:highlight w:val="none"/>
        </w:rPr>
        <w:t>0.6</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1.3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position w:val="7"/>
          <w:sz w:val="15"/>
          <w:szCs w:val="15"/>
          <w:highlight w:val="none"/>
        </w:rPr>
        <w:t>3</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，构造破碎带地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2"/>
          <w:sz w:val="23"/>
          <w:szCs w:val="23"/>
          <w:highlight w:val="none"/>
        </w:rPr>
        <w:t>段</w:t>
      </w:r>
      <w:r>
        <w:rPr>
          <w:rFonts w:hint="default" w:ascii="Times New Roman" w:hAnsi="Times New Roman" w:eastAsia="宋体" w:cs="Times New Roman"/>
          <w:spacing w:val="16"/>
          <w:sz w:val="23"/>
          <w:szCs w:val="23"/>
          <w:highlight w:val="none"/>
        </w:rPr>
        <w:t>可</w:t>
      </w:r>
      <w:r>
        <w:rPr>
          <w:rFonts w:hint="default" w:ascii="Times New Roman" w:hAnsi="Times New Roman" w:eastAsia="宋体" w:cs="Times New Roman"/>
          <w:spacing w:val="11"/>
          <w:sz w:val="23"/>
          <w:szCs w:val="23"/>
          <w:highlight w:val="none"/>
        </w:rPr>
        <w:t xml:space="preserve">达 </w:t>
      </w:r>
      <w:r>
        <w:rPr>
          <w:rFonts w:hint="default" w:ascii="Times New Roman" w:hAnsi="Times New Roman" w:eastAsia="Times New Roman" w:cs="Times New Roman"/>
          <w:spacing w:val="11"/>
          <w:sz w:val="23"/>
          <w:szCs w:val="23"/>
          <w:highlight w:val="none"/>
        </w:rPr>
        <w:t>30</w:t>
      </w:r>
      <w:r>
        <w:rPr>
          <w:rFonts w:hint="default" w:ascii="Times New Roman" w:hAnsi="Times New Roman" w:eastAsia="宋体" w:cs="Times New Roman"/>
          <w:spacing w:val="11"/>
          <w:sz w:val="23"/>
          <w:szCs w:val="23"/>
          <w:highlight w:val="none"/>
        </w:rPr>
        <w:t>~</w:t>
      </w:r>
      <w:r>
        <w:rPr>
          <w:rFonts w:hint="default" w:ascii="Times New Roman" w:hAnsi="Times New Roman" w:eastAsia="Times New Roman" w:cs="Times New Roman"/>
          <w:spacing w:val="11"/>
          <w:sz w:val="23"/>
          <w:szCs w:val="23"/>
          <w:highlight w:val="none"/>
        </w:rPr>
        <w:t>40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1"/>
          <w:position w:val="8"/>
          <w:sz w:val="15"/>
          <w:szCs w:val="15"/>
          <w:highlight w:val="none"/>
        </w:rPr>
        <w:t>3</w:t>
      </w:r>
      <w:r>
        <w:rPr>
          <w:rFonts w:hint="default" w:ascii="Times New Roman" w:hAnsi="Times New Roman" w:eastAsia="Times New Roman" w:cs="Times New Roman"/>
          <w:spacing w:val="11"/>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11"/>
          <w:sz w:val="23"/>
          <w:szCs w:val="23"/>
          <w:highlight w:val="none"/>
        </w:rPr>
        <w:t xml:space="preserve"> </w:t>
      </w:r>
      <w:r>
        <w:rPr>
          <w:rFonts w:hint="default" w:ascii="Times New Roman" w:hAnsi="Times New Roman" w:eastAsia="宋体" w:cs="Times New Roman"/>
          <w:spacing w:val="11"/>
          <w:sz w:val="23"/>
          <w:szCs w:val="23"/>
          <w:highlight w:val="none"/>
        </w:rPr>
        <w:t>，此含水组与上部松散岩类孔隙潜水含水组水力联系密切。</w:t>
      </w:r>
      <w:r>
        <w:rPr>
          <w:rFonts w:hint="default" w:ascii="Times New Roman" w:hAnsi="Times New Roman" w:cs="Times New Roman"/>
          <w:highlight w:val="none"/>
        </w:rPr>
        <w:pict>
          <v:rect id="_x0000_s1247" o:spid="_x0000_s1247" o:spt="1" style="position:absolute;left:0pt;margin-left:90pt;margin-top:776.35pt;height:0.75pt;width:415.3pt;mso-position-horizontal-relative:page;mso-position-vertical-relative:page;z-index:251759616;mso-width-relative:page;mso-height-relative:page;" filled="f" stroked="f" coordsize="21600,21600" o:allowincell="f">
            <v:path/>
            <v:fill on="f" focussize="0,0"/>
            <v:stroke on="f"/>
            <v:imagedata o:title=""/>
            <o:lock v:ext="edit" aspectratio="f"/>
          </v:rect>
        </w:pict>
      </w:r>
      <w:r>
        <w:rPr>
          <w:rFonts w:hint="default" w:ascii="Times New Roman" w:hAnsi="Times New Roman" w:cs="Times New Roman"/>
          <w:highlight w:val="none"/>
        </w:rPr>
        <w:pict>
          <v:shape id="_x0000_s1248" o:spid="_x0000_s1248" style="position:absolute;left:0pt;margin-left:90pt;margin-top:59.05pt;height:0.75pt;width:415.3pt;mso-position-horizontal-relative:page;mso-position-vertical-relative:page;z-index:251758592;mso-width-relative:page;mso-height-relative:page;" fillcolor="#000000" filled="t" stroked="f" coordsize="8305,15" o:allowincell="f" path="m0,0l8305,0,8305,14,0,14,0,0xe">
            <v:path/>
            <v:fill on="t" focussize="0,0"/>
            <v:stroke on="f"/>
            <v:imagedata o:title=""/>
            <o:lock v:ext="edit"/>
          </v:shape>
        </w:pict>
      </w:r>
      <w:r>
        <w:rPr>
          <w:rFonts w:hint="default" w:ascii="Times New Roman" w:hAnsi="Times New Roman" w:eastAsia="宋体" w:cs="Times New Roman"/>
          <w:spacing w:val="1"/>
          <w:sz w:val="23"/>
          <w:szCs w:val="23"/>
          <w:highlight w:val="none"/>
        </w:rPr>
        <w:t xml:space="preserve">评价区水文地质图详见图 </w:t>
      </w:r>
      <w:r>
        <w:rPr>
          <w:rFonts w:hint="default" w:ascii="Times New Roman" w:hAnsi="Times New Roman" w:eastAsia="Times New Roman" w:cs="Times New Roman"/>
          <w:spacing w:val="1"/>
          <w:sz w:val="23"/>
          <w:szCs w:val="23"/>
          <w:highlight w:val="none"/>
        </w:rPr>
        <w:t>5.</w:t>
      </w:r>
      <w:r>
        <w:rPr>
          <w:rFonts w:hint="default" w:ascii="Times New Roman" w:hAnsi="Times New Roman" w:eastAsia="Times New Roman" w:cs="Times New Roman"/>
          <w:sz w:val="23"/>
          <w:szCs w:val="23"/>
          <w:highlight w:val="none"/>
        </w:rPr>
        <w:t xml:space="preserve">2- </w:t>
      </w:r>
      <w:r>
        <w:rPr>
          <w:rFonts w:hint="eastAsia" w:ascii="Times New Roman" w:hAnsi="Times New Roman" w:eastAsia="宋体" w:cs="Times New Roman"/>
          <w:sz w:val="23"/>
          <w:szCs w:val="23"/>
          <w:highlight w:val="none"/>
          <w:lang w:val="en-US" w:eastAsia="zh-CN"/>
        </w:rPr>
        <w:t>10</w:t>
      </w:r>
      <w:r>
        <w:rPr>
          <w:rFonts w:hint="default" w:ascii="Times New Roman" w:hAnsi="Times New Roman" w:eastAsia="宋体" w:cs="Times New Roman"/>
          <w:sz w:val="23"/>
          <w:szCs w:val="23"/>
          <w:highlight w:val="none"/>
        </w:rPr>
        <w:t>。</w:t>
      </w:r>
    </w:p>
    <w:p>
      <w:pPr>
        <w:spacing w:before="145" w:line="6300" w:lineRule="exact"/>
        <w:ind w:firstLine="14"/>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5273040" cy="400050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161"/>
                    <a:stretch>
                      <a:fillRect/>
                    </a:stretch>
                  </pic:blipFill>
                  <pic:spPr>
                    <a:xfrm>
                      <a:off x="0" y="0"/>
                      <a:ext cx="5273040" cy="4000500"/>
                    </a:xfrm>
                    <a:prstGeom prst="rect">
                      <a:avLst/>
                    </a:prstGeom>
                  </pic:spPr>
                </pic:pic>
              </a:graphicData>
            </a:graphic>
          </wp:inline>
        </w:drawing>
      </w:r>
    </w:p>
    <w:p>
      <w:pPr>
        <w:spacing w:before="243" w:line="547" w:lineRule="exact"/>
        <w:ind w:left="254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position w:val="24"/>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4"/>
          <w:position w:val="24"/>
          <w:sz w:val="23"/>
          <w:szCs w:val="23"/>
          <w:highlight w:val="none"/>
        </w:rPr>
        <w:t xml:space="preserve"> </w:t>
      </w:r>
      <w:r>
        <w:rPr>
          <w:rFonts w:hint="default" w:ascii="Times New Roman" w:hAnsi="Times New Roman" w:eastAsia="Times New Roman" w:cs="Times New Roman"/>
          <w:b/>
          <w:bCs/>
          <w:spacing w:val="4"/>
          <w:position w:val="24"/>
          <w:sz w:val="23"/>
          <w:szCs w:val="23"/>
          <w:highlight w:val="none"/>
        </w:rPr>
        <w:t>5.2-</w:t>
      </w:r>
      <w:r>
        <w:rPr>
          <w:rFonts w:hint="eastAsia" w:ascii="Times New Roman" w:hAnsi="Times New Roman" w:eastAsia="宋体" w:cs="Times New Roman"/>
          <w:b/>
          <w:bCs/>
          <w:spacing w:val="2"/>
          <w:position w:val="24"/>
          <w:sz w:val="23"/>
          <w:szCs w:val="23"/>
          <w:highlight w:val="none"/>
          <w:lang w:val="en-US" w:eastAsia="zh-CN"/>
        </w:rPr>
        <w:t>10</w:t>
      </w:r>
      <w:r>
        <w:rPr>
          <w:rFonts w:hint="default" w:ascii="Times New Roman" w:hAnsi="Times New Roman" w:eastAsia="Times New Roman" w:cs="Times New Roman"/>
          <w:spacing w:val="2"/>
          <w:position w:val="24"/>
          <w:sz w:val="23"/>
          <w:szCs w:val="23"/>
          <w:highlight w:val="none"/>
        </w:rPr>
        <w:t xml:space="preserve">    </w:t>
      </w:r>
      <w:r>
        <w:rPr>
          <w:rFonts w:hint="default" w:ascii="Times New Roman" w:hAnsi="Times New Roman" w:eastAsia="宋体" w:cs="Times New Roman"/>
          <w:spacing w:val="2"/>
          <w:position w:val="24"/>
          <w:sz w:val="23"/>
          <w:szCs w:val="23"/>
          <w:highlight w:val="none"/>
          <w14:textOutline w14:w="4358" w14:cap="sq" w14:cmpd="sng">
            <w14:solidFill>
              <w14:srgbClr w14:val="000000"/>
            </w14:solidFill>
            <w14:prstDash w14:val="solid"/>
            <w14:bevel/>
          </w14:textOutline>
        </w:rPr>
        <w:t>评价区水水文地质图</w:t>
      </w:r>
    </w:p>
    <w:p>
      <w:pPr>
        <w:ind w:left="499"/>
        <w:rPr>
          <w:rFonts w:hint="default" w:ascii="Times New Roman" w:hAnsi="Times New Roman" w:eastAsia="宋体" w:cs="Times New Roman"/>
          <w:sz w:val="23"/>
          <w:szCs w:val="23"/>
          <w:highlight w:val="none"/>
        </w:rPr>
      </w:pPr>
      <w:r>
        <w:rPr>
          <w:rFonts w:hint="default" w:ascii="Times New Roman" w:hAnsi="Times New Roman" w:eastAsia="Times New Roman" w:cs="Times New Roman"/>
          <w:b/>
          <w:bCs/>
          <w:sz w:val="23"/>
          <w:szCs w:val="23"/>
          <w:highlight w:val="none"/>
        </w:rPr>
        <w:t>B</w:t>
      </w:r>
      <w:r>
        <w:rPr>
          <w:rFonts w:hint="default" w:ascii="Times New Roman" w:hAnsi="Times New Roman" w:eastAsia="Times New Roman" w:cs="Times New Roman"/>
          <w:spacing w:val="10"/>
          <w:sz w:val="23"/>
          <w:szCs w:val="23"/>
          <w:highlight w:val="none"/>
        </w:rPr>
        <w:t xml:space="preserve"> </w:t>
      </w:r>
      <w:r>
        <w:rPr>
          <w:rFonts w:hint="default" w:ascii="Times New Roman" w:hAnsi="Times New Roman" w:eastAsia="宋体" w:cs="Times New Roman"/>
          <w:spacing w:val="9"/>
          <w:sz w:val="23"/>
          <w:szCs w:val="23"/>
          <w:highlight w:val="none"/>
          <w14:textOutline w14:w="4358" w14:cap="sq" w14:cmpd="sng">
            <w14:solidFill>
              <w14:srgbClr w14:val="000000"/>
            </w14:solidFill>
            <w14:prstDash w14:val="solid"/>
            <w14:bevel/>
          </w14:textOutline>
        </w:rPr>
        <w:t>、</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地下水补给、径流、排泄</w:t>
      </w:r>
    </w:p>
    <w:p>
      <w:pPr>
        <w:spacing w:before="199" w:line="402" w:lineRule="auto"/>
        <w:ind w:left="24" w:right="16" w:firstLine="49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w:t>
      </w:r>
      <w:r>
        <w:rPr>
          <w:rFonts w:hint="default" w:ascii="Times New Roman" w:hAnsi="Times New Roman" w:eastAsia="Times New Roman" w:cs="Times New Roman"/>
          <w:spacing w:val="13"/>
          <w:sz w:val="23"/>
          <w:szCs w:val="23"/>
          <w:highlight w:val="none"/>
        </w:rPr>
        <w:t>1</w:t>
      </w:r>
      <w:r>
        <w:rPr>
          <w:rFonts w:hint="default" w:ascii="Times New Roman" w:hAnsi="Times New Roman" w:eastAsia="宋体" w:cs="Times New Roman"/>
          <w:spacing w:val="13"/>
          <w:sz w:val="23"/>
          <w:szCs w:val="23"/>
          <w:highlight w:val="none"/>
        </w:rPr>
        <w:t>) 评价区内地下水的主要补给来源有：大气降水入渗补给、侧向径流补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给</w:t>
      </w:r>
      <w:r>
        <w:rPr>
          <w:rFonts w:hint="default" w:ascii="Times New Roman" w:hAnsi="Times New Roman" w:eastAsia="宋体" w:cs="Times New Roman"/>
          <w:sz w:val="23"/>
          <w:szCs w:val="23"/>
          <w:highlight w:val="none"/>
        </w:rPr>
        <w:t>。</w:t>
      </w:r>
    </w:p>
    <w:p>
      <w:pPr>
        <w:spacing w:before="2" w:line="401" w:lineRule="auto"/>
        <w:ind w:left="23" w:right="13" w:firstLine="49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6"/>
          <w:sz w:val="23"/>
          <w:szCs w:val="23"/>
          <w:highlight w:val="none"/>
        </w:rPr>
        <w:t>降</w:t>
      </w:r>
      <w:r>
        <w:rPr>
          <w:rFonts w:hint="default" w:ascii="Times New Roman" w:hAnsi="Times New Roman" w:eastAsia="宋体" w:cs="Times New Roman"/>
          <w:spacing w:val="22"/>
          <w:sz w:val="23"/>
          <w:szCs w:val="23"/>
          <w:highlight w:val="none"/>
        </w:rPr>
        <w:t>水</w:t>
      </w:r>
      <w:r>
        <w:rPr>
          <w:rFonts w:hint="default" w:ascii="Times New Roman" w:hAnsi="Times New Roman" w:eastAsia="宋体" w:cs="Times New Roman"/>
          <w:spacing w:val="13"/>
          <w:sz w:val="23"/>
          <w:szCs w:val="23"/>
          <w:highlight w:val="none"/>
        </w:rPr>
        <w:t>入渗补给是本区地下水最主要的补给来源。降水入渗补给主要受降水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量、降水特征、包气带岩性及厚度的影响</w:t>
      </w:r>
      <w:r>
        <w:rPr>
          <w:rFonts w:hint="default" w:ascii="Times New Roman" w:hAnsi="Times New Roman" w:eastAsia="宋体" w:cs="Times New Roman"/>
          <w:spacing w:val="8"/>
          <w:sz w:val="23"/>
          <w:szCs w:val="23"/>
          <w:highlight w:val="none"/>
        </w:rPr>
        <w:t>。</w:t>
      </w:r>
    </w:p>
    <w:p>
      <w:pPr>
        <w:spacing w:line="228" w:lineRule="auto"/>
        <w:ind w:left="514"/>
        <w:outlineLvl w:val="2"/>
        <w:rPr>
          <w:rFonts w:hint="default" w:ascii="Times New Roman" w:hAnsi="Times New Roman" w:eastAsia="宋体" w:cs="Times New Roman"/>
          <w:sz w:val="23"/>
          <w:szCs w:val="23"/>
          <w:highlight w:val="none"/>
        </w:rPr>
      </w:pPr>
      <w:bookmarkStart w:id="562" w:name="_Toc17658"/>
      <w:bookmarkStart w:id="563" w:name="_Toc24378"/>
      <w:bookmarkStart w:id="564" w:name="_Toc16932"/>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16"/>
          <w:sz w:val="23"/>
          <w:szCs w:val="23"/>
          <w:highlight w:val="none"/>
        </w:rPr>
        <w:t>2</w:t>
      </w:r>
      <w:r>
        <w:rPr>
          <w:rFonts w:hint="default" w:ascii="Times New Roman" w:hAnsi="Times New Roman" w:eastAsia="宋体" w:cs="Times New Roman"/>
          <w:spacing w:val="16"/>
          <w:sz w:val="23"/>
          <w:szCs w:val="23"/>
          <w:highlight w:val="none"/>
        </w:rPr>
        <w:t>) 地下水的径流特征</w:t>
      </w:r>
      <w:bookmarkEnd w:id="562"/>
      <w:bookmarkEnd w:id="563"/>
      <w:bookmarkEnd w:id="564"/>
    </w:p>
    <w:p>
      <w:pPr>
        <w:spacing w:before="215" w:line="398" w:lineRule="auto"/>
        <w:ind w:left="24" w:right="13"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地下水径流总体方向由盆地两侧往盆地中缓慢汇流，评价区整体流向为向</w:t>
      </w:r>
      <w:r>
        <w:rPr>
          <w:rFonts w:hint="default" w:ascii="Times New Roman" w:hAnsi="Times New Roman" w:eastAsia="宋体" w:cs="Times New Roman"/>
          <w:spacing w:val="3"/>
          <w:sz w:val="23"/>
          <w:szCs w:val="23"/>
          <w:highlight w:val="none"/>
        </w:rPr>
        <w:t>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西方</w:t>
      </w:r>
      <w:r>
        <w:rPr>
          <w:rFonts w:hint="default" w:ascii="Times New Roman" w:hAnsi="Times New Roman" w:eastAsia="宋体" w:cs="Times New Roman"/>
          <w:spacing w:val="9"/>
          <w:sz w:val="23"/>
          <w:szCs w:val="23"/>
          <w:highlight w:val="none"/>
        </w:rPr>
        <w:t>向</w:t>
      </w:r>
      <w:r>
        <w:rPr>
          <w:rFonts w:hint="default" w:ascii="Times New Roman" w:hAnsi="Times New Roman" w:eastAsia="宋体" w:cs="Times New Roman"/>
          <w:spacing w:val="6"/>
          <w:sz w:val="23"/>
          <w:szCs w:val="23"/>
          <w:highlight w:val="none"/>
        </w:rPr>
        <w:t xml:space="preserve">，水力坡度约为 </w:t>
      </w:r>
      <w:r>
        <w:rPr>
          <w:rFonts w:hint="default" w:ascii="Times New Roman" w:hAnsi="Times New Roman" w:eastAsia="Times New Roman" w:cs="Times New Roman"/>
          <w:spacing w:val="6"/>
          <w:sz w:val="23"/>
          <w:szCs w:val="23"/>
          <w:highlight w:val="none"/>
        </w:rPr>
        <w:t>1. 1‰</w:t>
      </w:r>
      <w:r>
        <w:rPr>
          <w:rFonts w:hint="default" w:ascii="Times New Roman" w:hAnsi="Times New Roman" w:eastAsia="宋体" w:cs="Times New Roman"/>
          <w:spacing w:val="6"/>
          <w:sz w:val="23"/>
          <w:szCs w:val="23"/>
          <w:highlight w:val="none"/>
        </w:rPr>
        <w:t>；局部受地下水过量开采影响，改变了地下水径流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方向，呈由周边向水位降落漏斗中心径流特征。</w:t>
      </w:r>
    </w:p>
    <w:p>
      <w:pPr>
        <w:spacing w:before="13" w:line="228" w:lineRule="auto"/>
        <w:ind w:left="514"/>
        <w:outlineLvl w:val="2"/>
        <w:rPr>
          <w:rFonts w:hint="default" w:ascii="Times New Roman" w:hAnsi="Times New Roman" w:eastAsia="宋体" w:cs="Times New Roman"/>
          <w:sz w:val="23"/>
          <w:szCs w:val="23"/>
          <w:highlight w:val="none"/>
        </w:rPr>
      </w:pPr>
      <w:bookmarkStart w:id="565" w:name="_Toc5019"/>
      <w:bookmarkStart w:id="566" w:name="_Toc418"/>
      <w:bookmarkStart w:id="567" w:name="_Toc32266"/>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16"/>
          <w:sz w:val="23"/>
          <w:szCs w:val="23"/>
          <w:highlight w:val="none"/>
        </w:rPr>
        <w:t>3</w:t>
      </w:r>
      <w:r>
        <w:rPr>
          <w:rFonts w:hint="default" w:ascii="Times New Roman" w:hAnsi="Times New Roman" w:eastAsia="宋体" w:cs="Times New Roman"/>
          <w:spacing w:val="16"/>
          <w:sz w:val="23"/>
          <w:szCs w:val="23"/>
          <w:highlight w:val="none"/>
        </w:rPr>
        <w:t>) 地下水的排泄特征</w:t>
      </w:r>
      <w:bookmarkEnd w:id="565"/>
      <w:bookmarkEnd w:id="566"/>
      <w:bookmarkEnd w:id="567"/>
    </w:p>
    <w:p>
      <w:pPr>
        <w:spacing w:before="215" w:line="227" w:lineRule="auto"/>
        <w:ind w:left="50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该</w:t>
      </w:r>
      <w:r>
        <w:rPr>
          <w:rFonts w:hint="default" w:ascii="Times New Roman" w:hAnsi="Times New Roman" w:eastAsia="宋体" w:cs="Times New Roman"/>
          <w:spacing w:val="9"/>
          <w:sz w:val="23"/>
          <w:szCs w:val="23"/>
          <w:highlight w:val="none"/>
        </w:rPr>
        <w:t>区内地下水的排泄方式主要是工农业用水开采</w:t>
      </w:r>
    </w:p>
    <w:p>
      <w:pPr>
        <w:spacing w:before="219"/>
        <w:ind w:left="503"/>
        <w:outlineLvl w:val="0"/>
        <w:rPr>
          <w:rFonts w:hint="default" w:ascii="Times New Roman" w:hAnsi="Times New Roman" w:eastAsia="宋体" w:cs="Times New Roman"/>
          <w:sz w:val="23"/>
          <w:szCs w:val="23"/>
          <w:highlight w:val="none"/>
        </w:rPr>
      </w:pPr>
      <w:bookmarkStart w:id="568" w:name="_Toc17302"/>
      <w:bookmarkStart w:id="569" w:name="_Toc12407"/>
      <w:bookmarkStart w:id="570" w:name="_Toc12281"/>
      <w:r>
        <w:rPr>
          <w:rFonts w:hint="default" w:ascii="Times New Roman" w:hAnsi="Times New Roman" w:eastAsia="Times New Roman" w:cs="Times New Roman"/>
          <w:b/>
          <w:bCs/>
          <w:sz w:val="23"/>
          <w:szCs w:val="23"/>
          <w:highlight w:val="none"/>
        </w:rPr>
        <w:t>C</w:t>
      </w:r>
      <w:r>
        <w:rPr>
          <w:rFonts w:hint="default" w:ascii="Times New Roman" w:hAnsi="Times New Roman" w:eastAsia="Times New Roman" w:cs="Times New Roman"/>
          <w:spacing w:val="12"/>
          <w:sz w:val="23"/>
          <w:szCs w:val="23"/>
          <w:highlight w:val="none"/>
        </w:rPr>
        <w:t xml:space="preserve"> </w:t>
      </w:r>
      <w:r>
        <w:rPr>
          <w:rFonts w:hint="default" w:ascii="Times New Roman" w:hAnsi="Times New Roman" w:eastAsia="宋体" w:cs="Times New Roman"/>
          <w:spacing w:val="11"/>
          <w:sz w:val="23"/>
          <w:szCs w:val="23"/>
          <w:highlight w:val="none"/>
          <w14:textOutline w14:w="4358" w14:cap="sq" w14:cmpd="sng">
            <w14:solidFill>
              <w14:srgbClr w14:val="000000"/>
            </w14:solidFill>
            <w14:prstDash w14:val="solid"/>
            <w14:bevel/>
          </w14:textOutline>
        </w:rPr>
        <w:t>、</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评价区地下水环境现状调查与评价</w:t>
      </w:r>
      <w:bookmarkEnd w:id="568"/>
      <w:bookmarkEnd w:id="569"/>
      <w:bookmarkEnd w:id="570"/>
    </w:p>
    <w:p>
      <w:pPr>
        <w:rPr>
          <w:rFonts w:hint="default" w:ascii="Times New Roman" w:hAnsi="Times New Roman" w:cs="Times New Roman"/>
          <w:highlight w:val="none"/>
        </w:rPr>
        <w:sectPr>
          <w:headerReference r:id="rId90" w:type="default"/>
          <w:footerReference r:id="rId91" w:type="default"/>
          <w:pgSz w:w="11906" w:h="16839"/>
          <w:pgMar w:top="1167" w:right="1785" w:bottom="1282" w:left="1785" w:header="897" w:footer="1015" w:gutter="0"/>
          <w:pgBorders>
            <w:top w:val="none" w:sz="0" w:space="0"/>
            <w:left w:val="none" w:sz="0" w:space="0"/>
            <w:bottom w:val="none" w:sz="0" w:space="0"/>
            <w:right w:val="none" w:sz="0" w:space="0"/>
          </w:pgBorders>
          <w:pgNumType w:fmt="decimal"/>
          <w:cols w:space="720" w:num="1"/>
        </w:sectPr>
      </w:pPr>
    </w:p>
    <w:p>
      <w:pPr>
        <w:spacing w:line="391"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249" o:spid="_x0000_s1249" style="position:absolute;left:0pt;margin-left:90pt;margin-top:59.05pt;height:0.75pt;width:415.3pt;mso-position-horizontal-relative:page;mso-position-vertical-relative:page;z-index:251760640;mso-width-relative:page;mso-height-relative:page;" fillcolor="#000000" filled="t" stroked="f" coordsize="8305,15" o:allowincell="f" path="m0,0l8305,0,8305,14,0,14,0,0xe">
            <v:path/>
            <v:fill on="t" focussize="0,0"/>
            <v:stroke on="f"/>
            <v:imagedata o:title=""/>
            <o:lock v:ext="edit"/>
          </v:shape>
        </w:pict>
      </w:r>
    </w:p>
    <w:p>
      <w:pPr>
        <w:spacing w:before="75" w:line="228" w:lineRule="auto"/>
        <w:ind w:left="630"/>
        <w:outlineLvl w:val="0"/>
        <w:rPr>
          <w:rFonts w:hint="default" w:ascii="Times New Roman" w:hAnsi="Times New Roman" w:eastAsia="宋体" w:cs="Times New Roman"/>
          <w:sz w:val="23"/>
          <w:szCs w:val="23"/>
          <w:highlight w:val="none"/>
        </w:rPr>
      </w:pPr>
      <w:bookmarkStart w:id="571" w:name="_Toc3131"/>
      <w:bookmarkStart w:id="572" w:name="_Toc28654"/>
      <w:bookmarkStart w:id="573" w:name="_Toc24272"/>
      <w:r>
        <w:rPr>
          <w:rFonts w:hint="default" w:ascii="Times New Roman" w:hAnsi="Times New Roman" w:eastAsia="Times New Roman" w:cs="Times New Roman"/>
          <w:spacing w:val="8"/>
          <w:sz w:val="23"/>
          <w:szCs w:val="23"/>
          <w:highlight w:val="none"/>
        </w:rPr>
        <w:t>1</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水文地质调查</w:t>
      </w:r>
      <w:bookmarkEnd w:id="571"/>
      <w:bookmarkEnd w:id="572"/>
      <w:bookmarkEnd w:id="573"/>
    </w:p>
    <w:p>
      <w:pPr>
        <w:spacing w:before="219" w:line="401" w:lineRule="auto"/>
        <w:ind w:left="127" w:right="85" w:firstLine="48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为了查明评价区的水文</w:t>
      </w:r>
      <w:r>
        <w:rPr>
          <w:rFonts w:hint="default" w:ascii="Times New Roman" w:hAnsi="Times New Roman" w:eastAsia="宋体" w:cs="Times New Roman"/>
          <w:spacing w:val="1"/>
          <w:sz w:val="23"/>
          <w:szCs w:val="23"/>
          <w:highlight w:val="none"/>
        </w:rPr>
        <w:t>地质以及地下水位情况，</w:t>
      </w:r>
      <w:r>
        <w:rPr>
          <w:rFonts w:hint="eastAsia" w:ascii="Times New Roman" w:hAnsi="Times New Roman" w:eastAsia="宋体" w:cs="Times New Roman"/>
          <w:spacing w:val="1"/>
          <w:sz w:val="23"/>
          <w:szCs w:val="23"/>
          <w:highlight w:val="none"/>
          <w:lang w:val="en-US" w:eastAsia="zh-CN"/>
        </w:rPr>
        <w:t>近期</w:t>
      </w:r>
      <w:r>
        <w:rPr>
          <w:rFonts w:hint="default" w:ascii="Times New Roman" w:hAnsi="Times New Roman" w:eastAsia="宋体" w:cs="Times New Roman"/>
          <w:spacing w:val="5"/>
          <w:sz w:val="23"/>
          <w:szCs w:val="23"/>
          <w:highlight w:val="none"/>
        </w:rPr>
        <w:t>对研究区进行了区域水文地质调查，统测评价区的地下水位，</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调</w:t>
      </w:r>
      <w:r>
        <w:rPr>
          <w:rFonts w:hint="default" w:ascii="Times New Roman" w:hAnsi="Times New Roman" w:eastAsia="宋体" w:cs="Times New Roman"/>
          <w:spacing w:val="7"/>
          <w:sz w:val="23"/>
          <w:szCs w:val="23"/>
          <w:highlight w:val="none"/>
        </w:rPr>
        <w:t>查该区域的地层岩性、含水层厚度以及分布规律；调查该区域内地貌单元的形</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态</w:t>
      </w:r>
      <w:r>
        <w:rPr>
          <w:rFonts w:hint="default" w:ascii="Times New Roman" w:hAnsi="Times New Roman" w:eastAsia="宋体" w:cs="Times New Roman"/>
          <w:spacing w:val="8"/>
          <w:sz w:val="23"/>
          <w:szCs w:val="23"/>
          <w:highlight w:val="none"/>
        </w:rPr>
        <w:t>和分布规律；调查该区域内已有居民井的位置、井深，井的口径和井管结构，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了</w:t>
      </w:r>
      <w:r>
        <w:rPr>
          <w:rFonts w:hint="default" w:ascii="Times New Roman" w:hAnsi="Times New Roman" w:eastAsia="宋体" w:cs="Times New Roman"/>
          <w:spacing w:val="7"/>
          <w:sz w:val="23"/>
          <w:szCs w:val="23"/>
          <w:highlight w:val="none"/>
        </w:rPr>
        <w:t>解其开采形式与开采量。调查观测线路的布置一般沿地质、地貌、水文地质条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件</w:t>
      </w:r>
      <w:r>
        <w:rPr>
          <w:rFonts w:hint="default" w:ascii="Times New Roman" w:hAnsi="Times New Roman" w:eastAsia="宋体" w:cs="Times New Roman"/>
          <w:spacing w:val="7"/>
          <w:sz w:val="23"/>
          <w:szCs w:val="23"/>
          <w:highlight w:val="none"/>
        </w:rPr>
        <w:t>变化最大的方向，以垂直地貌单元为主，观测点均匀布置在地质、地貌、地下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水</w:t>
      </w:r>
      <w:r>
        <w:rPr>
          <w:rFonts w:hint="default" w:ascii="Times New Roman" w:hAnsi="Times New Roman" w:eastAsia="宋体" w:cs="Times New Roman"/>
          <w:spacing w:val="7"/>
          <w:sz w:val="23"/>
          <w:szCs w:val="23"/>
          <w:highlight w:val="none"/>
        </w:rPr>
        <w:t>具有代表性地段。对一些重要的观测点，采用了数码照相和摄像等手段，记录</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地质、地貌、水文地质现象</w:t>
      </w:r>
      <w:r>
        <w:rPr>
          <w:rFonts w:hint="default" w:ascii="Times New Roman" w:hAnsi="Times New Roman" w:eastAsia="宋体" w:cs="Times New Roman"/>
          <w:spacing w:val="6"/>
          <w:sz w:val="23"/>
          <w:szCs w:val="23"/>
          <w:highlight w:val="none"/>
        </w:rPr>
        <w:t>。</w:t>
      </w:r>
    </w:p>
    <w:p>
      <w:pPr>
        <w:spacing w:before="2" w:line="401" w:lineRule="auto"/>
        <w:ind w:left="130" w:right="119" w:firstLine="51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由于研究区深层水的埋深相对较深，并且浅层水和深层水之间存在粘性土</w:t>
      </w:r>
      <w:r>
        <w:rPr>
          <w:rFonts w:hint="default" w:ascii="Times New Roman" w:hAnsi="Times New Roman" w:eastAsia="宋体" w:cs="Times New Roman"/>
          <w:spacing w:val="5"/>
          <w:sz w:val="23"/>
          <w:szCs w:val="23"/>
          <w:highlight w:val="none"/>
        </w:rPr>
        <w:t>相</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对</w:t>
      </w:r>
      <w:r>
        <w:rPr>
          <w:rFonts w:hint="default" w:ascii="Times New Roman" w:hAnsi="Times New Roman" w:eastAsia="宋体" w:cs="Times New Roman"/>
          <w:spacing w:val="7"/>
          <w:sz w:val="23"/>
          <w:szCs w:val="23"/>
          <w:highlight w:val="none"/>
        </w:rPr>
        <w:t>弱透水层，污染物对深层水的影响相对较弱，因此本次调查仅关注浅层水的特</w:t>
      </w:r>
      <w:r>
        <w:rPr>
          <w:rFonts w:hint="default" w:ascii="Times New Roman" w:hAnsi="Times New Roman" w:eastAsia="宋体" w:cs="Times New Roman"/>
          <w:spacing w:val="4"/>
          <w:sz w:val="23"/>
          <w:szCs w:val="23"/>
          <w:highlight w:val="none"/>
        </w:rPr>
        <w:t>征。水位统测采用人工测量方法</w:t>
      </w:r>
      <w:r>
        <w:rPr>
          <w:rFonts w:hint="default" w:ascii="Times New Roman" w:hAnsi="Times New Roman" w:eastAsia="宋体" w:cs="Times New Roman"/>
          <w:spacing w:val="8"/>
          <w:sz w:val="23"/>
          <w:szCs w:val="23"/>
          <w:highlight w:val="none"/>
        </w:rPr>
        <w:t>选择了</w:t>
      </w:r>
      <w:r>
        <w:rPr>
          <w:rFonts w:hint="default" w:ascii="Times New Roman" w:hAnsi="Times New Roman" w:eastAsia="Times New Roman" w:cs="Times New Roman"/>
          <w:spacing w:val="8"/>
          <w:sz w:val="23"/>
          <w:szCs w:val="23"/>
          <w:highlight w:val="none"/>
        </w:rPr>
        <w:t xml:space="preserve">11 </w:t>
      </w:r>
      <w:r>
        <w:rPr>
          <w:rFonts w:hint="default" w:ascii="Times New Roman" w:hAnsi="Times New Roman" w:eastAsia="宋体" w:cs="Times New Roman"/>
          <w:spacing w:val="8"/>
          <w:sz w:val="23"/>
          <w:szCs w:val="23"/>
          <w:highlight w:val="none"/>
        </w:rPr>
        <w:t>口浅井，对浅层地下水水位进行了水位测量并</w:t>
      </w:r>
      <w:r>
        <w:rPr>
          <w:rFonts w:hint="default" w:ascii="Times New Roman" w:hAnsi="Times New Roman" w:eastAsia="宋体" w:cs="Times New Roman"/>
          <w:spacing w:val="-6"/>
          <w:sz w:val="23"/>
          <w:szCs w:val="23"/>
          <w:highlight w:val="none"/>
        </w:rPr>
        <w:t>绘制了浅</w:t>
      </w:r>
      <w:r>
        <w:rPr>
          <w:rFonts w:hint="default" w:ascii="Times New Roman" w:hAnsi="Times New Roman" w:eastAsia="宋体" w:cs="Times New Roman"/>
          <w:spacing w:val="-3"/>
          <w:sz w:val="23"/>
          <w:szCs w:val="23"/>
          <w:highlight w:val="none"/>
        </w:rPr>
        <w:t xml:space="preserve">层地下水水位流场，详见表 </w:t>
      </w:r>
      <w:r>
        <w:rPr>
          <w:rFonts w:hint="default" w:ascii="Times New Roman" w:hAnsi="Times New Roman" w:eastAsia="Times New Roman" w:cs="Times New Roman"/>
          <w:spacing w:val="-3"/>
          <w:sz w:val="23"/>
          <w:szCs w:val="23"/>
          <w:highlight w:val="none"/>
        </w:rPr>
        <w:t xml:space="preserve">5.2- </w:t>
      </w:r>
      <w:r>
        <w:rPr>
          <w:rFonts w:hint="eastAsia" w:ascii="Times New Roman" w:hAnsi="Times New Roman" w:eastAsia="宋体" w:cs="Times New Roman"/>
          <w:spacing w:val="-3"/>
          <w:sz w:val="23"/>
          <w:szCs w:val="23"/>
          <w:highlight w:val="none"/>
          <w:lang w:val="en-US" w:eastAsia="zh-CN"/>
        </w:rPr>
        <w:t>9</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 xml:space="preserve">、图 </w:t>
      </w:r>
      <w:r>
        <w:rPr>
          <w:rFonts w:hint="default" w:ascii="Times New Roman" w:hAnsi="Times New Roman" w:eastAsia="Times New Roman" w:cs="Times New Roman"/>
          <w:spacing w:val="-3"/>
          <w:sz w:val="23"/>
          <w:szCs w:val="23"/>
          <w:highlight w:val="none"/>
        </w:rPr>
        <w:t>5.2- 1</w:t>
      </w:r>
      <w:r>
        <w:rPr>
          <w:rFonts w:hint="eastAsia" w:ascii="Times New Roman" w:hAnsi="Times New Roman" w:eastAsia="宋体" w:cs="Times New Roman"/>
          <w:spacing w:val="-3"/>
          <w:sz w:val="23"/>
          <w:szCs w:val="23"/>
          <w:highlight w:val="none"/>
          <w:lang w:val="en-US" w:eastAsia="zh-CN"/>
        </w:rPr>
        <w:t>1</w:t>
      </w:r>
      <w:r>
        <w:rPr>
          <w:rFonts w:hint="default" w:ascii="Times New Roman" w:hAnsi="Times New Roman" w:eastAsia="Times New Roman" w:cs="Times New Roman"/>
          <w:sz w:val="23"/>
          <w:szCs w:val="23"/>
          <w:highlight w:val="none"/>
        </w:rPr>
        <w:t xml:space="preserve"> </w:t>
      </w:r>
      <w:r>
        <w:rPr>
          <w:rFonts w:hint="default" w:ascii="Times New Roman" w:hAnsi="Times New Roman" w:eastAsia="宋体" w:cs="Times New Roman"/>
          <w:spacing w:val="-6"/>
          <w:sz w:val="23"/>
          <w:szCs w:val="23"/>
          <w:highlight w:val="none"/>
        </w:rPr>
        <w:t>。</w:t>
      </w:r>
    </w:p>
    <w:p>
      <w:pPr>
        <w:spacing w:line="226" w:lineRule="auto"/>
        <w:ind w:left="140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2"/>
          <w:sz w:val="23"/>
          <w:szCs w:val="23"/>
          <w:highlight w:val="none"/>
        </w:rPr>
        <w:t xml:space="preserve"> </w:t>
      </w:r>
      <w:r>
        <w:rPr>
          <w:rFonts w:hint="default" w:ascii="Times New Roman" w:hAnsi="Times New Roman" w:eastAsia="Times New Roman" w:cs="Times New Roman"/>
          <w:b/>
          <w:bCs/>
          <w:spacing w:val="2"/>
          <w:sz w:val="23"/>
          <w:szCs w:val="23"/>
          <w:highlight w:val="none"/>
        </w:rPr>
        <w:t>5.2-</w:t>
      </w:r>
      <w:r>
        <w:rPr>
          <w:rFonts w:hint="eastAsia" w:ascii="Times New Roman" w:hAnsi="Times New Roman" w:eastAsia="宋体" w:cs="Times New Roman"/>
          <w:b/>
          <w:bCs/>
          <w:spacing w:val="2"/>
          <w:sz w:val="23"/>
          <w:szCs w:val="23"/>
          <w:highlight w:val="none"/>
          <w:lang w:val="en-US" w:eastAsia="zh-CN"/>
        </w:rPr>
        <w:t>9</w:t>
      </w:r>
      <w:r>
        <w:rPr>
          <w:rFonts w:hint="default" w:ascii="Times New Roman" w:hAnsi="Times New Roman" w:eastAsia="Times New Roman" w:cs="Times New Roman"/>
          <w:spacing w:val="2"/>
          <w:sz w:val="23"/>
          <w:szCs w:val="23"/>
          <w:highlight w:val="none"/>
        </w:rPr>
        <w:t xml:space="preserve">      </w:t>
      </w:r>
      <w:r>
        <w:rPr>
          <w:rFonts w:hint="eastAsia" w:ascii="Times New Roman" w:hAnsi="Times New Roman" w:eastAsia="宋体" w:cs="Times New Roman"/>
          <w:spacing w:val="2"/>
          <w:sz w:val="23"/>
          <w:szCs w:val="23"/>
          <w:highlight w:val="none"/>
          <w:lang w:val="en-US" w:eastAsia="zh-CN"/>
        </w:rPr>
        <w:t xml:space="preserve">            </w:t>
      </w:r>
      <w:r>
        <w:rPr>
          <w:rFonts w:hint="default" w:ascii="Times New Roman" w:hAnsi="Times New Roman" w:eastAsia="宋体" w:cs="Times New Roman"/>
          <w:spacing w:val="1"/>
          <w:sz w:val="23"/>
          <w:szCs w:val="23"/>
          <w:highlight w:val="none"/>
          <w14:textOutline w14:w="4358" w14:cap="sq" w14:cmpd="sng">
            <w14:solidFill>
              <w14:srgbClr w14:val="000000"/>
            </w14:solidFill>
            <w14:prstDash w14:val="solid"/>
            <w14:bevel/>
          </w14:textOutline>
        </w:rPr>
        <w:t>浅层水井调查成果一览表</w:t>
      </w:r>
    </w:p>
    <w:p>
      <w:pPr>
        <w:spacing w:line="21" w:lineRule="exact"/>
        <w:rPr>
          <w:rFonts w:hint="default" w:ascii="Times New Roman" w:hAnsi="Times New Roman" w:cs="Times New Roman"/>
          <w:highlight w:val="none"/>
        </w:rPr>
      </w:pPr>
    </w:p>
    <w:tbl>
      <w:tblPr>
        <w:tblStyle w:val="19"/>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7"/>
        <w:gridCol w:w="1470"/>
        <w:gridCol w:w="1360"/>
        <w:gridCol w:w="882"/>
        <w:gridCol w:w="1298"/>
        <w:gridCol w:w="1302"/>
        <w:gridCol w:w="13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897" w:type="dxa"/>
            <w:tcBorders>
              <w:left w:val="single" w:color="000000" w:sz="10" w:space="0"/>
            </w:tcBorders>
            <w:vAlign w:val="top"/>
          </w:tcPr>
          <w:p>
            <w:pPr>
              <w:spacing w:before="262" w:line="228" w:lineRule="auto"/>
              <w:ind w:left="23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编</w:t>
            </w:r>
            <w:r>
              <w:rPr>
                <w:rFonts w:hint="default" w:ascii="Times New Roman" w:hAnsi="Times New Roman" w:eastAsia="宋体" w:cs="Times New Roman"/>
                <w:spacing w:val="3"/>
                <w:sz w:val="20"/>
                <w:szCs w:val="20"/>
                <w:highlight w:val="none"/>
              </w:rPr>
              <w:t>号</w:t>
            </w:r>
          </w:p>
        </w:tc>
        <w:tc>
          <w:tcPr>
            <w:tcW w:w="1470" w:type="dxa"/>
            <w:vAlign w:val="top"/>
          </w:tcPr>
          <w:p>
            <w:pPr>
              <w:spacing w:line="241" w:lineRule="auto"/>
              <w:rPr>
                <w:rFonts w:hint="default" w:ascii="Times New Roman" w:hAnsi="Times New Roman" w:cs="Times New Roman"/>
                <w:sz w:val="21"/>
                <w:highlight w:val="none"/>
              </w:rPr>
            </w:pPr>
          </w:p>
          <w:p>
            <w:pPr>
              <w:spacing w:before="58" w:line="192" w:lineRule="auto"/>
              <w:ind w:left="64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X</w:t>
            </w:r>
          </w:p>
        </w:tc>
        <w:tc>
          <w:tcPr>
            <w:tcW w:w="1360" w:type="dxa"/>
            <w:vAlign w:val="top"/>
          </w:tcPr>
          <w:p>
            <w:pPr>
              <w:spacing w:line="241" w:lineRule="auto"/>
              <w:rPr>
                <w:rFonts w:hint="default" w:ascii="Times New Roman" w:hAnsi="Times New Roman" w:cs="Times New Roman"/>
                <w:sz w:val="21"/>
                <w:highlight w:val="none"/>
              </w:rPr>
            </w:pPr>
          </w:p>
          <w:p>
            <w:pPr>
              <w:spacing w:before="58" w:line="192" w:lineRule="auto"/>
              <w:ind w:left="59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Y</w:t>
            </w:r>
          </w:p>
        </w:tc>
        <w:tc>
          <w:tcPr>
            <w:tcW w:w="882" w:type="dxa"/>
            <w:vAlign w:val="top"/>
          </w:tcPr>
          <w:p>
            <w:pPr>
              <w:spacing w:before="101" w:line="288" w:lineRule="exact"/>
              <w:ind w:left="23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position w:val="5"/>
                <w:sz w:val="20"/>
                <w:szCs w:val="20"/>
                <w:highlight w:val="none"/>
              </w:rPr>
              <w:t>井</w:t>
            </w:r>
            <w:r>
              <w:rPr>
                <w:rFonts w:hint="default" w:ascii="Times New Roman" w:hAnsi="Times New Roman" w:eastAsia="宋体" w:cs="Times New Roman"/>
                <w:spacing w:val="4"/>
                <w:position w:val="5"/>
                <w:sz w:val="20"/>
                <w:szCs w:val="20"/>
                <w:highlight w:val="none"/>
              </w:rPr>
              <w:t>深</w:t>
            </w:r>
          </w:p>
          <w:p>
            <w:pPr>
              <w:spacing w:line="274" w:lineRule="exact"/>
              <w:ind w:left="2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3"/>
                <w:sz w:val="20"/>
                <w:szCs w:val="20"/>
                <w:highlight w:val="none"/>
              </w:rPr>
              <w:t>(</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2"/>
                <w:position w:val="3"/>
                <w:sz w:val="20"/>
                <w:szCs w:val="20"/>
                <w:highlight w:val="none"/>
              </w:rPr>
              <w:t>)</w:t>
            </w:r>
          </w:p>
        </w:tc>
        <w:tc>
          <w:tcPr>
            <w:tcW w:w="1298" w:type="dxa"/>
            <w:vAlign w:val="top"/>
          </w:tcPr>
          <w:p>
            <w:pPr>
              <w:spacing w:before="101" w:line="228" w:lineRule="auto"/>
              <w:ind w:left="23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水</w:t>
            </w:r>
            <w:r>
              <w:rPr>
                <w:rFonts w:hint="default" w:ascii="Times New Roman" w:hAnsi="Times New Roman" w:eastAsia="宋体" w:cs="Times New Roman"/>
                <w:spacing w:val="6"/>
                <w:sz w:val="20"/>
                <w:szCs w:val="20"/>
                <w:highlight w:val="none"/>
              </w:rPr>
              <w:t>位标高</w:t>
            </w:r>
          </w:p>
          <w:p>
            <w:pPr>
              <w:spacing w:before="41" w:line="274" w:lineRule="exact"/>
              <w:ind w:left="50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3"/>
                <w:sz w:val="20"/>
                <w:szCs w:val="20"/>
                <w:highlight w:val="none"/>
              </w:rPr>
              <w:t>(</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2"/>
                <w:position w:val="3"/>
                <w:sz w:val="20"/>
                <w:szCs w:val="20"/>
                <w:highlight w:val="none"/>
              </w:rPr>
              <w:t>)</w:t>
            </w:r>
          </w:p>
        </w:tc>
        <w:tc>
          <w:tcPr>
            <w:tcW w:w="1302" w:type="dxa"/>
            <w:vAlign w:val="top"/>
          </w:tcPr>
          <w:p>
            <w:pPr>
              <w:spacing w:before="101" w:line="228" w:lineRule="auto"/>
              <w:ind w:left="24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水</w:t>
            </w:r>
            <w:r>
              <w:rPr>
                <w:rFonts w:hint="default" w:ascii="Times New Roman" w:hAnsi="Times New Roman" w:eastAsia="宋体" w:cs="Times New Roman"/>
                <w:spacing w:val="6"/>
                <w:sz w:val="20"/>
                <w:szCs w:val="20"/>
                <w:highlight w:val="none"/>
              </w:rPr>
              <w:t>位埋深</w:t>
            </w:r>
          </w:p>
          <w:p>
            <w:pPr>
              <w:spacing w:before="41" w:line="274" w:lineRule="exact"/>
              <w:ind w:left="51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position w:val="3"/>
                <w:sz w:val="20"/>
                <w:szCs w:val="20"/>
                <w:highlight w:val="none"/>
              </w:rPr>
              <w:t>(</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1"/>
                <w:position w:val="3"/>
                <w:sz w:val="20"/>
                <w:szCs w:val="20"/>
                <w:highlight w:val="none"/>
              </w:rPr>
              <w:t>)</w:t>
            </w:r>
          </w:p>
        </w:tc>
        <w:tc>
          <w:tcPr>
            <w:tcW w:w="1316" w:type="dxa"/>
            <w:tcBorders>
              <w:right w:val="single" w:color="000000" w:sz="10" w:space="0"/>
            </w:tcBorders>
            <w:vAlign w:val="top"/>
          </w:tcPr>
          <w:p>
            <w:pPr>
              <w:spacing w:before="101" w:line="228" w:lineRule="auto"/>
              <w:ind w:left="24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地</w:t>
            </w:r>
            <w:r>
              <w:rPr>
                <w:rFonts w:hint="default" w:ascii="Times New Roman" w:hAnsi="Times New Roman" w:eastAsia="宋体" w:cs="Times New Roman"/>
                <w:spacing w:val="7"/>
                <w:sz w:val="20"/>
                <w:szCs w:val="20"/>
                <w:highlight w:val="none"/>
              </w:rPr>
              <w:t>面高程</w:t>
            </w:r>
          </w:p>
          <w:p>
            <w:pPr>
              <w:spacing w:before="41" w:line="274" w:lineRule="exact"/>
              <w:ind w:left="51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3"/>
                <w:sz w:val="20"/>
                <w:szCs w:val="20"/>
                <w:highlight w:val="none"/>
              </w:rPr>
              <w:t>(</w:t>
            </w:r>
            <w:r>
              <w:rPr>
                <w:rFonts w:hint="default" w:ascii="Times New Roman" w:hAnsi="Times New Roman" w:eastAsia="Times New Roman" w:cs="Times New Roman"/>
                <w:position w:val="3"/>
                <w:sz w:val="20"/>
                <w:szCs w:val="20"/>
                <w:highlight w:val="none"/>
              </w:rPr>
              <w:t>m</w:t>
            </w:r>
            <w:r>
              <w:rPr>
                <w:rFonts w:hint="default" w:ascii="Times New Roman" w:hAnsi="Times New Roman" w:eastAsia="Times New Roman" w:cs="Times New Roman"/>
                <w:spacing w:val="2"/>
                <w:position w:val="3"/>
                <w:sz w:val="20"/>
                <w:szCs w:val="20"/>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97" w:type="dxa"/>
            <w:tcBorders>
              <w:left w:val="single" w:color="000000" w:sz="10" w:space="0"/>
            </w:tcBorders>
            <w:vAlign w:val="top"/>
          </w:tcPr>
          <w:p>
            <w:pPr>
              <w:spacing w:before="113" w:line="195" w:lineRule="auto"/>
              <w:ind w:left="31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G</w:t>
            </w:r>
            <w:r>
              <w:rPr>
                <w:rFonts w:hint="default" w:ascii="Times New Roman" w:hAnsi="Times New Roman" w:eastAsia="Times New Roman" w:cs="Times New Roman"/>
                <w:spacing w:val="3"/>
                <w:sz w:val="20"/>
                <w:szCs w:val="20"/>
                <w:highlight w:val="none"/>
              </w:rPr>
              <w:t>1</w:t>
            </w:r>
          </w:p>
        </w:tc>
        <w:tc>
          <w:tcPr>
            <w:tcW w:w="1470" w:type="dxa"/>
            <w:vAlign w:val="top"/>
          </w:tcPr>
          <w:p>
            <w:pPr>
              <w:spacing w:before="113"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0581084.57</w:t>
            </w:r>
          </w:p>
        </w:tc>
        <w:tc>
          <w:tcPr>
            <w:tcW w:w="1360" w:type="dxa"/>
            <w:vAlign w:val="top"/>
          </w:tcPr>
          <w:p>
            <w:pPr>
              <w:spacing w:before="113"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4455744</w:t>
            </w:r>
            <w:r>
              <w:rPr>
                <w:rFonts w:hint="default" w:ascii="Times New Roman" w:hAnsi="Times New Roman" w:eastAsia="Times New Roman" w:cs="Times New Roman"/>
                <w:sz w:val="20"/>
                <w:szCs w:val="20"/>
                <w:highlight w:val="none"/>
              </w:rPr>
              <w:t>. 19</w:t>
            </w:r>
          </w:p>
        </w:tc>
        <w:tc>
          <w:tcPr>
            <w:tcW w:w="882" w:type="dxa"/>
            <w:vAlign w:val="top"/>
          </w:tcPr>
          <w:p>
            <w:pPr>
              <w:spacing w:before="113" w:line="195" w:lineRule="auto"/>
              <w:ind w:left="34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1298" w:type="dxa"/>
            <w:vAlign w:val="top"/>
          </w:tcPr>
          <w:p>
            <w:pPr>
              <w:spacing w:before="113" w:line="195" w:lineRule="auto"/>
              <w:ind w:left="47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73.9</w:t>
            </w:r>
          </w:p>
        </w:tc>
        <w:tc>
          <w:tcPr>
            <w:tcW w:w="1302" w:type="dxa"/>
            <w:vAlign w:val="top"/>
          </w:tcPr>
          <w:p>
            <w:pPr>
              <w:spacing w:before="113" w:line="195" w:lineRule="auto"/>
              <w:ind w:left="4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16</w:t>
            </w:r>
            <w:r>
              <w:rPr>
                <w:rFonts w:hint="default" w:ascii="Times New Roman" w:hAnsi="Times New Roman" w:eastAsia="Times New Roman" w:cs="Times New Roman"/>
                <w:spacing w:val="-1"/>
                <w:sz w:val="20"/>
                <w:szCs w:val="20"/>
                <w:highlight w:val="none"/>
              </w:rPr>
              <w:t>.2</w:t>
            </w:r>
          </w:p>
        </w:tc>
        <w:tc>
          <w:tcPr>
            <w:tcW w:w="1316" w:type="dxa"/>
            <w:tcBorders>
              <w:right w:val="single" w:color="000000" w:sz="10" w:space="0"/>
            </w:tcBorders>
            <w:vAlign w:val="top"/>
          </w:tcPr>
          <w:p>
            <w:pPr>
              <w:spacing w:before="113" w:line="195" w:lineRule="auto"/>
              <w:ind w:left="48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90. 1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97" w:type="dxa"/>
            <w:tcBorders>
              <w:left w:val="single" w:color="000000" w:sz="10" w:space="0"/>
            </w:tcBorders>
            <w:vAlign w:val="top"/>
          </w:tcPr>
          <w:p>
            <w:pPr>
              <w:spacing w:before="113" w:line="195"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G</w:t>
            </w:r>
            <w:r>
              <w:rPr>
                <w:rFonts w:hint="default" w:ascii="Times New Roman" w:hAnsi="Times New Roman" w:eastAsia="Times New Roman" w:cs="Times New Roman"/>
                <w:spacing w:val="3"/>
                <w:sz w:val="20"/>
                <w:szCs w:val="20"/>
                <w:highlight w:val="none"/>
              </w:rPr>
              <w:t xml:space="preserve"> 2</w:t>
            </w:r>
          </w:p>
        </w:tc>
        <w:tc>
          <w:tcPr>
            <w:tcW w:w="1470" w:type="dxa"/>
            <w:vAlign w:val="top"/>
          </w:tcPr>
          <w:p>
            <w:pPr>
              <w:spacing w:before="113"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0581737.31</w:t>
            </w:r>
          </w:p>
        </w:tc>
        <w:tc>
          <w:tcPr>
            <w:tcW w:w="1360" w:type="dxa"/>
            <w:vAlign w:val="top"/>
          </w:tcPr>
          <w:p>
            <w:pPr>
              <w:spacing w:before="113" w:line="195" w:lineRule="auto"/>
              <w:ind w:left="1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44</w:t>
            </w:r>
            <w:r>
              <w:rPr>
                <w:rFonts w:hint="default" w:ascii="Times New Roman" w:hAnsi="Times New Roman" w:eastAsia="Times New Roman" w:cs="Times New Roman"/>
                <w:spacing w:val="3"/>
                <w:sz w:val="20"/>
                <w:szCs w:val="20"/>
                <w:highlight w:val="none"/>
              </w:rPr>
              <w:t>56611.79</w:t>
            </w:r>
          </w:p>
        </w:tc>
        <w:tc>
          <w:tcPr>
            <w:tcW w:w="882" w:type="dxa"/>
            <w:vAlign w:val="top"/>
          </w:tcPr>
          <w:p>
            <w:pPr>
              <w:spacing w:before="113" w:line="195" w:lineRule="auto"/>
              <w:ind w:left="34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1298" w:type="dxa"/>
            <w:vAlign w:val="top"/>
          </w:tcPr>
          <w:p>
            <w:pPr>
              <w:spacing w:before="113" w:line="195" w:lineRule="auto"/>
              <w:ind w:left="47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68.</w:t>
            </w:r>
            <w:r>
              <w:rPr>
                <w:rFonts w:hint="default" w:ascii="Times New Roman" w:hAnsi="Times New Roman" w:eastAsia="Times New Roman" w:cs="Times New Roman"/>
                <w:spacing w:val="1"/>
                <w:sz w:val="20"/>
                <w:szCs w:val="20"/>
                <w:highlight w:val="none"/>
              </w:rPr>
              <w:t>7</w:t>
            </w:r>
          </w:p>
        </w:tc>
        <w:tc>
          <w:tcPr>
            <w:tcW w:w="1302" w:type="dxa"/>
            <w:vAlign w:val="top"/>
          </w:tcPr>
          <w:p>
            <w:pPr>
              <w:spacing w:before="113" w:line="195" w:lineRule="auto"/>
              <w:ind w:left="4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16</w:t>
            </w:r>
            <w:r>
              <w:rPr>
                <w:rFonts w:hint="default" w:ascii="Times New Roman" w:hAnsi="Times New Roman" w:eastAsia="Times New Roman" w:cs="Times New Roman"/>
                <w:spacing w:val="-1"/>
                <w:sz w:val="20"/>
                <w:szCs w:val="20"/>
                <w:highlight w:val="none"/>
              </w:rPr>
              <w:t>.2</w:t>
            </w:r>
          </w:p>
        </w:tc>
        <w:tc>
          <w:tcPr>
            <w:tcW w:w="1316" w:type="dxa"/>
            <w:tcBorders>
              <w:right w:val="single" w:color="000000" w:sz="10" w:space="0"/>
            </w:tcBorders>
            <w:vAlign w:val="top"/>
          </w:tcPr>
          <w:p>
            <w:pPr>
              <w:spacing w:before="113" w:line="195" w:lineRule="auto"/>
              <w:ind w:left="4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8</w:t>
            </w:r>
            <w:r>
              <w:rPr>
                <w:rFonts w:hint="default" w:ascii="Times New Roman" w:hAnsi="Times New Roman" w:eastAsia="Times New Roman" w:cs="Times New Roman"/>
                <w:spacing w:val="2"/>
                <w:sz w:val="20"/>
                <w:szCs w:val="20"/>
                <w:highlight w:val="none"/>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897" w:type="dxa"/>
            <w:tcBorders>
              <w:left w:val="single" w:color="000000" w:sz="10" w:space="0"/>
            </w:tcBorders>
            <w:vAlign w:val="top"/>
          </w:tcPr>
          <w:p>
            <w:pPr>
              <w:spacing w:before="115" w:line="189"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G</w:t>
            </w:r>
            <w:r>
              <w:rPr>
                <w:rFonts w:hint="default" w:ascii="Times New Roman" w:hAnsi="Times New Roman" w:eastAsia="Times New Roman" w:cs="Times New Roman"/>
                <w:spacing w:val="5"/>
                <w:sz w:val="20"/>
                <w:szCs w:val="20"/>
                <w:highlight w:val="none"/>
              </w:rPr>
              <w:t xml:space="preserve"> 3</w:t>
            </w:r>
          </w:p>
        </w:tc>
        <w:tc>
          <w:tcPr>
            <w:tcW w:w="1470" w:type="dxa"/>
            <w:vAlign w:val="top"/>
          </w:tcPr>
          <w:p>
            <w:pPr>
              <w:spacing w:before="115" w:line="189"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0582690 14</w:t>
            </w:r>
          </w:p>
        </w:tc>
        <w:tc>
          <w:tcPr>
            <w:tcW w:w="1360" w:type="dxa"/>
            <w:vAlign w:val="top"/>
          </w:tcPr>
          <w:p>
            <w:pPr>
              <w:spacing w:before="115" w:line="189"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456049 51</w:t>
            </w:r>
          </w:p>
        </w:tc>
        <w:tc>
          <w:tcPr>
            <w:tcW w:w="882" w:type="dxa"/>
            <w:vAlign w:val="top"/>
          </w:tcPr>
          <w:p>
            <w:pPr>
              <w:spacing w:before="115" w:line="189" w:lineRule="auto"/>
              <w:ind w:left="34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1298" w:type="dxa"/>
            <w:vAlign w:val="top"/>
          </w:tcPr>
          <w:p>
            <w:pPr>
              <w:spacing w:before="115" w:line="189" w:lineRule="auto"/>
              <w:ind w:left="47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5</w:t>
            </w:r>
            <w:r>
              <w:rPr>
                <w:rFonts w:hint="default" w:ascii="Times New Roman" w:hAnsi="Times New Roman" w:eastAsia="Times New Roman" w:cs="Times New Roman"/>
                <w:spacing w:val="2"/>
                <w:sz w:val="20"/>
                <w:szCs w:val="20"/>
                <w:highlight w:val="none"/>
              </w:rPr>
              <w:t>7 9</w:t>
            </w:r>
          </w:p>
        </w:tc>
        <w:tc>
          <w:tcPr>
            <w:tcW w:w="1302" w:type="dxa"/>
            <w:vAlign w:val="top"/>
          </w:tcPr>
          <w:p>
            <w:pPr>
              <w:spacing w:before="115" w:line="189" w:lineRule="auto"/>
              <w:ind w:left="4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w:t>
            </w:r>
            <w:r>
              <w:rPr>
                <w:rFonts w:hint="default" w:ascii="Times New Roman" w:hAnsi="Times New Roman" w:eastAsia="Times New Roman" w:cs="Times New Roman"/>
                <w:sz w:val="20"/>
                <w:szCs w:val="20"/>
                <w:highlight w:val="none"/>
              </w:rPr>
              <w:t>5 5</w:t>
            </w:r>
          </w:p>
        </w:tc>
        <w:tc>
          <w:tcPr>
            <w:tcW w:w="1316" w:type="dxa"/>
            <w:tcBorders>
              <w:right w:val="single" w:color="000000" w:sz="10" w:space="0"/>
            </w:tcBorders>
            <w:vAlign w:val="top"/>
          </w:tcPr>
          <w:p>
            <w:pPr>
              <w:spacing w:before="115" w:line="189" w:lineRule="auto"/>
              <w:ind w:left="4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7</w:t>
            </w:r>
            <w:r>
              <w:rPr>
                <w:rFonts w:hint="default" w:ascii="Times New Roman" w:hAnsi="Times New Roman" w:eastAsia="Times New Roman" w:cs="Times New Roman"/>
                <w:spacing w:val="2"/>
                <w:sz w:val="20"/>
                <w:szCs w:val="20"/>
                <w:highlight w:val="none"/>
              </w:rPr>
              <w:t>3 4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897" w:type="dxa"/>
            <w:tcBorders>
              <w:left w:val="single" w:color="000000" w:sz="10" w:space="0"/>
            </w:tcBorders>
            <w:vAlign w:val="top"/>
          </w:tcPr>
          <w:p>
            <w:pPr>
              <w:spacing w:before="142" w:line="195"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G</w:t>
            </w:r>
            <w:r>
              <w:rPr>
                <w:rFonts w:hint="default" w:ascii="Times New Roman" w:hAnsi="Times New Roman" w:eastAsia="Times New Roman" w:cs="Times New Roman"/>
                <w:spacing w:val="3"/>
                <w:sz w:val="20"/>
                <w:szCs w:val="20"/>
                <w:highlight w:val="none"/>
              </w:rPr>
              <w:t xml:space="preserve"> 4</w:t>
            </w:r>
          </w:p>
        </w:tc>
        <w:tc>
          <w:tcPr>
            <w:tcW w:w="1470" w:type="dxa"/>
            <w:vAlign w:val="top"/>
          </w:tcPr>
          <w:p>
            <w:pPr>
              <w:spacing w:before="142"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0583184.39</w:t>
            </w:r>
          </w:p>
        </w:tc>
        <w:tc>
          <w:tcPr>
            <w:tcW w:w="1360" w:type="dxa"/>
            <w:vAlign w:val="top"/>
          </w:tcPr>
          <w:p>
            <w:pPr>
              <w:spacing w:before="142"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456017.38</w:t>
            </w:r>
          </w:p>
        </w:tc>
        <w:tc>
          <w:tcPr>
            <w:tcW w:w="882" w:type="dxa"/>
            <w:vAlign w:val="top"/>
          </w:tcPr>
          <w:p>
            <w:pPr>
              <w:spacing w:before="142" w:line="195" w:lineRule="auto"/>
              <w:ind w:left="34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70</w:t>
            </w:r>
          </w:p>
        </w:tc>
        <w:tc>
          <w:tcPr>
            <w:tcW w:w="1298" w:type="dxa"/>
            <w:vAlign w:val="top"/>
          </w:tcPr>
          <w:p>
            <w:pPr>
              <w:spacing w:before="142" w:line="195" w:lineRule="auto"/>
              <w:ind w:left="47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6</w:t>
            </w:r>
            <w:r>
              <w:rPr>
                <w:rFonts w:hint="default" w:ascii="Times New Roman" w:hAnsi="Times New Roman" w:eastAsia="Times New Roman" w:cs="Times New Roman"/>
                <w:spacing w:val="-4"/>
                <w:sz w:val="20"/>
                <w:szCs w:val="20"/>
                <w:highlight w:val="none"/>
              </w:rPr>
              <w:t>0. 1</w:t>
            </w:r>
          </w:p>
        </w:tc>
        <w:tc>
          <w:tcPr>
            <w:tcW w:w="1302" w:type="dxa"/>
            <w:vAlign w:val="top"/>
          </w:tcPr>
          <w:p>
            <w:pPr>
              <w:spacing w:before="142" w:line="195" w:lineRule="auto"/>
              <w:ind w:left="47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2</w:t>
            </w:r>
            <w:r>
              <w:rPr>
                <w:rFonts w:hint="default" w:ascii="Times New Roman" w:hAnsi="Times New Roman" w:eastAsia="Times New Roman" w:cs="Times New Roman"/>
                <w:spacing w:val="4"/>
                <w:sz w:val="20"/>
                <w:szCs w:val="20"/>
                <w:highlight w:val="none"/>
              </w:rPr>
              <w:t>0.3</w:t>
            </w:r>
          </w:p>
        </w:tc>
        <w:tc>
          <w:tcPr>
            <w:tcW w:w="1316" w:type="dxa"/>
            <w:tcBorders>
              <w:right w:val="single" w:color="000000" w:sz="10" w:space="0"/>
            </w:tcBorders>
            <w:vAlign w:val="top"/>
          </w:tcPr>
          <w:p>
            <w:pPr>
              <w:spacing w:before="142" w:line="195" w:lineRule="auto"/>
              <w:ind w:left="4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8</w:t>
            </w:r>
            <w:r>
              <w:rPr>
                <w:rFonts w:hint="default" w:ascii="Times New Roman" w:hAnsi="Times New Roman" w:eastAsia="Times New Roman" w:cs="Times New Roman"/>
                <w:spacing w:val="1"/>
                <w:sz w:val="20"/>
                <w:szCs w:val="20"/>
                <w:highlight w:val="none"/>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97" w:type="dxa"/>
            <w:tcBorders>
              <w:left w:val="single" w:color="000000" w:sz="10" w:space="0"/>
            </w:tcBorders>
            <w:vAlign w:val="top"/>
          </w:tcPr>
          <w:p>
            <w:pPr>
              <w:spacing w:before="116" w:line="195"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G</w:t>
            </w:r>
            <w:r>
              <w:rPr>
                <w:rFonts w:hint="default" w:ascii="Times New Roman" w:hAnsi="Times New Roman" w:eastAsia="Times New Roman" w:cs="Times New Roman"/>
                <w:spacing w:val="6"/>
                <w:sz w:val="20"/>
                <w:szCs w:val="20"/>
                <w:highlight w:val="none"/>
              </w:rPr>
              <w:t xml:space="preserve"> 5</w:t>
            </w:r>
          </w:p>
        </w:tc>
        <w:tc>
          <w:tcPr>
            <w:tcW w:w="1470" w:type="dxa"/>
            <w:vAlign w:val="top"/>
          </w:tcPr>
          <w:p>
            <w:pPr>
              <w:spacing w:before="116"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20</w:t>
            </w:r>
            <w:r>
              <w:rPr>
                <w:rFonts w:hint="default" w:ascii="Times New Roman" w:hAnsi="Times New Roman" w:eastAsia="Times New Roman" w:cs="Times New Roman"/>
                <w:sz w:val="20"/>
                <w:szCs w:val="20"/>
                <w:highlight w:val="none"/>
              </w:rPr>
              <w:t>582319. 12</w:t>
            </w:r>
          </w:p>
        </w:tc>
        <w:tc>
          <w:tcPr>
            <w:tcW w:w="1360" w:type="dxa"/>
            <w:vAlign w:val="top"/>
          </w:tcPr>
          <w:p>
            <w:pPr>
              <w:spacing w:before="116"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455624.84</w:t>
            </w:r>
          </w:p>
        </w:tc>
        <w:tc>
          <w:tcPr>
            <w:tcW w:w="882" w:type="dxa"/>
            <w:vAlign w:val="top"/>
          </w:tcPr>
          <w:p>
            <w:pPr>
              <w:spacing w:before="116" w:line="195" w:lineRule="auto"/>
              <w:ind w:left="34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70</w:t>
            </w:r>
          </w:p>
        </w:tc>
        <w:tc>
          <w:tcPr>
            <w:tcW w:w="1298" w:type="dxa"/>
            <w:vAlign w:val="top"/>
          </w:tcPr>
          <w:p>
            <w:pPr>
              <w:spacing w:before="116" w:line="195" w:lineRule="auto"/>
              <w:ind w:left="47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54</w:t>
            </w:r>
            <w:r>
              <w:rPr>
                <w:rFonts w:hint="default" w:ascii="Times New Roman" w:hAnsi="Times New Roman" w:eastAsia="Times New Roman" w:cs="Times New Roman"/>
                <w:spacing w:val="1"/>
                <w:sz w:val="20"/>
                <w:szCs w:val="20"/>
                <w:highlight w:val="none"/>
              </w:rPr>
              <w:t>.7</w:t>
            </w:r>
          </w:p>
        </w:tc>
        <w:tc>
          <w:tcPr>
            <w:tcW w:w="1302" w:type="dxa"/>
            <w:vAlign w:val="top"/>
          </w:tcPr>
          <w:p>
            <w:pPr>
              <w:spacing w:before="116" w:line="195" w:lineRule="auto"/>
              <w:ind w:left="4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13</w:t>
            </w:r>
            <w:r>
              <w:rPr>
                <w:rFonts w:hint="default" w:ascii="Times New Roman" w:hAnsi="Times New Roman" w:eastAsia="Times New Roman" w:cs="Times New Roman"/>
                <w:sz w:val="20"/>
                <w:szCs w:val="20"/>
                <w:highlight w:val="none"/>
              </w:rPr>
              <w:t>.8</w:t>
            </w:r>
          </w:p>
        </w:tc>
        <w:tc>
          <w:tcPr>
            <w:tcW w:w="1316" w:type="dxa"/>
            <w:tcBorders>
              <w:right w:val="single" w:color="000000" w:sz="10" w:space="0"/>
            </w:tcBorders>
            <w:vAlign w:val="top"/>
          </w:tcPr>
          <w:p>
            <w:pPr>
              <w:spacing w:before="116" w:line="195" w:lineRule="auto"/>
              <w:ind w:left="4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6</w:t>
            </w:r>
            <w:r>
              <w:rPr>
                <w:rFonts w:hint="default" w:ascii="Times New Roman" w:hAnsi="Times New Roman" w:eastAsia="Times New Roman" w:cs="Times New Roman"/>
                <w:spacing w:val="3"/>
                <w:sz w:val="20"/>
                <w:szCs w:val="20"/>
                <w:highlight w:val="none"/>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97" w:type="dxa"/>
            <w:tcBorders>
              <w:left w:val="single" w:color="000000" w:sz="10" w:space="0"/>
            </w:tcBorders>
            <w:vAlign w:val="top"/>
          </w:tcPr>
          <w:p>
            <w:pPr>
              <w:spacing w:before="115" w:line="195"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G</w:t>
            </w:r>
            <w:r>
              <w:rPr>
                <w:rFonts w:hint="default" w:ascii="Times New Roman" w:hAnsi="Times New Roman" w:eastAsia="Times New Roman" w:cs="Times New Roman"/>
                <w:spacing w:val="6"/>
                <w:sz w:val="20"/>
                <w:szCs w:val="20"/>
                <w:highlight w:val="none"/>
              </w:rPr>
              <w:t xml:space="preserve"> </w:t>
            </w:r>
            <w:r>
              <w:rPr>
                <w:rFonts w:hint="default" w:ascii="Times New Roman" w:hAnsi="Times New Roman" w:eastAsia="Times New Roman" w:cs="Times New Roman"/>
                <w:spacing w:val="5"/>
                <w:sz w:val="20"/>
                <w:szCs w:val="20"/>
                <w:highlight w:val="none"/>
              </w:rPr>
              <w:t>6</w:t>
            </w:r>
          </w:p>
        </w:tc>
        <w:tc>
          <w:tcPr>
            <w:tcW w:w="1470" w:type="dxa"/>
            <w:vAlign w:val="top"/>
          </w:tcPr>
          <w:p>
            <w:pPr>
              <w:spacing w:before="115"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0581676.27</w:t>
            </w:r>
          </w:p>
        </w:tc>
        <w:tc>
          <w:tcPr>
            <w:tcW w:w="1360" w:type="dxa"/>
            <w:vAlign w:val="top"/>
          </w:tcPr>
          <w:p>
            <w:pPr>
              <w:spacing w:before="115"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454904.51</w:t>
            </w:r>
          </w:p>
        </w:tc>
        <w:tc>
          <w:tcPr>
            <w:tcW w:w="882" w:type="dxa"/>
            <w:vAlign w:val="top"/>
          </w:tcPr>
          <w:p>
            <w:pPr>
              <w:spacing w:before="115" w:line="195" w:lineRule="auto"/>
              <w:ind w:left="34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1298" w:type="dxa"/>
            <w:vAlign w:val="top"/>
          </w:tcPr>
          <w:p>
            <w:pPr>
              <w:spacing w:before="115" w:line="195" w:lineRule="auto"/>
              <w:ind w:left="47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52</w:t>
            </w:r>
            <w:r>
              <w:rPr>
                <w:rFonts w:hint="default" w:ascii="Times New Roman" w:hAnsi="Times New Roman" w:eastAsia="Times New Roman" w:cs="Times New Roman"/>
                <w:spacing w:val="1"/>
                <w:sz w:val="20"/>
                <w:szCs w:val="20"/>
                <w:highlight w:val="none"/>
              </w:rPr>
              <w:t>.3</w:t>
            </w:r>
          </w:p>
        </w:tc>
        <w:tc>
          <w:tcPr>
            <w:tcW w:w="1302" w:type="dxa"/>
            <w:vAlign w:val="top"/>
          </w:tcPr>
          <w:p>
            <w:pPr>
              <w:spacing w:before="115" w:line="198" w:lineRule="auto"/>
              <w:ind w:left="4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14</w:t>
            </w:r>
            <w:r>
              <w:rPr>
                <w:rFonts w:hint="default" w:ascii="Times New Roman" w:hAnsi="Times New Roman" w:eastAsia="Times New Roman" w:cs="Times New Roman"/>
                <w:sz w:val="20"/>
                <w:szCs w:val="20"/>
                <w:highlight w:val="none"/>
              </w:rPr>
              <w:t>.6</w:t>
            </w:r>
          </w:p>
        </w:tc>
        <w:tc>
          <w:tcPr>
            <w:tcW w:w="1316" w:type="dxa"/>
            <w:tcBorders>
              <w:right w:val="single" w:color="000000" w:sz="10" w:space="0"/>
            </w:tcBorders>
            <w:vAlign w:val="top"/>
          </w:tcPr>
          <w:p>
            <w:pPr>
              <w:spacing w:before="115" w:line="195" w:lineRule="auto"/>
              <w:ind w:left="4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6</w:t>
            </w:r>
            <w:r>
              <w:rPr>
                <w:rFonts w:hint="default" w:ascii="Times New Roman" w:hAnsi="Times New Roman" w:eastAsia="Times New Roman" w:cs="Times New Roman"/>
                <w:spacing w:val="3"/>
                <w:sz w:val="20"/>
                <w:szCs w:val="20"/>
                <w:highlight w:val="none"/>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97" w:type="dxa"/>
            <w:tcBorders>
              <w:left w:val="single" w:color="000000" w:sz="10" w:space="0"/>
            </w:tcBorders>
            <w:vAlign w:val="top"/>
          </w:tcPr>
          <w:p>
            <w:pPr>
              <w:spacing w:before="116" w:line="195"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G</w:t>
            </w:r>
            <w:r>
              <w:rPr>
                <w:rFonts w:hint="default" w:ascii="Times New Roman" w:hAnsi="Times New Roman" w:eastAsia="Times New Roman" w:cs="Times New Roman"/>
                <w:spacing w:val="5"/>
                <w:sz w:val="20"/>
                <w:szCs w:val="20"/>
                <w:highlight w:val="none"/>
              </w:rPr>
              <w:t xml:space="preserve"> </w:t>
            </w:r>
            <w:r>
              <w:rPr>
                <w:rFonts w:hint="default" w:ascii="Times New Roman" w:hAnsi="Times New Roman" w:eastAsia="Times New Roman" w:cs="Times New Roman"/>
                <w:spacing w:val="4"/>
                <w:sz w:val="20"/>
                <w:szCs w:val="20"/>
                <w:highlight w:val="none"/>
              </w:rPr>
              <w:t>7</w:t>
            </w:r>
          </w:p>
        </w:tc>
        <w:tc>
          <w:tcPr>
            <w:tcW w:w="1470" w:type="dxa"/>
            <w:vAlign w:val="top"/>
          </w:tcPr>
          <w:p>
            <w:pPr>
              <w:spacing w:before="116"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0583710.09</w:t>
            </w:r>
          </w:p>
        </w:tc>
        <w:tc>
          <w:tcPr>
            <w:tcW w:w="1360" w:type="dxa"/>
            <w:vAlign w:val="top"/>
          </w:tcPr>
          <w:p>
            <w:pPr>
              <w:spacing w:before="116"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456438.53</w:t>
            </w:r>
          </w:p>
        </w:tc>
        <w:tc>
          <w:tcPr>
            <w:tcW w:w="882" w:type="dxa"/>
            <w:vAlign w:val="top"/>
          </w:tcPr>
          <w:p>
            <w:pPr>
              <w:spacing w:before="116" w:line="195" w:lineRule="auto"/>
              <w:ind w:left="34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8</w:t>
            </w:r>
            <w:r>
              <w:rPr>
                <w:rFonts w:hint="default" w:ascii="Times New Roman" w:hAnsi="Times New Roman" w:eastAsia="Times New Roman" w:cs="Times New Roman"/>
                <w:spacing w:val="-1"/>
                <w:sz w:val="20"/>
                <w:szCs w:val="20"/>
                <w:highlight w:val="none"/>
              </w:rPr>
              <w:t>0</w:t>
            </w:r>
          </w:p>
        </w:tc>
        <w:tc>
          <w:tcPr>
            <w:tcW w:w="1298" w:type="dxa"/>
            <w:vAlign w:val="top"/>
          </w:tcPr>
          <w:p>
            <w:pPr>
              <w:spacing w:before="116" w:line="195" w:lineRule="auto"/>
              <w:ind w:left="47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69.</w:t>
            </w:r>
            <w:r>
              <w:rPr>
                <w:rFonts w:hint="default" w:ascii="Times New Roman" w:hAnsi="Times New Roman" w:eastAsia="Times New Roman" w:cs="Times New Roman"/>
                <w:spacing w:val="3"/>
                <w:sz w:val="20"/>
                <w:szCs w:val="20"/>
                <w:highlight w:val="none"/>
              </w:rPr>
              <w:t>8</w:t>
            </w:r>
          </w:p>
        </w:tc>
        <w:tc>
          <w:tcPr>
            <w:tcW w:w="1302" w:type="dxa"/>
            <w:vAlign w:val="top"/>
          </w:tcPr>
          <w:p>
            <w:pPr>
              <w:spacing w:before="116" w:line="195" w:lineRule="auto"/>
              <w:ind w:left="4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15</w:t>
            </w:r>
            <w:r>
              <w:rPr>
                <w:rFonts w:hint="default" w:ascii="Times New Roman" w:hAnsi="Times New Roman" w:eastAsia="Times New Roman" w:cs="Times New Roman"/>
                <w:sz w:val="20"/>
                <w:szCs w:val="20"/>
                <w:highlight w:val="none"/>
              </w:rPr>
              <w:t>.3</w:t>
            </w:r>
          </w:p>
        </w:tc>
        <w:tc>
          <w:tcPr>
            <w:tcW w:w="1316" w:type="dxa"/>
            <w:tcBorders>
              <w:right w:val="single" w:color="000000" w:sz="10" w:space="0"/>
            </w:tcBorders>
            <w:vAlign w:val="top"/>
          </w:tcPr>
          <w:p>
            <w:pPr>
              <w:spacing w:before="116" w:line="195" w:lineRule="auto"/>
              <w:ind w:left="4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85. 1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97" w:type="dxa"/>
            <w:tcBorders>
              <w:left w:val="single" w:color="000000" w:sz="10" w:space="0"/>
            </w:tcBorders>
            <w:vAlign w:val="top"/>
          </w:tcPr>
          <w:p>
            <w:pPr>
              <w:spacing w:before="115" w:line="195"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G</w:t>
            </w:r>
            <w:r>
              <w:rPr>
                <w:rFonts w:hint="default" w:ascii="Times New Roman" w:hAnsi="Times New Roman" w:eastAsia="Times New Roman" w:cs="Times New Roman"/>
                <w:spacing w:val="8"/>
                <w:sz w:val="20"/>
                <w:szCs w:val="20"/>
                <w:highlight w:val="none"/>
              </w:rPr>
              <w:t xml:space="preserve"> </w:t>
            </w:r>
            <w:r>
              <w:rPr>
                <w:rFonts w:hint="default" w:ascii="Times New Roman" w:hAnsi="Times New Roman" w:eastAsia="Times New Roman" w:cs="Times New Roman"/>
                <w:spacing w:val="7"/>
                <w:sz w:val="20"/>
                <w:szCs w:val="20"/>
                <w:highlight w:val="none"/>
              </w:rPr>
              <w:t>8</w:t>
            </w:r>
          </w:p>
        </w:tc>
        <w:tc>
          <w:tcPr>
            <w:tcW w:w="1470" w:type="dxa"/>
            <w:vAlign w:val="top"/>
          </w:tcPr>
          <w:p>
            <w:pPr>
              <w:spacing w:before="115"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0582908.58</w:t>
            </w:r>
          </w:p>
        </w:tc>
        <w:tc>
          <w:tcPr>
            <w:tcW w:w="1360" w:type="dxa"/>
            <w:vAlign w:val="top"/>
          </w:tcPr>
          <w:p>
            <w:pPr>
              <w:spacing w:before="115"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456735.54</w:t>
            </w:r>
          </w:p>
        </w:tc>
        <w:tc>
          <w:tcPr>
            <w:tcW w:w="882" w:type="dxa"/>
            <w:vAlign w:val="top"/>
          </w:tcPr>
          <w:p>
            <w:pPr>
              <w:spacing w:before="115" w:line="195" w:lineRule="auto"/>
              <w:ind w:left="34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70</w:t>
            </w:r>
          </w:p>
        </w:tc>
        <w:tc>
          <w:tcPr>
            <w:tcW w:w="1298" w:type="dxa"/>
            <w:vAlign w:val="top"/>
          </w:tcPr>
          <w:p>
            <w:pPr>
              <w:spacing w:before="115" w:line="195" w:lineRule="auto"/>
              <w:ind w:left="47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69.5</w:t>
            </w:r>
          </w:p>
        </w:tc>
        <w:tc>
          <w:tcPr>
            <w:tcW w:w="1302" w:type="dxa"/>
            <w:vAlign w:val="top"/>
          </w:tcPr>
          <w:p>
            <w:pPr>
              <w:spacing w:before="115" w:line="195" w:lineRule="auto"/>
              <w:ind w:left="4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15</w:t>
            </w:r>
            <w:r>
              <w:rPr>
                <w:rFonts w:hint="default" w:ascii="Times New Roman" w:hAnsi="Times New Roman" w:eastAsia="Times New Roman" w:cs="Times New Roman"/>
                <w:sz w:val="20"/>
                <w:szCs w:val="20"/>
                <w:highlight w:val="none"/>
              </w:rPr>
              <w:t>.3</w:t>
            </w:r>
          </w:p>
        </w:tc>
        <w:tc>
          <w:tcPr>
            <w:tcW w:w="1316" w:type="dxa"/>
            <w:tcBorders>
              <w:right w:val="single" w:color="000000" w:sz="10" w:space="0"/>
            </w:tcBorders>
            <w:vAlign w:val="top"/>
          </w:tcPr>
          <w:p>
            <w:pPr>
              <w:spacing w:before="115" w:line="195" w:lineRule="auto"/>
              <w:ind w:left="4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8</w:t>
            </w:r>
            <w:r>
              <w:rPr>
                <w:rFonts w:hint="default" w:ascii="Times New Roman" w:hAnsi="Times New Roman" w:eastAsia="Times New Roman" w:cs="Times New Roman"/>
                <w:spacing w:val="3"/>
                <w:sz w:val="20"/>
                <w:szCs w:val="20"/>
                <w:highlight w:val="none"/>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897" w:type="dxa"/>
            <w:tcBorders>
              <w:left w:val="single" w:color="000000" w:sz="10" w:space="0"/>
            </w:tcBorders>
            <w:vAlign w:val="top"/>
          </w:tcPr>
          <w:p>
            <w:pPr>
              <w:spacing w:before="116" w:line="188" w:lineRule="auto"/>
              <w:ind w:left="2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G</w:t>
            </w:r>
            <w:r>
              <w:rPr>
                <w:rFonts w:hint="default" w:ascii="Times New Roman" w:hAnsi="Times New Roman" w:eastAsia="Times New Roman" w:cs="Times New Roman"/>
                <w:spacing w:val="5"/>
                <w:sz w:val="20"/>
                <w:szCs w:val="20"/>
                <w:highlight w:val="none"/>
              </w:rPr>
              <w:t xml:space="preserve"> 9</w:t>
            </w:r>
          </w:p>
        </w:tc>
        <w:tc>
          <w:tcPr>
            <w:tcW w:w="1470" w:type="dxa"/>
            <w:vAlign w:val="top"/>
          </w:tcPr>
          <w:p>
            <w:pPr>
              <w:spacing w:before="116" w:line="188"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0582152 04</w:t>
            </w:r>
          </w:p>
        </w:tc>
        <w:tc>
          <w:tcPr>
            <w:tcW w:w="1360" w:type="dxa"/>
            <w:vAlign w:val="top"/>
          </w:tcPr>
          <w:p>
            <w:pPr>
              <w:spacing w:before="116" w:line="188" w:lineRule="auto"/>
              <w:ind w:left="1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4454505 1</w:t>
            </w:r>
            <w:r>
              <w:rPr>
                <w:rFonts w:hint="default" w:ascii="Times New Roman" w:hAnsi="Times New Roman" w:eastAsia="Times New Roman" w:cs="Times New Roman"/>
                <w:spacing w:val="3"/>
                <w:sz w:val="20"/>
                <w:szCs w:val="20"/>
                <w:highlight w:val="none"/>
              </w:rPr>
              <w:t>1</w:t>
            </w:r>
          </w:p>
        </w:tc>
        <w:tc>
          <w:tcPr>
            <w:tcW w:w="882" w:type="dxa"/>
            <w:vAlign w:val="top"/>
          </w:tcPr>
          <w:p>
            <w:pPr>
              <w:spacing w:before="116" w:line="188" w:lineRule="auto"/>
              <w:ind w:left="34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1298" w:type="dxa"/>
            <w:vAlign w:val="top"/>
          </w:tcPr>
          <w:p>
            <w:pPr>
              <w:spacing w:before="116" w:line="188" w:lineRule="auto"/>
              <w:ind w:left="46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48 8</w:t>
            </w:r>
          </w:p>
        </w:tc>
        <w:tc>
          <w:tcPr>
            <w:tcW w:w="1302" w:type="dxa"/>
            <w:vAlign w:val="top"/>
          </w:tcPr>
          <w:p>
            <w:pPr>
              <w:spacing w:before="116" w:line="188" w:lineRule="auto"/>
              <w:ind w:left="4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15</w:t>
            </w:r>
            <w:r>
              <w:rPr>
                <w:rFonts w:hint="default" w:ascii="Times New Roman" w:hAnsi="Times New Roman" w:eastAsia="Times New Roman" w:cs="Times New Roman"/>
                <w:spacing w:val="-1"/>
                <w:sz w:val="20"/>
                <w:szCs w:val="20"/>
                <w:highlight w:val="none"/>
              </w:rPr>
              <w:t xml:space="preserve"> 4</w:t>
            </w:r>
          </w:p>
        </w:tc>
        <w:tc>
          <w:tcPr>
            <w:tcW w:w="1316" w:type="dxa"/>
            <w:tcBorders>
              <w:right w:val="single" w:color="000000" w:sz="10" w:space="0"/>
            </w:tcBorders>
            <w:vAlign w:val="top"/>
          </w:tcPr>
          <w:p>
            <w:pPr>
              <w:spacing w:before="116" w:line="188" w:lineRule="auto"/>
              <w:ind w:left="4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6</w:t>
            </w:r>
            <w:r>
              <w:rPr>
                <w:rFonts w:hint="default" w:ascii="Times New Roman" w:hAnsi="Times New Roman" w:eastAsia="Times New Roman" w:cs="Times New Roman"/>
                <w:spacing w:val="2"/>
                <w:sz w:val="20"/>
                <w:szCs w:val="20"/>
                <w:highlight w:val="none"/>
              </w:rPr>
              <w:t>4 2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97" w:type="dxa"/>
            <w:tcBorders>
              <w:left w:val="single" w:color="000000" w:sz="10" w:space="0"/>
            </w:tcBorders>
            <w:vAlign w:val="top"/>
          </w:tcPr>
          <w:p>
            <w:pPr>
              <w:spacing w:before="143" w:line="188" w:lineRule="auto"/>
              <w:ind w:left="23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G</w:t>
            </w:r>
            <w:r>
              <w:rPr>
                <w:rFonts w:hint="default" w:ascii="Times New Roman" w:hAnsi="Times New Roman" w:eastAsia="Times New Roman" w:cs="Times New Roman"/>
                <w:spacing w:val="4"/>
                <w:sz w:val="20"/>
                <w:szCs w:val="20"/>
                <w:highlight w:val="none"/>
              </w:rPr>
              <w:t xml:space="preserve"> 10</w:t>
            </w:r>
          </w:p>
        </w:tc>
        <w:tc>
          <w:tcPr>
            <w:tcW w:w="1470" w:type="dxa"/>
            <w:vAlign w:val="top"/>
          </w:tcPr>
          <w:p>
            <w:pPr>
              <w:spacing w:before="143" w:line="188"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0582557 99</w:t>
            </w:r>
          </w:p>
        </w:tc>
        <w:tc>
          <w:tcPr>
            <w:tcW w:w="1360" w:type="dxa"/>
            <w:vAlign w:val="top"/>
          </w:tcPr>
          <w:p>
            <w:pPr>
              <w:spacing w:before="143" w:line="188"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454122 26</w:t>
            </w:r>
          </w:p>
        </w:tc>
        <w:tc>
          <w:tcPr>
            <w:tcW w:w="882" w:type="dxa"/>
            <w:vAlign w:val="top"/>
          </w:tcPr>
          <w:p>
            <w:pPr>
              <w:spacing w:before="143" w:line="188" w:lineRule="auto"/>
              <w:ind w:left="34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1298" w:type="dxa"/>
            <w:vAlign w:val="top"/>
          </w:tcPr>
          <w:p>
            <w:pPr>
              <w:spacing w:before="143" w:line="188" w:lineRule="auto"/>
              <w:ind w:left="469"/>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4</w:t>
            </w:r>
            <w:r>
              <w:rPr>
                <w:rFonts w:hint="default" w:ascii="Times New Roman" w:hAnsi="Times New Roman" w:eastAsia="Times New Roman" w:cs="Times New Roman"/>
                <w:spacing w:val="4"/>
                <w:sz w:val="20"/>
                <w:szCs w:val="20"/>
                <w:highlight w:val="none"/>
              </w:rPr>
              <w:t>8 5</w:t>
            </w:r>
          </w:p>
        </w:tc>
        <w:tc>
          <w:tcPr>
            <w:tcW w:w="1302" w:type="dxa"/>
            <w:vAlign w:val="top"/>
          </w:tcPr>
          <w:p>
            <w:pPr>
              <w:spacing w:before="143" w:line="188" w:lineRule="auto"/>
              <w:ind w:left="4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1</w:t>
            </w:r>
            <w:r>
              <w:rPr>
                <w:rFonts w:hint="default" w:ascii="Times New Roman" w:hAnsi="Times New Roman" w:eastAsia="Times New Roman" w:cs="Times New Roman"/>
                <w:spacing w:val="3"/>
                <w:sz w:val="20"/>
                <w:szCs w:val="20"/>
                <w:highlight w:val="none"/>
              </w:rPr>
              <w:t>5 1</w:t>
            </w:r>
          </w:p>
        </w:tc>
        <w:tc>
          <w:tcPr>
            <w:tcW w:w="1316" w:type="dxa"/>
            <w:tcBorders>
              <w:right w:val="single" w:color="000000" w:sz="10" w:space="0"/>
            </w:tcBorders>
            <w:vAlign w:val="top"/>
          </w:tcPr>
          <w:p>
            <w:pPr>
              <w:spacing w:before="143" w:line="188" w:lineRule="auto"/>
              <w:ind w:left="4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6</w:t>
            </w:r>
            <w:r>
              <w:rPr>
                <w:rFonts w:hint="default" w:ascii="Times New Roman" w:hAnsi="Times New Roman" w:eastAsia="Times New Roman" w:cs="Times New Roman"/>
                <w:spacing w:val="3"/>
                <w:sz w:val="20"/>
                <w:szCs w:val="20"/>
                <w:highlight w:val="none"/>
              </w:rPr>
              <w:t>3 6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897" w:type="dxa"/>
            <w:tcBorders>
              <w:left w:val="single" w:color="000000" w:sz="10" w:space="0"/>
            </w:tcBorders>
            <w:vAlign w:val="top"/>
          </w:tcPr>
          <w:p>
            <w:pPr>
              <w:spacing w:before="145" w:line="195" w:lineRule="auto"/>
              <w:ind w:left="23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G</w:t>
            </w:r>
            <w:r>
              <w:rPr>
                <w:rFonts w:hint="default" w:ascii="Times New Roman" w:hAnsi="Times New Roman" w:eastAsia="Times New Roman" w:cs="Times New Roman"/>
                <w:spacing w:val="3"/>
                <w:sz w:val="20"/>
                <w:szCs w:val="20"/>
                <w:highlight w:val="none"/>
              </w:rPr>
              <w:t xml:space="preserve"> </w:t>
            </w:r>
            <w:r>
              <w:rPr>
                <w:rFonts w:hint="default" w:ascii="Times New Roman" w:hAnsi="Times New Roman" w:eastAsia="Times New Roman" w:cs="Times New Roman"/>
                <w:spacing w:val="2"/>
                <w:sz w:val="20"/>
                <w:szCs w:val="20"/>
                <w:highlight w:val="none"/>
              </w:rPr>
              <w:t>11</w:t>
            </w:r>
          </w:p>
        </w:tc>
        <w:tc>
          <w:tcPr>
            <w:tcW w:w="1470" w:type="dxa"/>
            <w:vAlign w:val="top"/>
          </w:tcPr>
          <w:p>
            <w:pPr>
              <w:spacing w:before="145"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0582959.28</w:t>
            </w:r>
          </w:p>
        </w:tc>
        <w:tc>
          <w:tcPr>
            <w:tcW w:w="1360" w:type="dxa"/>
            <w:vAlign w:val="top"/>
          </w:tcPr>
          <w:p>
            <w:pPr>
              <w:spacing w:before="145" w:line="195" w:lineRule="auto"/>
              <w:ind w:left="1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454876.08</w:t>
            </w:r>
          </w:p>
        </w:tc>
        <w:tc>
          <w:tcPr>
            <w:tcW w:w="882" w:type="dxa"/>
            <w:vAlign w:val="top"/>
          </w:tcPr>
          <w:p>
            <w:pPr>
              <w:spacing w:before="145" w:line="195" w:lineRule="auto"/>
              <w:ind w:left="34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70</w:t>
            </w:r>
          </w:p>
        </w:tc>
        <w:tc>
          <w:tcPr>
            <w:tcW w:w="1298" w:type="dxa"/>
            <w:vAlign w:val="top"/>
          </w:tcPr>
          <w:p>
            <w:pPr>
              <w:spacing w:before="145" w:line="195" w:lineRule="auto"/>
              <w:ind w:left="47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52</w:t>
            </w:r>
            <w:r>
              <w:rPr>
                <w:rFonts w:hint="default" w:ascii="Times New Roman" w:hAnsi="Times New Roman" w:eastAsia="Times New Roman" w:cs="Times New Roman"/>
                <w:spacing w:val="1"/>
                <w:sz w:val="20"/>
                <w:szCs w:val="20"/>
                <w:highlight w:val="none"/>
              </w:rPr>
              <w:t>.0</w:t>
            </w:r>
          </w:p>
        </w:tc>
        <w:tc>
          <w:tcPr>
            <w:tcW w:w="1302" w:type="dxa"/>
            <w:vAlign w:val="top"/>
          </w:tcPr>
          <w:p>
            <w:pPr>
              <w:spacing w:before="145" w:line="195" w:lineRule="auto"/>
              <w:ind w:left="49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15</w:t>
            </w:r>
            <w:r>
              <w:rPr>
                <w:rFonts w:hint="default" w:ascii="Times New Roman" w:hAnsi="Times New Roman" w:eastAsia="Times New Roman" w:cs="Times New Roman"/>
                <w:spacing w:val="-1"/>
                <w:sz w:val="20"/>
                <w:szCs w:val="20"/>
                <w:highlight w:val="none"/>
              </w:rPr>
              <w:t>.2</w:t>
            </w:r>
          </w:p>
        </w:tc>
        <w:tc>
          <w:tcPr>
            <w:tcW w:w="1316" w:type="dxa"/>
            <w:tcBorders>
              <w:right w:val="single" w:color="000000" w:sz="10" w:space="0"/>
            </w:tcBorders>
            <w:vAlign w:val="top"/>
          </w:tcPr>
          <w:p>
            <w:pPr>
              <w:spacing w:before="145" w:line="195" w:lineRule="auto"/>
              <w:ind w:left="4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6</w:t>
            </w:r>
            <w:r>
              <w:rPr>
                <w:rFonts w:hint="default" w:ascii="Times New Roman" w:hAnsi="Times New Roman" w:eastAsia="Times New Roman" w:cs="Times New Roman"/>
                <w:spacing w:val="2"/>
                <w:sz w:val="20"/>
                <w:szCs w:val="20"/>
                <w:highlight w:val="none"/>
              </w:rPr>
              <w:t>7.2</w:t>
            </w:r>
          </w:p>
        </w:tc>
      </w:tr>
    </w:tbl>
    <w:p>
      <w:pPr>
        <w:spacing w:before="146" w:line="6573" w:lineRule="exact"/>
        <w:ind w:firstLine="864"/>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332605" cy="41738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62"/>
                    <a:stretch>
                      <a:fillRect/>
                    </a:stretch>
                  </pic:blipFill>
                  <pic:spPr>
                    <a:xfrm>
                      <a:off x="0" y="0"/>
                      <a:ext cx="4332731" cy="4174235"/>
                    </a:xfrm>
                    <a:prstGeom prst="rect">
                      <a:avLst/>
                    </a:prstGeom>
                  </pic:spPr>
                </pic:pic>
              </a:graphicData>
            </a:graphic>
          </wp:inline>
        </w:drawing>
      </w:r>
    </w:p>
    <w:p>
      <w:pPr>
        <w:spacing w:line="262" w:lineRule="auto"/>
        <w:rPr>
          <w:rFonts w:hint="default" w:ascii="Times New Roman" w:hAnsi="Times New Roman" w:cs="Times New Roman"/>
          <w:sz w:val="21"/>
          <w:highlight w:val="none"/>
        </w:rPr>
      </w:pPr>
    </w:p>
    <w:p>
      <w:pPr>
        <w:spacing w:before="75" w:line="227" w:lineRule="auto"/>
        <w:ind w:left="231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2"/>
          <w:sz w:val="23"/>
          <w:szCs w:val="23"/>
          <w:highlight w:val="none"/>
        </w:rPr>
        <w:t xml:space="preserve"> </w:t>
      </w:r>
      <w:r>
        <w:rPr>
          <w:rFonts w:hint="default" w:ascii="Times New Roman" w:hAnsi="Times New Roman" w:eastAsia="Times New Roman" w:cs="Times New Roman"/>
          <w:b/>
          <w:bCs/>
          <w:spacing w:val="-2"/>
          <w:sz w:val="23"/>
          <w:szCs w:val="23"/>
          <w:highlight w:val="none"/>
        </w:rPr>
        <w:t>5</w:t>
      </w:r>
      <w:r>
        <w:rPr>
          <w:rFonts w:hint="default" w:ascii="Times New Roman" w:hAnsi="Times New Roman" w:eastAsia="Times New Roman" w:cs="Times New Roman"/>
          <w:b/>
          <w:bCs/>
          <w:spacing w:val="-1"/>
          <w:sz w:val="23"/>
          <w:szCs w:val="23"/>
          <w:highlight w:val="none"/>
        </w:rPr>
        <w:t>.2-</w:t>
      </w:r>
      <w:r>
        <w:rPr>
          <w:rFonts w:hint="eastAsia" w:ascii="Times New Roman" w:hAnsi="Times New Roman" w:eastAsia="宋体" w:cs="Times New Roman"/>
          <w:b/>
          <w:bCs/>
          <w:spacing w:val="-1"/>
          <w:sz w:val="23"/>
          <w:szCs w:val="23"/>
          <w:highlight w:val="none"/>
          <w:lang w:val="en-US" w:eastAsia="zh-CN"/>
        </w:rPr>
        <w:t>11</w:t>
      </w:r>
      <w:r>
        <w:rPr>
          <w:rFonts w:hint="default" w:ascii="Times New Roman" w:hAnsi="Times New Roman" w:eastAsia="Times New Roman" w:cs="Times New Roman"/>
          <w:spacing w:val="-1"/>
          <w:sz w:val="23"/>
          <w:szCs w:val="23"/>
          <w:highlight w:val="none"/>
        </w:rPr>
        <w:t xml:space="preserve">   </w:t>
      </w:r>
      <w:r>
        <w:rPr>
          <w:rFonts w:hint="eastAsia" w:ascii="Times New Roman" w:hAnsi="Times New Roman" w:eastAsia="宋体" w:cs="Times New Roman"/>
          <w:spacing w:val="-1"/>
          <w:sz w:val="23"/>
          <w:szCs w:val="23"/>
          <w:highlight w:val="none"/>
          <w:lang w:val="en-US" w:eastAsia="zh-CN"/>
        </w:rPr>
        <w:t xml:space="preserve">   </w:t>
      </w:r>
      <w:r>
        <w:rPr>
          <w:rFonts w:hint="default" w:ascii="Times New Roman" w:hAnsi="Times New Roman" w:eastAsia="宋体" w:cs="Times New Roman"/>
          <w:spacing w:val="-1"/>
          <w:sz w:val="23"/>
          <w:szCs w:val="23"/>
          <w:highlight w:val="none"/>
          <w14:textOutline w14:w="4358" w14:cap="sq" w14:cmpd="sng">
            <w14:solidFill>
              <w14:srgbClr w14:val="000000"/>
            </w14:solidFill>
            <w14:prstDash w14:val="solid"/>
            <w14:bevel/>
          </w14:textOutline>
        </w:rPr>
        <w:t>浅层流场</w:t>
      </w:r>
    </w:p>
    <w:p>
      <w:pPr>
        <w:bidi w:val="0"/>
        <w:rPr>
          <w:rFonts w:hint="default"/>
          <w:highlight w:val="none"/>
        </w:rPr>
      </w:pPr>
    </w:p>
    <w:p>
      <w:pPr>
        <w:tabs>
          <w:tab w:val="left" w:pos="1576"/>
        </w:tabs>
        <w:bidi w:val="0"/>
        <w:jc w:val="left"/>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rect id="_x0000_s1254" o:spid="_x0000_s1254" o:spt="1" style="position:absolute;left:0pt;margin-left:90pt;margin-top:59.05pt;height:0.75pt;width:415.3pt;mso-position-horizontal-relative:page;mso-position-vertical-relative:page;z-index:251761664;mso-width-relative:page;mso-height-relative:page;" fillcolor="#000000" filled="t" stroked="f" coordsize="21600,21600" o:allowincell="f">
            <v:path/>
            <v:fill on="t" focussize="0,0"/>
            <v:stroke on="f"/>
            <v:imagedata o:title=""/>
            <o:lock v:ext="edit"/>
          </v:rect>
        </w:pict>
      </w:r>
      <w:r>
        <w:rPr>
          <w:rFonts w:hint="default" w:ascii="Times New Roman" w:hAnsi="Times New Roman" w:eastAsia="Times New Roman" w:cs="Times New Roman"/>
          <w:spacing w:val="8"/>
          <w:sz w:val="23"/>
          <w:szCs w:val="23"/>
          <w:highlight w:val="none"/>
        </w:rPr>
        <w:t xml:space="preserve">2  </w:t>
      </w:r>
      <w:r>
        <w:rPr>
          <w:rFonts w:hint="default" w:ascii="Times New Roman" w:hAnsi="Times New Roman" w:eastAsia="宋体" w:cs="Times New Roman"/>
          <w:spacing w:val="8"/>
          <w:sz w:val="23"/>
          <w:szCs w:val="23"/>
          <w:highlight w:val="none"/>
        </w:rPr>
        <w:t>评价区水文地质试</w:t>
      </w:r>
      <w:r>
        <w:rPr>
          <w:rFonts w:hint="default" w:ascii="Times New Roman" w:hAnsi="Times New Roman" w:eastAsia="宋体" w:cs="Times New Roman"/>
          <w:spacing w:val="6"/>
          <w:sz w:val="23"/>
          <w:szCs w:val="23"/>
          <w:highlight w:val="none"/>
        </w:rPr>
        <w:t>验</w:t>
      </w:r>
    </w:p>
    <w:p>
      <w:pPr>
        <w:spacing w:before="217" w:line="405" w:lineRule="auto"/>
        <w:ind w:left="22" w:right="13" w:firstLine="484"/>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该项工作</w:t>
      </w:r>
      <w:r>
        <w:rPr>
          <w:rFonts w:hint="default" w:ascii="Times New Roman" w:hAnsi="Times New Roman" w:eastAsia="宋体" w:cs="Times New Roman"/>
          <w:spacing w:val="7"/>
          <w:sz w:val="23"/>
          <w:szCs w:val="23"/>
          <w:highlight w:val="none"/>
        </w:rPr>
        <w:t>包</w:t>
      </w:r>
      <w:r>
        <w:rPr>
          <w:rFonts w:hint="default" w:ascii="Times New Roman" w:hAnsi="Times New Roman" w:eastAsia="宋体" w:cs="Times New Roman"/>
          <w:spacing w:val="6"/>
          <w:sz w:val="23"/>
          <w:szCs w:val="23"/>
          <w:highlight w:val="none"/>
        </w:rPr>
        <w:t>括抽水试验和渗水试验。抽水试验具体要求参照《供水水文地质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勘</w:t>
      </w:r>
      <w:r>
        <w:rPr>
          <w:rFonts w:hint="default" w:ascii="Times New Roman" w:hAnsi="Times New Roman" w:eastAsia="宋体" w:cs="Times New Roman"/>
          <w:spacing w:val="6"/>
          <w:sz w:val="23"/>
          <w:szCs w:val="23"/>
          <w:highlight w:val="none"/>
        </w:rPr>
        <w:t>察规范》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6"/>
          <w:sz w:val="23"/>
          <w:szCs w:val="23"/>
          <w:highlight w:val="none"/>
        </w:rPr>
        <w:t xml:space="preserve"> 50027-2001</w:t>
      </w:r>
      <w:r>
        <w:rPr>
          <w:rFonts w:hint="default" w:ascii="Times New Roman" w:hAnsi="Times New Roman" w:eastAsia="宋体" w:cs="Times New Roman"/>
          <w:spacing w:val="6"/>
          <w:sz w:val="23"/>
          <w:szCs w:val="23"/>
          <w:highlight w:val="none"/>
        </w:rPr>
        <w:t>) 进行。同时，通过双环渗水试验测试包气带渗透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性</w:t>
      </w:r>
      <w:r>
        <w:rPr>
          <w:rFonts w:hint="default" w:ascii="Times New Roman" w:hAnsi="Times New Roman" w:eastAsia="宋体" w:cs="Times New Roman"/>
          <w:spacing w:val="7"/>
          <w:sz w:val="23"/>
          <w:szCs w:val="23"/>
          <w:highlight w:val="none"/>
        </w:rPr>
        <w:t>能，综合分析包气带的天然防渗性能，为拟建厂区地下水污染防治措施的设计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提供科学依据。试验点位置见图 </w:t>
      </w:r>
      <w:r>
        <w:rPr>
          <w:rFonts w:hint="default" w:ascii="Times New Roman" w:hAnsi="Times New Roman" w:eastAsia="Times New Roman" w:cs="Times New Roman"/>
          <w:spacing w:val="2"/>
          <w:sz w:val="23"/>
          <w:szCs w:val="23"/>
          <w:highlight w:val="none"/>
        </w:rPr>
        <w:t>5.2- 1</w:t>
      </w:r>
      <w:r>
        <w:rPr>
          <w:rFonts w:hint="eastAsia" w:ascii="Times New Roman" w:hAnsi="Times New Roman" w:eastAsia="宋体" w:cs="Times New Roman"/>
          <w:spacing w:val="2"/>
          <w:sz w:val="23"/>
          <w:szCs w:val="23"/>
          <w:highlight w:val="none"/>
          <w:lang w:val="en-US" w:eastAsia="zh-CN"/>
        </w:rPr>
        <w:t>2</w:t>
      </w:r>
      <w:r>
        <w:rPr>
          <w:rFonts w:hint="default" w:ascii="Times New Roman" w:hAnsi="Times New Roman" w:eastAsia="宋体" w:cs="Times New Roman"/>
          <w:sz w:val="23"/>
          <w:szCs w:val="23"/>
          <w:highlight w:val="none"/>
        </w:rPr>
        <w:t>。</w:t>
      </w:r>
    </w:p>
    <w:p>
      <w:pPr>
        <w:rPr>
          <w:rFonts w:hint="default" w:ascii="Times New Roman" w:hAnsi="Times New Roman" w:cs="Times New Roman"/>
          <w:highlight w:val="none"/>
        </w:rPr>
        <w:sectPr>
          <w:headerReference r:id="rId92" w:type="default"/>
          <w:footerReference r:id="rId93" w:type="default"/>
          <w:pgSz w:w="11906" w:h="16839"/>
          <w:pgMar w:top="1167" w:right="1785" w:bottom="1311" w:left="1785" w:header="897" w:footer="1015" w:gutter="0"/>
          <w:pgBorders>
            <w:top w:val="none" w:sz="0" w:space="0"/>
            <w:left w:val="none" w:sz="0" w:space="0"/>
            <w:bottom w:val="none" w:sz="0" w:space="0"/>
            <w:right w:val="none" w:sz="0" w:space="0"/>
          </w:pgBorders>
          <w:pgNumType w:fmt="decimal"/>
          <w:cols w:space="720" w:num="1"/>
        </w:sectPr>
      </w:pPr>
    </w:p>
    <w:p>
      <w:pPr>
        <w:spacing w:line="278"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255" o:spid="_x0000_s1255" o:spt="1" style="position:absolute;left:0pt;margin-left:90pt;margin-top:59.05pt;height:0.75pt;width:415.3pt;mso-position-horizontal-relative:page;mso-position-vertical-relative:page;z-index:251763712;mso-width-relative:page;mso-height-relative:page;" fillcolor="#000000" filled="t" stroked="f" coordsize="21600,21600" o:allowincell="f">
            <v:path/>
            <v:fill on="t" focussize="0,0"/>
            <v:stroke on="f"/>
            <v:imagedata o:title=""/>
            <o:lock v:ext="edit"/>
          </v:rect>
        </w:pict>
      </w:r>
      <w:r>
        <w:rPr>
          <w:rFonts w:hint="default" w:ascii="Times New Roman" w:hAnsi="Times New Roman" w:cs="Times New Roman"/>
          <w:highlight w:val="none"/>
        </w:rPr>
        <w:pict>
          <v:rect id="_x0000_s1256" o:spid="_x0000_s1256" o:spt="1" style="position:absolute;left:0pt;margin-left:90pt;margin-top:776.35pt;height:0.75pt;width:415.3pt;mso-position-horizontal-relative:page;mso-position-vertical-relative:page;z-index:251762688;mso-width-relative:page;mso-height-relative:page;" filled="f" stroked="t" coordsize="21600,21600" o:allowincell="f">
            <v:path/>
            <v:fill on="f" focussize="0,0"/>
            <v:stroke weight="0pt" color="#FFFFFF"/>
            <v:imagedata o:title=""/>
            <o:lock v:ext="edit" aspectratio="f"/>
          </v:rect>
        </w:pict>
      </w:r>
    </w:p>
    <w:p>
      <w:pPr>
        <w:spacing w:line="7783" w:lineRule="exact"/>
        <w:ind w:firstLine="131"/>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5123180" cy="494220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3"/>
                    <a:stretch>
                      <a:fillRect/>
                    </a:stretch>
                  </pic:blipFill>
                  <pic:spPr>
                    <a:xfrm>
                      <a:off x="0" y="0"/>
                      <a:ext cx="5123688" cy="4942332"/>
                    </a:xfrm>
                    <a:prstGeom prst="rect">
                      <a:avLst/>
                    </a:prstGeom>
                  </pic:spPr>
                </pic:pic>
              </a:graphicData>
            </a:graphic>
          </wp:inline>
        </w:drawing>
      </w:r>
    </w:p>
    <w:p>
      <w:pPr>
        <w:spacing w:before="204" w:line="225" w:lineRule="auto"/>
        <w:ind w:left="176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4"/>
          <w:sz w:val="23"/>
          <w:szCs w:val="23"/>
          <w:highlight w:val="none"/>
        </w:rPr>
        <w:t>5.2-1</w:t>
      </w:r>
      <w:r>
        <w:rPr>
          <w:rFonts w:hint="eastAsia" w:ascii="Times New Roman" w:hAnsi="Times New Roman" w:eastAsia="宋体" w:cs="Times New Roman"/>
          <w:b/>
          <w:bCs/>
          <w:spacing w:val="4"/>
          <w:sz w:val="23"/>
          <w:szCs w:val="23"/>
          <w:highlight w:val="none"/>
          <w:lang w:val="en-US" w:eastAsia="zh-CN"/>
        </w:rPr>
        <w:t>2</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项目区抽水试验和渗水试验位置图</w:t>
      </w:r>
    </w:p>
    <w:p>
      <w:pPr>
        <w:spacing w:before="218" w:line="225" w:lineRule="auto"/>
        <w:ind w:left="522"/>
        <w:outlineLvl w:val="0"/>
        <w:rPr>
          <w:rFonts w:hint="default" w:ascii="Times New Roman" w:hAnsi="Times New Roman" w:eastAsia="宋体" w:cs="Times New Roman"/>
          <w:sz w:val="23"/>
          <w:szCs w:val="23"/>
          <w:highlight w:val="none"/>
        </w:rPr>
      </w:pPr>
      <w:bookmarkStart w:id="574" w:name="_Toc2850"/>
      <w:bookmarkStart w:id="575" w:name="_Toc28560"/>
      <w:bookmarkStart w:id="576" w:name="_Toc12391"/>
      <w:r>
        <w:rPr>
          <w:rFonts w:hint="default" w:ascii="Times New Roman" w:hAnsi="Times New Roman" w:eastAsia="Times New Roman" w:cs="Times New Roman"/>
          <w:spacing w:val="10"/>
          <w:sz w:val="23"/>
          <w:szCs w:val="23"/>
          <w:highlight w:val="none"/>
        </w:rPr>
        <w:t>1</w:t>
      </w:r>
      <w:r>
        <w:rPr>
          <w:rFonts w:hint="default" w:ascii="Times New Roman" w:hAnsi="Times New Roman" w:eastAsia="Times New Roman" w:cs="Times New Roman"/>
          <w:spacing w:val="9"/>
          <w:sz w:val="23"/>
          <w:szCs w:val="23"/>
          <w:highlight w:val="none"/>
        </w:rPr>
        <w:t>.</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抽水试验与参数计算</w:t>
      </w:r>
      <w:bookmarkEnd w:id="574"/>
      <w:bookmarkEnd w:id="575"/>
      <w:bookmarkEnd w:id="576"/>
    </w:p>
    <w:p>
      <w:pPr>
        <w:spacing w:before="218" w:line="225" w:lineRule="auto"/>
        <w:ind w:left="502"/>
        <w:outlineLvl w:val="1"/>
        <w:rPr>
          <w:rFonts w:hint="default" w:ascii="Times New Roman" w:hAnsi="Times New Roman" w:eastAsia="宋体" w:cs="Times New Roman"/>
          <w:sz w:val="23"/>
          <w:szCs w:val="23"/>
          <w:highlight w:val="none"/>
        </w:rPr>
      </w:pPr>
      <w:bookmarkStart w:id="577" w:name="_Toc4960"/>
      <w:bookmarkStart w:id="578" w:name="_Toc21313"/>
      <w:bookmarkStart w:id="579" w:name="_Toc9087"/>
      <w:r>
        <w:rPr>
          <w:rFonts w:hint="default" w:ascii="Times New Roman" w:hAnsi="Times New Roman" w:eastAsia="宋体" w:cs="Times New Roman"/>
          <w:spacing w:val="11"/>
          <w:sz w:val="23"/>
          <w:szCs w:val="23"/>
          <w:highlight w:val="none"/>
        </w:rPr>
        <w:t>①</w:t>
      </w:r>
      <w:r>
        <w:rPr>
          <w:rFonts w:hint="default" w:ascii="Times New Roman" w:hAnsi="Times New Roman" w:eastAsia="宋体" w:cs="Times New Roman"/>
          <w:spacing w:val="7"/>
          <w:sz w:val="23"/>
          <w:szCs w:val="23"/>
          <w:highlight w:val="none"/>
        </w:rPr>
        <w:t xml:space="preserve"> 抽水试验</w:t>
      </w:r>
      <w:bookmarkEnd w:id="577"/>
      <w:bookmarkEnd w:id="578"/>
      <w:bookmarkEnd w:id="579"/>
    </w:p>
    <w:p>
      <w:pPr>
        <w:spacing w:before="222" w:line="401" w:lineRule="auto"/>
        <w:ind w:left="21" w:right="63"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本次抽水试验分别在苏家洼镇的小王庄村、皮各庄村和山王庄村三个试验</w:t>
      </w:r>
      <w:r>
        <w:rPr>
          <w:rFonts w:hint="default" w:ascii="Times New Roman" w:hAnsi="Times New Roman" w:eastAsia="宋体" w:cs="Times New Roman"/>
          <w:spacing w:val="2"/>
          <w:sz w:val="23"/>
          <w:szCs w:val="23"/>
          <w:highlight w:val="none"/>
        </w:rPr>
        <w:t>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进</w:t>
      </w:r>
      <w:r>
        <w:rPr>
          <w:rFonts w:hint="default" w:ascii="Times New Roman" w:hAnsi="Times New Roman" w:eastAsia="宋体" w:cs="Times New Roman"/>
          <w:spacing w:val="8"/>
          <w:sz w:val="23"/>
          <w:szCs w:val="23"/>
          <w:highlight w:val="none"/>
        </w:rPr>
        <w:t>行了三次抽水试验。</w:t>
      </w:r>
    </w:p>
    <w:p>
      <w:pPr>
        <w:spacing w:before="4" w:line="401" w:lineRule="auto"/>
        <w:ind w:left="22" w:firstLine="48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小王庄村抽</w:t>
      </w:r>
      <w:r>
        <w:rPr>
          <w:rFonts w:hint="default" w:ascii="Times New Roman" w:hAnsi="Times New Roman" w:eastAsia="宋体" w:cs="Times New Roman"/>
          <w:spacing w:val="2"/>
          <w:sz w:val="23"/>
          <w:szCs w:val="23"/>
          <w:highlight w:val="none"/>
        </w:rPr>
        <w:t>水试验井深为</w:t>
      </w:r>
      <w:r>
        <w:rPr>
          <w:rFonts w:hint="default" w:ascii="Times New Roman" w:hAnsi="Times New Roman" w:eastAsia="Times New Roman" w:cs="Times New Roman"/>
          <w:spacing w:val="2"/>
          <w:sz w:val="23"/>
          <w:szCs w:val="23"/>
          <w:highlight w:val="none"/>
        </w:rPr>
        <w:t>58</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，井径</w:t>
      </w:r>
      <w:r>
        <w:rPr>
          <w:rFonts w:hint="default" w:ascii="Times New Roman" w:hAnsi="Times New Roman" w:eastAsia="Times New Roman" w:cs="Times New Roman"/>
          <w:spacing w:val="2"/>
          <w:sz w:val="23"/>
          <w:szCs w:val="23"/>
          <w:highlight w:val="none"/>
        </w:rPr>
        <w:t>0.3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，静止水位埋深</w:t>
      </w:r>
      <w:r>
        <w:rPr>
          <w:rFonts w:hint="default" w:ascii="Times New Roman" w:hAnsi="Times New Roman" w:eastAsia="Times New Roman" w:cs="Times New Roman"/>
          <w:spacing w:val="2"/>
          <w:sz w:val="23"/>
          <w:szCs w:val="23"/>
          <w:highlight w:val="none"/>
        </w:rPr>
        <w:t>16.29</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，整个抽水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试</w:t>
      </w:r>
      <w:r>
        <w:rPr>
          <w:rFonts w:hint="default" w:ascii="Times New Roman" w:hAnsi="Times New Roman" w:eastAsia="宋体" w:cs="Times New Roman"/>
          <w:spacing w:val="6"/>
          <w:sz w:val="23"/>
          <w:szCs w:val="23"/>
          <w:highlight w:val="none"/>
        </w:rPr>
        <w:t>验</w:t>
      </w:r>
      <w:r>
        <w:rPr>
          <w:rFonts w:hint="default" w:ascii="Times New Roman" w:hAnsi="Times New Roman" w:eastAsia="宋体" w:cs="Times New Roman"/>
          <w:spacing w:val="5"/>
          <w:sz w:val="23"/>
          <w:szCs w:val="23"/>
          <w:highlight w:val="none"/>
        </w:rPr>
        <w:t>历时</w:t>
      </w:r>
      <w:r>
        <w:rPr>
          <w:rFonts w:hint="default" w:ascii="Times New Roman" w:hAnsi="Times New Roman" w:eastAsia="Times New Roman" w:cs="Times New Roman"/>
          <w:spacing w:val="5"/>
          <w:sz w:val="23"/>
          <w:szCs w:val="23"/>
          <w:highlight w:val="none"/>
        </w:rPr>
        <w:t>8</w:t>
      </w:r>
      <w:r>
        <w:rPr>
          <w:rFonts w:hint="default" w:ascii="Times New Roman" w:hAnsi="Times New Roman" w:eastAsia="宋体" w:cs="Times New Roman"/>
          <w:spacing w:val="5"/>
          <w:sz w:val="23"/>
          <w:szCs w:val="23"/>
          <w:highlight w:val="none"/>
        </w:rPr>
        <w:t>个小时，其中抽水试验阶段历时</w:t>
      </w:r>
      <w:r>
        <w:rPr>
          <w:rFonts w:hint="default" w:ascii="Times New Roman" w:hAnsi="Times New Roman" w:eastAsia="Times New Roman" w:cs="Times New Roman"/>
          <w:spacing w:val="5"/>
          <w:sz w:val="23"/>
          <w:szCs w:val="23"/>
          <w:highlight w:val="none"/>
        </w:rPr>
        <w:t>5</w:t>
      </w:r>
      <w:r>
        <w:rPr>
          <w:rFonts w:hint="default" w:ascii="Times New Roman" w:hAnsi="Times New Roman" w:eastAsia="宋体" w:cs="Times New Roman"/>
          <w:spacing w:val="5"/>
          <w:sz w:val="23"/>
          <w:szCs w:val="23"/>
          <w:highlight w:val="none"/>
        </w:rPr>
        <w:t>个小时，水位稳定时间</w:t>
      </w:r>
      <w:r>
        <w:rPr>
          <w:rFonts w:hint="default" w:ascii="Times New Roman" w:hAnsi="Times New Roman" w:eastAsia="Times New Roman" w:cs="Times New Roman"/>
          <w:spacing w:val="5"/>
          <w:sz w:val="23"/>
          <w:szCs w:val="23"/>
          <w:highlight w:val="none"/>
        </w:rPr>
        <w:t>4</w:t>
      </w:r>
      <w:r>
        <w:rPr>
          <w:rFonts w:hint="default" w:ascii="Times New Roman" w:hAnsi="Times New Roman" w:eastAsia="宋体" w:cs="Times New Roman"/>
          <w:spacing w:val="5"/>
          <w:sz w:val="23"/>
          <w:szCs w:val="23"/>
          <w:highlight w:val="none"/>
        </w:rPr>
        <w:t>小时</w:t>
      </w:r>
      <w:r>
        <w:rPr>
          <w:rFonts w:hint="default" w:ascii="Times New Roman" w:hAnsi="Times New Roman" w:eastAsia="Times New Roman" w:cs="Times New Roman"/>
          <w:spacing w:val="5"/>
          <w:sz w:val="23"/>
          <w:szCs w:val="23"/>
          <w:highlight w:val="none"/>
        </w:rPr>
        <w:t>40</w:t>
      </w:r>
      <w:r>
        <w:rPr>
          <w:rFonts w:hint="default" w:ascii="Times New Roman" w:hAnsi="Times New Roman" w:eastAsia="宋体" w:cs="Times New Roman"/>
          <w:spacing w:val="5"/>
          <w:sz w:val="23"/>
          <w:szCs w:val="23"/>
          <w:highlight w:val="none"/>
        </w:rPr>
        <w:t>分钟，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恢复试验阶</w:t>
      </w:r>
      <w:r>
        <w:rPr>
          <w:rFonts w:hint="default" w:ascii="Times New Roman" w:hAnsi="Times New Roman" w:eastAsia="宋体" w:cs="Times New Roman"/>
          <w:spacing w:val="7"/>
          <w:sz w:val="23"/>
          <w:szCs w:val="23"/>
          <w:highlight w:val="none"/>
        </w:rPr>
        <w:t>段</w:t>
      </w:r>
      <w:r>
        <w:rPr>
          <w:rFonts w:hint="default" w:ascii="Times New Roman" w:hAnsi="Times New Roman" w:eastAsia="宋体" w:cs="Times New Roman"/>
          <w:spacing w:val="6"/>
          <w:sz w:val="23"/>
          <w:szCs w:val="23"/>
          <w:highlight w:val="none"/>
        </w:rPr>
        <w:t>历时</w:t>
      </w:r>
      <w:r>
        <w:rPr>
          <w:rFonts w:hint="default" w:ascii="Times New Roman" w:hAnsi="Times New Roman" w:eastAsia="Times New Roman" w:cs="Times New Roman"/>
          <w:spacing w:val="6"/>
          <w:sz w:val="23"/>
          <w:szCs w:val="23"/>
          <w:highlight w:val="none"/>
        </w:rPr>
        <w:t>3</w:t>
      </w:r>
      <w:r>
        <w:rPr>
          <w:rFonts w:hint="default" w:ascii="Times New Roman" w:hAnsi="Times New Roman" w:eastAsia="宋体" w:cs="Times New Roman"/>
          <w:spacing w:val="6"/>
          <w:sz w:val="23"/>
          <w:szCs w:val="23"/>
          <w:highlight w:val="none"/>
        </w:rPr>
        <w:t>个小时，水位最大降深为</w:t>
      </w:r>
      <w:r>
        <w:rPr>
          <w:rFonts w:hint="default" w:ascii="Times New Roman" w:hAnsi="Times New Roman" w:eastAsia="Times New Roman" w:cs="Times New Roman"/>
          <w:spacing w:val="6"/>
          <w:sz w:val="23"/>
          <w:szCs w:val="23"/>
          <w:highlight w:val="none"/>
        </w:rPr>
        <w:t>2.09</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，涌水量为</w:t>
      </w:r>
      <w:r>
        <w:rPr>
          <w:rFonts w:hint="default" w:ascii="Times New Roman" w:hAnsi="Times New Roman" w:eastAsia="Times New Roman" w:cs="Times New Roman"/>
          <w:spacing w:val="6"/>
          <w:sz w:val="23"/>
          <w:szCs w:val="23"/>
          <w:highlight w:val="none"/>
        </w:rPr>
        <w:t>102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8"/>
          <w:sz w:val="15"/>
          <w:szCs w:val="15"/>
          <w:highlight w:val="none"/>
        </w:rPr>
        <w:t>3</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w:t>
      </w:r>
      <w:r>
        <w:rPr>
          <w:rFonts w:hint="default" w:ascii="Times New Roman" w:hAnsi="Times New Roman" w:eastAsia="宋体" w:cs="Times New Roman"/>
          <w:spacing w:val="4"/>
          <w:sz w:val="23"/>
          <w:szCs w:val="23"/>
          <w:highlight w:val="none"/>
        </w:rPr>
        <w:t>图</w:t>
      </w:r>
      <w:r>
        <w:rPr>
          <w:rFonts w:hint="default" w:ascii="Times New Roman" w:hAnsi="Times New Roman" w:eastAsia="Times New Roman" w:cs="Times New Roman"/>
          <w:spacing w:val="4"/>
          <w:sz w:val="23"/>
          <w:szCs w:val="23"/>
          <w:highlight w:val="none"/>
        </w:rPr>
        <w:t>5.2-1</w:t>
      </w:r>
      <w:r>
        <w:rPr>
          <w:rFonts w:hint="eastAsia" w:ascii="Times New Roman" w:hAnsi="Times New Roman" w:eastAsia="宋体" w:cs="Times New Roman"/>
          <w:spacing w:val="4"/>
          <w:sz w:val="23"/>
          <w:szCs w:val="23"/>
          <w:highlight w:val="none"/>
          <w:lang w:val="en-US" w:eastAsia="zh-CN"/>
        </w:rPr>
        <w:t>3</w:t>
      </w:r>
      <w:r>
        <w:rPr>
          <w:rFonts w:hint="default" w:ascii="Times New Roman" w:hAnsi="Times New Roman" w:eastAsia="宋体" w:cs="Times New Roman"/>
          <w:spacing w:val="4"/>
          <w:sz w:val="23"/>
          <w:szCs w:val="23"/>
          <w:highlight w:val="none"/>
        </w:rPr>
        <w:t>和图</w:t>
      </w:r>
      <w:r>
        <w:rPr>
          <w:rFonts w:hint="default" w:ascii="Times New Roman" w:hAnsi="Times New Roman" w:eastAsia="Times New Roman" w:cs="Times New Roman"/>
          <w:spacing w:val="4"/>
          <w:sz w:val="23"/>
          <w:szCs w:val="23"/>
          <w:highlight w:val="none"/>
        </w:rPr>
        <w:t>5.2-</w:t>
      </w:r>
      <w:r>
        <w:rPr>
          <w:rFonts w:hint="eastAsia" w:ascii="Times New Roman" w:hAnsi="Times New Roman" w:eastAsia="宋体" w:cs="Times New Roman"/>
          <w:spacing w:val="4"/>
          <w:sz w:val="23"/>
          <w:szCs w:val="23"/>
          <w:highlight w:val="none"/>
          <w:lang w:val="en-US" w:eastAsia="zh-CN"/>
        </w:rPr>
        <w:t>14</w:t>
      </w:r>
      <w:r>
        <w:rPr>
          <w:rFonts w:hint="default" w:ascii="Times New Roman" w:hAnsi="Times New Roman" w:eastAsia="宋体" w:cs="Times New Roman"/>
          <w:spacing w:val="4"/>
          <w:sz w:val="23"/>
          <w:szCs w:val="23"/>
          <w:highlight w:val="none"/>
        </w:rPr>
        <w:t>为抽水试</w:t>
      </w:r>
      <w:r>
        <w:rPr>
          <w:rFonts w:hint="default" w:ascii="Times New Roman" w:hAnsi="Times New Roman" w:eastAsia="宋体" w:cs="Times New Roman"/>
          <w:spacing w:val="1"/>
          <w:sz w:val="23"/>
          <w:szCs w:val="23"/>
          <w:highlight w:val="none"/>
        </w:rPr>
        <w:t>验</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水</w:t>
      </w:r>
      <w:r>
        <w:rPr>
          <w:rFonts w:hint="default" w:ascii="Times New Roman" w:hAnsi="Times New Roman" w:eastAsia="宋体" w:cs="Times New Roman"/>
          <w:spacing w:val="9"/>
          <w:sz w:val="23"/>
          <w:szCs w:val="23"/>
          <w:highlight w:val="none"/>
        </w:rPr>
        <w:t>位降深和水位埋深分别对时间的变化曲线。</w:t>
      </w:r>
    </w:p>
    <w:p>
      <w:pPr>
        <w:rPr>
          <w:rFonts w:hint="default" w:ascii="Times New Roman" w:hAnsi="Times New Roman" w:cs="Times New Roman"/>
          <w:highlight w:val="none"/>
        </w:rPr>
        <w:sectPr>
          <w:headerReference r:id="rId94" w:type="default"/>
          <w:footerReference r:id="rId95" w:type="default"/>
          <w:pgSz w:w="11906" w:h="16839"/>
          <w:pgMar w:top="1167" w:right="1736" w:bottom="1282" w:left="1785" w:header="897" w:footer="1015" w:gutter="0"/>
          <w:pgBorders>
            <w:top w:val="none" w:sz="0" w:space="0"/>
            <w:left w:val="none" w:sz="0" w:space="0"/>
            <w:bottom w:val="none" w:sz="0" w:space="0"/>
            <w:right w:val="none" w:sz="0" w:space="0"/>
          </w:pgBorders>
          <w:pgNumType w:fmt="decimal"/>
          <w:cols w:space="720" w:num="1"/>
        </w:sectPr>
      </w:pPr>
    </w:p>
    <w:p>
      <w:pPr>
        <w:spacing w:line="14" w:lineRule="exact"/>
        <w:rPr>
          <w:rFonts w:hint="default" w:ascii="Times New Roman" w:hAnsi="Times New Roman" w:cs="Times New Roman"/>
          <w:highlight w:val="none"/>
        </w:rPr>
      </w:pPr>
    </w:p>
    <w:tbl>
      <w:tblPr>
        <w:tblStyle w:val="19"/>
        <w:tblW w:w="8525" w:type="dxa"/>
        <w:tblInd w:w="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0" w:hRule="atLeast"/>
        </w:trPr>
        <w:tc>
          <w:tcPr>
            <w:tcW w:w="8525" w:type="dxa"/>
            <w:tcBorders>
              <w:tl2br w:val="nil"/>
              <w:tr2bl w:val="nil"/>
            </w:tcBorders>
            <w:vAlign w:val="top"/>
          </w:tcPr>
          <w:p>
            <w:pPr>
              <w:spacing w:before="75" w:line="225" w:lineRule="auto"/>
              <w:ind w:left="1951"/>
              <w:rPr>
                <w:rFonts w:hint="default" w:ascii="Times New Roman" w:hAnsi="Times New Roman" w:eastAsia="宋体" w:cs="Times New Roman"/>
                <w:sz w:val="23"/>
                <w:szCs w:val="23"/>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8525" w:type="dxa"/>
            <w:tcBorders>
              <w:tl2br w:val="nil"/>
              <w:tr2bl w:val="nil"/>
            </w:tcBorders>
            <w:vAlign w:val="top"/>
          </w:tcPr>
          <w:p>
            <w:pPr>
              <w:spacing w:before="155" w:line="3768" w:lineRule="exact"/>
              <w:ind w:firstLine="961"/>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191000" cy="239204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164"/>
                          <a:stretch>
                            <a:fillRect/>
                          </a:stretch>
                        </pic:blipFill>
                        <pic:spPr>
                          <a:xfrm>
                            <a:off x="0" y="0"/>
                            <a:ext cx="4191000" cy="2392679"/>
                          </a:xfrm>
                          <a:prstGeom prst="rect">
                            <a:avLst/>
                          </a:prstGeom>
                        </pic:spPr>
                      </pic:pic>
                    </a:graphicData>
                  </a:graphic>
                </wp:inline>
              </w:drawing>
            </w:r>
          </w:p>
          <w:p>
            <w:pPr>
              <w:spacing w:line="262" w:lineRule="auto"/>
              <w:rPr>
                <w:rFonts w:hint="default" w:ascii="Times New Roman" w:hAnsi="Times New Roman" w:cs="Times New Roman"/>
                <w:sz w:val="21"/>
                <w:highlight w:val="none"/>
              </w:rPr>
            </w:pPr>
          </w:p>
          <w:p>
            <w:pPr>
              <w:spacing w:before="75" w:line="225" w:lineRule="auto"/>
              <w:ind w:left="187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Times New Roman" w:cs="Times New Roman"/>
                <w:b/>
                <w:bCs/>
                <w:spacing w:val="4"/>
                <w:sz w:val="23"/>
                <w:szCs w:val="23"/>
                <w:highlight w:val="none"/>
              </w:rPr>
              <w:t>5.2-1</w:t>
            </w:r>
            <w:r>
              <w:rPr>
                <w:rFonts w:hint="eastAsia" w:ascii="Times New Roman" w:hAnsi="Times New Roman" w:eastAsia="宋体" w:cs="Times New Roman"/>
                <w:b/>
                <w:bCs/>
                <w:spacing w:val="4"/>
                <w:sz w:val="23"/>
                <w:szCs w:val="23"/>
                <w:highlight w:val="none"/>
                <w:lang w:val="en-US" w:eastAsia="zh-CN"/>
              </w:rPr>
              <w:t>3</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小王庄村抽水试验降深</w:t>
            </w:r>
            <w:r>
              <w:rPr>
                <w:rFonts w:hint="default" w:ascii="Times New Roman" w:hAnsi="Times New Roman" w:eastAsia="Times New Roman" w:cs="Times New Roman"/>
                <w:b/>
                <w:bCs/>
                <w:spacing w:val="4"/>
                <w:sz w:val="23"/>
                <w:szCs w:val="23"/>
                <w:highlight w:val="none"/>
              </w:rPr>
              <w:t>-</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时间曲线</w:t>
            </w:r>
          </w:p>
          <w:p>
            <w:pPr>
              <w:spacing w:before="136" w:line="3833" w:lineRule="exact"/>
              <w:ind w:firstLine="997"/>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144645" cy="24333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65"/>
                          <a:stretch>
                            <a:fillRect/>
                          </a:stretch>
                        </pic:blipFill>
                        <pic:spPr>
                          <a:xfrm>
                            <a:off x="0" y="0"/>
                            <a:ext cx="4145279" cy="2433828"/>
                          </a:xfrm>
                          <a:prstGeom prst="rect">
                            <a:avLst/>
                          </a:prstGeom>
                        </pic:spPr>
                      </pic:pic>
                    </a:graphicData>
                  </a:graphic>
                </wp:inline>
              </w:drawing>
            </w:r>
          </w:p>
          <w:p>
            <w:pPr>
              <w:spacing w:before="305" w:line="225" w:lineRule="auto"/>
              <w:ind w:left="163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8"/>
                <w:sz w:val="23"/>
                <w:szCs w:val="23"/>
                <w:highlight w:val="none"/>
              </w:rPr>
              <w:t>5</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4"/>
                <w:sz w:val="23"/>
                <w:szCs w:val="23"/>
                <w:highlight w:val="none"/>
              </w:rPr>
              <w:t>2-</w:t>
            </w:r>
            <w:r>
              <w:rPr>
                <w:rFonts w:hint="eastAsia" w:ascii="Times New Roman" w:hAnsi="Times New Roman" w:eastAsia="宋体" w:cs="Times New Roman"/>
                <w:b/>
                <w:bCs/>
                <w:spacing w:val="4"/>
                <w:sz w:val="23"/>
                <w:szCs w:val="23"/>
                <w:highlight w:val="none"/>
                <w:lang w:val="en-US" w:eastAsia="zh-CN"/>
              </w:rPr>
              <w:t>14</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小王庄村抽水试验水位埋深</w:t>
            </w:r>
            <w:r>
              <w:rPr>
                <w:rFonts w:hint="default" w:ascii="Times New Roman" w:hAnsi="Times New Roman" w:eastAsia="Times New Roman" w:cs="Times New Roman"/>
                <w:b/>
                <w:bCs/>
                <w:spacing w:val="4"/>
                <w:sz w:val="23"/>
                <w:szCs w:val="23"/>
                <w:highlight w:val="none"/>
              </w:rPr>
              <w:t>-</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时间曲线</w:t>
            </w:r>
          </w:p>
          <w:p>
            <w:pPr>
              <w:spacing w:before="223" w:line="410" w:lineRule="auto"/>
              <w:ind w:left="119" w:right="45" w:firstLine="501"/>
              <w:jc w:val="both"/>
              <w:rPr>
                <w:rFonts w:hint="eastAsia" w:ascii="Times New Roman" w:hAnsi="Times New Roman" w:eastAsia="宋体" w:cs="Times New Roman"/>
                <w:sz w:val="23"/>
                <w:szCs w:val="23"/>
                <w:highlight w:val="none"/>
                <w:lang w:eastAsia="zh-CN"/>
              </w:rPr>
            </w:pPr>
            <w:r>
              <w:rPr>
                <w:rFonts w:hint="default" w:ascii="Times New Roman" w:hAnsi="Times New Roman" w:eastAsia="宋体" w:cs="Times New Roman"/>
                <w:spacing w:val="5"/>
                <w:sz w:val="23"/>
                <w:szCs w:val="23"/>
                <w:highlight w:val="none"/>
              </w:rPr>
              <w:t>山王庄村抽水试验井深为</w:t>
            </w:r>
            <w:r>
              <w:rPr>
                <w:rFonts w:hint="default" w:ascii="Times New Roman" w:hAnsi="Times New Roman" w:eastAsia="Times New Roman" w:cs="Times New Roman"/>
                <w:spacing w:val="5"/>
                <w:sz w:val="23"/>
                <w:szCs w:val="23"/>
                <w:highlight w:val="none"/>
              </w:rPr>
              <w:t>70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，井径</w:t>
            </w:r>
            <w:r>
              <w:rPr>
                <w:rFonts w:hint="default" w:ascii="Times New Roman" w:hAnsi="Times New Roman" w:eastAsia="Times New Roman" w:cs="Times New Roman"/>
                <w:spacing w:val="5"/>
                <w:sz w:val="23"/>
                <w:szCs w:val="23"/>
                <w:highlight w:val="none"/>
              </w:rPr>
              <w:t>0.3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，静止水位埋深</w:t>
            </w:r>
            <w:r>
              <w:rPr>
                <w:rFonts w:hint="default" w:ascii="Times New Roman" w:hAnsi="Times New Roman" w:eastAsia="Times New Roman" w:cs="Times New Roman"/>
                <w:spacing w:val="5"/>
                <w:sz w:val="23"/>
                <w:szCs w:val="23"/>
                <w:highlight w:val="none"/>
              </w:rPr>
              <w:t>18.2</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，整个抽</w:t>
            </w:r>
            <w:r>
              <w:rPr>
                <w:rFonts w:hint="default" w:ascii="Times New Roman" w:hAnsi="Times New Roman" w:eastAsia="宋体" w:cs="Times New Roman"/>
                <w:spacing w:val="1"/>
                <w:sz w:val="23"/>
                <w:szCs w:val="23"/>
                <w:highlight w:val="none"/>
              </w:rPr>
              <w:t>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试</w:t>
            </w:r>
            <w:r>
              <w:rPr>
                <w:rFonts w:hint="default" w:ascii="Times New Roman" w:hAnsi="Times New Roman" w:eastAsia="宋体" w:cs="Times New Roman"/>
                <w:spacing w:val="5"/>
                <w:sz w:val="23"/>
                <w:szCs w:val="23"/>
                <w:highlight w:val="none"/>
              </w:rPr>
              <w:t>验历时</w:t>
            </w:r>
            <w:r>
              <w:rPr>
                <w:rFonts w:hint="default" w:ascii="Times New Roman" w:hAnsi="Times New Roman" w:eastAsia="Times New Roman" w:cs="Times New Roman"/>
                <w:spacing w:val="5"/>
                <w:sz w:val="23"/>
                <w:szCs w:val="23"/>
                <w:highlight w:val="none"/>
              </w:rPr>
              <w:t>8</w:t>
            </w:r>
            <w:r>
              <w:rPr>
                <w:rFonts w:hint="default" w:ascii="Times New Roman" w:hAnsi="Times New Roman" w:eastAsia="宋体" w:cs="Times New Roman"/>
                <w:spacing w:val="5"/>
                <w:sz w:val="23"/>
                <w:szCs w:val="23"/>
                <w:highlight w:val="none"/>
              </w:rPr>
              <w:t>个小时，其中抽水试验阶段历时</w:t>
            </w:r>
            <w:r>
              <w:rPr>
                <w:rFonts w:hint="default" w:ascii="Times New Roman" w:hAnsi="Times New Roman" w:eastAsia="Times New Roman" w:cs="Times New Roman"/>
                <w:spacing w:val="5"/>
                <w:sz w:val="23"/>
                <w:szCs w:val="23"/>
                <w:highlight w:val="none"/>
              </w:rPr>
              <w:t>5</w:t>
            </w:r>
            <w:r>
              <w:rPr>
                <w:rFonts w:hint="default" w:ascii="Times New Roman" w:hAnsi="Times New Roman" w:eastAsia="宋体" w:cs="Times New Roman"/>
                <w:spacing w:val="5"/>
                <w:sz w:val="23"/>
                <w:szCs w:val="23"/>
                <w:highlight w:val="none"/>
              </w:rPr>
              <w:t>个小时，水位稳定时间</w:t>
            </w:r>
            <w:r>
              <w:rPr>
                <w:rFonts w:hint="default" w:ascii="Times New Roman" w:hAnsi="Times New Roman" w:eastAsia="Times New Roman" w:cs="Times New Roman"/>
                <w:spacing w:val="5"/>
                <w:sz w:val="23"/>
                <w:szCs w:val="23"/>
                <w:highlight w:val="none"/>
              </w:rPr>
              <w:t>4</w:t>
            </w:r>
            <w:r>
              <w:rPr>
                <w:rFonts w:hint="default" w:ascii="Times New Roman" w:hAnsi="Times New Roman" w:eastAsia="宋体" w:cs="Times New Roman"/>
                <w:spacing w:val="5"/>
                <w:sz w:val="23"/>
                <w:szCs w:val="23"/>
                <w:highlight w:val="none"/>
              </w:rPr>
              <w:t>小时</w:t>
            </w:r>
            <w:r>
              <w:rPr>
                <w:rFonts w:hint="default" w:ascii="Times New Roman" w:hAnsi="Times New Roman" w:eastAsia="Times New Roman" w:cs="Times New Roman"/>
                <w:spacing w:val="5"/>
                <w:sz w:val="23"/>
                <w:szCs w:val="23"/>
                <w:highlight w:val="none"/>
              </w:rPr>
              <w:t>50</w:t>
            </w:r>
            <w:r>
              <w:rPr>
                <w:rFonts w:hint="default" w:ascii="Times New Roman" w:hAnsi="Times New Roman" w:eastAsia="宋体" w:cs="Times New Roman"/>
                <w:spacing w:val="5"/>
                <w:sz w:val="23"/>
                <w:szCs w:val="23"/>
                <w:highlight w:val="none"/>
              </w:rPr>
              <w:t>分钟，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恢复试验阶段历时</w:t>
            </w:r>
            <w:r>
              <w:rPr>
                <w:rFonts w:hint="default" w:ascii="Times New Roman" w:hAnsi="Times New Roman" w:eastAsia="Times New Roman" w:cs="Times New Roman"/>
                <w:spacing w:val="8"/>
                <w:sz w:val="23"/>
                <w:szCs w:val="23"/>
                <w:highlight w:val="none"/>
              </w:rPr>
              <w:t>3</w:t>
            </w:r>
            <w:r>
              <w:rPr>
                <w:rFonts w:hint="default" w:ascii="Times New Roman" w:hAnsi="Times New Roman" w:eastAsia="宋体" w:cs="Times New Roman"/>
                <w:spacing w:val="8"/>
                <w:sz w:val="23"/>
                <w:szCs w:val="23"/>
                <w:highlight w:val="none"/>
              </w:rPr>
              <w:t>个小时，水位最大降深为</w:t>
            </w:r>
            <w:r>
              <w:rPr>
                <w:rFonts w:hint="default" w:ascii="Times New Roman" w:hAnsi="Times New Roman" w:eastAsia="Times New Roman" w:cs="Times New Roman"/>
                <w:spacing w:val="8"/>
                <w:sz w:val="23"/>
                <w:szCs w:val="23"/>
                <w:highlight w:val="none"/>
              </w:rPr>
              <w:t>1.74</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，涌水量为</w:t>
            </w:r>
            <w:r>
              <w:rPr>
                <w:rFonts w:hint="default" w:ascii="Times New Roman" w:hAnsi="Times New Roman" w:eastAsia="Times New Roman" w:cs="Times New Roman"/>
                <w:spacing w:val="8"/>
                <w:sz w:val="23"/>
                <w:szCs w:val="23"/>
                <w:highlight w:val="none"/>
              </w:rPr>
              <w:t>81.25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position w:val="7"/>
                <w:sz w:val="15"/>
                <w:szCs w:val="15"/>
                <w:highlight w:val="none"/>
              </w:rPr>
              <w:t>3</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8"/>
                <w:sz w:val="23"/>
                <w:szCs w:val="23"/>
                <w:highlight w:val="none"/>
              </w:rPr>
              <w:t xml:space="preserve"> </w:t>
            </w:r>
            <w:r>
              <w:rPr>
                <w:rFonts w:hint="eastAsia" w:ascii="Times New Roman" w:hAnsi="Times New Roman" w:eastAsia="宋体" w:cs="Times New Roman"/>
                <w:spacing w:val="8"/>
                <w:sz w:val="23"/>
                <w:szCs w:val="23"/>
                <w:highlight w:val="none"/>
                <w:lang w:eastAsia="zh-CN"/>
              </w:rPr>
              <w:t>。</w:t>
            </w:r>
          </w:p>
        </w:tc>
      </w:tr>
    </w:tbl>
    <w:p>
      <w:pPr>
        <w:spacing w:line="390" w:lineRule="auto"/>
        <w:ind w:firstLine="420" w:firstLineChars="200"/>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rect id="_x0000_s1257" o:spid="_x0000_s1257" o:spt="1" style="position:absolute;left:0pt;margin-left:90pt;margin-top:776.35pt;height:3.65pt;width:415.3pt;mso-position-horizontal-relative:page;mso-position-vertical-relative:page;z-index:251764736;mso-width-relative:page;mso-height-relative:page;" filled="f" stroked="f" coordsize="21600,21600" o:allowincell="f">
            <v:path/>
            <v:fill on="f" focussize="0,0"/>
            <v:stroke on="f"/>
            <v:imagedata o:title=""/>
            <o:lock v:ext="edit" aspectratio="f"/>
          </v:rect>
        </w:pict>
      </w:r>
      <w:r>
        <w:rPr>
          <w:rFonts w:hint="default" w:ascii="Times New Roman" w:hAnsi="Times New Roman" w:cs="Times New Roman"/>
          <w:highlight w:val="none"/>
        </w:rPr>
        <w:pict>
          <v:shape id="_x0000_s1258" o:spid="_x0000_s1258" style="position:absolute;left:0pt;margin-left:90pt;margin-top:59.05pt;height:0.75pt;width:415.3pt;mso-position-horizontal-relative:page;mso-position-vertical-relative:page;z-index:251765760;mso-width-relative:page;mso-height-relative:page;" fillcolor="#000000" filled="t" stroked="f" coordsize="8305,15" o:allowincell="f" path="m0,0l8305,0,8305,14,0,14,0,0xe">
            <v:path/>
            <v:fill on="t" focussize="0,0"/>
            <v:stroke on="f"/>
            <v:imagedata o:title=""/>
            <o:lock v:ext="edit"/>
          </v:shape>
        </w:pict>
      </w:r>
      <w:r>
        <w:rPr>
          <w:rFonts w:hint="default" w:ascii="Times New Roman" w:hAnsi="Times New Roman" w:eastAsia="宋体" w:cs="Times New Roman"/>
          <w:spacing w:val="5"/>
          <w:sz w:val="23"/>
          <w:szCs w:val="23"/>
          <w:highlight w:val="none"/>
        </w:rPr>
        <w:t>图</w:t>
      </w:r>
      <w:r>
        <w:rPr>
          <w:rFonts w:hint="default" w:ascii="Times New Roman" w:hAnsi="Times New Roman" w:eastAsia="Times New Roman" w:cs="Times New Roman"/>
          <w:spacing w:val="5"/>
          <w:sz w:val="23"/>
          <w:szCs w:val="23"/>
          <w:highlight w:val="none"/>
        </w:rPr>
        <w:t>5.2-</w:t>
      </w:r>
      <w:r>
        <w:rPr>
          <w:rFonts w:hint="eastAsia" w:ascii="Times New Roman" w:hAnsi="Times New Roman" w:eastAsia="宋体" w:cs="Times New Roman"/>
          <w:spacing w:val="5"/>
          <w:sz w:val="23"/>
          <w:szCs w:val="23"/>
          <w:highlight w:val="none"/>
          <w:lang w:val="en-US" w:eastAsia="zh-CN"/>
        </w:rPr>
        <w:t>15</w:t>
      </w:r>
      <w:r>
        <w:rPr>
          <w:rFonts w:hint="default" w:ascii="Times New Roman" w:hAnsi="Times New Roman" w:eastAsia="宋体" w:cs="Times New Roman"/>
          <w:spacing w:val="5"/>
          <w:sz w:val="23"/>
          <w:szCs w:val="23"/>
          <w:highlight w:val="none"/>
        </w:rPr>
        <w:t>和图</w:t>
      </w:r>
      <w:r>
        <w:rPr>
          <w:rFonts w:hint="default" w:ascii="Times New Roman" w:hAnsi="Times New Roman" w:eastAsia="Times New Roman" w:cs="Times New Roman"/>
          <w:spacing w:val="5"/>
          <w:sz w:val="23"/>
          <w:szCs w:val="23"/>
          <w:highlight w:val="none"/>
        </w:rPr>
        <w:t>5.2-</w:t>
      </w:r>
      <w:r>
        <w:rPr>
          <w:rFonts w:hint="eastAsia" w:ascii="Times New Roman" w:hAnsi="Times New Roman" w:eastAsia="宋体" w:cs="Times New Roman"/>
          <w:spacing w:val="5"/>
          <w:sz w:val="23"/>
          <w:szCs w:val="23"/>
          <w:highlight w:val="none"/>
          <w:lang w:val="en-US" w:eastAsia="zh-CN"/>
        </w:rPr>
        <w:t>16</w:t>
      </w:r>
      <w:r>
        <w:rPr>
          <w:rFonts w:hint="default" w:ascii="Times New Roman" w:hAnsi="Times New Roman" w:eastAsia="宋体" w:cs="Times New Roman"/>
          <w:spacing w:val="5"/>
          <w:sz w:val="23"/>
          <w:szCs w:val="23"/>
          <w:highlight w:val="none"/>
        </w:rPr>
        <w:t>为抽水试</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验</w:t>
      </w:r>
      <w:r>
        <w:rPr>
          <w:rFonts w:hint="default" w:ascii="Times New Roman" w:hAnsi="Times New Roman" w:eastAsia="宋体" w:cs="Times New Roman"/>
          <w:spacing w:val="9"/>
          <w:sz w:val="23"/>
          <w:szCs w:val="23"/>
          <w:highlight w:val="none"/>
        </w:rPr>
        <w:t>水位降深和水位埋深分别对时间的变化曲线。</w:t>
      </w:r>
    </w:p>
    <w:p>
      <w:pPr>
        <w:spacing w:before="237" w:line="3895" w:lineRule="exact"/>
        <w:ind w:firstLine="1036"/>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111625" cy="247332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166"/>
                    <a:stretch>
                      <a:fillRect/>
                    </a:stretch>
                  </pic:blipFill>
                  <pic:spPr>
                    <a:xfrm>
                      <a:off x="0" y="0"/>
                      <a:ext cx="4111752" cy="2473451"/>
                    </a:xfrm>
                    <a:prstGeom prst="rect">
                      <a:avLst/>
                    </a:prstGeom>
                  </pic:spPr>
                </pic:pic>
              </a:graphicData>
            </a:graphic>
          </wp:inline>
        </w:drawing>
      </w:r>
    </w:p>
    <w:p>
      <w:pPr>
        <w:spacing w:before="274" w:line="225" w:lineRule="auto"/>
        <w:ind w:left="176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8"/>
          <w:sz w:val="23"/>
          <w:szCs w:val="23"/>
          <w:highlight w:val="none"/>
        </w:rPr>
        <w:t>5.2</w:t>
      </w:r>
      <w:r>
        <w:rPr>
          <w:rFonts w:hint="default" w:ascii="Times New Roman" w:hAnsi="Times New Roman" w:eastAsia="Times New Roman" w:cs="Times New Roman"/>
          <w:b/>
          <w:bCs/>
          <w:spacing w:val="4"/>
          <w:sz w:val="23"/>
          <w:szCs w:val="23"/>
          <w:highlight w:val="none"/>
        </w:rPr>
        <w:t>-</w:t>
      </w:r>
      <w:r>
        <w:rPr>
          <w:rFonts w:hint="eastAsia" w:ascii="Times New Roman" w:hAnsi="Times New Roman" w:eastAsia="宋体" w:cs="Times New Roman"/>
          <w:b/>
          <w:bCs/>
          <w:spacing w:val="4"/>
          <w:sz w:val="23"/>
          <w:szCs w:val="23"/>
          <w:highlight w:val="none"/>
          <w:lang w:val="en-US" w:eastAsia="zh-CN"/>
        </w:rPr>
        <w:t>15</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山王庄村抽水试验水位埋深</w:t>
      </w:r>
      <w:r>
        <w:rPr>
          <w:rFonts w:hint="default" w:ascii="Times New Roman" w:hAnsi="Times New Roman" w:eastAsia="Times New Roman" w:cs="Times New Roman"/>
          <w:b/>
          <w:bCs/>
          <w:spacing w:val="4"/>
          <w:sz w:val="23"/>
          <w:szCs w:val="23"/>
          <w:highlight w:val="none"/>
        </w:rPr>
        <w:t>-</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时间曲线</w:t>
      </w:r>
    </w:p>
    <w:p>
      <w:pPr>
        <w:spacing w:before="180" w:line="3751" w:lineRule="exact"/>
        <w:ind w:firstLine="1118"/>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008120" cy="23818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67"/>
                    <a:stretch>
                      <a:fillRect/>
                    </a:stretch>
                  </pic:blipFill>
                  <pic:spPr>
                    <a:xfrm>
                      <a:off x="0" y="0"/>
                      <a:ext cx="4008120" cy="2382011"/>
                    </a:xfrm>
                    <a:prstGeom prst="rect">
                      <a:avLst/>
                    </a:prstGeom>
                  </pic:spPr>
                </pic:pic>
              </a:graphicData>
            </a:graphic>
          </wp:inline>
        </w:drawing>
      </w:r>
    </w:p>
    <w:p>
      <w:pPr>
        <w:spacing w:line="267" w:lineRule="auto"/>
        <w:rPr>
          <w:rFonts w:hint="default" w:ascii="Times New Roman" w:hAnsi="Times New Roman" w:cs="Times New Roman"/>
          <w:sz w:val="21"/>
          <w:highlight w:val="none"/>
        </w:rPr>
      </w:pPr>
    </w:p>
    <w:p>
      <w:pPr>
        <w:spacing w:before="75" w:line="225" w:lineRule="auto"/>
        <w:ind w:left="164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8"/>
          <w:sz w:val="23"/>
          <w:szCs w:val="23"/>
          <w:highlight w:val="none"/>
        </w:rPr>
        <w:t>5</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4"/>
          <w:sz w:val="23"/>
          <w:szCs w:val="23"/>
          <w:highlight w:val="none"/>
        </w:rPr>
        <w:t>2-</w:t>
      </w:r>
      <w:r>
        <w:rPr>
          <w:rFonts w:hint="eastAsia" w:ascii="Times New Roman" w:hAnsi="Times New Roman" w:eastAsia="宋体" w:cs="Times New Roman"/>
          <w:b/>
          <w:bCs/>
          <w:spacing w:val="4"/>
          <w:sz w:val="23"/>
          <w:szCs w:val="23"/>
          <w:highlight w:val="none"/>
          <w:lang w:val="en-US" w:eastAsia="zh-CN"/>
        </w:rPr>
        <w:t>16</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山王庄村抽水试验水位降深</w:t>
      </w:r>
      <w:r>
        <w:rPr>
          <w:rFonts w:hint="default" w:ascii="Times New Roman" w:hAnsi="Times New Roman" w:eastAsia="Times New Roman" w:cs="Times New Roman"/>
          <w:b/>
          <w:bCs/>
          <w:spacing w:val="4"/>
          <w:sz w:val="23"/>
          <w:szCs w:val="23"/>
          <w:highlight w:val="none"/>
        </w:rPr>
        <w:t>-</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时间曲线</w:t>
      </w:r>
    </w:p>
    <w:p>
      <w:pPr>
        <w:spacing w:before="75" w:line="400" w:lineRule="auto"/>
        <w:ind w:left="118" w:right="45" w:firstLine="476" w:firstLineChars="20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皮各庄村抽水</w:t>
      </w:r>
      <w:r>
        <w:rPr>
          <w:rFonts w:hint="default" w:ascii="Times New Roman" w:hAnsi="Times New Roman" w:eastAsia="宋体" w:cs="Times New Roman"/>
          <w:spacing w:val="3"/>
          <w:sz w:val="23"/>
          <w:szCs w:val="23"/>
          <w:highlight w:val="none"/>
        </w:rPr>
        <w:t>试</w:t>
      </w:r>
      <w:r>
        <w:rPr>
          <w:rFonts w:hint="default" w:ascii="Times New Roman" w:hAnsi="Times New Roman" w:eastAsia="宋体" w:cs="Times New Roman"/>
          <w:spacing w:val="2"/>
          <w:sz w:val="23"/>
          <w:szCs w:val="23"/>
          <w:highlight w:val="none"/>
        </w:rPr>
        <w:t>验井深为</w:t>
      </w:r>
      <w:r>
        <w:rPr>
          <w:rFonts w:hint="default" w:ascii="Times New Roman" w:hAnsi="Times New Roman" w:eastAsia="Times New Roman" w:cs="Times New Roman"/>
          <w:spacing w:val="2"/>
          <w:sz w:val="23"/>
          <w:szCs w:val="23"/>
          <w:highlight w:val="none"/>
        </w:rPr>
        <w:t>55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，井径</w:t>
      </w:r>
      <w:r>
        <w:rPr>
          <w:rFonts w:hint="default" w:ascii="Times New Roman" w:hAnsi="Times New Roman" w:eastAsia="Times New Roman" w:cs="Times New Roman"/>
          <w:spacing w:val="2"/>
          <w:sz w:val="23"/>
          <w:szCs w:val="23"/>
          <w:highlight w:val="none"/>
        </w:rPr>
        <w:t>0.3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，静止水位埋深</w:t>
      </w:r>
      <w:r>
        <w:rPr>
          <w:rFonts w:hint="default" w:ascii="Times New Roman" w:hAnsi="Times New Roman" w:eastAsia="Times New Roman" w:cs="Times New Roman"/>
          <w:spacing w:val="2"/>
          <w:sz w:val="23"/>
          <w:szCs w:val="23"/>
          <w:highlight w:val="none"/>
        </w:rPr>
        <w:t>27.73</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，整个抽水</w:t>
      </w:r>
      <w:r>
        <w:rPr>
          <w:rFonts w:hint="default" w:ascii="Times New Roman" w:hAnsi="Times New Roman" w:eastAsia="宋体" w:cs="Times New Roman"/>
          <w:spacing w:val="10"/>
          <w:sz w:val="23"/>
          <w:szCs w:val="23"/>
          <w:highlight w:val="none"/>
        </w:rPr>
        <w:t>试</w:t>
      </w:r>
      <w:r>
        <w:rPr>
          <w:rFonts w:hint="default" w:ascii="Times New Roman" w:hAnsi="Times New Roman" w:eastAsia="宋体" w:cs="Times New Roman"/>
          <w:spacing w:val="5"/>
          <w:sz w:val="23"/>
          <w:szCs w:val="23"/>
          <w:highlight w:val="none"/>
        </w:rPr>
        <w:t>验历时</w:t>
      </w:r>
      <w:r>
        <w:rPr>
          <w:rFonts w:hint="default" w:ascii="Times New Roman" w:hAnsi="Times New Roman" w:eastAsia="Times New Roman" w:cs="Times New Roman"/>
          <w:spacing w:val="5"/>
          <w:sz w:val="23"/>
          <w:szCs w:val="23"/>
          <w:highlight w:val="none"/>
        </w:rPr>
        <w:t>9</w:t>
      </w:r>
      <w:r>
        <w:rPr>
          <w:rFonts w:hint="default" w:ascii="Times New Roman" w:hAnsi="Times New Roman" w:eastAsia="宋体" w:cs="Times New Roman"/>
          <w:spacing w:val="5"/>
          <w:sz w:val="23"/>
          <w:szCs w:val="23"/>
          <w:highlight w:val="none"/>
        </w:rPr>
        <w:t>个小时，其中抽水试验阶段历时</w:t>
      </w:r>
      <w:r>
        <w:rPr>
          <w:rFonts w:hint="default" w:ascii="Times New Roman" w:hAnsi="Times New Roman" w:eastAsia="Times New Roman" w:cs="Times New Roman"/>
          <w:spacing w:val="5"/>
          <w:sz w:val="23"/>
          <w:szCs w:val="23"/>
          <w:highlight w:val="none"/>
        </w:rPr>
        <w:t>6</w:t>
      </w:r>
      <w:r>
        <w:rPr>
          <w:rFonts w:hint="default" w:ascii="Times New Roman" w:hAnsi="Times New Roman" w:eastAsia="宋体" w:cs="Times New Roman"/>
          <w:spacing w:val="5"/>
          <w:sz w:val="23"/>
          <w:szCs w:val="23"/>
          <w:highlight w:val="none"/>
        </w:rPr>
        <w:t>个小时，水位稳定时间</w:t>
      </w:r>
      <w:r>
        <w:rPr>
          <w:rFonts w:hint="default" w:ascii="Times New Roman" w:hAnsi="Times New Roman" w:eastAsia="Times New Roman" w:cs="Times New Roman"/>
          <w:spacing w:val="5"/>
          <w:sz w:val="23"/>
          <w:szCs w:val="23"/>
          <w:highlight w:val="none"/>
        </w:rPr>
        <w:t>5</w:t>
      </w:r>
      <w:r>
        <w:rPr>
          <w:rFonts w:hint="default" w:ascii="Times New Roman" w:hAnsi="Times New Roman" w:eastAsia="宋体" w:cs="Times New Roman"/>
          <w:spacing w:val="5"/>
          <w:sz w:val="23"/>
          <w:szCs w:val="23"/>
          <w:highlight w:val="none"/>
        </w:rPr>
        <w:t>小时</w:t>
      </w:r>
      <w:r>
        <w:rPr>
          <w:rFonts w:hint="default" w:ascii="Times New Roman" w:hAnsi="Times New Roman" w:eastAsia="Times New Roman" w:cs="Times New Roman"/>
          <w:spacing w:val="5"/>
          <w:sz w:val="23"/>
          <w:szCs w:val="23"/>
          <w:highlight w:val="none"/>
        </w:rPr>
        <w:t>30</w:t>
      </w:r>
      <w:r>
        <w:rPr>
          <w:rFonts w:hint="default" w:ascii="Times New Roman" w:hAnsi="Times New Roman" w:eastAsia="宋体" w:cs="Times New Roman"/>
          <w:spacing w:val="5"/>
          <w:sz w:val="23"/>
          <w:szCs w:val="23"/>
          <w:highlight w:val="none"/>
        </w:rPr>
        <w:t>分钟，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恢复试验阶段历时</w:t>
      </w:r>
      <w:r>
        <w:rPr>
          <w:rFonts w:hint="default" w:ascii="Times New Roman" w:hAnsi="Times New Roman" w:eastAsia="Times New Roman" w:cs="Times New Roman"/>
          <w:spacing w:val="8"/>
          <w:sz w:val="23"/>
          <w:szCs w:val="23"/>
          <w:highlight w:val="none"/>
        </w:rPr>
        <w:t>3</w:t>
      </w:r>
      <w:r>
        <w:rPr>
          <w:rFonts w:hint="default" w:ascii="Times New Roman" w:hAnsi="Times New Roman" w:eastAsia="宋体" w:cs="Times New Roman"/>
          <w:spacing w:val="8"/>
          <w:sz w:val="23"/>
          <w:szCs w:val="23"/>
          <w:highlight w:val="none"/>
        </w:rPr>
        <w:t>个小时，水位最大降深为</w:t>
      </w:r>
      <w:r>
        <w:rPr>
          <w:rFonts w:hint="default" w:ascii="Times New Roman" w:hAnsi="Times New Roman" w:eastAsia="Times New Roman" w:cs="Times New Roman"/>
          <w:spacing w:val="8"/>
          <w:sz w:val="23"/>
          <w:szCs w:val="23"/>
          <w:highlight w:val="none"/>
        </w:rPr>
        <w:t>2.30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，涌水量为</w:t>
      </w:r>
      <w:r>
        <w:rPr>
          <w:rFonts w:hint="default" w:ascii="Times New Roman" w:hAnsi="Times New Roman" w:eastAsia="Times New Roman" w:cs="Times New Roman"/>
          <w:spacing w:val="8"/>
          <w:sz w:val="23"/>
          <w:szCs w:val="23"/>
          <w:highlight w:val="none"/>
        </w:rPr>
        <w:t>89.58</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position w:val="8"/>
          <w:sz w:val="15"/>
          <w:szCs w:val="15"/>
          <w:highlight w:val="none"/>
        </w:rPr>
        <w:t>3</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8"/>
          <w:sz w:val="23"/>
          <w:szCs w:val="23"/>
          <w:highlight w:val="none"/>
        </w:rPr>
        <w:t xml:space="preserve"> </w:t>
      </w:r>
      <w:r>
        <w:rPr>
          <w:rFonts w:hint="eastAsia" w:ascii="Times New Roman" w:hAnsi="Times New Roman" w:eastAsia="宋体" w:cs="Times New Roman"/>
          <w:spacing w:val="8"/>
          <w:sz w:val="23"/>
          <w:szCs w:val="23"/>
          <w:highlight w:val="none"/>
          <w:lang w:eastAsia="zh-CN"/>
        </w:rPr>
        <w:t>，</w:t>
      </w:r>
      <w:r>
        <w:rPr>
          <w:rFonts w:hint="default" w:ascii="Times New Roman" w:hAnsi="Times New Roman" w:eastAsia="宋体" w:cs="Times New Roman"/>
          <w:spacing w:val="5"/>
          <w:sz w:val="23"/>
          <w:szCs w:val="23"/>
          <w:highlight w:val="none"/>
        </w:rPr>
        <w:t>图</w:t>
      </w:r>
      <w:r>
        <w:rPr>
          <w:rFonts w:hint="default" w:ascii="Times New Roman" w:hAnsi="Times New Roman" w:eastAsia="Times New Roman" w:cs="Times New Roman"/>
          <w:spacing w:val="5"/>
          <w:sz w:val="23"/>
          <w:szCs w:val="23"/>
          <w:highlight w:val="none"/>
        </w:rPr>
        <w:t>5.2-</w:t>
      </w:r>
      <w:r>
        <w:rPr>
          <w:rFonts w:hint="eastAsia" w:ascii="Times New Roman" w:hAnsi="Times New Roman" w:eastAsia="宋体" w:cs="Times New Roman"/>
          <w:spacing w:val="5"/>
          <w:sz w:val="23"/>
          <w:szCs w:val="23"/>
          <w:highlight w:val="none"/>
          <w:lang w:val="en-US" w:eastAsia="zh-CN"/>
        </w:rPr>
        <w:t>17</w:t>
      </w:r>
      <w:r>
        <w:rPr>
          <w:rFonts w:hint="default" w:ascii="Times New Roman" w:hAnsi="Times New Roman" w:eastAsia="宋体" w:cs="Times New Roman"/>
          <w:spacing w:val="5"/>
          <w:sz w:val="23"/>
          <w:szCs w:val="23"/>
          <w:highlight w:val="none"/>
        </w:rPr>
        <w:t>和图</w:t>
      </w:r>
      <w:r>
        <w:rPr>
          <w:rFonts w:hint="default" w:ascii="Times New Roman" w:hAnsi="Times New Roman" w:eastAsia="Times New Roman" w:cs="Times New Roman"/>
          <w:spacing w:val="5"/>
          <w:sz w:val="23"/>
          <w:szCs w:val="23"/>
          <w:highlight w:val="none"/>
        </w:rPr>
        <w:t>5.2-</w:t>
      </w:r>
      <w:r>
        <w:rPr>
          <w:rFonts w:hint="eastAsia" w:ascii="Times New Roman" w:hAnsi="Times New Roman" w:eastAsia="宋体" w:cs="Times New Roman"/>
          <w:spacing w:val="5"/>
          <w:sz w:val="23"/>
          <w:szCs w:val="23"/>
          <w:highlight w:val="none"/>
          <w:lang w:val="en-US" w:eastAsia="zh-CN"/>
        </w:rPr>
        <w:t>17</w:t>
      </w:r>
      <w:r>
        <w:rPr>
          <w:rFonts w:hint="default" w:ascii="Times New Roman" w:hAnsi="Times New Roman" w:eastAsia="宋体" w:cs="Times New Roman"/>
          <w:spacing w:val="5"/>
          <w:sz w:val="23"/>
          <w:szCs w:val="23"/>
          <w:highlight w:val="none"/>
        </w:rPr>
        <w:t>为抽水试</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验</w:t>
      </w:r>
      <w:r>
        <w:rPr>
          <w:rFonts w:hint="default" w:ascii="Times New Roman" w:hAnsi="Times New Roman" w:eastAsia="宋体" w:cs="Times New Roman"/>
          <w:spacing w:val="9"/>
          <w:sz w:val="23"/>
          <w:szCs w:val="23"/>
          <w:highlight w:val="none"/>
        </w:rPr>
        <w:t>水位降深和水位埋深分别对时间的变化曲线。</w:t>
      </w:r>
    </w:p>
    <w:p>
      <w:pPr>
        <w:spacing w:before="221" w:line="225" w:lineRule="auto"/>
        <w:ind w:left="615"/>
        <w:rPr>
          <w:rFonts w:hint="default" w:ascii="Times New Roman" w:hAnsi="Times New Roman" w:eastAsia="宋体" w:cs="Times New Roman"/>
          <w:sz w:val="23"/>
          <w:szCs w:val="23"/>
          <w:highlight w:val="none"/>
        </w:rPr>
      </w:pPr>
    </w:p>
    <w:p>
      <w:pPr>
        <w:rPr>
          <w:rFonts w:hint="default" w:ascii="Times New Roman" w:hAnsi="Times New Roman" w:cs="Times New Roman"/>
          <w:highlight w:val="none"/>
        </w:rPr>
        <w:sectPr>
          <w:headerReference r:id="rId96" w:type="default"/>
          <w:footerReference r:id="rId97" w:type="default"/>
          <w:pgSz w:w="11906" w:h="16839"/>
          <w:pgMar w:top="1167" w:right="1677" w:bottom="1175" w:left="1677" w:header="897" w:footer="1015" w:gutter="0"/>
          <w:pgBorders>
            <w:top w:val="none" w:sz="0" w:space="0"/>
            <w:left w:val="none" w:sz="0" w:space="0"/>
            <w:bottom w:val="none" w:sz="0" w:space="0"/>
            <w:right w:val="none" w:sz="0" w:space="0"/>
          </w:pgBorders>
          <w:pgNumType w:fmt="decimal"/>
          <w:cols w:space="720" w:num="1"/>
        </w:sectPr>
      </w:pPr>
    </w:p>
    <w:p>
      <w:pPr>
        <w:spacing w:line="14" w:lineRule="exact"/>
        <w:rPr>
          <w:rFonts w:hint="default" w:ascii="Times New Roman" w:hAnsi="Times New Roman" w:cs="Times New Roman"/>
          <w:highlight w:val="none"/>
        </w:rPr>
      </w:pPr>
    </w:p>
    <w:tbl>
      <w:tblPr>
        <w:tblStyle w:val="19"/>
        <w:tblW w:w="8525" w:type="dxa"/>
        <w:tblInd w:w="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45" w:hRule="atLeast"/>
        </w:trPr>
        <w:tc>
          <w:tcPr>
            <w:tcW w:w="8525" w:type="dxa"/>
            <w:tcBorders>
              <w:tl2br w:val="nil"/>
              <w:tr2bl w:val="nil"/>
            </w:tcBorders>
            <w:vAlign w:val="top"/>
          </w:tcPr>
          <w:p>
            <w:pPr>
              <w:spacing w:line="286" w:lineRule="auto"/>
              <w:rPr>
                <w:rFonts w:hint="default" w:ascii="Times New Roman" w:hAnsi="Times New Roman" w:cs="Times New Roman"/>
                <w:sz w:val="21"/>
                <w:highlight w:val="none"/>
              </w:rPr>
            </w:pPr>
          </w:p>
          <w:p>
            <w:pPr>
              <w:spacing w:line="3816" w:lineRule="exact"/>
              <w:ind w:firstLine="949"/>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206240" cy="2422525"/>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168"/>
                          <a:stretch>
                            <a:fillRect/>
                          </a:stretch>
                        </pic:blipFill>
                        <pic:spPr>
                          <a:xfrm>
                            <a:off x="0" y="0"/>
                            <a:ext cx="4206240" cy="2423159"/>
                          </a:xfrm>
                          <a:prstGeom prst="rect">
                            <a:avLst/>
                          </a:prstGeom>
                        </pic:spPr>
                      </pic:pic>
                    </a:graphicData>
                  </a:graphic>
                </wp:inline>
              </w:drawing>
            </w:r>
          </w:p>
          <w:p>
            <w:pPr>
              <w:spacing w:before="315" w:line="225" w:lineRule="auto"/>
              <w:ind w:left="163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8"/>
                <w:sz w:val="23"/>
                <w:szCs w:val="23"/>
                <w:highlight w:val="none"/>
              </w:rPr>
              <w:t>5</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4"/>
                <w:sz w:val="23"/>
                <w:szCs w:val="23"/>
                <w:highlight w:val="none"/>
              </w:rPr>
              <w:t>2-</w:t>
            </w:r>
            <w:r>
              <w:rPr>
                <w:rFonts w:hint="eastAsia" w:ascii="Times New Roman" w:hAnsi="Times New Roman" w:eastAsia="宋体" w:cs="Times New Roman"/>
                <w:b/>
                <w:bCs/>
                <w:spacing w:val="4"/>
                <w:sz w:val="23"/>
                <w:szCs w:val="23"/>
                <w:highlight w:val="none"/>
                <w:lang w:val="en-US" w:eastAsia="zh-CN"/>
              </w:rPr>
              <w:t>,17</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皮各庄村抽水试验水位埋深</w:t>
            </w:r>
            <w:r>
              <w:rPr>
                <w:rFonts w:hint="default" w:ascii="Times New Roman" w:hAnsi="Times New Roman" w:eastAsia="Times New Roman" w:cs="Times New Roman"/>
                <w:b/>
                <w:bCs/>
                <w:spacing w:val="4"/>
                <w:sz w:val="23"/>
                <w:szCs w:val="23"/>
                <w:highlight w:val="none"/>
              </w:rPr>
              <w:t>-</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时间曲线</w:t>
            </w:r>
          </w:p>
          <w:p>
            <w:pPr>
              <w:spacing w:before="71" w:line="3651" w:lineRule="exact"/>
              <w:ind w:firstLine="1074"/>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047490" cy="231775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69"/>
                          <a:stretch>
                            <a:fillRect/>
                          </a:stretch>
                        </pic:blipFill>
                        <pic:spPr>
                          <a:xfrm>
                            <a:off x="0" y="0"/>
                            <a:ext cx="4047744" cy="2318004"/>
                          </a:xfrm>
                          <a:prstGeom prst="rect">
                            <a:avLst/>
                          </a:prstGeom>
                        </pic:spPr>
                      </pic:pic>
                    </a:graphicData>
                  </a:graphic>
                </wp:inline>
              </w:drawing>
            </w:r>
          </w:p>
          <w:p>
            <w:pPr>
              <w:spacing w:before="240" w:line="225" w:lineRule="auto"/>
              <w:ind w:left="163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8"/>
                <w:sz w:val="23"/>
                <w:szCs w:val="23"/>
                <w:highlight w:val="none"/>
              </w:rPr>
              <w:t>5</w:t>
            </w:r>
            <w:r>
              <w:rPr>
                <w:rFonts w:hint="default" w:ascii="Times New Roman" w:hAnsi="Times New Roman" w:eastAsia="Times New Roman" w:cs="Times New Roman"/>
                <w:b/>
                <w:bCs/>
                <w:spacing w:val="6"/>
                <w:sz w:val="23"/>
                <w:szCs w:val="23"/>
                <w:highlight w:val="none"/>
              </w:rPr>
              <w:t>.</w:t>
            </w:r>
            <w:r>
              <w:rPr>
                <w:rFonts w:hint="default" w:ascii="Times New Roman" w:hAnsi="Times New Roman" w:eastAsia="Times New Roman" w:cs="Times New Roman"/>
                <w:b/>
                <w:bCs/>
                <w:spacing w:val="4"/>
                <w:sz w:val="23"/>
                <w:szCs w:val="23"/>
                <w:highlight w:val="none"/>
              </w:rPr>
              <w:t>2-</w:t>
            </w:r>
            <w:r>
              <w:rPr>
                <w:rFonts w:hint="eastAsia" w:ascii="Times New Roman" w:hAnsi="Times New Roman" w:eastAsia="宋体" w:cs="Times New Roman"/>
                <w:b/>
                <w:bCs/>
                <w:spacing w:val="4"/>
                <w:sz w:val="23"/>
                <w:szCs w:val="23"/>
                <w:highlight w:val="none"/>
                <w:lang w:val="en-US" w:eastAsia="zh-CN"/>
              </w:rPr>
              <w:t>18</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皮各庄村抽水试验水位降深</w:t>
            </w:r>
            <w:r>
              <w:rPr>
                <w:rFonts w:hint="default" w:ascii="Times New Roman" w:hAnsi="Times New Roman" w:eastAsia="Times New Roman" w:cs="Times New Roman"/>
                <w:b/>
                <w:bCs/>
                <w:spacing w:val="4"/>
                <w:sz w:val="23"/>
                <w:szCs w:val="23"/>
                <w:highlight w:val="none"/>
              </w:rPr>
              <w:t>-</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时间曲线</w:t>
            </w:r>
          </w:p>
        </w:tc>
      </w:tr>
    </w:tbl>
    <w:p>
      <w:pPr>
        <w:spacing w:line="14" w:lineRule="exact"/>
        <w:rPr>
          <w:rFonts w:hint="default" w:ascii="Times New Roman" w:hAnsi="Times New Roman" w:cs="Times New Roman"/>
          <w:sz w:val="2"/>
          <w:highlight w:val="none"/>
        </w:rPr>
      </w:pPr>
    </w:p>
    <w:p>
      <w:pPr>
        <w:tabs>
          <w:tab w:val="left" w:pos="442"/>
        </w:tabs>
        <w:bidi w:val="0"/>
        <w:jc w:val="left"/>
        <w:rPr>
          <w:rFonts w:hint="default" w:ascii="Times New Roman" w:hAnsi="Times New Roman" w:cs="Times New Roman"/>
          <w:sz w:val="21"/>
          <w:highlight w:val="none"/>
        </w:rPr>
      </w:pPr>
      <w:r>
        <w:rPr>
          <w:rFonts w:hint="default" w:ascii="Times New Roman" w:hAnsi="Times New Roman" w:cs="Times New Roman"/>
          <w:highlight w:val="none"/>
        </w:rPr>
        <w:pict>
          <v:shape id="_x0000_s1259" o:spid="_x0000_s1259" style="position:absolute;left:0pt;margin-left:90pt;margin-top:59.05pt;height:0.75pt;width:415.3pt;mso-position-horizontal-relative:page;mso-position-vertical-relative:page;z-index:251766784;mso-width-relative:page;mso-height-relative:page;" fillcolor="#000000" filled="t" stroked="f" coordsize="8305,15" o:allowincell="f" path="m0,0l8305,0,8305,14,0,14,0,0xe">
            <v:path/>
            <v:fill on="t" focussize="0,0"/>
            <v:stroke on="f"/>
            <v:imagedata o:title=""/>
            <o:lock v:ext="edit"/>
          </v:shape>
        </w:pict>
      </w:r>
      <w:r>
        <w:rPr>
          <w:rFonts w:hint="default" w:ascii="Times New Roman" w:hAnsi="Times New Roman" w:cs="Times New Roman"/>
          <w:highlight w:val="none"/>
        </w:rPr>
        <w:pict>
          <v:shape id="_x0000_s1260" o:spid="_x0000_s1260" style="position:absolute;left:0pt;margin-left:90pt;margin-top:776.35pt;height:0.75pt;width:415.3pt;mso-position-horizontal-relative:page;mso-position-vertical-relative:page;z-index:251767808;mso-width-relative:page;mso-height-relative:page;" fillcolor="#F2F2F2" filled="t" stroked="t" coordsize="8305,15" o:allowincell="f" path="m0,0l8305,0,8305,14,0,14,0,0xe">
            <v:fill on="t" color2="#FFFFFF" focussize="0,0"/>
            <v:stroke weight="0pt" color="#FFFFFF"/>
            <v:imagedata o:title=""/>
            <o:lock v:ext="edit" aspectratio="f"/>
          </v:shape>
        </w:pict>
      </w:r>
    </w:p>
    <w:p>
      <w:pPr>
        <w:spacing w:before="115" w:line="225" w:lineRule="auto"/>
        <w:ind w:left="128" w:firstLine="492" w:firstLineChars="200"/>
        <w:outlineLvl w:val="0"/>
        <w:rPr>
          <w:rFonts w:hint="default" w:ascii="Times New Roman" w:hAnsi="Times New Roman" w:eastAsia="宋体" w:cs="Times New Roman"/>
          <w:sz w:val="23"/>
          <w:szCs w:val="23"/>
          <w:highlight w:val="none"/>
        </w:rPr>
      </w:pPr>
      <w:bookmarkStart w:id="580" w:name="_Toc26999"/>
      <w:bookmarkStart w:id="581" w:name="_Toc32351"/>
      <w:bookmarkStart w:id="582" w:name="_Toc19464"/>
      <w:r>
        <w:rPr>
          <w:rFonts w:hint="default" w:ascii="Times New Roman" w:hAnsi="Times New Roman" w:eastAsia="Times New Roman" w:cs="Times New Roman"/>
          <w:b/>
          <w:bCs/>
          <w:spacing w:val="8"/>
          <w:sz w:val="23"/>
          <w:szCs w:val="23"/>
          <w:highlight w:val="none"/>
        </w:rPr>
        <w:t>2.</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渗水试验与参数计</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算</w:t>
      </w:r>
      <w:bookmarkEnd w:id="580"/>
      <w:bookmarkEnd w:id="581"/>
      <w:bookmarkEnd w:id="582"/>
    </w:p>
    <w:p>
      <w:pPr>
        <w:spacing w:before="267" w:line="227" w:lineRule="auto"/>
        <w:ind w:left="614"/>
        <w:outlineLvl w:val="1"/>
        <w:rPr>
          <w:rFonts w:hint="default" w:ascii="Times New Roman" w:hAnsi="Times New Roman" w:eastAsia="宋体" w:cs="Times New Roman"/>
          <w:sz w:val="23"/>
          <w:szCs w:val="23"/>
          <w:highlight w:val="none"/>
        </w:rPr>
      </w:pPr>
      <w:bookmarkStart w:id="583" w:name="_Toc16516"/>
      <w:bookmarkStart w:id="584" w:name="_Toc24746"/>
      <w:bookmarkStart w:id="585" w:name="_Toc25040"/>
      <w:r>
        <w:rPr>
          <w:rFonts w:hint="default" w:ascii="Times New Roman" w:hAnsi="Times New Roman" w:eastAsia="宋体" w:cs="Times New Roman"/>
          <w:spacing w:val="12"/>
          <w:sz w:val="23"/>
          <w:szCs w:val="23"/>
          <w:highlight w:val="none"/>
        </w:rPr>
        <w:t>为查明项</w:t>
      </w:r>
      <w:r>
        <w:rPr>
          <w:rFonts w:hint="default" w:ascii="Times New Roman" w:hAnsi="Times New Roman" w:eastAsia="宋体" w:cs="Times New Roman"/>
          <w:spacing w:val="8"/>
          <w:sz w:val="23"/>
          <w:szCs w:val="23"/>
          <w:highlight w:val="none"/>
        </w:rPr>
        <w:t>目</w:t>
      </w:r>
      <w:r>
        <w:rPr>
          <w:rFonts w:hint="default" w:ascii="Times New Roman" w:hAnsi="Times New Roman" w:eastAsia="宋体" w:cs="Times New Roman"/>
          <w:spacing w:val="6"/>
          <w:sz w:val="23"/>
          <w:szCs w:val="23"/>
          <w:highlight w:val="none"/>
        </w:rPr>
        <w:t>区包气带的防污性能，为地下水污染防治措施的设计提供科学依</w:t>
      </w:r>
      <w:bookmarkEnd w:id="583"/>
      <w:bookmarkEnd w:id="584"/>
      <w:bookmarkEnd w:id="585"/>
    </w:p>
    <w:p>
      <w:pPr>
        <w:spacing w:before="217" w:line="401" w:lineRule="auto"/>
        <w:ind w:left="135" w:right="122" w:hanging="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据</w:t>
      </w:r>
      <w:r>
        <w:rPr>
          <w:rFonts w:hint="default" w:ascii="Times New Roman" w:hAnsi="Times New Roman" w:eastAsia="宋体" w:cs="Times New Roman"/>
          <w:spacing w:val="12"/>
          <w:sz w:val="23"/>
          <w:szCs w:val="23"/>
          <w:highlight w:val="none"/>
        </w:rPr>
        <w:t>，</w:t>
      </w:r>
      <w:r>
        <w:rPr>
          <w:rFonts w:hint="default" w:ascii="Times New Roman" w:hAnsi="Times New Roman" w:eastAsia="宋体" w:cs="Times New Roman"/>
          <w:spacing w:val="10"/>
          <w:sz w:val="23"/>
          <w:szCs w:val="23"/>
          <w:highlight w:val="none"/>
        </w:rPr>
        <w:t>本次分别完成了</w:t>
      </w:r>
      <w:r>
        <w:rPr>
          <w:rFonts w:hint="default" w:ascii="Times New Roman" w:hAnsi="Times New Roman" w:eastAsia="Times New Roman" w:cs="Times New Roman"/>
          <w:spacing w:val="10"/>
          <w:sz w:val="23"/>
          <w:szCs w:val="23"/>
          <w:highlight w:val="none"/>
        </w:rPr>
        <w:t>4</w:t>
      </w:r>
      <w:r>
        <w:rPr>
          <w:rFonts w:hint="default" w:ascii="Times New Roman" w:hAnsi="Times New Roman" w:eastAsia="宋体" w:cs="Times New Roman"/>
          <w:spacing w:val="10"/>
          <w:sz w:val="23"/>
          <w:szCs w:val="23"/>
          <w:highlight w:val="none"/>
        </w:rPr>
        <w:t>处渗水试验，通过野外现场测定了包气带地层的垂向渗透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系数</w:t>
      </w:r>
      <w:r>
        <w:rPr>
          <w:rFonts w:hint="default" w:ascii="Times New Roman" w:hAnsi="Times New Roman" w:eastAsia="宋体" w:cs="Times New Roman"/>
          <w:spacing w:val="1"/>
          <w:sz w:val="23"/>
          <w:szCs w:val="23"/>
          <w:highlight w:val="none"/>
        </w:rPr>
        <w:t>。</w:t>
      </w:r>
    </w:p>
    <w:p>
      <w:pPr>
        <w:spacing w:before="1" w:line="224" w:lineRule="auto"/>
        <w:ind w:left="610"/>
        <w:outlineLvl w:val="1"/>
        <w:rPr>
          <w:rFonts w:hint="default" w:ascii="Times New Roman" w:hAnsi="Times New Roman" w:eastAsia="宋体" w:cs="Times New Roman"/>
          <w:sz w:val="23"/>
          <w:szCs w:val="23"/>
          <w:highlight w:val="none"/>
        </w:rPr>
      </w:pPr>
      <w:bookmarkStart w:id="586" w:name="_Toc1479"/>
      <w:bookmarkStart w:id="587" w:name="_Toc32000"/>
      <w:bookmarkStart w:id="588" w:name="_Toc2907"/>
      <w:r>
        <w:rPr>
          <w:rFonts w:hint="default" w:ascii="Times New Roman" w:hAnsi="Times New Roman" w:eastAsia="宋体" w:cs="Times New Roman"/>
          <w:spacing w:val="9"/>
          <w:sz w:val="23"/>
          <w:szCs w:val="23"/>
          <w:highlight w:val="none"/>
        </w:rPr>
        <w:t>①渗水实验求参原理</w:t>
      </w:r>
      <w:bookmarkEnd w:id="586"/>
      <w:bookmarkEnd w:id="587"/>
      <w:bookmarkEnd w:id="588"/>
    </w:p>
    <w:p>
      <w:pPr>
        <w:spacing w:before="223" w:line="401" w:lineRule="auto"/>
        <w:ind w:left="131" w:right="56"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试验采用双</w:t>
      </w:r>
      <w:r>
        <w:rPr>
          <w:rFonts w:hint="default" w:ascii="Times New Roman" w:hAnsi="Times New Roman" w:eastAsia="宋体" w:cs="Times New Roman"/>
          <w:spacing w:val="5"/>
          <w:sz w:val="23"/>
          <w:szCs w:val="23"/>
          <w:highlight w:val="none"/>
        </w:rPr>
        <w:t>环</w:t>
      </w:r>
      <w:r>
        <w:rPr>
          <w:rFonts w:hint="default" w:ascii="Times New Roman" w:hAnsi="Times New Roman" w:eastAsia="宋体" w:cs="Times New Roman"/>
          <w:spacing w:val="4"/>
          <w:sz w:val="23"/>
          <w:szCs w:val="23"/>
          <w:highlight w:val="none"/>
        </w:rPr>
        <w:t>渗水试验，分别将直径为</w:t>
      </w:r>
      <w:r>
        <w:rPr>
          <w:rFonts w:hint="default" w:ascii="Times New Roman" w:hAnsi="Times New Roman" w:eastAsia="Times New Roman" w:cs="Times New Roman"/>
          <w:spacing w:val="4"/>
          <w:sz w:val="23"/>
          <w:szCs w:val="23"/>
          <w:highlight w:val="none"/>
        </w:rPr>
        <w:t>0.5</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4"/>
          <w:sz w:val="23"/>
          <w:szCs w:val="23"/>
          <w:highlight w:val="none"/>
        </w:rPr>
        <w:t>和</w:t>
      </w:r>
      <w:r>
        <w:rPr>
          <w:rFonts w:hint="default" w:ascii="Times New Roman" w:hAnsi="Times New Roman" w:eastAsia="Times New Roman" w:cs="Times New Roman"/>
          <w:spacing w:val="4"/>
          <w:sz w:val="23"/>
          <w:szCs w:val="23"/>
          <w:highlight w:val="none"/>
        </w:rPr>
        <w:t>0.25</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4"/>
          <w:sz w:val="23"/>
          <w:szCs w:val="23"/>
          <w:highlight w:val="none"/>
        </w:rPr>
        <w:t>的铁圈插入地下土层内，</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试验时向</w:t>
      </w:r>
      <w:r>
        <w:rPr>
          <w:rFonts w:hint="default" w:ascii="Times New Roman" w:hAnsi="Times New Roman" w:eastAsia="宋体" w:cs="Times New Roman"/>
          <w:spacing w:val="5"/>
          <w:sz w:val="23"/>
          <w:szCs w:val="23"/>
          <w:highlight w:val="none"/>
        </w:rPr>
        <w:t>内</w:t>
      </w:r>
      <w:r>
        <w:rPr>
          <w:rFonts w:hint="default" w:ascii="Times New Roman" w:hAnsi="Times New Roman" w:eastAsia="宋体" w:cs="Times New Roman"/>
          <w:spacing w:val="3"/>
          <w:sz w:val="23"/>
          <w:szCs w:val="23"/>
          <w:highlight w:val="none"/>
        </w:rPr>
        <w:t>、外环同时注入清水，并保持内外环的水位基本一致，都为</w:t>
      </w:r>
      <w:r>
        <w:rPr>
          <w:rFonts w:hint="default" w:ascii="Times New Roman" w:hAnsi="Times New Roman" w:eastAsia="Times New Roman" w:cs="Times New Roman"/>
          <w:spacing w:val="3"/>
          <w:sz w:val="23"/>
          <w:szCs w:val="23"/>
          <w:highlight w:val="none"/>
        </w:rPr>
        <w:t>0. 1</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，由</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于外环渗透场的约束作用使内环的水只能垂向渗入，因而排除了侧向渗流的误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差</w:t>
      </w:r>
      <w:r>
        <w:rPr>
          <w:rFonts w:hint="default" w:ascii="Times New Roman" w:hAnsi="Times New Roman" w:eastAsia="宋体" w:cs="Times New Roman"/>
          <w:spacing w:val="7"/>
          <w:sz w:val="23"/>
          <w:szCs w:val="23"/>
          <w:highlight w:val="none"/>
        </w:rPr>
        <w:t>。当向内环单位时间注入水量稳定时，则根据达西渗透定律计算包气带地层饱</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和</w:t>
      </w:r>
      <w:r>
        <w:rPr>
          <w:rFonts w:hint="default" w:ascii="Times New Roman" w:hAnsi="Times New Roman" w:eastAsia="宋体" w:cs="Times New Roman"/>
          <w:spacing w:val="8"/>
          <w:sz w:val="23"/>
          <w:szCs w:val="23"/>
          <w:highlight w:val="none"/>
        </w:rPr>
        <w:t>渗透系数</w:t>
      </w:r>
      <w:r>
        <w:rPr>
          <w:rFonts w:hint="default" w:ascii="Times New Roman" w:hAnsi="Times New Roman" w:eastAsia="Times New Roman" w:cs="Times New Roman"/>
          <w:sz w:val="23"/>
          <w:szCs w:val="23"/>
          <w:highlight w:val="none"/>
        </w:rPr>
        <w:t>K</w:t>
      </w:r>
      <w:r>
        <w:rPr>
          <w:rFonts w:hint="default" w:ascii="Times New Roman" w:hAnsi="Times New Roman" w:eastAsia="宋体" w:cs="Times New Roman"/>
          <w:spacing w:val="8"/>
          <w:sz w:val="23"/>
          <w:szCs w:val="23"/>
          <w:highlight w:val="none"/>
        </w:rPr>
        <w:t>。</w:t>
      </w:r>
    </w:p>
    <w:p>
      <w:pPr>
        <w:spacing w:line="224" w:lineRule="auto"/>
        <w:ind w:left="61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5"/>
          <w:sz w:val="23"/>
          <w:szCs w:val="23"/>
          <w:highlight w:val="none"/>
        </w:rPr>
        <w:t>如</w:t>
      </w:r>
      <w:r>
        <w:rPr>
          <w:rFonts w:hint="default" w:ascii="Times New Roman" w:hAnsi="Times New Roman" w:eastAsia="宋体" w:cs="Times New Roman"/>
          <w:spacing w:val="4"/>
          <w:sz w:val="23"/>
          <w:szCs w:val="23"/>
          <w:highlight w:val="none"/>
        </w:rPr>
        <w:t xml:space="preserve">图 </w:t>
      </w:r>
      <w:r>
        <w:rPr>
          <w:rFonts w:hint="default" w:ascii="Times New Roman" w:hAnsi="Times New Roman" w:eastAsia="Times New Roman" w:cs="Times New Roman"/>
          <w:spacing w:val="4"/>
          <w:sz w:val="23"/>
          <w:szCs w:val="23"/>
          <w:highlight w:val="none"/>
        </w:rPr>
        <w:t>5.2-</w:t>
      </w:r>
      <w:r>
        <w:rPr>
          <w:rFonts w:hint="eastAsia" w:ascii="Times New Roman" w:hAnsi="Times New Roman" w:eastAsia="宋体" w:cs="Times New Roman"/>
          <w:spacing w:val="4"/>
          <w:sz w:val="23"/>
          <w:szCs w:val="23"/>
          <w:highlight w:val="none"/>
          <w:lang w:val="en-US" w:eastAsia="zh-CN"/>
        </w:rPr>
        <w:t>19</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进行试验，根据达西定律：</w:t>
      </w:r>
    </w:p>
    <w:p>
      <w:pPr>
        <w:tabs>
          <w:tab w:val="left" w:pos="842"/>
        </w:tabs>
        <w:bidi w:val="0"/>
        <w:jc w:val="left"/>
        <w:rPr>
          <w:rFonts w:hint="default" w:ascii="Times New Roman" w:hAnsi="Times New Roman" w:cs="Times New Roman"/>
          <w:sz w:val="21"/>
          <w:highlight w:val="none"/>
        </w:rPr>
      </w:pPr>
      <w:r>
        <w:rPr>
          <w:rFonts w:hint="eastAsia" w:eastAsia="宋体"/>
          <w:highlight w:val="none"/>
          <w:lang w:eastAsia="zh-CN"/>
        </w:rPr>
        <w:tab/>
      </w:r>
      <w:r>
        <w:rPr>
          <w:rFonts w:hint="default" w:ascii="Times New Roman" w:hAnsi="Times New Roman" w:cs="Times New Roman"/>
          <w:highlight w:val="none"/>
        </w:rPr>
        <w:pict>
          <v:shape id="_x0000_s1269" o:spid="_x0000_s1269" style="position:absolute;left:0pt;margin-left:90pt;margin-top:59.05pt;height:0.75pt;width:415.3pt;mso-position-horizontal-relative:page;mso-position-vertical-relative:page;z-index:251776000;mso-width-relative:page;mso-height-relative:page;" fillcolor="#000000" filled="t" stroked="f" coordsize="8305,15" o:allowincell="f" path="m0,0l8305,0,8305,14,0,14,0,0xe">
            <v:path/>
            <v:fill on="t" focussize="0,0"/>
            <v:stroke on="f"/>
            <v:imagedata o:title=""/>
            <o:lock v:ext="edit"/>
          </v:shape>
        </w:pict>
      </w:r>
    </w:p>
    <w:p>
      <w:pPr>
        <w:spacing w:line="636" w:lineRule="exact"/>
        <w:ind w:firstLine="602"/>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1157605" cy="403225"/>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170"/>
                    <a:stretch>
                      <a:fillRect/>
                    </a:stretch>
                  </pic:blipFill>
                  <pic:spPr>
                    <a:xfrm>
                      <a:off x="0" y="0"/>
                      <a:ext cx="1158239" cy="403859"/>
                    </a:xfrm>
                    <a:prstGeom prst="rect">
                      <a:avLst/>
                    </a:prstGeom>
                  </pic:spPr>
                </pic:pic>
              </a:graphicData>
            </a:graphic>
          </wp:inline>
        </w:drawing>
      </w:r>
    </w:p>
    <w:p>
      <w:pPr>
        <w:spacing w:before="309" w:line="398" w:lineRule="auto"/>
        <w:ind w:left="130" w:right="122" w:firstLine="49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当水柱高度不大时，</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8"/>
          <w:position w:val="-1"/>
          <w:sz w:val="15"/>
          <w:szCs w:val="15"/>
          <w:highlight w:val="none"/>
        </w:rPr>
        <w:t xml:space="preserve">0 </w:t>
      </w:r>
      <w:r>
        <w:rPr>
          <w:rFonts w:hint="default" w:ascii="Times New Roman" w:hAnsi="Times New Roman" w:eastAsia="宋体" w:cs="Times New Roman"/>
          <w:spacing w:val="8"/>
          <w:sz w:val="23"/>
          <w:szCs w:val="23"/>
          <w:highlight w:val="none"/>
        </w:rPr>
        <w:t xml:space="preserve">可以忽略不计，所以 </w:t>
      </w:r>
      <w:r>
        <w:rPr>
          <w:rFonts w:hint="default" w:ascii="Times New Roman" w:hAnsi="Times New Roman" w:eastAsia="Times New Roman" w:cs="Times New Roman"/>
          <w:sz w:val="23"/>
          <w:szCs w:val="23"/>
          <w:highlight w:val="none"/>
        </w:rPr>
        <w:t>V</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K</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。渗水达到稳定时，下</w:t>
      </w:r>
      <w:r>
        <w:rPr>
          <w:rFonts w:hint="default" w:ascii="Times New Roman" w:hAnsi="Times New Roman" w:eastAsia="宋体" w:cs="Times New Roman"/>
          <w:spacing w:val="5"/>
          <w:sz w:val="23"/>
          <w:szCs w:val="23"/>
          <w:highlight w:val="none"/>
        </w:rPr>
        <w:t>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速</w:t>
      </w:r>
      <w:r>
        <w:rPr>
          <w:rFonts w:hint="default" w:ascii="Times New Roman" w:hAnsi="Times New Roman" w:eastAsia="宋体" w:cs="Times New Roman"/>
          <w:spacing w:val="5"/>
          <w:sz w:val="23"/>
          <w:szCs w:val="23"/>
          <w:highlight w:val="none"/>
        </w:rPr>
        <w:t>度为：</w:t>
      </w:r>
    </w:p>
    <w:p>
      <w:pPr>
        <w:spacing w:line="635" w:lineRule="exact"/>
        <w:ind w:firstLine="602"/>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67360" cy="4032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71"/>
                    <a:stretch>
                      <a:fillRect/>
                    </a:stretch>
                  </pic:blipFill>
                  <pic:spPr>
                    <a:xfrm>
                      <a:off x="0" y="0"/>
                      <a:ext cx="467867" cy="403859"/>
                    </a:xfrm>
                    <a:prstGeom prst="rect">
                      <a:avLst/>
                    </a:prstGeom>
                  </pic:spPr>
                </pic:pic>
              </a:graphicData>
            </a:graphic>
          </wp:inline>
        </w:drawing>
      </w:r>
    </w:p>
    <w:p>
      <w:pPr>
        <w:spacing w:line="300" w:lineRule="auto"/>
        <w:rPr>
          <w:rFonts w:hint="default" w:ascii="Times New Roman" w:hAnsi="Times New Roman" w:cs="Times New Roman"/>
          <w:sz w:val="21"/>
          <w:highlight w:val="none"/>
        </w:rPr>
      </w:pPr>
    </w:p>
    <w:p>
      <w:pPr>
        <w:spacing w:before="75" w:line="219" w:lineRule="auto"/>
        <w:ind w:left="61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式中</w:t>
      </w:r>
      <w:r>
        <w:rPr>
          <w:rFonts w:hint="default" w:ascii="Times New Roman" w:hAnsi="Times New Roman" w:eastAsia="宋体" w:cs="Times New Roman"/>
          <w:spacing w:val="3"/>
          <w:sz w:val="23"/>
          <w:szCs w:val="23"/>
          <w:highlight w:val="none"/>
        </w:rPr>
        <w:t>：</w:t>
      </w:r>
      <w:r>
        <w:rPr>
          <w:rFonts w:hint="default" w:ascii="Times New Roman" w:hAnsi="Times New Roman" w:eastAsia="Times New Roman" w:cs="Times New Roman"/>
          <w:sz w:val="23"/>
          <w:szCs w:val="23"/>
          <w:highlight w:val="none"/>
        </w:rPr>
        <w:t>V</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下渗速度；</w:t>
      </w:r>
      <w:r>
        <w:rPr>
          <w:rFonts w:hint="default" w:ascii="Times New Roman" w:hAnsi="Times New Roman" w:eastAsia="Times New Roman" w:cs="Times New Roman"/>
          <w:sz w:val="23"/>
          <w:szCs w:val="23"/>
          <w:highlight w:val="none"/>
        </w:rPr>
        <w:t>Q</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内环渗入流量；</w:t>
      </w:r>
      <w:r>
        <w:rPr>
          <w:rFonts w:hint="default" w:ascii="Times New Roman" w:hAnsi="Times New Roman" w:eastAsia="Times New Roman" w:cs="Times New Roman"/>
          <w:sz w:val="23"/>
          <w:szCs w:val="23"/>
          <w:highlight w:val="none"/>
        </w:rPr>
        <w:t>W</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内环面积。</w:t>
      </w:r>
    </w:p>
    <w:p>
      <w:pPr>
        <w:spacing w:before="155" w:line="5072" w:lineRule="exact"/>
        <w:ind w:firstLine="1476"/>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3681730" cy="3220085"/>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172"/>
                    <a:stretch>
                      <a:fillRect/>
                    </a:stretch>
                  </pic:blipFill>
                  <pic:spPr>
                    <a:xfrm>
                      <a:off x="0" y="0"/>
                      <a:ext cx="3681983" cy="3220211"/>
                    </a:xfrm>
                    <a:prstGeom prst="rect">
                      <a:avLst/>
                    </a:prstGeom>
                  </pic:spPr>
                </pic:pic>
              </a:graphicData>
            </a:graphic>
          </wp:inline>
        </w:drawing>
      </w:r>
    </w:p>
    <w:p>
      <w:pPr>
        <w:spacing w:before="310" w:line="225" w:lineRule="auto"/>
        <w:ind w:left="255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5"/>
          <w:sz w:val="23"/>
          <w:szCs w:val="23"/>
          <w:highlight w:val="none"/>
        </w:rPr>
        <w:t>5.2-</w:t>
      </w:r>
      <w:r>
        <w:rPr>
          <w:rFonts w:hint="eastAsia" w:ascii="Times New Roman" w:hAnsi="Times New Roman" w:eastAsia="宋体" w:cs="Times New Roman"/>
          <w:b/>
          <w:bCs/>
          <w:spacing w:val="5"/>
          <w:sz w:val="23"/>
          <w:szCs w:val="23"/>
          <w:highlight w:val="none"/>
          <w:lang w:val="en-US" w:eastAsia="zh-CN"/>
        </w:rPr>
        <w:t>19</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双环渗水试验原理图</w:t>
      </w:r>
    </w:p>
    <w:p>
      <w:pPr>
        <w:spacing w:before="221" w:line="225" w:lineRule="auto"/>
        <w:ind w:left="609"/>
        <w:outlineLvl w:val="1"/>
        <w:rPr>
          <w:rFonts w:hint="default" w:ascii="Times New Roman" w:hAnsi="Times New Roman" w:eastAsia="宋体" w:cs="Times New Roman"/>
          <w:sz w:val="23"/>
          <w:szCs w:val="23"/>
          <w:highlight w:val="none"/>
        </w:rPr>
      </w:pPr>
      <w:bookmarkStart w:id="589" w:name="_Toc4006"/>
      <w:bookmarkStart w:id="590" w:name="_Toc19069"/>
      <w:bookmarkStart w:id="591" w:name="_Toc20572"/>
      <w:r>
        <w:rPr>
          <w:rFonts w:hint="default" w:ascii="Times New Roman" w:hAnsi="Times New Roman" w:eastAsia="宋体" w:cs="Times New Roman"/>
          <w:spacing w:val="10"/>
          <w:sz w:val="23"/>
          <w:szCs w:val="23"/>
          <w:highlight w:val="none"/>
        </w:rPr>
        <w:t>②</w:t>
      </w:r>
      <w:r>
        <w:rPr>
          <w:rFonts w:hint="default" w:ascii="Times New Roman" w:hAnsi="Times New Roman" w:eastAsia="宋体" w:cs="Times New Roman"/>
          <w:spacing w:val="9"/>
          <w:sz w:val="23"/>
          <w:szCs w:val="23"/>
          <w:highlight w:val="none"/>
        </w:rPr>
        <w:t>渗水实验求参结果</w:t>
      </w:r>
      <w:bookmarkEnd w:id="589"/>
      <w:bookmarkEnd w:id="590"/>
      <w:bookmarkEnd w:id="591"/>
    </w:p>
    <w:p>
      <w:pPr>
        <w:spacing w:before="219" w:line="225" w:lineRule="auto"/>
        <w:ind w:left="61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 xml:space="preserve">双环渗水试验的计算结果参见表 </w:t>
      </w:r>
      <w:r>
        <w:rPr>
          <w:rFonts w:hint="default" w:ascii="Times New Roman" w:hAnsi="Times New Roman" w:eastAsia="Times New Roman" w:cs="Times New Roman"/>
          <w:spacing w:val="2"/>
          <w:sz w:val="23"/>
          <w:szCs w:val="23"/>
          <w:highlight w:val="none"/>
        </w:rPr>
        <w:t>5.2- 1</w:t>
      </w:r>
      <w:r>
        <w:rPr>
          <w:rFonts w:hint="eastAsia" w:ascii="Times New Roman" w:hAnsi="Times New Roman" w:eastAsia="宋体" w:cs="Times New Roman"/>
          <w:spacing w:val="1"/>
          <w:sz w:val="23"/>
          <w:szCs w:val="23"/>
          <w:highlight w:val="none"/>
          <w:lang w:val="en-US" w:eastAsia="zh-CN"/>
        </w:rPr>
        <w:t>0</w:t>
      </w:r>
      <w:r>
        <w:rPr>
          <w:rFonts w:hint="default" w:ascii="Times New Roman" w:hAnsi="Times New Roman" w:eastAsia="宋体" w:cs="Times New Roman"/>
          <w:sz w:val="23"/>
          <w:szCs w:val="23"/>
          <w:highlight w:val="none"/>
        </w:rPr>
        <w:t>。</w:t>
      </w:r>
    </w:p>
    <w:p>
      <w:pPr>
        <w:spacing w:before="219" w:line="225" w:lineRule="auto"/>
        <w:ind w:left="198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10"/>
          <w:sz w:val="23"/>
          <w:szCs w:val="23"/>
          <w:highlight w:val="none"/>
        </w:rPr>
        <w:t>5</w:t>
      </w:r>
      <w:r>
        <w:rPr>
          <w:rFonts w:hint="default" w:ascii="Times New Roman" w:hAnsi="Times New Roman" w:eastAsia="Times New Roman" w:cs="Times New Roman"/>
          <w:b/>
          <w:bCs/>
          <w:spacing w:val="7"/>
          <w:sz w:val="23"/>
          <w:szCs w:val="23"/>
          <w:highlight w:val="none"/>
        </w:rPr>
        <w:t>.2-1</w:t>
      </w:r>
      <w:r>
        <w:rPr>
          <w:rFonts w:hint="eastAsia" w:ascii="Times New Roman" w:hAnsi="Times New Roman" w:eastAsia="宋体" w:cs="Times New Roman"/>
          <w:b/>
          <w:bCs/>
          <w:spacing w:val="7"/>
          <w:sz w:val="23"/>
          <w:szCs w:val="23"/>
          <w:highlight w:val="none"/>
          <w:lang w:val="en-US" w:eastAsia="zh-CN"/>
        </w:rPr>
        <w:t>0</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渗水试验渗透系数结果统计表</w:t>
      </w:r>
    </w:p>
    <w:p>
      <w:pPr>
        <w:spacing w:line="26" w:lineRule="exact"/>
        <w:rPr>
          <w:rFonts w:hint="default" w:ascii="Times New Roman" w:hAnsi="Times New Roman" w:cs="Times New Roman"/>
          <w:highlight w:val="none"/>
        </w:rPr>
      </w:pPr>
    </w:p>
    <w:tbl>
      <w:tblPr>
        <w:tblStyle w:val="19"/>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3"/>
        <w:gridCol w:w="1956"/>
        <w:gridCol w:w="1839"/>
        <w:gridCol w:w="1358"/>
        <w:gridCol w:w="20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43" w:type="dxa"/>
            <w:vMerge w:val="restart"/>
            <w:tcBorders>
              <w:left w:val="single" w:color="000000" w:sz="10" w:space="0"/>
              <w:bottom w:val="nil"/>
            </w:tcBorders>
            <w:vAlign w:val="top"/>
          </w:tcPr>
          <w:p>
            <w:pPr>
              <w:spacing w:before="106" w:line="320" w:lineRule="exact"/>
              <w:ind w:left="35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position w:val="8"/>
                <w:sz w:val="20"/>
                <w:szCs w:val="20"/>
                <w:highlight w:val="none"/>
              </w:rPr>
              <w:t>实验点</w:t>
            </w:r>
          </w:p>
          <w:p>
            <w:pPr>
              <w:spacing w:line="228" w:lineRule="auto"/>
              <w:ind w:left="45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编</w:t>
            </w:r>
            <w:r>
              <w:rPr>
                <w:rFonts w:hint="default" w:ascii="Times New Roman" w:hAnsi="Times New Roman" w:eastAsia="宋体" w:cs="Times New Roman"/>
                <w:spacing w:val="3"/>
                <w:sz w:val="20"/>
                <w:szCs w:val="20"/>
                <w:highlight w:val="none"/>
              </w:rPr>
              <w:t>号</w:t>
            </w:r>
          </w:p>
        </w:tc>
        <w:tc>
          <w:tcPr>
            <w:tcW w:w="3795" w:type="dxa"/>
            <w:gridSpan w:val="2"/>
            <w:vAlign w:val="top"/>
          </w:tcPr>
          <w:p>
            <w:pPr>
              <w:spacing w:before="101" w:line="225" w:lineRule="auto"/>
              <w:ind w:left="137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试验点坐标</w:t>
            </w:r>
          </w:p>
        </w:tc>
        <w:tc>
          <w:tcPr>
            <w:tcW w:w="1358" w:type="dxa"/>
            <w:vMerge w:val="restart"/>
            <w:tcBorders>
              <w:bottom w:val="nil"/>
            </w:tcBorders>
            <w:vAlign w:val="top"/>
          </w:tcPr>
          <w:p>
            <w:pPr>
              <w:spacing w:before="106" w:line="226" w:lineRule="auto"/>
              <w:ind w:left="27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水</w:t>
            </w:r>
            <w:r>
              <w:rPr>
                <w:rFonts w:hint="default" w:ascii="Times New Roman" w:hAnsi="Times New Roman" w:eastAsia="宋体" w:cs="Times New Roman"/>
                <w:spacing w:val="6"/>
                <w:sz w:val="20"/>
                <w:szCs w:val="20"/>
                <w:highlight w:val="none"/>
              </w:rPr>
              <w:t>头高度</w:t>
            </w:r>
          </w:p>
          <w:p>
            <w:pPr>
              <w:spacing w:before="75" w:line="231" w:lineRule="auto"/>
              <w:ind w:left="36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2"/>
                <w:sz w:val="20"/>
                <w:szCs w:val="20"/>
                <w:highlight w:val="none"/>
              </w:rPr>
              <w:t>(</w:t>
            </w:r>
            <w:r>
              <w:rPr>
                <w:rFonts w:hint="default" w:ascii="Times New Roman" w:hAnsi="Times New Roman" w:eastAsia="Times New Roman" w:cs="Times New Roman"/>
                <w:sz w:val="20"/>
                <w:szCs w:val="20"/>
                <w:highlight w:val="none"/>
              </w:rPr>
              <w:t>cm</w:t>
            </w:r>
            <w:r>
              <w:rPr>
                <w:rFonts w:hint="default" w:ascii="Times New Roman" w:hAnsi="Times New Roman" w:eastAsia="宋体" w:cs="Times New Roman"/>
                <w:spacing w:val="52"/>
                <w:sz w:val="20"/>
                <w:szCs w:val="20"/>
                <w:highlight w:val="none"/>
              </w:rPr>
              <w:t>)</w:t>
            </w:r>
          </w:p>
        </w:tc>
        <w:tc>
          <w:tcPr>
            <w:tcW w:w="2029" w:type="dxa"/>
            <w:vMerge w:val="restart"/>
            <w:tcBorders>
              <w:bottom w:val="nil"/>
              <w:right w:val="single" w:color="000000" w:sz="10" w:space="0"/>
            </w:tcBorders>
            <w:vAlign w:val="top"/>
          </w:tcPr>
          <w:p>
            <w:pPr>
              <w:spacing w:before="107" w:line="228" w:lineRule="auto"/>
              <w:ind w:left="501"/>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2"/>
                <w:sz w:val="20"/>
                <w:szCs w:val="20"/>
                <w:highlight w:val="none"/>
              </w:rPr>
              <w:t>渗透系</w:t>
            </w:r>
            <w:r>
              <w:rPr>
                <w:rFonts w:hint="default" w:ascii="Times New Roman" w:hAnsi="Times New Roman" w:eastAsia="宋体" w:cs="Times New Roman"/>
                <w:spacing w:val="-1"/>
                <w:sz w:val="20"/>
                <w:szCs w:val="20"/>
                <w:highlight w:val="none"/>
              </w:rPr>
              <w:t xml:space="preserve">数 </w:t>
            </w:r>
            <w:r>
              <w:rPr>
                <w:rFonts w:hint="default" w:ascii="Times New Roman" w:hAnsi="Times New Roman" w:eastAsia="Times New Roman" w:cs="Times New Roman"/>
                <w:spacing w:val="-1"/>
                <w:sz w:val="20"/>
                <w:szCs w:val="20"/>
                <w:highlight w:val="none"/>
              </w:rPr>
              <w:t>K</w:t>
            </w:r>
          </w:p>
          <w:p>
            <w:pPr>
              <w:spacing w:before="41" w:line="274" w:lineRule="exact"/>
              <w:ind w:left="62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3"/>
                <w:position w:val="1"/>
                <w:sz w:val="20"/>
                <w:szCs w:val="20"/>
                <w:highlight w:val="none"/>
              </w:rPr>
              <w:t>(</w:t>
            </w:r>
            <w:r>
              <w:rPr>
                <w:rFonts w:hint="default" w:ascii="Times New Roman" w:hAnsi="Times New Roman" w:eastAsia="Times New Roman" w:cs="Times New Roman"/>
                <w:position w:val="1"/>
                <w:sz w:val="20"/>
                <w:szCs w:val="20"/>
                <w:highlight w:val="none"/>
              </w:rPr>
              <w:t>cm</w:t>
            </w:r>
            <w:r>
              <w:rPr>
                <w:rFonts w:hint="default" w:ascii="Times New Roman" w:hAnsi="Times New Roman" w:eastAsia="Times New Roman" w:cs="Times New Roman"/>
                <w:spacing w:val="22"/>
                <w:position w:val="1"/>
                <w:sz w:val="20"/>
                <w:szCs w:val="20"/>
                <w:highlight w:val="none"/>
              </w:rPr>
              <w:t>/</w:t>
            </w:r>
            <w:r>
              <w:rPr>
                <w:rFonts w:hint="default" w:ascii="Times New Roman" w:hAnsi="Times New Roman" w:eastAsia="Times New Roman" w:cs="Times New Roman"/>
                <w:position w:val="1"/>
                <w:sz w:val="20"/>
                <w:szCs w:val="20"/>
                <w:highlight w:val="none"/>
              </w:rPr>
              <w:t>s</w:t>
            </w:r>
            <w:r>
              <w:rPr>
                <w:rFonts w:hint="default" w:ascii="Times New Roman" w:hAnsi="Times New Roman" w:eastAsia="Times New Roman" w:cs="Times New Roman"/>
                <w:spacing w:val="22"/>
                <w:position w:val="1"/>
                <w:sz w:val="20"/>
                <w:szCs w:val="20"/>
                <w:highlight w:val="none"/>
              </w:rPr>
              <w:t xml:space="preserve"> </w:t>
            </w:r>
            <w:r>
              <w:rPr>
                <w:rFonts w:hint="default" w:ascii="Times New Roman" w:hAnsi="Times New Roman" w:eastAsia="宋体" w:cs="Times New Roman"/>
                <w:spacing w:val="22"/>
                <w:position w:val="1"/>
                <w:sz w:val="20"/>
                <w:szCs w:val="20"/>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343" w:type="dxa"/>
            <w:vMerge w:val="continue"/>
            <w:tcBorders>
              <w:top w:val="nil"/>
              <w:left w:val="single" w:color="000000" w:sz="10" w:space="0"/>
            </w:tcBorders>
            <w:vAlign w:val="top"/>
          </w:tcPr>
          <w:p>
            <w:pPr>
              <w:rPr>
                <w:rFonts w:hint="default" w:ascii="Times New Roman" w:hAnsi="Times New Roman" w:cs="Times New Roman"/>
                <w:sz w:val="21"/>
                <w:highlight w:val="none"/>
              </w:rPr>
            </w:pPr>
          </w:p>
        </w:tc>
        <w:tc>
          <w:tcPr>
            <w:tcW w:w="1956" w:type="dxa"/>
            <w:vAlign w:val="top"/>
          </w:tcPr>
          <w:p>
            <w:pPr>
              <w:spacing w:before="76" w:line="228" w:lineRule="auto"/>
              <w:ind w:left="45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纬</w:t>
            </w:r>
            <w:r>
              <w:rPr>
                <w:rFonts w:hint="default" w:ascii="Times New Roman" w:hAnsi="Times New Roman" w:eastAsia="宋体" w:cs="Times New Roman"/>
                <w:spacing w:val="4"/>
                <w:sz w:val="20"/>
                <w:szCs w:val="20"/>
                <w:highlight w:val="none"/>
              </w:rPr>
              <w:t>度 (北)</w:t>
            </w:r>
          </w:p>
        </w:tc>
        <w:tc>
          <w:tcPr>
            <w:tcW w:w="1839" w:type="dxa"/>
            <w:vAlign w:val="top"/>
          </w:tcPr>
          <w:p>
            <w:pPr>
              <w:spacing w:before="76" w:line="228" w:lineRule="auto"/>
              <w:ind w:left="40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经</w:t>
            </w:r>
            <w:r>
              <w:rPr>
                <w:rFonts w:hint="default" w:ascii="Times New Roman" w:hAnsi="Times New Roman" w:eastAsia="宋体" w:cs="Times New Roman"/>
                <w:spacing w:val="4"/>
                <w:sz w:val="20"/>
                <w:szCs w:val="20"/>
                <w:highlight w:val="none"/>
              </w:rPr>
              <w:t>度 (东)</w:t>
            </w:r>
          </w:p>
        </w:tc>
        <w:tc>
          <w:tcPr>
            <w:tcW w:w="1358" w:type="dxa"/>
            <w:vMerge w:val="continue"/>
            <w:tcBorders>
              <w:top w:val="nil"/>
            </w:tcBorders>
            <w:vAlign w:val="top"/>
          </w:tcPr>
          <w:p>
            <w:pPr>
              <w:rPr>
                <w:rFonts w:hint="default" w:ascii="Times New Roman" w:hAnsi="Times New Roman" w:cs="Times New Roman"/>
                <w:sz w:val="21"/>
                <w:highlight w:val="none"/>
              </w:rPr>
            </w:pPr>
          </w:p>
        </w:tc>
        <w:tc>
          <w:tcPr>
            <w:tcW w:w="2029" w:type="dxa"/>
            <w:vMerge w:val="continue"/>
            <w:tcBorders>
              <w:top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343" w:type="dxa"/>
            <w:tcBorders>
              <w:left w:val="single" w:color="000000" w:sz="10" w:space="0"/>
            </w:tcBorders>
            <w:vAlign w:val="top"/>
          </w:tcPr>
          <w:p>
            <w:pPr>
              <w:spacing w:before="114" w:line="195" w:lineRule="auto"/>
              <w:ind w:left="52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S- 1</w:t>
            </w:r>
          </w:p>
        </w:tc>
        <w:tc>
          <w:tcPr>
            <w:tcW w:w="1956" w:type="dxa"/>
            <w:vAlign w:val="top"/>
          </w:tcPr>
          <w:p>
            <w:pPr>
              <w:spacing w:before="93" w:line="195" w:lineRule="auto"/>
              <w:ind w:left="42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0582165.95</w:t>
            </w:r>
          </w:p>
        </w:tc>
        <w:tc>
          <w:tcPr>
            <w:tcW w:w="1839" w:type="dxa"/>
            <w:vAlign w:val="top"/>
          </w:tcPr>
          <w:p>
            <w:pPr>
              <w:spacing w:before="93" w:line="195" w:lineRule="auto"/>
              <w:ind w:left="42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456400.78</w:t>
            </w:r>
          </w:p>
        </w:tc>
        <w:tc>
          <w:tcPr>
            <w:tcW w:w="1358" w:type="dxa"/>
            <w:vAlign w:val="top"/>
          </w:tcPr>
          <w:p>
            <w:pPr>
              <w:spacing w:before="114" w:line="195" w:lineRule="auto"/>
              <w:ind w:left="6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7"/>
                <w:sz w:val="20"/>
                <w:szCs w:val="20"/>
                <w:highlight w:val="none"/>
              </w:rPr>
              <w:t>0</w:t>
            </w:r>
          </w:p>
        </w:tc>
        <w:tc>
          <w:tcPr>
            <w:tcW w:w="2029" w:type="dxa"/>
            <w:tcBorders>
              <w:right w:val="single" w:color="000000" w:sz="10" w:space="0"/>
            </w:tcBorders>
            <w:vAlign w:val="top"/>
          </w:tcPr>
          <w:p>
            <w:pPr>
              <w:spacing w:before="96" w:line="214" w:lineRule="auto"/>
              <w:ind w:left="618"/>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pacing w:val="4"/>
                <w:sz w:val="20"/>
                <w:szCs w:val="20"/>
                <w:highlight w:val="none"/>
              </w:rPr>
              <w:t>9</w:t>
            </w:r>
            <w:r>
              <w:rPr>
                <w:rFonts w:hint="default" w:ascii="Times New Roman" w:hAnsi="Times New Roman" w:eastAsia="Times New Roman" w:cs="Times New Roman"/>
                <w:spacing w:val="3"/>
                <w:sz w:val="20"/>
                <w:szCs w:val="20"/>
                <w:highlight w:val="none"/>
              </w:rPr>
              <w:t>.42×10</w:t>
            </w:r>
            <w:r>
              <w:rPr>
                <w:rFonts w:hint="default" w:ascii="Times New Roman" w:hAnsi="Times New Roman" w:eastAsia="Times New Roman" w:cs="Times New Roman"/>
                <w:spacing w:val="3"/>
                <w:position w:val="6"/>
                <w:sz w:val="13"/>
                <w:szCs w:val="13"/>
                <w:highlight w:val="none"/>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tcBorders>
              <w:left w:val="single" w:color="000000" w:sz="10" w:space="0"/>
            </w:tcBorders>
            <w:vAlign w:val="top"/>
          </w:tcPr>
          <w:p>
            <w:pPr>
              <w:spacing w:before="114" w:line="195" w:lineRule="auto"/>
              <w:ind w:left="52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S</w:t>
            </w:r>
            <w:r>
              <w:rPr>
                <w:rFonts w:hint="default" w:ascii="Times New Roman" w:hAnsi="Times New Roman" w:eastAsia="Times New Roman" w:cs="Times New Roman"/>
                <w:spacing w:val="-1"/>
                <w:sz w:val="20"/>
                <w:szCs w:val="20"/>
                <w:highlight w:val="none"/>
              </w:rPr>
              <w:t>-2</w:t>
            </w:r>
          </w:p>
        </w:tc>
        <w:tc>
          <w:tcPr>
            <w:tcW w:w="1956" w:type="dxa"/>
            <w:vAlign w:val="top"/>
          </w:tcPr>
          <w:p>
            <w:pPr>
              <w:spacing w:before="95" w:line="195" w:lineRule="auto"/>
              <w:ind w:left="42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20</w:t>
            </w:r>
            <w:r>
              <w:rPr>
                <w:rFonts w:hint="default" w:ascii="Times New Roman" w:hAnsi="Times New Roman" w:eastAsia="Times New Roman" w:cs="Times New Roman"/>
                <w:sz w:val="20"/>
                <w:szCs w:val="20"/>
                <w:highlight w:val="none"/>
              </w:rPr>
              <w:t>582838. 18</w:t>
            </w:r>
          </w:p>
        </w:tc>
        <w:tc>
          <w:tcPr>
            <w:tcW w:w="1839" w:type="dxa"/>
            <w:vAlign w:val="top"/>
          </w:tcPr>
          <w:p>
            <w:pPr>
              <w:spacing w:before="95" w:line="195" w:lineRule="auto"/>
              <w:ind w:left="42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456039.62</w:t>
            </w:r>
          </w:p>
        </w:tc>
        <w:tc>
          <w:tcPr>
            <w:tcW w:w="1358" w:type="dxa"/>
            <w:vAlign w:val="top"/>
          </w:tcPr>
          <w:p>
            <w:pPr>
              <w:spacing w:before="114" w:line="195" w:lineRule="auto"/>
              <w:ind w:left="6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7"/>
                <w:sz w:val="20"/>
                <w:szCs w:val="20"/>
                <w:highlight w:val="none"/>
              </w:rPr>
              <w:t>0</w:t>
            </w:r>
          </w:p>
        </w:tc>
        <w:tc>
          <w:tcPr>
            <w:tcW w:w="2029" w:type="dxa"/>
            <w:tcBorders>
              <w:right w:val="single" w:color="000000" w:sz="10" w:space="0"/>
            </w:tcBorders>
            <w:vAlign w:val="top"/>
          </w:tcPr>
          <w:p>
            <w:pPr>
              <w:spacing w:before="96" w:line="214" w:lineRule="auto"/>
              <w:ind w:left="622"/>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pacing w:val="4"/>
                <w:sz w:val="20"/>
                <w:szCs w:val="20"/>
                <w:highlight w:val="none"/>
              </w:rPr>
              <w:t xml:space="preserve">8 </w:t>
            </w:r>
            <w:r>
              <w:rPr>
                <w:rFonts w:hint="default" w:ascii="Times New Roman" w:hAnsi="Times New Roman" w:eastAsia="Times New Roman" w:cs="Times New Roman"/>
                <w:spacing w:val="3"/>
                <w:sz w:val="20"/>
                <w:szCs w:val="20"/>
                <w:highlight w:val="none"/>
              </w:rPr>
              <w:t>7</w:t>
            </w:r>
            <w:r>
              <w:rPr>
                <w:rFonts w:hint="default" w:ascii="Times New Roman" w:hAnsi="Times New Roman" w:eastAsia="Times New Roman" w:cs="Times New Roman"/>
                <w:spacing w:val="2"/>
                <w:sz w:val="20"/>
                <w:szCs w:val="20"/>
                <w:highlight w:val="none"/>
              </w:rPr>
              <w:t>3×10</w:t>
            </w:r>
            <w:r>
              <w:rPr>
                <w:rFonts w:hint="default" w:ascii="Times New Roman" w:hAnsi="Times New Roman" w:eastAsia="Times New Roman" w:cs="Times New Roman"/>
                <w:spacing w:val="2"/>
                <w:position w:val="6"/>
                <w:sz w:val="13"/>
                <w:szCs w:val="13"/>
                <w:highlight w:val="none"/>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343" w:type="dxa"/>
            <w:tcBorders>
              <w:left w:val="single" w:color="000000" w:sz="10" w:space="0"/>
            </w:tcBorders>
            <w:vAlign w:val="top"/>
          </w:tcPr>
          <w:p>
            <w:pPr>
              <w:spacing w:before="124" w:line="195" w:lineRule="auto"/>
              <w:ind w:left="52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S</w:t>
            </w:r>
            <w:r>
              <w:rPr>
                <w:rFonts w:hint="default" w:ascii="Times New Roman" w:hAnsi="Times New Roman" w:eastAsia="Times New Roman" w:cs="Times New Roman"/>
                <w:spacing w:val="-1"/>
                <w:sz w:val="20"/>
                <w:szCs w:val="20"/>
                <w:highlight w:val="none"/>
              </w:rPr>
              <w:t>-3</w:t>
            </w:r>
          </w:p>
        </w:tc>
        <w:tc>
          <w:tcPr>
            <w:tcW w:w="1956" w:type="dxa"/>
            <w:vAlign w:val="top"/>
          </w:tcPr>
          <w:p>
            <w:pPr>
              <w:spacing w:before="103" w:line="195" w:lineRule="auto"/>
              <w:ind w:left="42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0582406.36</w:t>
            </w:r>
          </w:p>
        </w:tc>
        <w:tc>
          <w:tcPr>
            <w:tcW w:w="1839" w:type="dxa"/>
            <w:vAlign w:val="top"/>
          </w:tcPr>
          <w:p>
            <w:pPr>
              <w:spacing w:before="103" w:line="195" w:lineRule="auto"/>
              <w:ind w:left="42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454609.09</w:t>
            </w:r>
          </w:p>
        </w:tc>
        <w:tc>
          <w:tcPr>
            <w:tcW w:w="1358" w:type="dxa"/>
            <w:vAlign w:val="top"/>
          </w:tcPr>
          <w:p>
            <w:pPr>
              <w:spacing w:before="124" w:line="195" w:lineRule="auto"/>
              <w:ind w:left="6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7"/>
                <w:sz w:val="20"/>
                <w:szCs w:val="20"/>
                <w:highlight w:val="none"/>
              </w:rPr>
              <w:t>0</w:t>
            </w:r>
          </w:p>
        </w:tc>
        <w:tc>
          <w:tcPr>
            <w:tcW w:w="2029" w:type="dxa"/>
            <w:tcBorders>
              <w:right w:val="single" w:color="000000" w:sz="10" w:space="0"/>
            </w:tcBorders>
            <w:vAlign w:val="top"/>
          </w:tcPr>
          <w:p>
            <w:pPr>
              <w:spacing w:before="106" w:line="214" w:lineRule="auto"/>
              <w:ind w:left="622"/>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pacing w:val="4"/>
                <w:sz w:val="20"/>
                <w:szCs w:val="20"/>
                <w:highlight w:val="none"/>
              </w:rPr>
              <w:t xml:space="preserve">8 </w:t>
            </w:r>
            <w:r>
              <w:rPr>
                <w:rFonts w:hint="default" w:ascii="Times New Roman" w:hAnsi="Times New Roman" w:eastAsia="Times New Roman" w:cs="Times New Roman"/>
                <w:spacing w:val="3"/>
                <w:sz w:val="20"/>
                <w:szCs w:val="20"/>
                <w:highlight w:val="none"/>
              </w:rPr>
              <w:t>4</w:t>
            </w:r>
            <w:r>
              <w:rPr>
                <w:rFonts w:hint="default" w:ascii="Times New Roman" w:hAnsi="Times New Roman" w:eastAsia="Times New Roman" w:cs="Times New Roman"/>
                <w:spacing w:val="2"/>
                <w:sz w:val="20"/>
                <w:szCs w:val="20"/>
                <w:highlight w:val="none"/>
              </w:rPr>
              <w:t>3×10</w:t>
            </w:r>
            <w:r>
              <w:rPr>
                <w:rFonts w:hint="default" w:ascii="Times New Roman" w:hAnsi="Times New Roman" w:eastAsia="Times New Roman" w:cs="Times New Roman"/>
                <w:spacing w:val="2"/>
                <w:position w:val="6"/>
                <w:sz w:val="13"/>
                <w:szCs w:val="13"/>
                <w:highlight w:val="none"/>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343" w:type="dxa"/>
            <w:tcBorders>
              <w:left w:val="single" w:color="000000" w:sz="10" w:space="0"/>
            </w:tcBorders>
            <w:vAlign w:val="top"/>
          </w:tcPr>
          <w:p>
            <w:pPr>
              <w:spacing w:before="124" w:line="195" w:lineRule="auto"/>
              <w:ind w:left="52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S</w:t>
            </w:r>
            <w:r>
              <w:rPr>
                <w:rFonts w:hint="default" w:ascii="Times New Roman" w:hAnsi="Times New Roman" w:eastAsia="Times New Roman" w:cs="Times New Roman"/>
                <w:spacing w:val="-1"/>
                <w:sz w:val="20"/>
                <w:szCs w:val="20"/>
                <w:highlight w:val="none"/>
              </w:rPr>
              <w:t>-4</w:t>
            </w:r>
          </w:p>
        </w:tc>
        <w:tc>
          <w:tcPr>
            <w:tcW w:w="1956" w:type="dxa"/>
            <w:vAlign w:val="top"/>
          </w:tcPr>
          <w:p>
            <w:pPr>
              <w:spacing w:before="105" w:line="195" w:lineRule="auto"/>
              <w:ind w:left="42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0583151.20</w:t>
            </w:r>
          </w:p>
        </w:tc>
        <w:tc>
          <w:tcPr>
            <w:tcW w:w="1839" w:type="dxa"/>
            <w:vAlign w:val="top"/>
          </w:tcPr>
          <w:p>
            <w:pPr>
              <w:spacing w:before="105" w:line="195" w:lineRule="auto"/>
              <w:ind w:left="42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4</w:t>
            </w:r>
            <w:r>
              <w:rPr>
                <w:rFonts w:hint="default" w:ascii="Times New Roman" w:hAnsi="Times New Roman" w:eastAsia="Times New Roman" w:cs="Times New Roman"/>
                <w:spacing w:val="4"/>
                <w:sz w:val="20"/>
                <w:szCs w:val="20"/>
                <w:highlight w:val="none"/>
              </w:rPr>
              <w:t>456792.38</w:t>
            </w:r>
          </w:p>
        </w:tc>
        <w:tc>
          <w:tcPr>
            <w:tcW w:w="1358" w:type="dxa"/>
            <w:vAlign w:val="top"/>
          </w:tcPr>
          <w:p>
            <w:pPr>
              <w:spacing w:before="124" w:line="195" w:lineRule="auto"/>
              <w:ind w:left="6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1</w:t>
            </w:r>
            <w:r>
              <w:rPr>
                <w:rFonts w:hint="default" w:ascii="Times New Roman" w:hAnsi="Times New Roman" w:eastAsia="Times New Roman" w:cs="Times New Roman"/>
                <w:spacing w:val="-7"/>
                <w:sz w:val="20"/>
                <w:szCs w:val="20"/>
                <w:highlight w:val="none"/>
              </w:rPr>
              <w:t>0</w:t>
            </w:r>
          </w:p>
        </w:tc>
        <w:tc>
          <w:tcPr>
            <w:tcW w:w="2029" w:type="dxa"/>
            <w:tcBorders>
              <w:right w:val="single" w:color="000000" w:sz="10" w:space="0"/>
            </w:tcBorders>
            <w:vAlign w:val="top"/>
          </w:tcPr>
          <w:p>
            <w:pPr>
              <w:spacing w:before="106" w:line="214" w:lineRule="auto"/>
              <w:ind w:left="617"/>
              <w:rPr>
                <w:rFonts w:hint="default" w:ascii="Times New Roman" w:hAnsi="Times New Roman" w:eastAsia="Times New Roman" w:cs="Times New Roman"/>
                <w:sz w:val="13"/>
                <w:szCs w:val="13"/>
                <w:highlight w:val="none"/>
              </w:rPr>
            </w:pPr>
            <w:r>
              <w:rPr>
                <w:rFonts w:hint="default" w:ascii="Times New Roman" w:hAnsi="Times New Roman" w:eastAsia="Times New Roman" w:cs="Times New Roman"/>
                <w:spacing w:val="4"/>
                <w:sz w:val="20"/>
                <w:szCs w:val="20"/>
                <w:highlight w:val="none"/>
              </w:rPr>
              <w:t>7</w:t>
            </w:r>
            <w:r>
              <w:rPr>
                <w:rFonts w:hint="default" w:ascii="Times New Roman" w:hAnsi="Times New Roman" w:eastAsia="Times New Roman" w:cs="Times New Roman"/>
                <w:spacing w:val="3"/>
                <w:sz w:val="20"/>
                <w:szCs w:val="20"/>
                <w:highlight w:val="none"/>
              </w:rPr>
              <w:t>.82×10</w:t>
            </w:r>
            <w:r>
              <w:rPr>
                <w:rFonts w:hint="default" w:ascii="Times New Roman" w:hAnsi="Times New Roman" w:eastAsia="Times New Roman" w:cs="Times New Roman"/>
                <w:spacing w:val="3"/>
                <w:position w:val="6"/>
                <w:sz w:val="13"/>
                <w:szCs w:val="13"/>
                <w:highlight w:val="none"/>
              </w:rPr>
              <w:t>-5</w:t>
            </w:r>
          </w:p>
        </w:tc>
      </w:tr>
    </w:tbl>
    <w:p>
      <w:pPr>
        <w:rPr>
          <w:rFonts w:hint="default" w:ascii="Times New Roman" w:hAnsi="Times New Roman" w:cs="Times New Roman"/>
          <w:sz w:val="21"/>
          <w:highlight w:val="none"/>
        </w:rPr>
      </w:pPr>
    </w:p>
    <w:p>
      <w:pPr>
        <w:rPr>
          <w:rFonts w:hint="default" w:ascii="Times New Roman" w:hAnsi="Times New Roman" w:cs="Times New Roman"/>
          <w:highlight w:val="none"/>
        </w:rPr>
        <w:sectPr>
          <w:headerReference r:id="rId98" w:type="default"/>
          <w:footerReference r:id="rId99" w:type="default"/>
          <w:pgSz w:w="11906" w:h="16839"/>
          <w:pgMar w:top="1167" w:right="1677" w:bottom="1311" w:left="1677" w:header="897" w:footer="1015" w:gutter="0"/>
          <w:pgBorders>
            <w:top w:val="none" w:sz="0" w:space="0"/>
            <w:left w:val="none" w:sz="0" w:space="0"/>
            <w:bottom w:val="none" w:sz="0" w:space="0"/>
            <w:right w:val="none" w:sz="0" w:space="0"/>
          </w:pgBorders>
          <w:pgNumType w:fmt="decimal"/>
          <w:cols w:space="720" w:num="1"/>
        </w:sectPr>
      </w:pPr>
    </w:p>
    <w:p>
      <w:pPr>
        <w:spacing w:line="271"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270" o:spid="_x0000_s1270" o:spt="1" style="position:absolute;left:0pt;margin-left:90pt;margin-top:59.05pt;height:0.75pt;width:415.3pt;mso-position-horizontal-relative:page;mso-position-vertical-relative:page;z-index:251777024;mso-width-relative:page;mso-height-relative:page;" fillcolor="#000000" filled="t" stroked="f" coordsize="21600,21600" o:allowincell="f">
            <v:path/>
            <v:fill on="t" focussize="0,0"/>
            <v:stroke on="f"/>
            <v:imagedata o:title=""/>
            <o:lock v:ext="edit"/>
          </v:rect>
        </w:pict>
      </w:r>
    </w:p>
    <w:p>
      <w:pPr>
        <w:spacing w:line="249" w:lineRule="auto"/>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rect id="_x0000_s1272" o:spid="_x0000_s1272" o:spt="1" style="position:absolute;left:0pt;margin-left:89.85pt;margin-top:776.35pt;height:0.75pt;width:415.65pt;mso-position-horizontal-relative:page;mso-position-vertical-relative:page;z-index:251778048;mso-width-relative:page;mso-height-relative:page;" fillcolor="#FFFFFF" filled="t" stroked="f" coordsize="21600,21600" o:allowincell="f">
            <v:path/>
            <v:fill on="t" color2="#FFFFFF" focussize="0,0"/>
            <v:stroke on="f"/>
            <v:imagedata o:title=""/>
            <o:lock v:ext="edit" aspectratio="f"/>
          </v:rect>
        </w:pict>
      </w:r>
      <w:r>
        <w:rPr>
          <w:rFonts w:hint="default" w:ascii="Times New Roman" w:hAnsi="Times New Roman" w:cs="Times New Roman"/>
          <w:highlight w:val="none"/>
        </w:rPr>
        <w:pict>
          <v:shape id="_x0000_s1273" o:spid="_x0000_s1273" style="position:absolute;left:0pt;margin-left:89.85pt;margin-top:59.05pt;height:0.75pt;width:415.65pt;mso-position-horizontal-relative:page;mso-position-vertical-relative:page;z-index:251779072;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Times New Roman" w:cs="Times New Roman"/>
          <w:spacing w:val="12"/>
          <w:sz w:val="23"/>
          <w:szCs w:val="23"/>
          <w:highlight w:val="none"/>
        </w:rPr>
        <w:t>5</w:t>
      </w:r>
      <w:r>
        <w:rPr>
          <w:rFonts w:hint="default" w:ascii="Times New Roman" w:hAnsi="Times New Roman" w:eastAsia="Times New Roman" w:cs="Times New Roman"/>
          <w:spacing w:val="6"/>
          <w:sz w:val="23"/>
          <w:szCs w:val="23"/>
          <w:highlight w:val="none"/>
        </w:rPr>
        <w:t xml:space="preserve">.2.3.3 </w:t>
      </w:r>
      <w:r>
        <w:rPr>
          <w:rFonts w:hint="default" w:ascii="Times New Roman" w:hAnsi="Times New Roman" w:eastAsia="宋体" w:cs="Times New Roman"/>
          <w:spacing w:val="6"/>
          <w:sz w:val="23"/>
          <w:szCs w:val="23"/>
          <w:highlight w:val="none"/>
        </w:rPr>
        <w:t>地下水环境影响评价</w:t>
      </w:r>
    </w:p>
    <w:p>
      <w:pPr>
        <w:spacing w:before="297" w:line="406" w:lineRule="auto"/>
        <w:ind w:left="20" w:right="27"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按《环</w:t>
      </w:r>
      <w:r>
        <w:rPr>
          <w:rFonts w:hint="default" w:ascii="Times New Roman" w:hAnsi="Times New Roman" w:eastAsia="宋体" w:cs="Times New Roman"/>
          <w:spacing w:val="9"/>
          <w:sz w:val="23"/>
          <w:szCs w:val="23"/>
          <w:highlight w:val="none"/>
        </w:rPr>
        <w:t>境</w:t>
      </w:r>
      <w:r>
        <w:rPr>
          <w:rFonts w:hint="default" w:ascii="Times New Roman" w:hAnsi="Times New Roman" w:eastAsia="宋体" w:cs="Times New Roman"/>
          <w:spacing w:val="5"/>
          <w:sz w:val="23"/>
          <w:szCs w:val="23"/>
          <w:highlight w:val="none"/>
        </w:rPr>
        <w:t>影响评价技术导则 地下水环境》</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5"/>
          <w:sz w:val="23"/>
          <w:szCs w:val="23"/>
          <w:highlight w:val="none"/>
        </w:rPr>
        <w:t>610-2016)</w:t>
      </w:r>
      <w:r>
        <w:rPr>
          <w:rFonts w:hint="default" w:ascii="Times New Roman" w:hAnsi="Times New Roman" w:eastAsia="宋体" w:cs="Times New Roman"/>
          <w:spacing w:val="5"/>
          <w:sz w:val="23"/>
          <w:szCs w:val="23"/>
          <w:highlight w:val="none"/>
        </w:rPr>
        <w:t>相关要求，拟建项目</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属</w:t>
      </w:r>
      <w:r>
        <w:rPr>
          <w:rFonts w:hint="default" w:ascii="Times New Roman" w:hAnsi="Times New Roman" w:eastAsia="宋体" w:cs="Times New Roman"/>
          <w:spacing w:val="11"/>
          <w:sz w:val="23"/>
          <w:szCs w:val="23"/>
          <w:highlight w:val="none"/>
        </w:rPr>
        <w:t xml:space="preserve">于 </w:t>
      </w:r>
      <w:r>
        <w:rPr>
          <w:rFonts w:hint="default" w:ascii="Times New Roman" w:hAnsi="Times New Roman" w:eastAsia="Times New Roman" w:cs="Times New Roman"/>
          <w:sz w:val="23"/>
          <w:szCs w:val="23"/>
          <w:highlight w:val="none"/>
        </w:rPr>
        <w:t>II</w:t>
      </w:r>
      <w:r>
        <w:rPr>
          <w:rFonts w:hint="default" w:ascii="Times New Roman" w:hAnsi="Times New Roman" w:eastAsia="Times New Roman" w:cs="Times New Roman"/>
          <w:spacing w:val="11"/>
          <w:sz w:val="23"/>
          <w:szCs w:val="23"/>
          <w:highlight w:val="none"/>
        </w:rPr>
        <w:t xml:space="preserve"> </w:t>
      </w:r>
      <w:r>
        <w:rPr>
          <w:rFonts w:hint="default" w:ascii="Times New Roman" w:hAnsi="Times New Roman" w:eastAsia="宋体" w:cs="Times New Roman"/>
          <w:spacing w:val="11"/>
          <w:sz w:val="23"/>
          <w:szCs w:val="23"/>
          <w:highlight w:val="none"/>
        </w:rPr>
        <w:t>类项目，同时由于评价区附近范围内村庄存在分散式的饮用水井，所以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敏感性确定为</w:t>
      </w:r>
      <w:r>
        <w:rPr>
          <w:rFonts w:hint="default" w:ascii="Times New Roman" w:hAnsi="Times New Roman" w:eastAsia="Times New Roman" w:cs="Times New Roman"/>
          <w:spacing w:val="6"/>
          <w:sz w:val="23"/>
          <w:szCs w:val="23"/>
          <w:highlight w:val="none"/>
        </w:rPr>
        <w:t>“</w:t>
      </w:r>
      <w:r>
        <w:rPr>
          <w:rFonts w:hint="default" w:ascii="Times New Roman" w:hAnsi="Times New Roman" w:eastAsia="宋体" w:cs="Times New Roman"/>
          <w:spacing w:val="6"/>
          <w:sz w:val="23"/>
          <w:szCs w:val="23"/>
          <w:highlight w:val="none"/>
        </w:rPr>
        <w:t>较敏感</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，因此地下水环境影响评价工作级别为二级。根据建设</w:t>
      </w:r>
      <w:r>
        <w:rPr>
          <w:rFonts w:hint="default" w:ascii="Times New Roman" w:hAnsi="Times New Roman" w:eastAsia="宋体" w:cs="Times New Roman"/>
          <w:spacing w:val="5"/>
          <w:sz w:val="23"/>
          <w:szCs w:val="23"/>
          <w:highlight w:val="none"/>
        </w:rPr>
        <w:t>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目 自身性质及其对地下水环境影响的特点，为预测和评价项目建设对地下水</w:t>
      </w:r>
      <w:r>
        <w:rPr>
          <w:rFonts w:hint="default" w:ascii="Times New Roman" w:hAnsi="Times New Roman" w:eastAsia="宋体" w:cs="Times New Roman"/>
          <w:spacing w:val="1"/>
          <w:sz w:val="23"/>
          <w:szCs w:val="23"/>
          <w:highlight w:val="none"/>
        </w:rPr>
        <w:t>环</w:t>
      </w:r>
      <w:r>
        <w:rPr>
          <w:rFonts w:hint="default" w:ascii="Times New Roman" w:hAnsi="Times New Roman" w:eastAsia="宋体" w:cs="Times New Roman"/>
          <w:sz w:val="23"/>
          <w:szCs w:val="23"/>
          <w:highlight w:val="none"/>
        </w:rPr>
        <w:t xml:space="preserve">境 </w:t>
      </w:r>
      <w:r>
        <w:rPr>
          <w:rFonts w:hint="default" w:ascii="Times New Roman" w:hAnsi="Times New Roman" w:eastAsia="宋体" w:cs="Times New Roman"/>
          <w:spacing w:val="14"/>
          <w:sz w:val="23"/>
          <w:szCs w:val="23"/>
          <w:highlight w:val="none"/>
        </w:rPr>
        <w:t>可</w:t>
      </w:r>
      <w:r>
        <w:rPr>
          <w:rFonts w:hint="default" w:ascii="Times New Roman" w:hAnsi="Times New Roman" w:eastAsia="宋体" w:cs="Times New Roman"/>
          <w:spacing w:val="7"/>
          <w:sz w:val="23"/>
          <w:szCs w:val="23"/>
          <w:highlight w:val="none"/>
        </w:rPr>
        <w:t>能造成的影响和危害，并针对这种影响和危害提出防治策略，从而达到预防与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控</w:t>
      </w:r>
      <w:r>
        <w:rPr>
          <w:rFonts w:hint="default" w:ascii="Times New Roman" w:hAnsi="Times New Roman" w:eastAsia="宋体" w:cs="Times New Roman"/>
          <w:spacing w:val="7"/>
          <w:sz w:val="23"/>
          <w:szCs w:val="23"/>
          <w:highlight w:val="none"/>
        </w:rPr>
        <w:t>制环境恶化、保护地下水资源的目的。本次工作将采用数值模拟法进行预测与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评价</w:t>
      </w:r>
      <w:r>
        <w:rPr>
          <w:rFonts w:hint="default" w:ascii="Times New Roman" w:hAnsi="Times New Roman" w:eastAsia="宋体" w:cs="Times New Roman"/>
          <w:spacing w:val="3"/>
          <w:sz w:val="23"/>
          <w:szCs w:val="23"/>
          <w:highlight w:val="none"/>
        </w:rPr>
        <w:t>。</w:t>
      </w:r>
    </w:p>
    <w:p>
      <w:pPr>
        <w:spacing w:before="2" w:line="401" w:lineRule="auto"/>
        <w:ind w:left="20" w:right="32"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总体思路是：在对评价区水文地质条件综合分析的基础上确定模拟范围，</w:t>
      </w:r>
      <w:r>
        <w:rPr>
          <w:rFonts w:hint="default" w:ascii="Times New Roman" w:hAnsi="Times New Roman" w:eastAsia="宋体" w:cs="Times New Roman"/>
          <w:spacing w:val="4"/>
          <w:sz w:val="23"/>
          <w:szCs w:val="23"/>
          <w:highlight w:val="none"/>
        </w:rPr>
        <w:t>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过</w:t>
      </w:r>
      <w:r>
        <w:rPr>
          <w:rFonts w:hint="default" w:ascii="Times New Roman" w:hAnsi="Times New Roman" w:eastAsia="宋体" w:cs="Times New Roman"/>
          <w:spacing w:val="7"/>
          <w:sz w:val="23"/>
          <w:szCs w:val="23"/>
          <w:highlight w:val="none"/>
        </w:rPr>
        <w:t>边界条件、地下水流动特征及含水层系统结构的概化，建立评价区的水文地质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概</w:t>
      </w:r>
      <w:r>
        <w:rPr>
          <w:rFonts w:hint="default" w:ascii="Times New Roman" w:hAnsi="Times New Roman" w:eastAsia="宋体" w:cs="Times New Roman"/>
          <w:spacing w:val="7"/>
          <w:sz w:val="23"/>
          <w:szCs w:val="23"/>
          <w:highlight w:val="none"/>
        </w:rPr>
        <w:t>念模型，进一步采用有限差分原理进行空间离散、高程插值、非均质分区、边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界</w:t>
      </w:r>
      <w:r>
        <w:rPr>
          <w:rFonts w:hint="default" w:ascii="Times New Roman" w:hAnsi="Times New Roman" w:eastAsia="宋体" w:cs="Times New Roman"/>
          <w:spacing w:val="7"/>
          <w:sz w:val="23"/>
          <w:szCs w:val="23"/>
          <w:highlight w:val="none"/>
        </w:rPr>
        <w:t>条件设置等，从而构建评价区地下水渗流数值模型。利用已有的水位观测资料</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及</w:t>
      </w:r>
      <w:r>
        <w:rPr>
          <w:rFonts w:hint="default" w:ascii="Times New Roman" w:hAnsi="Times New Roman" w:eastAsia="宋体" w:cs="Times New Roman"/>
          <w:spacing w:val="7"/>
          <w:sz w:val="23"/>
          <w:szCs w:val="23"/>
          <w:highlight w:val="none"/>
        </w:rPr>
        <w:t>区域地下水运动规律，完成模型的识别验证。最后按照根据项目的特点，设计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了</w:t>
      </w:r>
      <w:r>
        <w:rPr>
          <w:rFonts w:hint="default" w:ascii="Times New Roman" w:hAnsi="Times New Roman" w:eastAsia="宋体" w:cs="Times New Roman"/>
          <w:spacing w:val="7"/>
          <w:sz w:val="23"/>
          <w:szCs w:val="23"/>
          <w:highlight w:val="none"/>
        </w:rPr>
        <w:t>污染泄漏情景，在地下水渗流数值模型的基础上耦合污染物迁移方程，得到地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下</w:t>
      </w:r>
      <w:r>
        <w:rPr>
          <w:rFonts w:hint="default" w:ascii="Times New Roman" w:hAnsi="Times New Roman" w:eastAsia="宋体" w:cs="Times New Roman"/>
          <w:spacing w:val="9"/>
          <w:sz w:val="23"/>
          <w:szCs w:val="23"/>
          <w:highlight w:val="none"/>
        </w:rPr>
        <w:t>水溶质运移模型，利用此模型对污染情景进行预测评价。</w:t>
      </w:r>
    </w:p>
    <w:p>
      <w:pPr>
        <w:ind w:left="493"/>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w:t>
      </w:r>
      <w:r>
        <w:rPr>
          <w:rFonts w:hint="default" w:ascii="Times New Roman" w:hAnsi="Times New Roman" w:eastAsia="宋体" w:cs="Times New Roman"/>
          <w:spacing w:val="4"/>
          <w:sz w:val="23"/>
          <w:szCs w:val="23"/>
          <w:highlight w:val="none"/>
        </w:rPr>
        <w:t>水</w:t>
      </w:r>
      <w:r>
        <w:rPr>
          <w:rFonts w:hint="default" w:ascii="Times New Roman" w:hAnsi="Times New Roman" w:eastAsia="宋体" w:cs="Times New Roman"/>
          <w:spacing w:val="3"/>
          <w:sz w:val="23"/>
          <w:szCs w:val="23"/>
          <w:highlight w:val="none"/>
        </w:rPr>
        <w:t>文地质概念模型</w:t>
      </w:r>
    </w:p>
    <w:p>
      <w:pPr>
        <w:spacing w:before="199" w:line="228" w:lineRule="auto"/>
        <w:ind w:left="512"/>
        <w:outlineLvl w:val="2"/>
        <w:rPr>
          <w:rFonts w:hint="default" w:ascii="Times New Roman" w:hAnsi="Times New Roman" w:eastAsia="宋体" w:cs="Times New Roman"/>
          <w:sz w:val="23"/>
          <w:szCs w:val="23"/>
          <w:highlight w:val="none"/>
        </w:rPr>
      </w:pPr>
      <w:bookmarkStart w:id="592" w:name="_Toc10545"/>
      <w:bookmarkStart w:id="593" w:name="_Toc9974"/>
      <w:bookmarkStart w:id="594" w:name="_Toc5617"/>
      <w:r>
        <w:rPr>
          <w:rFonts w:hint="default" w:ascii="Times New Roman" w:hAnsi="Times New Roman" w:eastAsia="宋体" w:cs="Times New Roman"/>
          <w:spacing w:val="25"/>
          <w:sz w:val="23"/>
          <w:szCs w:val="23"/>
          <w:highlight w:val="none"/>
        </w:rPr>
        <w:t>(</w:t>
      </w:r>
      <w:r>
        <w:rPr>
          <w:rFonts w:hint="default" w:ascii="Times New Roman" w:hAnsi="Times New Roman" w:eastAsia="Times New Roman" w:cs="Times New Roman"/>
          <w:spacing w:val="18"/>
          <w:sz w:val="23"/>
          <w:szCs w:val="23"/>
          <w:highlight w:val="none"/>
        </w:rPr>
        <w:t>1</w:t>
      </w:r>
      <w:r>
        <w:rPr>
          <w:rFonts w:hint="default" w:ascii="Times New Roman" w:hAnsi="Times New Roman" w:eastAsia="宋体" w:cs="Times New Roman"/>
          <w:spacing w:val="18"/>
          <w:sz w:val="23"/>
          <w:szCs w:val="23"/>
          <w:highlight w:val="none"/>
        </w:rPr>
        <w:t>) 计算区范围</w:t>
      </w:r>
      <w:bookmarkEnd w:id="592"/>
      <w:bookmarkEnd w:id="593"/>
      <w:bookmarkEnd w:id="594"/>
    </w:p>
    <w:p>
      <w:pPr>
        <w:spacing w:before="215" w:line="402" w:lineRule="auto"/>
        <w:ind w:left="21"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根据本区地质及水文地质条件，同时考虑拟建项目对地下水环境影响范围及</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影</w:t>
      </w:r>
      <w:r>
        <w:rPr>
          <w:rFonts w:hint="default" w:ascii="Times New Roman" w:hAnsi="Times New Roman" w:eastAsia="宋体" w:cs="Times New Roman"/>
          <w:spacing w:val="8"/>
          <w:sz w:val="23"/>
          <w:szCs w:val="23"/>
          <w:highlight w:val="none"/>
        </w:rPr>
        <w:t>响程度，以及评价区内地下水敏感点的分布和数量，导则规定的面积要求等，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2"/>
          <w:sz w:val="23"/>
          <w:szCs w:val="23"/>
          <w:highlight w:val="none"/>
        </w:rPr>
        <w:t>以</w:t>
      </w:r>
      <w:r>
        <w:rPr>
          <w:rFonts w:hint="default" w:ascii="Times New Roman" w:hAnsi="Times New Roman" w:eastAsia="宋体" w:cs="Times New Roman"/>
          <w:spacing w:val="29"/>
          <w:sz w:val="23"/>
          <w:szCs w:val="23"/>
          <w:highlight w:val="none"/>
        </w:rPr>
        <w:t>能满足环境影响预测和分析的要求为依据，确定本次模拟区总面积约为</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7"/>
          <w:sz w:val="23"/>
          <w:szCs w:val="23"/>
          <w:highlight w:val="none"/>
        </w:rPr>
        <w:t>6.636</w:t>
      </w:r>
      <w:r>
        <w:rPr>
          <w:rFonts w:hint="default" w:ascii="Times New Roman" w:hAnsi="Times New Roman" w:eastAsia="Times New Roman" w:cs="Times New Roman"/>
          <w:sz w:val="23"/>
          <w:szCs w:val="23"/>
          <w:highlight w:val="none"/>
        </w:rPr>
        <w:t>km</w:t>
      </w:r>
      <w:r>
        <w:rPr>
          <w:rFonts w:hint="default" w:ascii="Times New Roman" w:hAnsi="Times New Roman" w:eastAsia="Times New Roman" w:cs="Times New Roman"/>
          <w:spacing w:val="7"/>
          <w:position w:val="8"/>
          <w:sz w:val="15"/>
          <w:szCs w:val="15"/>
          <w:highlight w:val="none"/>
        </w:rPr>
        <w:t xml:space="preserve">2 </w:t>
      </w:r>
      <w:r>
        <w:rPr>
          <w:rFonts w:hint="default" w:ascii="Times New Roman" w:hAnsi="Times New Roman" w:eastAsia="宋体" w:cs="Times New Roman"/>
          <w:spacing w:val="7"/>
          <w:sz w:val="23"/>
          <w:szCs w:val="23"/>
          <w:highlight w:val="none"/>
        </w:rPr>
        <w:t>，具体包含厂区在内，东北部边界为地下水流量边界 (为流入边界) ，</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南部边界也为流量边界 (地下水流出边界) ，西南和东南边界由于与地下水</w:t>
      </w:r>
      <w:r>
        <w:rPr>
          <w:rFonts w:hint="default" w:ascii="Times New Roman" w:hAnsi="Times New Roman" w:eastAsia="宋体" w:cs="Times New Roman"/>
          <w:spacing w:val="6"/>
          <w:sz w:val="23"/>
          <w:szCs w:val="23"/>
          <w:highlight w:val="none"/>
        </w:rPr>
        <w:t>等</w:t>
      </w:r>
      <w:r>
        <w:rPr>
          <w:rFonts w:hint="default" w:ascii="Times New Roman" w:hAnsi="Times New Roman" w:eastAsia="宋体" w:cs="Times New Roman"/>
          <w:sz w:val="23"/>
          <w:szCs w:val="23"/>
          <w:highlight w:val="none"/>
        </w:rPr>
        <w:t xml:space="preserve">水 </w:t>
      </w:r>
      <w:r>
        <w:rPr>
          <w:rFonts w:hint="default" w:ascii="Times New Roman" w:hAnsi="Times New Roman" w:eastAsia="宋体" w:cs="Times New Roman"/>
          <w:spacing w:val="8"/>
          <w:sz w:val="23"/>
          <w:szCs w:val="23"/>
          <w:highlight w:val="none"/>
        </w:rPr>
        <w:t>位线相互</w:t>
      </w:r>
      <w:r>
        <w:rPr>
          <w:rFonts w:hint="default" w:ascii="Times New Roman" w:hAnsi="Times New Roman" w:eastAsia="宋体" w:cs="Times New Roman"/>
          <w:spacing w:val="6"/>
          <w:sz w:val="23"/>
          <w:szCs w:val="23"/>
          <w:highlight w:val="none"/>
        </w:rPr>
        <w:t>垂</w:t>
      </w:r>
      <w:r>
        <w:rPr>
          <w:rFonts w:hint="default" w:ascii="Times New Roman" w:hAnsi="Times New Roman" w:eastAsia="宋体" w:cs="Times New Roman"/>
          <w:spacing w:val="4"/>
          <w:sz w:val="23"/>
          <w:szCs w:val="23"/>
          <w:highlight w:val="none"/>
        </w:rPr>
        <w:t xml:space="preserve">直，为零通量边界 (图 </w:t>
      </w:r>
      <w:r>
        <w:rPr>
          <w:rFonts w:hint="default" w:ascii="Times New Roman" w:hAnsi="Times New Roman" w:eastAsia="Times New Roman" w:cs="Times New Roman"/>
          <w:spacing w:val="4"/>
          <w:sz w:val="23"/>
          <w:szCs w:val="23"/>
          <w:highlight w:val="none"/>
        </w:rPr>
        <w:t>5.2-</w:t>
      </w:r>
      <w:r>
        <w:rPr>
          <w:rFonts w:hint="eastAsia" w:ascii="Times New Roman" w:hAnsi="Times New Roman" w:eastAsia="宋体" w:cs="Times New Roman"/>
          <w:spacing w:val="4"/>
          <w:sz w:val="23"/>
          <w:szCs w:val="23"/>
          <w:highlight w:val="none"/>
          <w:lang w:val="en-US" w:eastAsia="zh-CN"/>
        </w:rPr>
        <w:t>20</w:t>
      </w:r>
      <w:r>
        <w:rPr>
          <w:rFonts w:hint="default" w:ascii="Times New Roman" w:hAnsi="Times New Roman" w:eastAsia="宋体" w:cs="Times New Roman"/>
          <w:spacing w:val="4"/>
          <w:sz w:val="23"/>
          <w:szCs w:val="23"/>
          <w:highlight w:val="none"/>
        </w:rPr>
        <w:t>) 。</w:t>
      </w:r>
    </w:p>
    <w:p>
      <w:pPr>
        <w:rPr>
          <w:rFonts w:hint="default" w:ascii="Times New Roman" w:hAnsi="Times New Roman" w:cs="Times New Roman"/>
          <w:highlight w:val="none"/>
        </w:rPr>
        <w:sectPr>
          <w:headerReference r:id="rId100" w:type="default"/>
          <w:footerReference r:id="rId101" w:type="default"/>
          <w:pgSz w:w="11906" w:h="16839"/>
          <w:pgMar w:top="1167" w:right="1765" w:bottom="1282" w:left="1785" w:header="897" w:footer="1015" w:gutter="0"/>
          <w:pgBorders>
            <w:top w:val="none" w:sz="0" w:space="0"/>
            <w:left w:val="none" w:sz="0" w:space="0"/>
            <w:bottom w:val="none" w:sz="0" w:space="0"/>
            <w:right w:val="none" w:sz="0" w:space="0"/>
          </w:pgBorders>
          <w:pgNumType w:fmt="decimal"/>
          <w:cols w:space="720" w:num="1"/>
        </w:sectPr>
      </w:pPr>
    </w:p>
    <w:p>
      <w:pPr>
        <w:spacing w:line="271"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274" o:spid="_x0000_s1274" o:spt="1" style="position:absolute;left:0pt;margin-left:89.85pt;margin-top:59.05pt;height:0.75pt;width:415.65pt;mso-position-horizontal-relative:page;mso-position-vertical-relative:page;z-index:251781120;mso-width-relative:page;mso-height-relative:page;" fillcolor="#000000" filled="t" stroked="f" coordsize="21600,21600" o:allowincell="f">
            <v:path/>
            <v:fill on="t" focussize="0,0"/>
            <v:stroke on="f"/>
            <v:imagedata o:title=""/>
            <o:lock v:ext="edit"/>
          </v:rect>
        </w:pict>
      </w:r>
      <w:r>
        <w:rPr>
          <w:rFonts w:hint="default" w:ascii="Times New Roman" w:hAnsi="Times New Roman" w:cs="Times New Roman"/>
          <w:highlight w:val="none"/>
        </w:rPr>
        <w:pict>
          <v:shape id="_x0000_s1275" o:spid="_x0000_s1275" style="position:absolute;left:0pt;margin-left:89.85pt;margin-top:776.35pt;height:0.75pt;width:415.65pt;mso-position-horizontal-relative:page;mso-position-vertical-relative:page;z-index:251780096;mso-width-relative:page;mso-height-relative:page;" fillcolor="#FFFFFF" filled="t" stroked="t" coordsize="8312,15" o:allowincell="f" path="m0,0l8312,0,8312,14,0,14,0,0xe">
            <v:fill on="t" color2="#FFFFFF" focussize="0,0"/>
            <v:stroke weight="0pt" color="#FFFFFF"/>
            <v:imagedata o:title=""/>
            <o:lock v:ext="edit" aspectratio="f"/>
          </v:shape>
        </w:pict>
      </w:r>
    </w:p>
    <w:p>
      <w:pPr>
        <w:spacing w:line="7353" w:lineRule="exact"/>
        <w:ind w:firstLine="410"/>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772660" cy="466915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73"/>
                    <a:stretch>
                      <a:fillRect/>
                    </a:stretch>
                  </pic:blipFill>
                  <pic:spPr>
                    <a:xfrm>
                      <a:off x="0" y="0"/>
                      <a:ext cx="4773168" cy="4669535"/>
                    </a:xfrm>
                    <a:prstGeom prst="rect">
                      <a:avLst/>
                    </a:prstGeom>
                  </pic:spPr>
                </pic:pic>
              </a:graphicData>
            </a:graphic>
          </wp:inline>
        </w:drawing>
      </w:r>
    </w:p>
    <w:p>
      <w:pPr>
        <w:spacing w:before="193" w:line="227" w:lineRule="auto"/>
        <w:ind w:left="244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6"/>
          <w:sz w:val="23"/>
          <w:szCs w:val="23"/>
          <w:highlight w:val="none"/>
        </w:rPr>
        <w:t>5.2-</w:t>
      </w:r>
      <w:r>
        <w:rPr>
          <w:rFonts w:hint="eastAsia" w:ascii="Times New Roman" w:hAnsi="Times New Roman" w:eastAsia="宋体" w:cs="Times New Roman"/>
          <w:b/>
          <w:bCs/>
          <w:spacing w:val="6"/>
          <w:sz w:val="23"/>
          <w:szCs w:val="23"/>
          <w:highlight w:val="none"/>
          <w:lang w:val="en-US" w:eastAsia="zh-CN"/>
        </w:rPr>
        <w:t>20</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模拟计算区范围示意</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图</w:t>
      </w:r>
    </w:p>
    <w:p>
      <w:pPr>
        <w:spacing w:before="218" w:line="228" w:lineRule="auto"/>
        <w:ind w:left="512"/>
        <w:outlineLvl w:val="2"/>
        <w:rPr>
          <w:rFonts w:hint="default" w:ascii="Times New Roman" w:hAnsi="Times New Roman" w:eastAsia="宋体" w:cs="Times New Roman"/>
          <w:sz w:val="23"/>
          <w:szCs w:val="23"/>
          <w:highlight w:val="none"/>
        </w:rPr>
      </w:pPr>
      <w:bookmarkStart w:id="595" w:name="_Toc32111"/>
      <w:bookmarkStart w:id="596" w:name="_Toc7652"/>
      <w:bookmarkStart w:id="597" w:name="_Toc18370"/>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2</w:t>
      </w:r>
      <w:r>
        <w:rPr>
          <w:rFonts w:hint="default" w:ascii="Times New Roman" w:hAnsi="Times New Roman" w:eastAsia="宋体" w:cs="Times New Roman"/>
          <w:spacing w:val="20"/>
          <w:sz w:val="23"/>
          <w:szCs w:val="23"/>
          <w:highlight w:val="none"/>
        </w:rPr>
        <w:t>) 边界条</w:t>
      </w:r>
      <w:r>
        <w:rPr>
          <w:rFonts w:hint="default" w:ascii="Times New Roman" w:hAnsi="Times New Roman" w:eastAsia="宋体" w:cs="Times New Roman"/>
          <w:spacing w:val="19"/>
          <w:sz w:val="23"/>
          <w:szCs w:val="23"/>
          <w:highlight w:val="none"/>
        </w:rPr>
        <w:t>件</w:t>
      </w:r>
      <w:bookmarkEnd w:id="595"/>
      <w:bookmarkEnd w:id="596"/>
      <w:bookmarkEnd w:id="597"/>
    </w:p>
    <w:p>
      <w:pPr>
        <w:spacing w:before="217" w:line="401" w:lineRule="auto"/>
        <w:ind w:left="21" w:right="11"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模</w:t>
      </w:r>
      <w:r>
        <w:rPr>
          <w:rFonts w:hint="default" w:ascii="Times New Roman" w:hAnsi="Times New Roman" w:eastAsia="宋体" w:cs="Times New Roman"/>
          <w:spacing w:val="7"/>
          <w:sz w:val="23"/>
          <w:szCs w:val="23"/>
          <w:highlight w:val="none"/>
        </w:rPr>
        <w:t>拟区没有天然水头边界，从地下水等水位线图来看，西北部边界均为地下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水流</w:t>
      </w:r>
      <w:r>
        <w:rPr>
          <w:rFonts w:hint="default" w:ascii="Times New Roman" w:hAnsi="Times New Roman" w:eastAsia="宋体" w:cs="Times New Roman"/>
          <w:spacing w:val="11"/>
          <w:sz w:val="23"/>
          <w:szCs w:val="23"/>
          <w:highlight w:val="none"/>
        </w:rPr>
        <w:t>量</w:t>
      </w:r>
      <w:r>
        <w:rPr>
          <w:rFonts w:hint="default" w:ascii="Times New Roman" w:hAnsi="Times New Roman" w:eastAsia="宋体" w:cs="Times New Roman"/>
          <w:spacing w:val="6"/>
          <w:sz w:val="23"/>
          <w:szCs w:val="23"/>
          <w:highlight w:val="none"/>
        </w:rPr>
        <w:t>边界 (为流入边界) ，南部边界也为流量边界 (地下水流出边界) ，西南</w:t>
      </w:r>
      <w:r>
        <w:rPr>
          <w:rFonts w:hint="default" w:ascii="Times New Roman" w:hAnsi="Times New Roman" w:eastAsia="宋体" w:cs="Times New Roman"/>
          <w:spacing w:val="13"/>
          <w:sz w:val="23"/>
          <w:szCs w:val="23"/>
          <w:highlight w:val="none"/>
        </w:rPr>
        <w:t>和</w:t>
      </w:r>
      <w:r>
        <w:rPr>
          <w:rFonts w:hint="default" w:ascii="Times New Roman" w:hAnsi="Times New Roman" w:eastAsia="宋体" w:cs="Times New Roman"/>
          <w:spacing w:val="7"/>
          <w:sz w:val="23"/>
          <w:szCs w:val="23"/>
          <w:highlight w:val="none"/>
        </w:rPr>
        <w:t>东南边界由于与地下水等水位线相互垂直，为零通量边界，边界流量根据断面</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法</w:t>
      </w:r>
      <w:r>
        <w:rPr>
          <w:rFonts w:hint="default" w:ascii="Times New Roman" w:hAnsi="Times New Roman" w:eastAsia="宋体" w:cs="Times New Roman"/>
          <w:spacing w:val="7"/>
          <w:sz w:val="23"/>
          <w:szCs w:val="23"/>
          <w:highlight w:val="none"/>
        </w:rPr>
        <w:t>分段进行计算。鉴于本次地下水数值模拟目的是在地下水识别模型的基础上预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测</w:t>
      </w:r>
      <w:r>
        <w:rPr>
          <w:rFonts w:hint="default" w:ascii="Times New Roman" w:hAnsi="Times New Roman" w:eastAsia="宋体" w:cs="Times New Roman"/>
          <w:spacing w:val="7"/>
          <w:sz w:val="23"/>
          <w:szCs w:val="23"/>
          <w:highlight w:val="none"/>
        </w:rPr>
        <w:t>厂区在事故条件下地下水污染的时空分布特征，因此，此次只建立评价区域的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7"/>
          <w:sz w:val="23"/>
          <w:szCs w:val="23"/>
          <w:highlight w:val="none"/>
        </w:rPr>
        <w:t>第</w:t>
      </w:r>
      <w:r>
        <w:rPr>
          <w:rFonts w:hint="default" w:ascii="Times New Roman" w:hAnsi="Times New Roman" w:eastAsia="宋体" w:cs="Times New Roman"/>
          <w:spacing w:val="9"/>
          <w:sz w:val="23"/>
          <w:szCs w:val="23"/>
          <w:highlight w:val="none"/>
        </w:rPr>
        <w:t>四系孔隙水的数值模型，将第三系砂岩当做此次模型的底板。</w:t>
      </w:r>
    </w:p>
    <w:p>
      <w:pPr>
        <w:spacing w:line="228" w:lineRule="auto"/>
        <w:ind w:left="512"/>
        <w:outlineLvl w:val="2"/>
        <w:rPr>
          <w:rFonts w:hint="default" w:ascii="Times New Roman" w:hAnsi="Times New Roman" w:eastAsia="宋体" w:cs="Times New Roman"/>
          <w:sz w:val="23"/>
          <w:szCs w:val="23"/>
          <w:highlight w:val="none"/>
        </w:rPr>
      </w:pPr>
      <w:bookmarkStart w:id="598" w:name="_Toc17994"/>
      <w:bookmarkStart w:id="599" w:name="_Toc10661"/>
      <w:bookmarkStart w:id="600" w:name="_Toc1899"/>
      <w:r>
        <w:rPr>
          <w:rFonts w:hint="default" w:ascii="Times New Roman" w:hAnsi="Times New Roman" w:eastAsia="宋体" w:cs="Times New Roman"/>
          <w:spacing w:val="18"/>
          <w:sz w:val="23"/>
          <w:szCs w:val="23"/>
          <w:highlight w:val="none"/>
        </w:rPr>
        <w:t>(</w:t>
      </w:r>
      <w:r>
        <w:rPr>
          <w:rFonts w:hint="default" w:ascii="Times New Roman" w:hAnsi="Times New Roman" w:eastAsia="Times New Roman" w:cs="Times New Roman"/>
          <w:spacing w:val="18"/>
          <w:sz w:val="23"/>
          <w:szCs w:val="23"/>
          <w:highlight w:val="none"/>
        </w:rPr>
        <w:t>3</w:t>
      </w:r>
      <w:r>
        <w:rPr>
          <w:rFonts w:hint="default" w:ascii="Times New Roman" w:hAnsi="Times New Roman" w:eastAsia="宋体" w:cs="Times New Roman"/>
          <w:spacing w:val="18"/>
          <w:sz w:val="23"/>
          <w:szCs w:val="23"/>
          <w:highlight w:val="none"/>
        </w:rPr>
        <w:t>) 水文地质特</w:t>
      </w:r>
      <w:r>
        <w:rPr>
          <w:rFonts w:hint="default" w:ascii="Times New Roman" w:hAnsi="Times New Roman" w:eastAsia="宋体" w:cs="Times New Roman"/>
          <w:spacing w:val="17"/>
          <w:sz w:val="23"/>
          <w:szCs w:val="23"/>
          <w:highlight w:val="none"/>
        </w:rPr>
        <w:t>征</w:t>
      </w:r>
      <w:bookmarkEnd w:id="598"/>
      <w:bookmarkEnd w:id="599"/>
      <w:bookmarkEnd w:id="600"/>
    </w:p>
    <w:p>
      <w:pPr>
        <w:spacing w:before="215" w:line="226" w:lineRule="auto"/>
        <w:ind w:left="500"/>
        <w:outlineLvl w:val="1"/>
        <w:rPr>
          <w:rFonts w:hint="default" w:ascii="Times New Roman" w:hAnsi="Times New Roman" w:eastAsia="宋体" w:cs="Times New Roman"/>
          <w:sz w:val="23"/>
          <w:szCs w:val="23"/>
          <w:highlight w:val="none"/>
        </w:rPr>
      </w:pPr>
      <w:bookmarkStart w:id="601" w:name="_Toc3492"/>
      <w:bookmarkStart w:id="602" w:name="_Toc5909"/>
      <w:bookmarkStart w:id="603" w:name="_Toc25697"/>
      <w:r>
        <w:rPr>
          <w:rFonts w:hint="default" w:ascii="Times New Roman" w:hAnsi="Times New Roman" w:eastAsia="宋体" w:cs="Times New Roman"/>
          <w:spacing w:val="8"/>
          <w:sz w:val="23"/>
          <w:szCs w:val="23"/>
          <w:highlight w:val="none"/>
        </w:rPr>
        <w:t>①含水</w:t>
      </w:r>
      <w:r>
        <w:rPr>
          <w:rFonts w:hint="default" w:ascii="Times New Roman" w:hAnsi="Times New Roman" w:eastAsia="宋体" w:cs="Times New Roman"/>
          <w:spacing w:val="7"/>
          <w:sz w:val="23"/>
          <w:szCs w:val="23"/>
          <w:highlight w:val="none"/>
        </w:rPr>
        <w:t>层</w:t>
      </w:r>
      <w:bookmarkEnd w:id="601"/>
      <w:bookmarkEnd w:id="602"/>
      <w:bookmarkEnd w:id="603"/>
    </w:p>
    <w:p>
      <w:pPr>
        <w:spacing w:before="219" w:line="401" w:lineRule="auto"/>
        <w:ind w:left="32" w:right="11" w:firstLine="46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计算区含水层主要为第四系潜水含水层，与区外具有统一的水力联系，计算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时概化为一个统一的单层含水层</w:t>
      </w:r>
      <w:r>
        <w:rPr>
          <w:rFonts w:hint="default" w:ascii="Times New Roman" w:hAnsi="Times New Roman" w:eastAsia="宋体" w:cs="Times New Roman"/>
          <w:spacing w:val="7"/>
          <w:sz w:val="23"/>
          <w:szCs w:val="23"/>
          <w:highlight w:val="none"/>
        </w:rPr>
        <w:t>。</w:t>
      </w:r>
    </w:p>
    <w:p>
      <w:pPr>
        <w:spacing w:before="2" w:line="225" w:lineRule="auto"/>
        <w:ind w:left="499"/>
        <w:outlineLvl w:val="1"/>
        <w:rPr>
          <w:rFonts w:hint="default" w:ascii="Times New Roman" w:hAnsi="Times New Roman" w:eastAsia="宋体" w:cs="Times New Roman"/>
          <w:sz w:val="23"/>
          <w:szCs w:val="23"/>
          <w:highlight w:val="none"/>
        </w:rPr>
      </w:pPr>
      <w:bookmarkStart w:id="604" w:name="_Toc13729"/>
      <w:bookmarkStart w:id="605" w:name="_Toc28555"/>
      <w:bookmarkStart w:id="606" w:name="_Toc12814"/>
      <w:r>
        <w:rPr>
          <w:rFonts w:hint="default" w:ascii="Times New Roman" w:hAnsi="Times New Roman" w:eastAsia="宋体" w:cs="Times New Roman"/>
          <w:spacing w:val="9"/>
          <w:sz w:val="23"/>
          <w:szCs w:val="23"/>
          <w:highlight w:val="none"/>
        </w:rPr>
        <w:t>②地下水流动特征</w:t>
      </w:r>
      <w:bookmarkEnd w:id="604"/>
      <w:bookmarkEnd w:id="605"/>
      <w:bookmarkEnd w:id="606"/>
    </w:p>
    <w:p>
      <w:pPr>
        <w:rPr>
          <w:rFonts w:hint="default" w:ascii="Times New Roman" w:hAnsi="Times New Roman" w:cs="Times New Roman"/>
          <w:highlight w:val="none"/>
        </w:rPr>
        <w:sectPr>
          <w:headerReference r:id="rId102" w:type="default"/>
          <w:footerReference r:id="rId103" w:type="default"/>
          <w:pgSz w:w="11906" w:h="16839"/>
          <w:pgMar w:top="1167" w:right="1785" w:bottom="1282" w:left="1785" w:header="897" w:footer="1015" w:gutter="0"/>
          <w:pgBorders>
            <w:top w:val="none" w:sz="0" w:space="0"/>
            <w:left w:val="none" w:sz="0" w:space="0"/>
            <w:bottom w:val="none" w:sz="0" w:space="0"/>
            <w:right w:val="none" w:sz="0" w:space="0"/>
          </w:pgBorders>
          <w:pgNumType w:fmt="decimal"/>
          <w:cols w:space="720" w:num="1"/>
        </w:sectPr>
      </w:pPr>
    </w:p>
    <w:p>
      <w:pPr>
        <w:spacing w:line="392"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276" o:spid="_x0000_s1276" style="position:absolute;left:0pt;margin-left:119.2pt;margin-top:363.4pt;height:0.5pt;width:8.65pt;mso-position-horizontal-relative:page;mso-position-vertical-relative:page;z-index:-251534336;mso-width-relative:page;mso-height-relative:page;" filled="f" stroked="t" coordsize="172,10" o:allowincell="f" path="m4,4l167,4e">
            <v:fill on="f" focussize="0,0"/>
            <v:stroke weight="0.46pt" color="#000000" miterlimit="2" endcap="round"/>
            <v:imagedata o:title=""/>
            <o:lock v:ext="edit"/>
          </v:shape>
        </w:pict>
      </w:r>
      <w:r>
        <w:rPr>
          <w:rFonts w:hint="default" w:ascii="Times New Roman" w:hAnsi="Times New Roman" w:cs="Times New Roman"/>
          <w:highlight w:val="none"/>
        </w:rPr>
        <w:pict>
          <v:shape id="_x0000_s1277" o:spid="_x0000_s1277" style="position:absolute;left:0pt;margin-left:89.85pt;margin-top:59.05pt;height:0.75pt;width:415.65pt;mso-position-horizontal-relative:page;mso-position-vertical-relative:page;z-index:251783168;mso-width-relative:page;mso-height-relative:page;" fillcolor="#000000" filled="t" stroked="f" coordsize="8312,15" o:allowincell="f" path="m0,0l8312,0,8312,14,0,14,0,0xe">
            <v:path/>
            <v:fill on="t" focussize="0,0"/>
            <v:stroke on="f"/>
            <v:imagedata o:title=""/>
            <o:lock v:ext="edit"/>
          </v:shape>
        </w:pict>
      </w:r>
    </w:p>
    <w:p>
      <w:pPr>
        <w:spacing w:before="75" w:line="401" w:lineRule="auto"/>
        <w:ind w:left="22" w:right="11" w:firstLine="49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区内</w:t>
      </w:r>
      <w:r>
        <w:rPr>
          <w:rFonts w:hint="default" w:ascii="Times New Roman" w:hAnsi="Times New Roman" w:eastAsia="宋体" w:cs="Times New Roman"/>
          <w:spacing w:val="10"/>
          <w:sz w:val="23"/>
          <w:szCs w:val="23"/>
          <w:highlight w:val="none"/>
        </w:rPr>
        <w:t>孔</w:t>
      </w:r>
      <w:r>
        <w:rPr>
          <w:rFonts w:hint="default" w:ascii="Times New Roman" w:hAnsi="Times New Roman" w:eastAsia="宋体" w:cs="Times New Roman"/>
          <w:spacing w:val="6"/>
          <w:sz w:val="23"/>
          <w:szCs w:val="23"/>
          <w:highlight w:val="none"/>
        </w:rPr>
        <w:t>隙潜水含水层连通性较好、具有统一的径流场，地下水运动以水平方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式</w:t>
      </w:r>
      <w:r>
        <w:rPr>
          <w:rFonts w:hint="default" w:ascii="Times New Roman" w:hAnsi="Times New Roman" w:eastAsia="宋体" w:cs="Times New Roman"/>
          <w:spacing w:val="7"/>
          <w:sz w:val="23"/>
          <w:szCs w:val="23"/>
          <w:highlight w:val="none"/>
        </w:rPr>
        <w:t>为主，自北向南方向径流。计算时将地下水流的垂向分量忽略、概化为层流渗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流</w:t>
      </w:r>
      <w:r>
        <w:rPr>
          <w:rFonts w:hint="default" w:ascii="Times New Roman" w:hAnsi="Times New Roman" w:eastAsia="宋体" w:cs="Times New Roman"/>
          <w:sz w:val="23"/>
          <w:szCs w:val="23"/>
          <w:highlight w:val="none"/>
        </w:rPr>
        <w:t>。</w:t>
      </w:r>
    </w:p>
    <w:p>
      <w:pPr>
        <w:spacing w:before="1" w:line="225" w:lineRule="auto"/>
        <w:ind w:left="499"/>
        <w:outlineLvl w:val="1"/>
        <w:rPr>
          <w:rFonts w:hint="default" w:ascii="Times New Roman" w:hAnsi="Times New Roman" w:eastAsia="宋体" w:cs="Times New Roman"/>
          <w:sz w:val="23"/>
          <w:szCs w:val="23"/>
          <w:highlight w:val="none"/>
        </w:rPr>
      </w:pPr>
      <w:bookmarkStart w:id="607" w:name="_Toc12013"/>
      <w:bookmarkStart w:id="608" w:name="_Toc19143"/>
      <w:bookmarkStart w:id="609" w:name="_Toc23514"/>
      <w:r>
        <w:rPr>
          <w:rFonts w:hint="default" w:ascii="Times New Roman" w:hAnsi="Times New Roman" w:eastAsia="宋体" w:cs="Times New Roman"/>
          <w:spacing w:val="15"/>
          <w:sz w:val="23"/>
          <w:szCs w:val="23"/>
          <w:highlight w:val="none"/>
        </w:rPr>
        <w:t>③</w:t>
      </w:r>
      <w:r>
        <w:rPr>
          <w:rFonts w:hint="default" w:ascii="Times New Roman" w:hAnsi="Times New Roman" w:eastAsia="宋体" w:cs="Times New Roman"/>
          <w:spacing w:val="9"/>
          <w:sz w:val="23"/>
          <w:szCs w:val="23"/>
          <w:highlight w:val="none"/>
        </w:rPr>
        <w:t>地下水补给、排泄和动态特征</w:t>
      </w:r>
      <w:bookmarkEnd w:id="607"/>
      <w:bookmarkEnd w:id="608"/>
      <w:bookmarkEnd w:id="609"/>
    </w:p>
    <w:p>
      <w:pPr>
        <w:spacing w:before="218" w:line="401" w:lineRule="auto"/>
        <w:ind w:left="21" w:right="11"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计算区内潜水的主要补给来源为降水入渗，排泄方式以分散的人工灌溉开采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为</w:t>
      </w:r>
      <w:r>
        <w:rPr>
          <w:rFonts w:hint="default" w:ascii="Times New Roman" w:hAnsi="Times New Roman" w:eastAsia="宋体" w:cs="Times New Roman"/>
          <w:spacing w:val="7"/>
          <w:sz w:val="23"/>
          <w:szCs w:val="23"/>
          <w:highlight w:val="none"/>
        </w:rPr>
        <w:t>主，其次为向下游的侧向径流。地下水水位动态变化受大气降水以及人工开采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影响显著。</w:t>
      </w:r>
    </w:p>
    <w:p>
      <w:pPr>
        <w:ind w:left="495"/>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B</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3"/>
          <w:sz w:val="23"/>
          <w:szCs w:val="23"/>
          <w:highlight w:val="none"/>
        </w:rPr>
        <w:t>、地下水流数学模型</w:t>
      </w:r>
    </w:p>
    <w:p>
      <w:pPr>
        <w:spacing w:before="199" w:line="502" w:lineRule="exact"/>
        <w:ind w:left="50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position w:val="20"/>
          <w:sz w:val="23"/>
          <w:szCs w:val="23"/>
          <w:highlight w:val="none"/>
        </w:rPr>
        <w:t>根据模拟区内的含水介质特征、地下水补给、径流、排泄条件等，模拟区内</w:t>
      </w:r>
    </w:p>
    <w:p>
      <w:pPr>
        <w:spacing w:line="228" w:lineRule="auto"/>
        <w:ind w:left="2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3"/>
          <w:sz w:val="23"/>
          <w:szCs w:val="23"/>
          <w:highlight w:val="none"/>
        </w:rPr>
        <w:t>地</w:t>
      </w:r>
      <w:r>
        <w:rPr>
          <w:rFonts w:hint="default" w:ascii="Times New Roman" w:hAnsi="Times New Roman" w:eastAsia="宋体" w:cs="Times New Roman"/>
          <w:spacing w:val="7"/>
          <w:sz w:val="23"/>
          <w:szCs w:val="23"/>
          <w:highlight w:val="none"/>
        </w:rPr>
        <w:t>下水运动呈现出二维运动特征，且符合达西定律。模拟区内地下水二维非稳定</w:t>
      </w:r>
    </w:p>
    <w:p>
      <w:pPr>
        <w:spacing w:line="148" w:lineRule="exact"/>
        <w:rPr>
          <w:rFonts w:hint="default" w:ascii="Times New Roman" w:hAnsi="Times New Roman" w:cs="Times New Roman"/>
          <w:highlight w:val="none"/>
        </w:rPr>
      </w:pPr>
    </w:p>
    <w:p>
      <w:pPr>
        <w:rPr>
          <w:rFonts w:hint="default" w:ascii="Times New Roman" w:hAnsi="Times New Roman" w:cs="Times New Roman"/>
          <w:highlight w:val="none"/>
        </w:rPr>
        <w:sectPr>
          <w:footerReference r:id="rId104" w:type="default"/>
          <w:pgSz w:w="11906" w:h="16839"/>
          <w:pgMar w:top="1167" w:right="1785" w:bottom="1282" w:left="1785" w:header="897" w:footer="1015" w:gutter="0"/>
          <w:pgBorders>
            <w:top w:val="none" w:sz="0" w:space="0"/>
            <w:left w:val="none" w:sz="0" w:space="0"/>
            <w:bottom w:val="none" w:sz="0" w:space="0"/>
            <w:right w:val="none" w:sz="0" w:space="0"/>
          </w:pgBorders>
          <w:pgNumType w:fmt="decimal"/>
          <w:cols w:equalWidth="0" w:num="1">
            <w:col w:w="8335"/>
          </w:cols>
        </w:sectPr>
      </w:pPr>
    </w:p>
    <w:p>
      <w:pPr>
        <w:spacing w:before="67" w:line="227" w:lineRule="auto"/>
        <w:ind w:left="2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流运动可采用下列数学模型进行描述</w:t>
      </w:r>
      <w:r>
        <w:rPr>
          <w:rFonts w:hint="default" w:ascii="Times New Roman" w:hAnsi="Times New Roman" w:eastAsia="宋体" w:cs="Times New Roman"/>
          <w:spacing w:val="5"/>
          <w:sz w:val="23"/>
          <w:szCs w:val="23"/>
          <w:highlight w:val="none"/>
        </w:rPr>
        <w:t>：</w:t>
      </w:r>
    </w:p>
    <w:p>
      <w:pPr>
        <w:spacing w:before="47" w:line="236" w:lineRule="auto"/>
        <w:ind w:left="420"/>
        <w:rPr>
          <w:rFonts w:hint="default" w:ascii="Times New Roman" w:hAnsi="Times New Roman" w:cs="Times New Roman"/>
          <w:sz w:val="21"/>
          <w:szCs w:val="21"/>
          <w:highlight w:val="none"/>
        </w:rPr>
      </w:pPr>
      <w:r>
        <w:rPr>
          <w:rFonts w:hint="default" w:ascii="Times New Roman" w:hAnsi="Times New Roman" w:cs="Times New Roman"/>
          <w:highlight w:val="none"/>
        </w:rPr>
        <w:pict>
          <v:shape id="_x0000_s1279" o:spid="_x0000_s1279" o:spt="202" type="#_x0000_t202" style="position:absolute;left:0pt;margin-left:27pt;margin-top:67pt;height:22.3pt;width:25.1pt;z-index:251785216;mso-width-relative:page;mso-height-relative:page;" filled="f" stroked="f" coordsize="21600,21600">
            <v:path/>
            <v:fill on="f" focussize="0,0"/>
            <v:stroke on="f"/>
            <v:imagedata o:title=""/>
            <o:lock v:ext="edit" aspectratio="f"/>
            <v:textbox inset="0mm,0mm,0mm,0mm">
              <w:txbxContent>
                <w:p>
                  <w:pPr>
                    <w:spacing w:before="20" w:line="405" w:lineRule="exact"/>
                    <w:ind w:left="20"/>
                    <w:rPr>
                      <w:rFonts w:ascii="Times New Roman" w:hAnsi="Times New Roman" w:eastAsia="Times New Roman" w:cs="Times New Roman"/>
                      <w:sz w:val="20"/>
                      <w:szCs w:val="20"/>
                    </w:rPr>
                  </w:pPr>
                  <w:r>
                    <w:rPr>
                      <w:rFonts w:ascii="微软雅黑" w:hAnsi="微软雅黑" w:eastAsia="微软雅黑" w:cs="微软雅黑"/>
                      <w:spacing w:val="-3"/>
                      <w:position w:val="6"/>
                      <w:sz w:val="20"/>
                      <w:szCs w:val="20"/>
                    </w:rPr>
                    <w:t xml:space="preserve">|l   </w:t>
                  </w:r>
                  <w:r>
                    <w:rPr>
                      <w:rFonts w:ascii="微软雅黑" w:hAnsi="微软雅黑" w:eastAsia="微软雅黑" w:cs="微软雅黑"/>
                      <w:spacing w:val="-3"/>
                      <w:position w:val="9"/>
                      <w:sz w:val="20"/>
                      <w:szCs w:val="20"/>
                    </w:rPr>
                    <w:t>?</w:t>
                  </w:r>
                  <w:r>
                    <w:rPr>
                      <w:rFonts w:ascii="Times New Roman" w:hAnsi="Times New Roman" w:eastAsia="Times New Roman" w:cs="Times New Roman"/>
                      <w:i/>
                      <w:iCs/>
                      <w:spacing w:val="-2"/>
                      <w:position w:val="9"/>
                      <w:sz w:val="20"/>
                      <w:szCs w:val="20"/>
                    </w:rPr>
                    <w:t>n</w:t>
                  </w:r>
                </w:p>
              </w:txbxContent>
            </v:textbox>
          </v:shape>
        </w:pict>
      </w:r>
      <w:r>
        <w:rPr>
          <w:rFonts w:hint="default" w:ascii="Times New Roman" w:hAnsi="Times New Roman" w:eastAsia="微软雅黑" w:cs="Times New Roman"/>
          <w:spacing w:val="-3"/>
          <w:w w:val="59"/>
          <w:position w:val="-32"/>
          <w:sz w:val="20"/>
          <w:szCs w:val="20"/>
          <w:highlight w:val="none"/>
        </w:rPr>
        <w:t>〈</w:t>
      </w:r>
      <w:r>
        <w:rPr>
          <w:rFonts w:hint="default" w:ascii="Times New Roman" w:hAnsi="Times New Roman" w:cs="Times New Roman"/>
          <w:position w:val="-77"/>
          <w:sz w:val="20"/>
          <w:szCs w:val="20"/>
          <w:highlight w:val="none"/>
        </w:rPr>
        <w:drawing>
          <wp:inline distT="0" distB="0" distL="0" distR="0">
            <wp:extent cx="35560" cy="868045"/>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174"/>
                    <a:stretch>
                      <a:fillRect/>
                    </a:stretch>
                  </pic:blipFill>
                  <pic:spPr>
                    <a:xfrm>
                      <a:off x="0" y="0"/>
                      <a:ext cx="35954" cy="868152"/>
                    </a:xfrm>
                    <a:prstGeom prst="rect">
                      <a:avLst/>
                    </a:prstGeom>
                  </pic:spPr>
                </pic:pic>
              </a:graphicData>
            </a:graphic>
          </wp:inline>
        </w:drawing>
      </w:r>
      <w:r>
        <w:rPr>
          <w:rFonts w:hint="default" w:ascii="Times New Roman" w:hAnsi="Times New Roman" w:eastAsia="微软雅黑" w:cs="Times New Roman"/>
          <w:spacing w:val="-3"/>
          <w:w w:val="59"/>
          <w:position w:val="36"/>
          <w:sz w:val="20"/>
          <w:szCs w:val="20"/>
          <w:highlight w:val="none"/>
        </w:rPr>
        <w:t>?</w:t>
      </w:r>
      <w:r>
        <w:rPr>
          <w:rFonts w:hint="default" w:ascii="Times New Roman" w:hAnsi="Times New Roman" w:eastAsia="微软雅黑" w:cs="Times New Roman"/>
          <w:spacing w:val="-3"/>
          <w:w w:val="59"/>
          <w:position w:val="7"/>
          <w:sz w:val="20"/>
          <w:szCs w:val="20"/>
          <w:highlight w:val="none"/>
        </w:rPr>
        <w:t>?</w:t>
      </w:r>
      <w:r>
        <w:rPr>
          <w:rFonts w:hint="default" w:ascii="Times New Roman" w:hAnsi="Times New Roman" w:eastAsia="Times New Roman" w:cs="Times New Roman"/>
          <w:i/>
          <w:iCs/>
          <w:spacing w:val="-3"/>
          <w:w w:val="59"/>
          <w:position w:val="7"/>
          <w:sz w:val="20"/>
          <w:szCs w:val="20"/>
          <w:highlight w:val="none"/>
        </w:rPr>
        <w:t>x</w:t>
      </w:r>
      <w:r>
        <w:rPr>
          <w:rFonts w:hint="default" w:ascii="Times New Roman" w:hAnsi="Times New Roman" w:eastAsia="Times New Roman" w:cs="Times New Roman"/>
          <w:spacing w:val="-3"/>
          <w:w w:val="59"/>
          <w:position w:val="-28"/>
          <w:sz w:val="20"/>
          <w:szCs w:val="20"/>
          <w:highlight w:val="none"/>
        </w:rPr>
        <w:t>H(</w:t>
      </w:r>
      <w:r>
        <w:rPr>
          <w:rFonts w:hint="default" w:ascii="Times New Roman" w:hAnsi="Times New Roman" w:eastAsia="Times New Roman" w:cs="Times New Roman"/>
          <w:i/>
          <w:iCs/>
          <w:spacing w:val="-3"/>
          <w:w w:val="59"/>
          <w:position w:val="-77"/>
          <w:sz w:val="20"/>
          <w:szCs w:val="20"/>
          <w:highlight w:val="none"/>
        </w:rPr>
        <w:t>K</w:t>
      </w:r>
      <w:r>
        <w:rPr>
          <w:rFonts w:hint="default" w:ascii="Times New Roman" w:hAnsi="Times New Roman" w:eastAsia="Times New Roman" w:cs="Times New Roman"/>
          <w:i/>
          <w:iCs/>
          <w:spacing w:val="-3"/>
          <w:w w:val="59"/>
          <w:position w:val="-82"/>
          <w:sz w:val="11"/>
          <w:szCs w:val="11"/>
          <w:highlight w:val="none"/>
        </w:rPr>
        <w:t>n</w:t>
      </w:r>
      <w:r>
        <w:rPr>
          <w:rFonts w:hint="default" w:ascii="Times New Roman" w:hAnsi="Times New Roman" w:cs="Times New Roman"/>
          <w:sz w:val="11"/>
          <w:szCs w:val="11"/>
          <w:highlight w:val="none"/>
        </w:rPr>
        <w:drawing>
          <wp:inline distT="0" distB="0" distL="0" distR="0">
            <wp:extent cx="140970" cy="35306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75"/>
                    <a:stretch>
                      <a:fillRect/>
                    </a:stretch>
                  </pic:blipFill>
                  <pic:spPr>
                    <a:xfrm>
                      <a:off x="0" y="0"/>
                      <a:ext cx="141415" cy="353560"/>
                    </a:xfrm>
                    <a:prstGeom prst="rect">
                      <a:avLst/>
                    </a:prstGeom>
                  </pic:spPr>
                </pic:pic>
              </a:graphicData>
            </a:graphic>
          </wp:inline>
        </w:drawing>
      </w:r>
      <w:r>
        <w:rPr>
          <w:rFonts w:hint="default" w:ascii="Times New Roman" w:hAnsi="Times New Roman" w:eastAsia="Times New Roman" w:cs="Times New Roman"/>
          <w:i/>
          <w:iCs/>
          <w:spacing w:val="-3"/>
          <w:w w:val="59"/>
          <w:position w:val="-28"/>
          <w:sz w:val="20"/>
          <w:szCs w:val="20"/>
          <w:highlight w:val="none"/>
          <w:u w:val="single" w:color="auto"/>
        </w:rPr>
        <w:t>x</w:t>
      </w:r>
      <w:r>
        <w:rPr>
          <w:rFonts w:hint="default" w:ascii="Times New Roman" w:hAnsi="Times New Roman" w:eastAsia="Times New Roman" w:cs="Times New Roman"/>
          <w:spacing w:val="-3"/>
          <w:w w:val="59"/>
          <w:position w:val="-28"/>
          <w:sz w:val="20"/>
          <w:szCs w:val="20"/>
          <w:highlight w:val="none"/>
          <w:u w:val="single" w:color="auto"/>
        </w:rPr>
        <w:t>,</w:t>
      </w:r>
      <w:r>
        <w:rPr>
          <w:rFonts w:hint="default" w:ascii="Times New Roman" w:hAnsi="Times New Roman" w:eastAsia="Times New Roman" w:cs="Times New Roman"/>
          <w:i/>
          <w:iCs/>
          <w:spacing w:val="-3"/>
          <w:w w:val="59"/>
          <w:position w:val="-28"/>
          <w:sz w:val="20"/>
          <w:szCs w:val="20"/>
          <w:highlight w:val="none"/>
          <w:u w:val="single" w:color="auto"/>
        </w:rPr>
        <w:t>y</w:t>
      </w:r>
      <w:r>
        <w:rPr>
          <w:rFonts w:hint="default" w:ascii="Times New Roman" w:hAnsi="Times New Roman" w:eastAsia="Times New Roman" w:cs="Times New Roman"/>
          <w:spacing w:val="-3"/>
          <w:w w:val="59"/>
          <w:position w:val="-28"/>
          <w:sz w:val="20"/>
          <w:szCs w:val="20"/>
          <w:highlight w:val="none"/>
          <w:u w:val="single" w:color="auto"/>
        </w:rPr>
        <w:t>,</w:t>
      </w:r>
      <w:r>
        <w:rPr>
          <w:rFonts w:hint="default" w:ascii="Times New Roman" w:hAnsi="Times New Roman" w:eastAsia="微软雅黑" w:cs="Times New Roman"/>
          <w:spacing w:val="-3"/>
          <w:w w:val="59"/>
          <w:position w:val="-64"/>
          <w:sz w:val="20"/>
          <w:szCs w:val="20"/>
          <w:highlight w:val="none"/>
          <w:u w:val="single" w:color="auto"/>
        </w:rPr>
        <w:t>?</w:t>
      </w:r>
      <w:r>
        <w:rPr>
          <w:rFonts w:hint="default" w:ascii="Times New Roman" w:hAnsi="Times New Roman" w:eastAsia="Times New Roman" w:cs="Times New Roman"/>
          <w:i/>
          <w:iCs/>
          <w:spacing w:val="-3"/>
          <w:w w:val="59"/>
          <w:position w:val="-64"/>
          <w:sz w:val="20"/>
          <w:szCs w:val="20"/>
          <w:highlight w:val="none"/>
          <w:u w:val="single" w:color="auto"/>
        </w:rPr>
        <w:t>H</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EQ \* jc3 \* hps28 \o\al(\s\up 10(</w:instrText>
      </w:r>
      <w:r>
        <w:rPr>
          <w:rFonts w:hint="default" w:ascii="Times New Roman" w:hAnsi="Times New Roman" w:eastAsia="微软雅黑" w:cs="Times New Roman"/>
          <w:spacing w:val="-2"/>
          <w:w w:val="28"/>
          <w:sz w:val="28"/>
          <w:szCs w:val="28"/>
          <w:highlight w:val="none"/>
        </w:rPr>
        <w:instrText xml:space="preserve">[</w:instrText>
      </w:r>
      <w:r>
        <w:rPr>
          <w:rFonts w:hint="default" w:ascii="Times New Roman" w:hAnsi="Times New Roman" w:cs="Times New Roman"/>
          <w:highlight w:val="none"/>
        </w:rPr>
        <w:instrText xml:space="preserve">),</w:instrText>
      </w:r>
      <w:r>
        <w:rPr>
          <w:rFonts w:hint="default" w:ascii="Times New Roman" w:hAnsi="Times New Roman" w:eastAsia="Times New Roman" w:cs="Times New Roman"/>
          <w:spacing w:val="-2"/>
          <w:w w:val="48"/>
          <w:position w:val="-28"/>
          <w:sz w:val="20"/>
          <w:szCs w:val="20"/>
          <w:highlight w:val="none"/>
        </w:rPr>
        <w:instrText xml:space="preserve">t</w:instrText>
      </w:r>
      <w:r>
        <w:rPr>
          <w:rFonts w:hint="default" w:ascii="Times New Roman" w:hAnsi="Times New Roman" w:cs="Times New Roman"/>
          <w:highlight w:val="none"/>
        </w:rPr>
        <w:instrText xml:space="preserve">)</w:instrText>
      </w:r>
      <w:r>
        <w:rPr>
          <w:rFonts w:hint="default" w:ascii="Times New Roman" w:hAnsi="Times New Roman" w:cs="Times New Roman"/>
          <w:highlight w:val="none"/>
        </w:rPr>
        <w:fldChar w:fldCharType="end"/>
      </w:r>
      <w:r>
        <w:rPr>
          <w:rFonts w:hint="default" w:ascii="Times New Roman" w:hAnsi="Times New Roman" w:eastAsia="Times New Roman" w:cs="Times New Roman"/>
          <w:i/>
          <w:iCs/>
          <w:spacing w:val="-3"/>
          <w:w w:val="59"/>
          <w:position w:val="23"/>
          <w:sz w:val="20"/>
          <w:szCs w:val="20"/>
          <w:highlight w:val="none"/>
        </w:rPr>
        <w:t>H</w:t>
      </w:r>
      <w:r>
        <w:rPr>
          <w:rFonts w:hint="default" w:ascii="Times New Roman" w:hAnsi="Times New Roman" w:eastAsia="Times New Roman" w:cs="Times New Roman"/>
          <w:spacing w:val="-3"/>
          <w:w w:val="59"/>
          <w:position w:val="-28"/>
          <w:sz w:val="20"/>
          <w:szCs w:val="20"/>
          <w:highlight w:val="none"/>
        </w:rPr>
        <w:t>)</w:t>
      </w:r>
      <w:r>
        <w:rPr>
          <w:rFonts w:hint="default" w:ascii="Times New Roman" w:hAnsi="Times New Roman" w:eastAsia="微软雅黑" w:cs="Times New Roman"/>
          <w:spacing w:val="-3"/>
          <w:w w:val="59"/>
          <w:position w:val="-82"/>
          <w:sz w:val="11"/>
          <w:szCs w:val="11"/>
          <w:highlight w:val="none"/>
        </w:rPr>
        <w:t>展</w:t>
      </w:r>
      <w:r>
        <w:rPr>
          <w:rFonts w:hint="default" w:ascii="Times New Roman" w:hAnsi="Times New Roman" w:eastAsia="Times New Roman" w:cs="Times New Roman"/>
          <w:spacing w:val="-3"/>
          <w:w w:val="59"/>
          <w:position w:val="-82"/>
          <w:sz w:val="11"/>
          <w:szCs w:val="11"/>
          <w:highlight w:val="none"/>
        </w:rPr>
        <w:t>2</w:t>
      </w:r>
      <w:r>
        <w:rPr>
          <w:rFonts w:hint="default" w:ascii="Times New Roman" w:hAnsi="Times New Roman" w:cs="Times New Roman"/>
          <w:position w:val="-77"/>
          <w:sz w:val="11"/>
          <w:szCs w:val="11"/>
          <w:highlight w:val="none"/>
        </w:rPr>
        <w:drawing>
          <wp:inline distT="0" distB="0" distL="0" distR="0">
            <wp:extent cx="86360" cy="676910"/>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176"/>
                    <a:stretch>
                      <a:fillRect/>
                    </a:stretch>
                  </pic:blipFill>
                  <pic:spPr>
                    <a:xfrm>
                      <a:off x="0" y="0"/>
                      <a:ext cx="86951" cy="677036"/>
                    </a:xfrm>
                    <a:prstGeom prst="rect">
                      <a:avLst/>
                    </a:prstGeom>
                  </pic:spPr>
                </pic:pic>
              </a:graphicData>
            </a:graphic>
          </wp:inline>
        </w:drawing>
      </w:r>
      <w:r>
        <w:rPr>
          <w:rFonts w:hint="default" w:ascii="Times New Roman" w:hAnsi="Times New Roman" w:cs="Times New Roman"/>
          <w:position w:val="-84"/>
          <w:sz w:val="11"/>
          <w:szCs w:val="11"/>
          <w:highlight w:val="none"/>
        </w:rPr>
        <w:drawing>
          <wp:inline distT="0" distB="0" distL="0" distR="0">
            <wp:extent cx="106045" cy="81915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77"/>
                    <a:stretch>
                      <a:fillRect/>
                    </a:stretch>
                  </pic:blipFill>
                  <pic:spPr>
                    <a:xfrm>
                      <a:off x="0" y="0"/>
                      <a:ext cx="106489" cy="819435"/>
                    </a:xfrm>
                    <a:prstGeom prst="rect">
                      <a:avLst/>
                    </a:prstGeom>
                  </pic:spPr>
                </pic:pic>
              </a:graphicData>
            </a:graphic>
          </wp:inline>
        </w:drawing>
      </w:r>
      <w:r>
        <w:rPr>
          <w:rFonts w:hint="default" w:ascii="Times New Roman" w:hAnsi="Times New Roman" w:cs="Times New Roman"/>
          <w:position w:val="-81"/>
          <w:sz w:val="11"/>
          <w:szCs w:val="11"/>
          <w:highlight w:val="none"/>
        </w:rPr>
        <w:drawing>
          <wp:inline distT="0" distB="0" distL="0" distR="0">
            <wp:extent cx="156210" cy="72644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178"/>
                    <a:stretch>
                      <a:fillRect/>
                    </a:stretch>
                  </pic:blipFill>
                  <pic:spPr>
                    <a:xfrm>
                      <a:off x="0" y="0"/>
                      <a:ext cx="156464" cy="726808"/>
                    </a:xfrm>
                    <a:prstGeom prst="rect">
                      <a:avLst/>
                    </a:prstGeom>
                  </pic:spPr>
                </pic:pic>
              </a:graphicData>
            </a:graphic>
          </wp:inline>
        </w:drawing>
      </w:r>
      <w:r>
        <w:rPr>
          <w:rFonts w:hint="default" w:ascii="Times New Roman" w:hAnsi="Times New Roman" w:cs="Times New Roman"/>
          <w:position w:val="-84"/>
          <w:sz w:val="11"/>
          <w:szCs w:val="11"/>
          <w:highlight w:val="none"/>
        </w:rPr>
        <w:drawing>
          <wp:inline distT="0" distB="0" distL="0" distR="0">
            <wp:extent cx="277495" cy="90297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79"/>
                    <a:stretch>
                      <a:fillRect/>
                    </a:stretch>
                  </pic:blipFill>
                  <pic:spPr>
                    <a:xfrm>
                      <a:off x="0" y="0"/>
                      <a:ext cx="277953" cy="903047"/>
                    </a:xfrm>
                    <a:prstGeom prst="rect">
                      <a:avLst/>
                    </a:prstGeom>
                  </pic:spPr>
                </pic:pic>
              </a:graphicData>
            </a:graphic>
          </wp:inline>
        </w:drawing>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EQ \* jc3 \* hps20 \o\al(\s\up 9(</w:instrText>
      </w:r>
      <w:r>
        <w:rPr>
          <w:rFonts w:hint="default" w:ascii="Times New Roman" w:hAnsi="Times New Roman" w:eastAsia="微软雅黑" w:cs="Times New Roman"/>
          <w:spacing w:val="-201"/>
          <w:sz w:val="20"/>
          <w:szCs w:val="20"/>
          <w:highlight w:val="none"/>
        </w:rPr>
        <w:instrText xml:space="preserve">卜</w:instrText>
      </w:r>
      <w:r>
        <w:rPr>
          <w:rFonts w:hint="default" w:ascii="Times New Roman" w:hAnsi="Times New Roman" w:cs="Times New Roman"/>
          <w:highlight w:val="none"/>
        </w:rPr>
        <w:instrText xml:space="preserve">),</w:instrText>
      </w:r>
      <w:r>
        <w:rPr>
          <w:rFonts w:hint="default" w:ascii="Times New Roman" w:hAnsi="Times New Roman" w:eastAsia="微软雅黑" w:cs="Times New Roman"/>
          <w:w w:val="5"/>
          <w:position w:val="-30"/>
          <w:sz w:val="27"/>
          <w:szCs w:val="27"/>
          <w:highlight w:val="none"/>
        </w:rPr>
        <w:instrText xml:space="preserve">)</w:instrText>
      </w:r>
      <w:r>
        <w:rPr>
          <w:rFonts w:hint="default" w:ascii="Times New Roman" w:hAnsi="Times New Roman" w:cs="Times New Roman"/>
          <w:highlight w:val="none"/>
        </w:rPr>
        <w:instrText xml:space="preserve">)</w:instrText>
      </w:r>
      <w:r>
        <w:rPr>
          <w:rFonts w:hint="default" w:ascii="Times New Roman" w:hAnsi="Times New Roman" w:cs="Times New Roman"/>
          <w:highlight w:val="none"/>
        </w:rPr>
        <w:fldChar w:fldCharType="end"/>
      </w:r>
      <w:r>
        <w:rPr>
          <w:rFonts w:hint="default" w:ascii="Times New Roman" w:hAnsi="Times New Roman" w:eastAsia="微软雅黑" w:cs="Times New Roman"/>
          <w:spacing w:val="-3"/>
          <w:w w:val="59"/>
          <w:position w:val="23"/>
          <w:sz w:val="20"/>
          <w:szCs w:val="20"/>
          <w:highlight w:val="none"/>
        </w:rPr>
        <w:t>+</w:t>
      </w:r>
      <w:r>
        <w:rPr>
          <w:rFonts w:hint="default" w:ascii="Times New Roman" w:hAnsi="Times New Roman" w:cs="Times New Roman"/>
          <w:position w:val="2"/>
          <w:sz w:val="20"/>
          <w:szCs w:val="20"/>
          <w:highlight w:val="none"/>
        </w:rPr>
        <w:drawing>
          <wp:inline distT="0" distB="0" distL="0" distR="0">
            <wp:extent cx="114935" cy="348615"/>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80"/>
                    <a:stretch>
                      <a:fillRect/>
                    </a:stretch>
                  </pic:blipFill>
                  <pic:spPr>
                    <a:xfrm>
                      <a:off x="0" y="0"/>
                      <a:ext cx="115417" cy="348734"/>
                    </a:xfrm>
                    <a:prstGeom prst="rect">
                      <a:avLst/>
                    </a:prstGeom>
                  </pic:spPr>
                </pic:pic>
              </a:graphicData>
            </a:graphic>
          </wp:inline>
        </w:drawing>
      </w:r>
      <w:r>
        <w:rPr>
          <w:rFonts w:hint="default" w:ascii="Times New Roman" w:hAnsi="Times New Roman" w:eastAsia="微软雅黑" w:cs="Times New Roman"/>
          <w:spacing w:val="-3"/>
          <w:w w:val="59"/>
          <w:position w:val="19"/>
          <w:sz w:val="20"/>
          <w:szCs w:val="20"/>
          <w:highlight w:val="none"/>
        </w:rPr>
        <w:t>〈</w:t>
      </w:r>
      <w:r>
        <w:rPr>
          <w:rFonts w:hint="default" w:ascii="Times New Roman" w:hAnsi="Times New Roman" w:cs="Times New Roman"/>
          <w:position w:val="-2"/>
          <w:sz w:val="20"/>
          <w:szCs w:val="20"/>
          <w:highlight w:val="none"/>
        </w:rPr>
        <w:drawing>
          <wp:inline distT="0" distB="0" distL="0" distR="0">
            <wp:extent cx="35560" cy="3810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81"/>
                    <a:stretch>
                      <a:fillRect/>
                    </a:stretch>
                  </pic:blipFill>
                  <pic:spPr>
                    <a:xfrm>
                      <a:off x="0" y="0"/>
                      <a:ext cx="35954" cy="381246"/>
                    </a:xfrm>
                    <a:prstGeom prst="rect">
                      <a:avLst/>
                    </a:prstGeom>
                  </pic:spPr>
                </pic:pic>
              </a:graphicData>
            </a:graphic>
          </wp:inline>
        </w:drawing>
      </w:r>
      <w:r>
        <w:rPr>
          <w:rFonts w:hint="default" w:ascii="Times New Roman" w:hAnsi="Times New Roman" w:eastAsia="Times New Roman" w:cs="Times New Roman"/>
          <w:i/>
          <w:iCs/>
          <w:spacing w:val="-3"/>
          <w:w w:val="59"/>
          <w:position w:val="23"/>
          <w:sz w:val="20"/>
          <w:szCs w:val="20"/>
          <w:highlight w:val="none"/>
        </w:rPr>
        <w:t>K</w:t>
      </w:r>
      <w:r>
        <w:rPr>
          <w:rFonts w:hint="default" w:ascii="Times New Roman" w:hAnsi="Times New Roman" w:eastAsia="微软雅黑" w:cs="Times New Roman"/>
          <w:spacing w:val="-3"/>
          <w:w w:val="59"/>
          <w:position w:val="21"/>
          <w:sz w:val="28"/>
          <w:szCs w:val="28"/>
          <w:highlight w:val="none"/>
        </w:rPr>
        <w:t>[</w:t>
      </w:r>
      <w:r>
        <w:rPr>
          <w:rFonts w:hint="default" w:ascii="Times New Roman" w:hAnsi="Times New Roman" w:eastAsia="Times New Roman" w:cs="Times New Roman"/>
          <w:i/>
          <w:iCs/>
          <w:spacing w:val="-3"/>
          <w:w w:val="59"/>
          <w:position w:val="23"/>
          <w:sz w:val="20"/>
          <w:szCs w:val="20"/>
          <w:highlight w:val="none"/>
        </w:rPr>
        <w:t>H</w:t>
      </w:r>
      <w:r>
        <w:rPr>
          <w:rFonts w:hint="default" w:ascii="Times New Roman" w:hAnsi="Times New Roman" w:eastAsia="微软雅黑" w:cs="Times New Roman"/>
          <w:spacing w:val="-3"/>
          <w:w w:val="59"/>
          <w:position w:val="23"/>
          <w:sz w:val="20"/>
          <w:szCs w:val="20"/>
          <w:highlight w:val="none"/>
        </w:rPr>
        <w:t>-</w:t>
      </w:r>
      <w:r>
        <w:rPr>
          <w:rFonts w:hint="default" w:ascii="Times New Roman" w:hAnsi="Times New Roman" w:eastAsia="Times New Roman" w:cs="Times New Roman"/>
          <w:i/>
          <w:iCs/>
          <w:spacing w:val="-3"/>
          <w:w w:val="59"/>
          <w:position w:val="23"/>
          <w:sz w:val="20"/>
          <w:szCs w:val="20"/>
          <w:highlight w:val="none"/>
        </w:rPr>
        <w:t>Z</w:t>
      </w:r>
      <w:r>
        <w:rPr>
          <w:rFonts w:hint="default" w:ascii="Times New Roman" w:hAnsi="Times New Roman" w:eastAsia="Times New Roman" w:cs="Times New Roman"/>
          <w:spacing w:val="-3"/>
          <w:w w:val="59"/>
          <w:position w:val="23"/>
          <w:sz w:val="20"/>
          <w:szCs w:val="20"/>
          <w:highlight w:val="none"/>
        </w:rPr>
        <w:t>(</w:t>
      </w:r>
      <w:r>
        <w:rPr>
          <w:rFonts w:hint="default" w:ascii="Times New Roman" w:hAnsi="Times New Roman" w:eastAsia="Times New Roman" w:cs="Times New Roman"/>
          <w:i/>
          <w:iCs/>
          <w:spacing w:val="-3"/>
          <w:w w:val="59"/>
          <w:position w:val="23"/>
          <w:sz w:val="20"/>
          <w:szCs w:val="20"/>
          <w:highlight w:val="none"/>
        </w:rPr>
        <w:t>x</w:t>
      </w:r>
      <w:r>
        <w:rPr>
          <w:rFonts w:hint="default" w:ascii="Times New Roman" w:hAnsi="Times New Roman" w:eastAsia="Times New Roman" w:cs="Times New Roman"/>
          <w:spacing w:val="-3"/>
          <w:w w:val="59"/>
          <w:position w:val="23"/>
          <w:sz w:val="20"/>
          <w:szCs w:val="20"/>
          <w:highlight w:val="none"/>
        </w:rPr>
        <w:t>,</w:t>
      </w:r>
      <w:r>
        <w:rPr>
          <w:rFonts w:hint="default" w:ascii="Times New Roman" w:hAnsi="Times New Roman" w:eastAsia="Times New Roman" w:cs="Times New Roman"/>
          <w:i/>
          <w:iCs/>
          <w:spacing w:val="-3"/>
          <w:w w:val="59"/>
          <w:position w:val="23"/>
          <w:sz w:val="20"/>
          <w:szCs w:val="20"/>
          <w:highlight w:val="none"/>
        </w:rPr>
        <w:t>y</w:t>
      </w:r>
      <w:r>
        <w:rPr>
          <w:rFonts w:hint="default" w:ascii="Times New Roman" w:hAnsi="Times New Roman" w:eastAsia="Times New Roman" w:cs="Times New Roman"/>
          <w:spacing w:val="-3"/>
          <w:w w:val="59"/>
          <w:position w:val="22"/>
          <w:sz w:val="20"/>
          <w:szCs w:val="20"/>
          <w:highlight w:val="none"/>
        </w:rPr>
        <w:t>)</w:t>
      </w:r>
      <w:r>
        <w:rPr>
          <w:rFonts w:hint="default" w:ascii="Times New Roman" w:hAnsi="Times New Roman" w:eastAsia="微软雅黑" w:cs="Times New Roman"/>
          <w:spacing w:val="-3"/>
          <w:w w:val="59"/>
          <w:position w:val="22"/>
          <w:sz w:val="28"/>
          <w:szCs w:val="28"/>
          <w:highlight w:val="none"/>
        </w:rPr>
        <w:t>]</w:t>
      </w:r>
      <w:r>
        <w:rPr>
          <w:rFonts w:hint="default" w:ascii="Times New Roman" w:hAnsi="Times New Roman" w:cs="Times New Roman"/>
          <w:position w:val="2"/>
          <w:sz w:val="28"/>
          <w:szCs w:val="28"/>
          <w:highlight w:val="none"/>
        </w:rPr>
        <w:drawing>
          <wp:inline distT="0" distB="0" distL="0" distR="0">
            <wp:extent cx="153670" cy="348615"/>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182"/>
                    <a:stretch>
                      <a:fillRect/>
                    </a:stretch>
                  </pic:blipFill>
                  <pic:spPr>
                    <a:xfrm>
                      <a:off x="0" y="0"/>
                      <a:ext cx="154109" cy="348734"/>
                    </a:xfrm>
                    <a:prstGeom prst="rect">
                      <a:avLst/>
                    </a:prstGeom>
                  </pic:spPr>
                </pic:pic>
              </a:graphicData>
            </a:graphic>
          </wp:inline>
        </w:drawing>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EQ \* jc3 \* hps20 \o\al(\s\up 18(</w:instrText>
      </w:r>
      <w:r>
        <w:rPr>
          <w:rFonts w:hint="default" w:ascii="Times New Roman" w:hAnsi="Times New Roman" w:eastAsia="微软雅黑" w:cs="Times New Roman"/>
          <w:spacing w:val="21"/>
          <w:sz w:val="20"/>
          <w:szCs w:val="20"/>
          <w:highlight w:val="none"/>
        </w:rPr>
        <w:instrText xml:space="preserve">)</w:instrText>
      </w:r>
      <w:r>
        <w:rPr>
          <w:rFonts w:hint="default" w:ascii="Times New Roman" w:hAnsi="Times New Roman" w:cs="Times New Roman"/>
          <w:highlight w:val="none"/>
        </w:rPr>
        <w:instrText xml:space="preserve">),</w:instrText>
      </w:r>
      <w:r>
        <w:rPr>
          <w:rFonts w:hint="default" w:ascii="Times New Roman" w:hAnsi="Times New Roman" w:eastAsia="微软雅黑" w:cs="Times New Roman"/>
          <w:spacing w:val="9"/>
          <w:position w:val="2"/>
          <w:sz w:val="20"/>
          <w:szCs w:val="20"/>
          <w:highlight w:val="none"/>
        </w:rPr>
        <w:instrText xml:space="preserve">J</w:instrText>
      </w:r>
      <w:r>
        <w:rPr>
          <w:rFonts w:hint="default" w:ascii="Times New Roman" w:hAnsi="Times New Roman" w:cs="Times New Roman"/>
          <w:highlight w:val="none"/>
        </w:rPr>
        <w:instrText xml:space="preserve">)</w:instrText>
      </w:r>
      <w:r>
        <w:rPr>
          <w:rFonts w:hint="default" w:ascii="Times New Roman" w:hAnsi="Times New Roman" w:cs="Times New Roman"/>
          <w:highlight w:val="none"/>
        </w:rPr>
        <w:fldChar w:fldCharType="end"/>
      </w:r>
      <w:r>
        <w:rPr>
          <w:rFonts w:hint="default" w:ascii="Times New Roman" w:hAnsi="Times New Roman" w:eastAsia="微软雅黑" w:cs="Times New Roman"/>
          <w:spacing w:val="-3"/>
          <w:w w:val="59"/>
          <w:position w:val="19"/>
          <w:sz w:val="20"/>
          <w:szCs w:val="20"/>
          <w:highlight w:val="none"/>
        </w:rPr>
        <w:t>卜</w:t>
      </w:r>
      <w:r>
        <w:rPr>
          <w:rFonts w:hint="default" w:ascii="Times New Roman" w:hAnsi="Times New Roman" w:eastAsia="微软雅黑" w:cs="Times New Roman"/>
          <w:spacing w:val="-3"/>
          <w:w w:val="59"/>
          <w:position w:val="23"/>
          <w:sz w:val="20"/>
          <w:szCs w:val="20"/>
          <w:highlight w:val="none"/>
        </w:rPr>
        <w:t>-</w:t>
      </w:r>
      <w:r>
        <w:rPr>
          <w:rFonts w:hint="default" w:ascii="Times New Roman" w:hAnsi="Times New Roman" w:eastAsia="微软雅黑" w:cs="Times New Roman"/>
          <w:i/>
          <w:iCs/>
          <w:spacing w:val="-3"/>
          <w:w w:val="59"/>
          <w:position w:val="23"/>
          <w:sz w:val="21"/>
          <w:szCs w:val="21"/>
          <w:highlight w:val="none"/>
        </w:rPr>
        <w:t>s</w:t>
      </w:r>
      <w:r>
        <w:rPr>
          <w:rFonts w:hint="default" w:ascii="Times New Roman" w:hAnsi="Times New Roman" w:eastAsia="微软雅黑" w:cs="Times New Roman"/>
          <w:spacing w:val="-3"/>
          <w:w w:val="59"/>
          <w:position w:val="23"/>
          <w:sz w:val="20"/>
          <w:szCs w:val="20"/>
          <w:highlight w:val="none"/>
        </w:rPr>
        <w:t>=</w:t>
      </w:r>
      <w:r>
        <w:rPr>
          <w:rFonts w:hint="default" w:ascii="Times New Roman" w:hAnsi="Times New Roman" w:eastAsia="微软雅黑" w:cs="Times New Roman"/>
          <w:i/>
          <w:iCs/>
          <w:spacing w:val="-3"/>
          <w:w w:val="59"/>
          <w:position w:val="23"/>
          <w:sz w:val="21"/>
          <w:szCs w:val="21"/>
          <w:highlight w:val="none"/>
        </w:rPr>
        <w:t>p</w:t>
      </w:r>
      <w:r>
        <w:rPr>
          <w:rFonts w:hint="default" w:ascii="Times New Roman" w:hAnsi="Times New Roman" w:cs="Times New Roman"/>
          <w:sz w:val="21"/>
          <w:szCs w:val="21"/>
          <w:highlight w:val="none"/>
        </w:rPr>
        <w:drawing>
          <wp:inline distT="0" distB="0" distL="0" distR="0">
            <wp:extent cx="153670" cy="36004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83"/>
                    <a:stretch>
                      <a:fillRect/>
                    </a:stretch>
                  </pic:blipFill>
                  <pic:spPr>
                    <a:xfrm>
                      <a:off x="0" y="0"/>
                      <a:ext cx="154097" cy="360190"/>
                    </a:xfrm>
                    <a:prstGeom prst="rect">
                      <a:avLst/>
                    </a:prstGeom>
                  </pic:spPr>
                </pic:pic>
              </a:graphicData>
            </a:graphic>
          </wp:inline>
        </w:drawing>
      </w:r>
    </w:p>
    <w:p>
      <w:pPr>
        <w:spacing w:line="326" w:lineRule="auto"/>
        <w:rPr>
          <w:rFonts w:hint="default" w:ascii="Times New Roman" w:hAnsi="Times New Roman" w:cs="Times New Roman"/>
          <w:sz w:val="21"/>
          <w:highlight w:val="none"/>
        </w:rPr>
      </w:pPr>
    </w:p>
    <w:p>
      <w:pPr>
        <w:spacing w:before="74" w:line="227" w:lineRule="auto"/>
        <w:ind w:left="57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式中</w:t>
      </w:r>
      <w:r>
        <w:rPr>
          <w:rFonts w:hint="default" w:ascii="Times New Roman" w:hAnsi="Times New Roman" w:eastAsia="宋体" w:cs="Times New Roman"/>
          <w:spacing w:val="1"/>
          <w:sz w:val="23"/>
          <w:szCs w:val="23"/>
          <w:highlight w:val="none"/>
        </w:rPr>
        <w:t>，</w:t>
      </w:r>
    </w:p>
    <w:p>
      <w:pPr>
        <w:spacing w:before="183" w:line="193" w:lineRule="auto"/>
        <w:ind w:left="930"/>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7"/>
          <w:sz w:val="23"/>
          <w:szCs w:val="23"/>
          <w:highlight w:val="none"/>
        </w:rPr>
        <w:t>Ω</w:t>
      </w:r>
      <w:r>
        <w:rPr>
          <w:rFonts w:hint="default" w:ascii="Times New Roman" w:hAnsi="Times New Roman" w:eastAsia="宋体" w:cs="Times New Roman"/>
          <w:spacing w:val="7"/>
          <w:sz w:val="23"/>
          <w:szCs w:val="23"/>
          <w:highlight w:val="none"/>
        </w:rPr>
        <w:t>－渗流区域；</w:t>
      </w:r>
    </w:p>
    <w:p>
      <w:pPr>
        <w:spacing w:line="14" w:lineRule="auto"/>
        <w:rPr>
          <w:rFonts w:hint="default" w:ascii="Times New Roman" w:hAnsi="Times New Roman" w:eastAsia="Arial" w:cs="Times New Roman"/>
          <w:sz w:val="2"/>
          <w:szCs w:val="2"/>
          <w:highlight w:val="none"/>
        </w:rPr>
      </w:pPr>
    </w:p>
    <w:p>
      <w:pPr>
        <w:bidi w:val="0"/>
        <w:rPr>
          <w:rFonts w:hint="default"/>
          <w:highlight w:val="none"/>
        </w:rPr>
      </w:pPr>
    </w:p>
    <w:p>
      <w:pPr>
        <w:bidi w:val="0"/>
        <w:jc w:val="left"/>
        <w:rPr>
          <w:rFonts w:hint="default"/>
          <w:highlight w:val="none"/>
        </w:rPr>
      </w:pPr>
      <w:r>
        <w:rPr>
          <w:rFonts w:hint="default"/>
          <w:highlight w:val="none"/>
        </w:rPr>
        <w:br w:type="column"/>
      </w:r>
    </w:p>
    <w:p>
      <w:pPr>
        <w:spacing w:line="380" w:lineRule="auto"/>
        <w:rPr>
          <w:rFonts w:hint="default" w:ascii="Times New Roman" w:hAnsi="Times New Roman" w:cs="Times New Roman"/>
          <w:sz w:val="21"/>
          <w:highlight w:val="none"/>
        </w:rPr>
      </w:pPr>
    </w:p>
    <w:p>
      <w:pPr>
        <w:spacing w:before="116" w:line="523" w:lineRule="exact"/>
        <w:ind w:left="19"/>
        <w:rPr>
          <w:rFonts w:hint="default" w:ascii="Times New Roman" w:hAnsi="Times New Roman" w:eastAsia="Times New Roman" w:cs="Times New Roman"/>
          <w:sz w:val="20"/>
          <w:szCs w:val="20"/>
          <w:highlight w:val="none"/>
        </w:rPr>
      </w:pPr>
      <w:r>
        <w:rPr>
          <w:rFonts w:hint="default" w:ascii="Times New Roman" w:hAnsi="Times New Roman" w:eastAsia="微软雅黑" w:cs="Times New Roman"/>
          <w:spacing w:val="-14"/>
          <w:position w:val="17"/>
          <w:sz w:val="27"/>
          <w:szCs w:val="27"/>
          <w:highlight w:val="none"/>
        </w:rPr>
        <w:t>(</w:t>
      </w:r>
      <w:r>
        <w:rPr>
          <w:rFonts w:hint="default" w:ascii="Times New Roman" w:hAnsi="Times New Roman" w:eastAsia="Times New Roman" w:cs="Times New Roman"/>
          <w:spacing w:val="-13"/>
          <w:position w:val="17"/>
          <w:sz w:val="20"/>
          <w:szCs w:val="20"/>
          <w:highlight w:val="none"/>
        </w:rPr>
        <w:t>x,y</w:t>
      </w:r>
      <w:r>
        <w:rPr>
          <w:rFonts w:hint="default" w:ascii="Times New Roman" w:hAnsi="Times New Roman" w:eastAsia="微软雅黑" w:cs="Times New Roman"/>
          <w:spacing w:val="-13"/>
          <w:position w:val="17"/>
          <w:sz w:val="27"/>
          <w:szCs w:val="27"/>
          <w:highlight w:val="none"/>
        </w:rPr>
        <w:t>)</w:t>
      </w:r>
      <w:r>
        <w:rPr>
          <w:rFonts w:hint="default" w:ascii="Times New Roman" w:hAnsi="Times New Roman" w:eastAsia="微软雅黑" w:cs="Times New Roman"/>
          <w:spacing w:val="-13"/>
          <w:position w:val="17"/>
          <w:sz w:val="20"/>
          <w:szCs w:val="20"/>
          <w:highlight w:val="none"/>
        </w:rPr>
        <w:t xml:space="preserve">从 业 </w:t>
      </w:r>
      <w:r>
        <w:rPr>
          <w:rFonts w:hint="default" w:ascii="Times New Roman" w:hAnsi="Times New Roman" w:eastAsia="Times New Roman" w:cs="Times New Roman"/>
          <w:spacing w:val="-13"/>
          <w:position w:val="17"/>
          <w:sz w:val="20"/>
          <w:szCs w:val="20"/>
          <w:highlight w:val="none"/>
        </w:rPr>
        <w:t xml:space="preserve">,  t </w:t>
      </w:r>
      <w:r>
        <w:rPr>
          <w:rFonts w:hint="default" w:ascii="Times New Roman" w:hAnsi="Times New Roman" w:eastAsia="微软雅黑" w:cs="Times New Roman"/>
          <w:spacing w:val="-13"/>
          <w:position w:val="17"/>
          <w:sz w:val="20"/>
          <w:szCs w:val="20"/>
          <w:highlight w:val="none"/>
        </w:rPr>
        <w:t>&gt;</w:t>
      </w:r>
      <w:r>
        <w:rPr>
          <w:rFonts w:hint="default" w:ascii="Times New Roman" w:hAnsi="Times New Roman" w:eastAsia="Times New Roman" w:cs="Times New Roman"/>
          <w:spacing w:val="-13"/>
          <w:position w:val="17"/>
          <w:sz w:val="20"/>
          <w:szCs w:val="20"/>
          <w:highlight w:val="none"/>
        </w:rPr>
        <w:t>0;</w:t>
      </w:r>
    </w:p>
    <w:p>
      <w:pPr>
        <w:spacing w:before="1" w:line="212" w:lineRule="auto"/>
        <w:ind w:left="481"/>
        <w:rPr>
          <w:rFonts w:hint="default" w:ascii="Times New Roman" w:hAnsi="Times New Roman" w:eastAsia="Times New Roman" w:cs="Times New Roman"/>
          <w:sz w:val="20"/>
          <w:szCs w:val="20"/>
          <w:highlight w:val="none"/>
        </w:rPr>
      </w:pPr>
      <w:r>
        <w:rPr>
          <w:rFonts w:hint="default" w:ascii="Times New Roman" w:hAnsi="Times New Roman" w:eastAsia="微软雅黑" w:cs="Times New Roman"/>
          <w:spacing w:val="-20"/>
          <w:sz w:val="27"/>
          <w:szCs w:val="27"/>
          <w:highlight w:val="none"/>
        </w:rPr>
        <w:t>(</w:t>
      </w:r>
      <w:r>
        <w:rPr>
          <w:rFonts w:hint="default" w:ascii="Times New Roman" w:hAnsi="Times New Roman" w:eastAsia="Times New Roman" w:cs="Times New Roman"/>
          <w:spacing w:val="-15"/>
          <w:sz w:val="20"/>
          <w:szCs w:val="20"/>
          <w:highlight w:val="none"/>
        </w:rPr>
        <w:t>x,y</w:t>
      </w:r>
      <w:r>
        <w:rPr>
          <w:rFonts w:hint="default" w:ascii="Times New Roman" w:hAnsi="Times New Roman" w:eastAsia="微软雅黑" w:cs="Times New Roman"/>
          <w:spacing w:val="-15"/>
          <w:sz w:val="27"/>
          <w:szCs w:val="27"/>
          <w:highlight w:val="none"/>
        </w:rPr>
        <w:t>)</w:t>
      </w:r>
      <w:r>
        <w:rPr>
          <w:rFonts w:hint="default" w:ascii="Times New Roman" w:hAnsi="Times New Roman" w:eastAsia="微软雅黑" w:cs="Times New Roman"/>
          <w:spacing w:val="-15"/>
          <w:sz w:val="20"/>
          <w:szCs w:val="20"/>
          <w:highlight w:val="none"/>
        </w:rPr>
        <w:t xml:space="preserve">从业 </w:t>
      </w:r>
      <w:r>
        <w:rPr>
          <w:rFonts w:hint="default" w:ascii="Times New Roman" w:hAnsi="Times New Roman" w:eastAsia="Times New Roman" w:cs="Times New Roman"/>
          <w:spacing w:val="-15"/>
          <w:sz w:val="20"/>
          <w:szCs w:val="20"/>
          <w:highlight w:val="none"/>
        </w:rPr>
        <w:t xml:space="preserve">, t </w:t>
      </w:r>
      <w:r>
        <w:rPr>
          <w:rFonts w:hint="default" w:ascii="Times New Roman" w:hAnsi="Times New Roman" w:eastAsia="微软雅黑" w:cs="Times New Roman"/>
          <w:spacing w:val="-15"/>
          <w:sz w:val="20"/>
          <w:szCs w:val="20"/>
          <w:highlight w:val="none"/>
        </w:rPr>
        <w:t>=</w:t>
      </w:r>
      <w:r>
        <w:rPr>
          <w:rFonts w:hint="default" w:ascii="Times New Roman" w:hAnsi="Times New Roman" w:eastAsia="Times New Roman" w:cs="Times New Roman"/>
          <w:spacing w:val="-15"/>
          <w:sz w:val="20"/>
          <w:szCs w:val="20"/>
          <w:highlight w:val="none"/>
        </w:rPr>
        <w:t>0</w:t>
      </w:r>
    </w:p>
    <w:p>
      <w:pPr>
        <w:spacing w:before="75" w:line="212" w:lineRule="auto"/>
        <w:rPr>
          <w:rFonts w:hint="default" w:ascii="Times New Roman" w:hAnsi="Times New Roman" w:eastAsia="Times New Roman" w:cs="Times New Roman"/>
          <w:sz w:val="20"/>
          <w:szCs w:val="20"/>
          <w:highlight w:val="none"/>
        </w:rPr>
      </w:pPr>
      <w:r>
        <w:rPr>
          <w:rFonts w:hint="default" w:ascii="Times New Roman" w:hAnsi="Times New Roman" w:eastAsia="微软雅黑" w:cs="Times New Roman"/>
          <w:spacing w:val="-4"/>
          <w:w w:val="80"/>
          <w:sz w:val="27"/>
          <w:szCs w:val="27"/>
          <w:highlight w:val="none"/>
        </w:rPr>
        <w:t>(</w:t>
      </w:r>
      <w:r>
        <w:rPr>
          <w:rFonts w:hint="default" w:ascii="Times New Roman" w:hAnsi="Times New Roman" w:eastAsia="Times New Roman" w:cs="Times New Roman"/>
          <w:spacing w:val="-4"/>
          <w:w w:val="80"/>
          <w:sz w:val="20"/>
          <w:szCs w:val="20"/>
          <w:highlight w:val="none"/>
        </w:rPr>
        <w:t>x,y</w:t>
      </w:r>
      <w:r>
        <w:rPr>
          <w:rFonts w:hint="default" w:ascii="Times New Roman" w:hAnsi="Times New Roman" w:eastAsia="微软雅黑" w:cs="Times New Roman"/>
          <w:spacing w:val="-4"/>
          <w:w w:val="80"/>
          <w:sz w:val="27"/>
          <w:szCs w:val="27"/>
          <w:highlight w:val="none"/>
        </w:rPr>
        <w:t>)</w:t>
      </w:r>
      <w:r>
        <w:rPr>
          <w:rFonts w:hint="default" w:ascii="Times New Roman" w:hAnsi="Times New Roman" w:eastAsia="微软雅黑" w:cs="Times New Roman"/>
          <w:spacing w:val="-4"/>
          <w:w w:val="80"/>
          <w:sz w:val="20"/>
          <w:szCs w:val="20"/>
          <w:highlight w:val="none"/>
        </w:rPr>
        <w:t>从展</w:t>
      </w:r>
      <w:r>
        <w:rPr>
          <w:rFonts w:hint="default" w:ascii="Times New Roman" w:hAnsi="Times New Roman" w:eastAsia="Times New Roman" w:cs="Times New Roman"/>
          <w:spacing w:val="-4"/>
          <w:w w:val="80"/>
          <w:position w:val="-4"/>
          <w:sz w:val="11"/>
          <w:szCs w:val="11"/>
          <w:highlight w:val="none"/>
        </w:rPr>
        <w:t>2</w:t>
      </w:r>
      <w:r>
        <w:rPr>
          <w:rFonts w:hint="default" w:ascii="Times New Roman" w:hAnsi="Times New Roman" w:eastAsia="Times New Roman" w:cs="Times New Roman"/>
          <w:spacing w:val="2"/>
          <w:w w:val="101"/>
          <w:position w:val="-4"/>
          <w:sz w:val="11"/>
          <w:szCs w:val="11"/>
          <w:highlight w:val="none"/>
        </w:rPr>
        <w:t xml:space="preserve">    </w:t>
      </w:r>
      <w:r>
        <w:rPr>
          <w:rFonts w:hint="default" w:ascii="Times New Roman" w:hAnsi="Times New Roman" w:eastAsia="Times New Roman" w:cs="Times New Roman"/>
          <w:spacing w:val="-4"/>
          <w:w w:val="80"/>
          <w:sz w:val="20"/>
          <w:szCs w:val="20"/>
          <w:highlight w:val="none"/>
        </w:rPr>
        <w:t>,</w:t>
      </w:r>
      <w:r>
        <w:rPr>
          <w:rFonts w:hint="default" w:ascii="Times New Roman" w:hAnsi="Times New Roman" w:eastAsia="Times New Roman" w:cs="Times New Roman"/>
          <w:spacing w:val="20"/>
          <w:sz w:val="20"/>
          <w:szCs w:val="20"/>
          <w:highlight w:val="none"/>
        </w:rPr>
        <w:t xml:space="preserve"> </w:t>
      </w:r>
      <w:r>
        <w:rPr>
          <w:rFonts w:hint="default" w:ascii="Times New Roman" w:hAnsi="Times New Roman" w:eastAsia="Times New Roman" w:cs="Times New Roman"/>
          <w:spacing w:val="-4"/>
          <w:w w:val="80"/>
          <w:sz w:val="20"/>
          <w:szCs w:val="20"/>
          <w:highlight w:val="none"/>
        </w:rPr>
        <w:t>t</w:t>
      </w:r>
      <w:r>
        <w:rPr>
          <w:rFonts w:hint="default" w:ascii="Times New Roman" w:hAnsi="Times New Roman" w:eastAsia="Times New Roman" w:cs="Times New Roman"/>
          <w:spacing w:val="-16"/>
          <w:sz w:val="20"/>
          <w:szCs w:val="20"/>
          <w:highlight w:val="none"/>
        </w:rPr>
        <w:t xml:space="preserve"> </w:t>
      </w:r>
      <w:r>
        <w:rPr>
          <w:rFonts w:hint="default" w:ascii="Times New Roman" w:hAnsi="Times New Roman" w:eastAsia="微软雅黑" w:cs="Times New Roman"/>
          <w:spacing w:val="-4"/>
          <w:w w:val="80"/>
          <w:sz w:val="20"/>
          <w:szCs w:val="20"/>
          <w:highlight w:val="none"/>
        </w:rPr>
        <w:t>&gt;</w:t>
      </w:r>
      <w:r>
        <w:rPr>
          <w:rFonts w:hint="default" w:ascii="Times New Roman" w:hAnsi="Times New Roman" w:eastAsia="Times New Roman" w:cs="Times New Roman"/>
          <w:spacing w:val="-4"/>
          <w:w w:val="80"/>
          <w:sz w:val="20"/>
          <w:szCs w:val="20"/>
          <w:highlight w:val="none"/>
        </w:rPr>
        <w:t>0</w:t>
      </w:r>
    </w:p>
    <w:p>
      <w:pPr>
        <w:spacing w:line="14" w:lineRule="auto"/>
        <w:rPr>
          <w:rFonts w:hint="default" w:ascii="Times New Roman" w:hAnsi="Times New Roman" w:cs="Times New Roman"/>
          <w:sz w:val="2"/>
          <w:highlight w:val="none"/>
        </w:rPr>
      </w:pPr>
      <w:r>
        <w:rPr>
          <w:rFonts w:hint="default" w:ascii="Times New Roman" w:hAnsi="Times New Roman" w:eastAsia="Arial" w:cs="Times New Roman"/>
          <w:sz w:val="2"/>
          <w:szCs w:val="2"/>
          <w:highlight w:val="none"/>
        </w:rPr>
        <w:br w:type="column"/>
      </w:r>
    </w:p>
    <w:p>
      <w:pPr>
        <w:spacing w:line="293" w:lineRule="auto"/>
        <w:rPr>
          <w:rFonts w:hint="default" w:ascii="Times New Roman" w:hAnsi="Times New Roman" w:cs="Times New Roman"/>
          <w:sz w:val="21"/>
          <w:highlight w:val="none"/>
        </w:rPr>
      </w:pPr>
    </w:p>
    <w:p>
      <w:pPr>
        <w:spacing w:line="293" w:lineRule="auto"/>
        <w:rPr>
          <w:rFonts w:hint="default" w:ascii="Times New Roman" w:hAnsi="Times New Roman" w:cs="Times New Roman"/>
          <w:sz w:val="21"/>
          <w:highlight w:val="none"/>
        </w:rPr>
      </w:pPr>
    </w:p>
    <w:p>
      <w:pPr>
        <w:spacing w:line="293" w:lineRule="auto"/>
        <w:rPr>
          <w:rFonts w:hint="default" w:ascii="Times New Roman" w:hAnsi="Times New Roman" w:cs="Times New Roman"/>
          <w:sz w:val="21"/>
          <w:highlight w:val="none"/>
        </w:rPr>
      </w:pPr>
    </w:p>
    <w:p>
      <w:pPr>
        <w:spacing w:before="69" w:line="284" w:lineRule="exact"/>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position w:val="1"/>
          <w:sz w:val="21"/>
          <w:szCs w:val="21"/>
          <w:highlight w:val="none"/>
        </w:rPr>
        <w:t>(</w:t>
      </w:r>
      <w:r>
        <w:rPr>
          <w:rFonts w:hint="default" w:ascii="Times New Roman" w:hAnsi="Times New Roman" w:eastAsia="Times New Roman" w:cs="Times New Roman"/>
          <w:spacing w:val="4"/>
          <w:position w:val="1"/>
          <w:sz w:val="21"/>
          <w:szCs w:val="21"/>
          <w:highlight w:val="none"/>
        </w:rPr>
        <w:t>6.3- 1</w:t>
      </w:r>
      <w:r>
        <w:rPr>
          <w:rFonts w:hint="default" w:ascii="Times New Roman" w:hAnsi="Times New Roman" w:eastAsia="宋体" w:cs="Times New Roman"/>
          <w:spacing w:val="4"/>
          <w:position w:val="1"/>
          <w:sz w:val="21"/>
          <w:szCs w:val="21"/>
          <w:highlight w:val="none"/>
        </w:rPr>
        <w:t>)</w:t>
      </w:r>
    </w:p>
    <w:p>
      <w:pPr>
        <w:rPr>
          <w:rFonts w:hint="default" w:ascii="Times New Roman" w:hAnsi="Times New Roman" w:cs="Times New Roman"/>
          <w:highlight w:val="none"/>
        </w:rPr>
        <w:sectPr>
          <w:type w:val="continuous"/>
          <w:pgSz w:w="11906" w:h="16839"/>
          <w:pgMar w:top="1167" w:right="1785" w:bottom="1282" w:left="1785" w:header="897" w:footer="1015" w:gutter="0"/>
          <w:pgBorders>
            <w:top w:val="none" w:sz="0" w:space="0"/>
            <w:left w:val="none" w:sz="0" w:space="0"/>
            <w:bottom w:val="none" w:sz="0" w:space="0"/>
            <w:right w:val="none" w:sz="0" w:space="0"/>
          </w:pgBorders>
          <w:pgNumType w:fmt="decimal"/>
          <w:cols w:equalWidth="0" w:num="3">
            <w:col w:w="5006" w:space="100"/>
            <w:col w:w="1917" w:space="100"/>
            <w:col w:w="1213"/>
          </w:cols>
        </w:sectPr>
      </w:pPr>
    </w:p>
    <w:p>
      <w:pPr>
        <w:spacing w:before="227" w:line="228" w:lineRule="auto"/>
        <w:ind w:left="872"/>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H</w:t>
      </w:r>
      <w:r>
        <w:rPr>
          <w:rFonts w:hint="default" w:ascii="Times New Roman" w:hAnsi="Times New Roman" w:eastAsia="宋体" w:cs="Times New Roman"/>
          <w:spacing w:val="4"/>
          <w:sz w:val="23"/>
          <w:szCs w:val="23"/>
          <w:highlight w:val="none"/>
        </w:rPr>
        <w:t>－地下水水位标高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宋体" w:cs="Times New Roman"/>
          <w:spacing w:val="2"/>
          <w:sz w:val="23"/>
          <w:szCs w:val="23"/>
          <w:highlight w:val="none"/>
        </w:rPr>
        <w:t>；</w:t>
      </w:r>
    </w:p>
    <w:p>
      <w:pPr>
        <w:spacing w:before="147" w:line="468" w:lineRule="exact"/>
        <w:ind w:left="872"/>
        <w:rPr>
          <w:rFonts w:hint="default" w:ascii="Times New Roman" w:hAnsi="Times New Roman" w:eastAsia="宋体" w:cs="Times New Roman"/>
          <w:sz w:val="23"/>
          <w:szCs w:val="23"/>
          <w:highlight w:val="none"/>
        </w:rPr>
      </w:pPr>
      <w:r>
        <w:rPr>
          <w:rFonts w:hint="default" w:ascii="Times New Roman" w:hAnsi="Times New Roman" w:eastAsia="Times New Roman" w:cs="Times New Roman"/>
          <w:position w:val="13"/>
          <w:sz w:val="23"/>
          <w:szCs w:val="23"/>
          <w:highlight w:val="none"/>
        </w:rPr>
        <w:t>K</w:t>
      </w:r>
      <w:r>
        <w:rPr>
          <w:rFonts w:hint="default" w:ascii="Times New Roman" w:hAnsi="Times New Roman" w:eastAsia="宋体" w:cs="Times New Roman"/>
          <w:spacing w:val="9"/>
          <w:position w:val="13"/>
          <w:sz w:val="23"/>
          <w:szCs w:val="23"/>
          <w:highlight w:val="none"/>
        </w:rPr>
        <w:t>－含水层在水平方向上的渗透系数 (</w:t>
      </w:r>
      <w:r>
        <w:rPr>
          <w:rFonts w:hint="default" w:ascii="Times New Roman" w:hAnsi="Times New Roman" w:eastAsia="Times New Roman" w:cs="Times New Roman"/>
          <w:position w:val="13"/>
          <w:sz w:val="23"/>
          <w:szCs w:val="23"/>
          <w:highlight w:val="none"/>
        </w:rPr>
        <w:t>m</w:t>
      </w:r>
      <w:r>
        <w:rPr>
          <w:rFonts w:hint="default" w:ascii="Times New Roman" w:hAnsi="Times New Roman" w:eastAsia="Times New Roman" w:cs="Times New Roman"/>
          <w:spacing w:val="9"/>
          <w:position w:val="13"/>
          <w:sz w:val="23"/>
          <w:szCs w:val="23"/>
          <w:highlight w:val="none"/>
        </w:rPr>
        <w:t>/</w:t>
      </w:r>
      <w:r>
        <w:rPr>
          <w:rFonts w:hint="default" w:ascii="Times New Roman" w:hAnsi="Times New Roman" w:eastAsia="Times New Roman" w:cs="Times New Roman"/>
          <w:position w:val="13"/>
          <w:sz w:val="23"/>
          <w:szCs w:val="23"/>
          <w:highlight w:val="none"/>
        </w:rPr>
        <w:t>d</w:t>
      </w:r>
      <w:r>
        <w:rPr>
          <w:rFonts w:hint="default" w:ascii="Times New Roman" w:hAnsi="Times New Roman" w:eastAsia="宋体" w:cs="Times New Roman"/>
          <w:spacing w:val="9"/>
          <w:position w:val="13"/>
          <w:sz w:val="23"/>
          <w:szCs w:val="23"/>
          <w:highlight w:val="none"/>
        </w:rPr>
        <w:t xml:space="preserve">) </w:t>
      </w:r>
      <w:r>
        <w:rPr>
          <w:rFonts w:hint="default" w:ascii="Times New Roman" w:hAnsi="Times New Roman" w:eastAsia="宋体" w:cs="Times New Roman"/>
          <w:spacing w:val="8"/>
          <w:position w:val="13"/>
          <w:sz w:val="23"/>
          <w:szCs w:val="23"/>
          <w:highlight w:val="none"/>
        </w:rPr>
        <w:t>；</w:t>
      </w:r>
    </w:p>
    <w:p>
      <w:pPr>
        <w:spacing w:line="314" w:lineRule="exact"/>
        <w:ind w:left="876"/>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3"/>
          <w:position w:val="1"/>
          <w:sz w:val="23"/>
          <w:szCs w:val="23"/>
          <w:highlight w:val="none"/>
        </w:rPr>
        <w:t>ε</w:t>
      </w:r>
      <w:r>
        <w:rPr>
          <w:rFonts w:hint="default" w:ascii="Times New Roman" w:hAnsi="Times New Roman" w:eastAsia="宋体" w:cs="Times New Roman"/>
          <w:spacing w:val="7"/>
          <w:position w:val="1"/>
          <w:sz w:val="23"/>
          <w:szCs w:val="23"/>
          <w:highlight w:val="none"/>
        </w:rPr>
        <w:t>－含水层的源汇项 (</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7"/>
          <w:position w:val="1"/>
          <w:sz w:val="23"/>
          <w:szCs w:val="23"/>
          <w:highlight w:val="none"/>
        </w:rPr>
        <w:t>/</w:t>
      </w:r>
      <w:r>
        <w:rPr>
          <w:rFonts w:hint="default" w:ascii="Times New Roman" w:hAnsi="Times New Roman" w:eastAsia="Times New Roman" w:cs="Times New Roman"/>
          <w:position w:val="1"/>
          <w:sz w:val="23"/>
          <w:szCs w:val="23"/>
          <w:highlight w:val="none"/>
        </w:rPr>
        <w:t>d</w:t>
      </w:r>
      <w:r>
        <w:rPr>
          <w:rFonts w:hint="default" w:ascii="Times New Roman" w:hAnsi="Times New Roman" w:eastAsia="宋体" w:cs="Times New Roman"/>
          <w:spacing w:val="7"/>
          <w:position w:val="1"/>
          <w:sz w:val="23"/>
          <w:szCs w:val="23"/>
          <w:highlight w:val="none"/>
        </w:rPr>
        <w:t>) ；</w:t>
      </w:r>
    </w:p>
    <w:p>
      <w:pPr>
        <w:spacing w:before="189" w:line="465" w:lineRule="exact"/>
        <w:ind w:left="872"/>
        <w:rPr>
          <w:rFonts w:hint="default" w:ascii="Times New Roman" w:hAnsi="Times New Roman" w:eastAsia="宋体" w:cs="Times New Roman"/>
          <w:sz w:val="23"/>
          <w:szCs w:val="23"/>
          <w:highlight w:val="none"/>
        </w:rPr>
      </w:pPr>
      <w:r>
        <w:rPr>
          <w:rFonts w:hint="default" w:ascii="Times New Roman" w:hAnsi="Times New Roman" w:eastAsia="Times New Roman" w:cs="Times New Roman"/>
          <w:position w:val="17"/>
          <w:sz w:val="23"/>
          <w:szCs w:val="23"/>
          <w:highlight w:val="none"/>
        </w:rPr>
        <w:t>H</w:t>
      </w:r>
      <w:r>
        <w:rPr>
          <w:rFonts w:hint="default" w:ascii="Times New Roman" w:hAnsi="Times New Roman" w:eastAsia="Times New Roman" w:cs="Times New Roman"/>
          <w:spacing w:val="4"/>
          <w:position w:val="16"/>
          <w:sz w:val="15"/>
          <w:szCs w:val="15"/>
          <w:highlight w:val="none"/>
        </w:rPr>
        <w:t>0</w:t>
      </w:r>
      <w:r>
        <w:rPr>
          <w:rFonts w:hint="default" w:ascii="Times New Roman" w:hAnsi="Times New Roman" w:eastAsia="宋体" w:cs="Times New Roman"/>
          <w:spacing w:val="2"/>
          <w:position w:val="17"/>
          <w:sz w:val="23"/>
          <w:szCs w:val="23"/>
          <w:highlight w:val="none"/>
        </w:rPr>
        <w:t>－初始流场 (</w:t>
      </w:r>
      <w:r>
        <w:rPr>
          <w:rFonts w:hint="default" w:ascii="Times New Roman" w:hAnsi="Times New Roman" w:eastAsia="Times New Roman" w:cs="Times New Roman"/>
          <w:position w:val="17"/>
          <w:sz w:val="23"/>
          <w:szCs w:val="23"/>
          <w:highlight w:val="none"/>
        </w:rPr>
        <w:t>m</w:t>
      </w:r>
      <w:r>
        <w:rPr>
          <w:rFonts w:hint="default" w:ascii="Times New Roman" w:hAnsi="Times New Roman" w:eastAsia="Times New Roman" w:cs="Times New Roman"/>
          <w:spacing w:val="2"/>
          <w:position w:val="17"/>
          <w:sz w:val="23"/>
          <w:szCs w:val="23"/>
          <w:highlight w:val="none"/>
        </w:rPr>
        <w:t xml:space="preserve"> </w:t>
      </w:r>
      <w:r>
        <w:rPr>
          <w:rFonts w:hint="default" w:ascii="Times New Roman" w:hAnsi="Times New Roman" w:eastAsia="宋体" w:cs="Times New Roman"/>
          <w:spacing w:val="2"/>
          <w:position w:val="17"/>
          <w:sz w:val="23"/>
          <w:szCs w:val="23"/>
          <w:highlight w:val="none"/>
        </w:rPr>
        <w:t>) ；</w:t>
      </w:r>
    </w:p>
    <w:p>
      <w:pPr>
        <w:spacing w:before="1" w:line="228" w:lineRule="auto"/>
        <w:ind w:left="872"/>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8"/>
          <w:sz w:val="23"/>
          <w:szCs w:val="23"/>
          <w:highlight w:val="none"/>
        </w:rPr>
        <w:t>Γ</w:t>
      </w:r>
      <w:r>
        <w:rPr>
          <w:rFonts w:hint="default" w:ascii="Times New Roman" w:hAnsi="Times New Roman" w:eastAsia="Times New Roman" w:cs="Times New Roman"/>
          <w:spacing w:val="8"/>
          <w:position w:val="-1"/>
          <w:sz w:val="15"/>
          <w:szCs w:val="15"/>
          <w:highlight w:val="none"/>
        </w:rPr>
        <w:t>2</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渗流区域的二类边界</w:t>
      </w:r>
      <w:r>
        <w:rPr>
          <w:rFonts w:hint="default" w:ascii="Times New Roman" w:hAnsi="Times New Roman" w:eastAsia="宋体" w:cs="Times New Roman"/>
          <w:spacing w:val="7"/>
          <w:sz w:val="23"/>
          <w:szCs w:val="23"/>
          <w:highlight w:val="none"/>
        </w:rPr>
        <w:t>；</w:t>
      </w:r>
    </w:p>
    <w:p>
      <w:pPr>
        <w:spacing w:before="181" w:line="228" w:lineRule="auto"/>
        <w:ind w:left="869"/>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n</w:t>
      </w:r>
      <w:r>
        <w:rPr>
          <w:rFonts w:hint="default" w:ascii="Times New Roman" w:hAnsi="Times New Roman" w:eastAsia="宋体" w:cs="Times New Roman"/>
          <w:spacing w:val="12"/>
          <w:sz w:val="23"/>
          <w:szCs w:val="23"/>
          <w:highlight w:val="none"/>
        </w:rPr>
        <w:t>－</w:t>
      </w:r>
      <w:r>
        <w:rPr>
          <w:rFonts w:hint="default" w:ascii="Times New Roman" w:hAnsi="Times New Roman" w:eastAsia="宋体" w:cs="Times New Roman"/>
          <w:spacing w:val="9"/>
          <w:sz w:val="23"/>
          <w:szCs w:val="23"/>
          <w:highlight w:val="none"/>
        </w:rPr>
        <w:t>边界面的法线方向；</w:t>
      </w:r>
    </w:p>
    <w:p>
      <w:pPr>
        <w:spacing w:before="137" w:line="203" w:lineRule="auto"/>
        <w:ind w:left="917"/>
        <w:rPr>
          <w:rFonts w:hint="default" w:ascii="Times New Roman" w:hAnsi="Times New Roman" w:eastAsia="Times New Roman" w:cs="Times New Roman"/>
          <w:sz w:val="19"/>
          <w:szCs w:val="19"/>
          <w:highlight w:val="none"/>
        </w:rPr>
      </w:pPr>
      <w:r>
        <w:rPr>
          <w:rFonts w:hint="default" w:ascii="Times New Roman" w:hAnsi="Times New Roman" w:eastAsia="微软雅黑" w:cs="Times New Roman"/>
          <w:spacing w:val="15"/>
          <w:sz w:val="19"/>
          <w:szCs w:val="19"/>
          <w:highlight w:val="none"/>
          <w:u w:val="single" w:color="auto"/>
        </w:rPr>
        <w:t>?</w:t>
      </w:r>
      <w:r>
        <w:rPr>
          <w:rFonts w:hint="default" w:ascii="Times New Roman" w:hAnsi="Times New Roman" w:eastAsia="Times New Roman" w:cs="Times New Roman"/>
          <w:i/>
          <w:iCs/>
          <w:sz w:val="19"/>
          <w:szCs w:val="19"/>
          <w:highlight w:val="none"/>
          <w:u w:val="single" w:color="auto"/>
        </w:rPr>
        <w:t>H</w:t>
      </w:r>
    </w:p>
    <w:p>
      <w:pPr>
        <w:spacing w:line="221" w:lineRule="auto"/>
        <w:ind w:left="947"/>
        <w:rPr>
          <w:rFonts w:hint="default" w:ascii="Times New Roman" w:hAnsi="Times New Roman" w:eastAsia="宋体" w:cs="Times New Roman"/>
          <w:sz w:val="23"/>
          <w:szCs w:val="23"/>
          <w:highlight w:val="none"/>
        </w:rPr>
      </w:pPr>
      <w:r>
        <w:rPr>
          <w:rFonts w:hint="default" w:ascii="Times New Roman" w:hAnsi="Times New Roman" w:eastAsia="微软雅黑" w:cs="Times New Roman"/>
          <w:spacing w:val="7"/>
          <w:position w:val="3"/>
          <w:sz w:val="19"/>
          <w:szCs w:val="19"/>
          <w:highlight w:val="none"/>
        </w:rPr>
        <w:t>?</w:t>
      </w:r>
      <w:r>
        <w:rPr>
          <w:rFonts w:hint="default" w:ascii="Times New Roman" w:hAnsi="Times New Roman" w:eastAsia="Times New Roman" w:cs="Times New Roman"/>
          <w:position w:val="3"/>
          <w:sz w:val="19"/>
          <w:szCs w:val="19"/>
          <w:highlight w:val="none"/>
        </w:rPr>
        <w:t>n</w:t>
      </w:r>
      <w:r>
        <w:rPr>
          <w:rFonts w:hint="default" w:ascii="Times New Roman" w:hAnsi="Times New Roman" w:eastAsia="Times New Roman" w:cs="Times New Roman"/>
          <w:spacing w:val="7"/>
          <w:position w:val="3"/>
          <w:sz w:val="19"/>
          <w:szCs w:val="19"/>
          <w:highlight w:val="none"/>
        </w:rPr>
        <w:t xml:space="preserve"> </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 xml:space="preserve">沿外法线方向 </w:t>
      </w:r>
      <w:r>
        <w:rPr>
          <w:rFonts w:hint="default" w:ascii="Times New Roman" w:hAnsi="Times New Roman" w:eastAsia="Times New Roman" w:cs="Times New Roman"/>
          <w:sz w:val="23"/>
          <w:szCs w:val="23"/>
          <w:highlight w:val="none"/>
        </w:rPr>
        <w:t>n</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 xml:space="preserve">的导数 (无量纲) </w:t>
      </w:r>
      <w:r>
        <w:rPr>
          <w:rFonts w:hint="default" w:ascii="Times New Roman" w:hAnsi="Times New Roman" w:eastAsia="宋体" w:cs="Times New Roman"/>
          <w:spacing w:val="5"/>
          <w:sz w:val="23"/>
          <w:szCs w:val="23"/>
          <w:highlight w:val="none"/>
        </w:rPr>
        <w:t>；</w:t>
      </w:r>
    </w:p>
    <w:p>
      <w:pPr>
        <w:spacing w:before="146" w:line="375" w:lineRule="auto"/>
        <w:ind w:left="871" w:right="1420" w:firstLine="4"/>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q</w:t>
      </w:r>
      <w:r>
        <w:rPr>
          <w:rFonts w:hint="default" w:ascii="Times New Roman" w:hAnsi="Times New Roman" w:eastAsia="宋体" w:cs="Times New Roman"/>
          <w:spacing w:val="12"/>
          <w:sz w:val="23"/>
          <w:szCs w:val="23"/>
          <w:highlight w:val="none"/>
        </w:rPr>
        <w:t>－</w:t>
      </w:r>
      <w:r>
        <w:rPr>
          <w:rFonts w:hint="default" w:ascii="Times New Roman" w:hAnsi="Times New Roman" w:eastAsia="Times New Roman" w:cs="Times New Roman"/>
          <w:spacing w:val="10"/>
          <w:sz w:val="23"/>
          <w:szCs w:val="23"/>
          <w:highlight w:val="none"/>
        </w:rPr>
        <w:t>Γ</w:t>
      </w:r>
      <w:r>
        <w:rPr>
          <w:rFonts w:hint="default" w:ascii="Times New Roman" w:hAnsi="Times New Roman" w:eastAsia="Times New Roman" w:cs="Times New Roman"/>
          <w:spacing w:val="6"/>
          <w:position w:val="-1"/>
          <w:sz w:val="15"/>
          <w:szCs w:val="15"/>
          <w:highlight w:val="none"/>
        </w:rPr>
        <w:t xml:space="preserve">2 </w:t>
      </w:r>
      <w:r>
        <w:rPr>
          <w:rFonts w:hint="default" w:ascii="Times New Roman" w:hAnsi="Times New Roman" w:eastAsia="宋体" w:cs="Times New Roman"/>
          <w:spacing w:val="6"/>
          <w:sz w:val="23"/>
          <w:szCs w:val="23"/>
          <w:highlight w:val="none"/>
        </w:rPr>
        <w:t>边界上的单宽流量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position w:val="8"/>
          <w:sz w:val="15"/>
          <w:szCs w:val="15"/>
          <w:highlight w:val="none"/>
        </w:rPr>
        <w:t>2</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宋体" w:cs="Times New Roman"/>
          <w:spacing w:val="6"/>
          <w:sz w:val="23"/>
          <w:szCs w:val="23"/>
          <w:highlight w:val="none"/>
        </w:rPr>
        <w:t>) ，流入为正，流出为负；</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z w:val="23"/>
          <w:szCs w:val="23"/>
          <w:highlight w:val="none"/>
        </w:rPr>
        <w:t>Z</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x</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y</w:t>
      </w:r>
      <w:r>
        <w:rPr>
          <w:rFonts w:hint="default" w:ascii="Times New Roman" w:hAnsi="Times New Roman" w:eastAsia="Times New Roman" w:cs="Times New Roman"/>
          <w:spacing w:val="8"/>
          <w:sz w:val="23"/>
          <w:szCs w:val="23"/>
          <w:highlight w:val="none"/>
        </w:rPr>
        <w:t>) —</w:t>
      </w:r>
      <w:r>
        <w:rPr>
          <w:rFonts w:hint="default" w:ascii="Times New Roman" w:hAnsi="Times New Roman" w:eastAsia="宋体" w:cs="Times New Roman"/>
          <w:spacing w:val="8"/>
          <w:sz w:val="23"/>
          <w:szCs w:val="23"/>
          <w:highlight w:val="none"/>
        </w:rPr>
        <w:t>含水层底板高程</w:t>
      </w:r>
      <w:r>
        <w:rPr>
          <w:rFonts w:hint="default" w:ascii="Times New Roman" w:hAnsi="Times New Roman" w:eastAsia="宋体" w:cs="Times New Roman"/>
          <w:spacing w:val="6"/>
          <w:sz w:val="23"/>
          <w:szCs w:val="23"/>
          <w:highlight w:val="none"/>
        </w:rPr>
        <w:t>。</w:t>
      </w:r>
    </w:p>
    <w:p>
      <w:pPr>
        <w:spacing w:before="193" w:line="502" w:lineRule="exact"/>
        <w:ind w:left="500"/>
        <w:rPr>
          <w:rFonts w:hint="default" w:ascii="Times New Roman" w:hAnsi="Times New Roman" w:eastAsia="宋体" w:cs="Times New Roman"/>
          <w:sz w:val="23"/>
          <w:szCs w:val="23"/>
          <w:highlight w:val="none"/>
        </w:rPr>
      </w:pPr>
      <w:r>
        <w:rPr>
          <w:rFonts w:hint="default" w:ascii="Times New Roman" w:hAnsi="Times New Roman" w:eastAsia="Times New Roman" w:cs="Times New Roman"/>
          <w:position w:val="21"/>
          <w:sz w:val="23"/>
          <w:szCs w:val="23"/>
          <w:highlight w:val="none"/>
        </w:rPr>
        <w:t>C</w:t>
      </w:r>
      <w:r>
        <w:rPr>
          <w:rFonts w:hint="default" w:ascii="Times New Roman" w:hAnsi="Times New Roman" w:eastAsia="Times New Roman" w:cs="Times New Roman"/>
          <w:spacing w:val="8"/>
          <w:position w:val="21"/>
          <w:sz w:val="23"/>
          <w:szCs w:val="23"/>
          <w:highlight w:val="none"/>
        </w:rPr>
        <w:t xml:space="preserve"> </w:t>
      </w:r>
      <w:r>
        <w:rPr>
          <w:rFonts w:hint="default" w:ascii="Times New Roman" w:hAnsi="Times New Roman" w:eastAsia="宋体" w:cs="Times New Roman"/>
          <w:spacing w:val="6"/>
          <w:position w:val="21"/>
          <w:sz w:val="23"/>
          <w:szCs w:val="23"/>
          <w:highlight w:val="none"/>
        </w:rPr>
        <w:t>、</w:t>
      </w:r>
      <w:r>
        <w:rPr>
          <w:rFonts w:hint="default" w:ascii="Times New Roman" w:hAnsi="Times New Roman" w:eastAsia="宋体" w:cs="Times New Roman"/>
          <w:spacing w:val="4"/>
          <w:position w:val="21"/>
          <w:sz w:val="23"/>
          <w:szCs w:val="23"/>
          <w:highlight w:val="none"/>
        </w:rPr>
        <w:t>地下水流数值模型的建立</w:t>
      </w:r>
    </w:p>
    <w:p>
      <w:pPr>
        <w:spacing w:line="392" w:lineRule="auto"/>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shape id="_x0000_s1280" o:spid="_x0000_s1280" style="position:absolute;left:0pt;margin-left:89.85pt;margin-top:59.05pt;height:0.75pt;width:415.65pt;mso-position-horizontal-relative:page;mso-position-vertical-relative:page;z-index:251786240;mso-width-relative:page;mso-height-relative:page;" fillcolor="#000000" filled="t" stroked="f" coordsize="8312,15" o:allowincell="f" path="m0,0l8312,0,8312,14,0,14,0,0xe">
            <v:path/>
            <v:fill on="t" focussize="0,0"/>
            <v:stroke on="f"/>
            <v:imagedata o:title=""/>
            <o:lock v:ext="edit"/>
          </v:shape>
        </w:pict>
      </w:r>
      <w:r>
        <w:rPr>
          <w:rFonts w:hint="eastAsia" w:ascii="Times New Roman" w:hAnsi="Times New Roman" w:eastAsia="宋体" w:cs="Times New Roman"/>
          <w:highlight w:val="none"/>
          <w:lang w:val="en-US" w:eastAsia="zh-CN"/>
        </w:rPr>
        <w:t xml:space="preserve">        </w:t>
      </w:r>
      <w:r>
        <w:rPr>
          <w:rFonts w:hint="default" w:ascii="Times New Roman" w:hAnsi="Times New Roman" w:eastAsia="宋体" w:cs="Times New Roman"/>
          <w:spacing w:val="7"/>
          <w:sz w:val="23"/>
          <w:szCs w:val="23"/>
          <w:highlight w:val="none"/>
        </w:rPr>
        <w:t>模拟区范围地理位置属于高斯投影的第</w:t>
      </w:r>
      <w:r>
        <w:rPr>
          <w:rFonts w:hint="default" w:ascii="Times New Roman" w:hAnsi="Times New Roman" w:eastAsia="Times New Roman" w:cs="Times New Roman"/>
          <w:spacing w:val="7"/>
          <w:sz w:val="23"/>
          <w:szCs w:val="23"/>
          <w:highlight w:val="none"/>
        </w:rPr>
        <w:t>20</w:t>
      </w:r>
      <w:r>
        <w:rPr>
          <w:rFonts w:hint="default" w:ascii="Times New Roman" w:hAnsi="Times New Roman" w:eastAsia="宋体" w:cs="Times New Roman"/>
          <w:spacing w:val="7"/>
          <w:sz w:val="23"/>
          <w:szCs w:val="23"/>
          <w:highlight w:val="none"/>
        </w:rPr>
        <w:t>个投影带 (</w:t>
      </w:r>
      <w:r>
        <w:rPr>
          <w:rFonts w:hint="default" w:ascii="Times New Roman" w:hAnsi="Times New Roman" w:eastAsia="Times New Roman" w:cs="Times New Roman"/>
          <w:spacing w:val="7"/>
          <w:sz w:val="23"/>
          <w:szCs w:val="23"/>
          <w:highlight w:val="none"/>
        </w:rPr>
        <w:t>6°</w:t>
      </w:r>
      <w:r>
        <w:rPr>
          <w:rFonts w:hint="default" w:ascii="Times New Roman" w:hAnsi="Times New Roman" w:eastAsia="宋体" w:cs="Times New Roman"/>
          <w:spacing w:val="7"/>
          <w:sz w:val="23"/>
          <w:szCs w:val="23"/>
          <w:highlight w:val="none"/>
        </w:rPr>
        <w:t>带) ，由于以前在</w:t>
      </w:r>
      <w:r>
        <w:rPr>
          <w:rFonts w:hint="default" w:ascii="Times New Roman" w:hAnsi="Times New Roman" w:eastAsia="宋体" w:cs="Times New Roman"/>
          <w:spacing w:val="3"/>
          <w:sz w:val="23"/>
          <w:szCs w:val="23"/>
          <w:highlight w:val="none"/>
        </w:rPr>
        <w:t>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内</w:t>
      </w:r>
      <w:r>
        <w:rPr>
          <w:rFonts w:hint="default" w:ascii="Times New Roman" w:hAnsi="Times New Roman" w:eastAsia="宋体" w:cs="Times New Roman"/>
          <w:spacing w:val="7"/>
          <w:sz w:val="23"/>
          <w:szCs w:val="23"/>
          <w:highlight w:val="none"/>
        </w:rPr>
        <w:t>进行的有关地质及水文地质工作主要是建立在高斯投影坐标的基础上，本次模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拟</w:t>
      </w:r>
      <w:r>
        <w:rPr>
          <w:rFonts w:hint="default" w:ascii="Times New Roman" w:hAnsi="Times New Roman" w:eastAsia="宋体" w:cs="Times New Roman"/>
          <w:spacing w:val="7"/>
          <w:sz w:val="23"/>
          <w:szCs w:val="23"/>
          <w:highlight w:val="none"/>
        </w:rPr>
        <w:t>仍选用高斯投影坐标系 (</w:t>
      </w:r>
      <w:r>
        <w:rPr>
          <w:rFonts w:hint="default" w:ascii="Times New Roman" w:hAnsi="Times New Roman" w:eastAsia="Times New Roman" w:cs="Times New Roman"/>
          <w:spacing w:val="7"/>
          <w:sz w:val="23"/>
          <w:szCs w:val="23"/>
          <w:highlight w:val="none"/>
        </w:rPr>
        <w:t>6°</w:t>
      </w:r>
      <w:r>
        <w:rPr>
          <w:rFonts w:hint="default" w:ascii="Times New Roman" w:hAnsi="Times New Roman" w:eastAsia="宋体" w:cs="Times New Roman"/>
          <w:spacing w:val="7"/>
          <w:sz w:val="23"/>
          <w:szCs w:val="23"/>
          <w:highlight w:val="none"/>
        </w:rPr>
        <w:t>带) 。</w:t>
      </w:r>
    </w:p>
    <w:p>
      <w:pPr>
        <w:spacing w:before="1" w:line="400" w:lineRule="auto"/>
        <w:ind w:left="23" w:right="65"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本次地下水流数值模拟采用二维规则网格有限差分法进行模拟计算，计算</w:t>
      </w:r>
      <w:r>
        <w:rPr>
          <w:rFonts w:hint="default" w:ascii="Times New Roman" w:hAnsi="Times New Roman" w:eastAsia="宋体" w:cs="Times New Roman"/>
          <w:spacing w:val="6"/>
          <w:sz w:val="23"/>
          <w:szCs w:val="23"/>
          <w:highlight w:val="none"/>
        </w:rPr>
        <w:t>剖</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分</w:t>
      </w:r>
      <w:r>
        <w:rPr>
          <w:rFonts w:hint="default" w:ascii="Times New Roman" w:hAnsi="Times New Roman" w:eastAsia="宋体" w:cs="Times New Roman"/>
          <w:spacing w:val="8"/>
          <w:sz w:val="23"/>
          <w:szCs w:val="23"/>
          <w:highlight w:val="none"/>
        </w:rPr>
        <w:t>包括空间剖分和时间剖分。</w:t>
      </w:r>
    </w:p>
    <w:p>
      <w:pPr>
        <w:spacing w:before="1" w:line="397" w:lineRule="auto"/>
        <w:ind w:left="21"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在</w:t>
      </w:r>
      <w:r>
        <w:rPr>
          <w:rFonts w:hint="default" w:ascii="Times New Roman" w:hAnsi="Times New Roman" w:eastAsia="宋体" w:cs="Times New Roman"/>
          <w:spacing w:val="7"/>
          <w:sz w:val="23"/>
          <w:szCs w:val="23"/>
          <w:highlight w:val="none"/>
        </w:rPr>
        <w:t>平面上，根据本次地下水数值模拟的目的，对评价区域模型采用矩形网格</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剖分</w:t>
      </w:r>
      <w:r>
        <w:rPr>
          <w:rFonts w:hint="default" w:ascii="Times New Roman" w:hAnsi="Times New Roman" w:eastAsia="宋体" w:cs="Times New Roman"/>
          <w:spacing w:val="-1"/>
          <w:sz w:val="23"/>
          <w:szCs w:val="23"/>
          <w:highlight w:val="none"/>
        </w:rPr>
        <w:t xml:space="preserve">，剖分为 </w:t>
      </w:r>
      <w:r>
        <w:rPr>
          <w:rFonts w:hint="default" w:ascii="Times New Roman" w:hAnsi="Times New Roman" w:eastAsia="Times New Roman" w:cs="Times New Roman"/>
          <w:spacing w:val="-1"/>
          <w:sz w:val="23"/>
          <w:szCs w:val="23"/>
          <w:highlight w:val="none"/>
        </w:rPr>
        <w:t xml:space="preserve">51 </w:t>
      </w:r>
      <w:r>
        <w:rPr>
          <w:rFonts w:hint="default" w:ascii="Times New Roman" w:hAnsi="Times New Roman" w:eastAsia="宋体" w:cs="Times New Roman"/>
          <w:spacing w:val="-1"/>
          <w:sz w:val="23"/>
          <w:szCs w:val="23"/>
          <w:highlight w:val="none"/>
        </w:rPr>
        <w:t xml:space="preserve">行 </w:t>
      </w:r>
      <w:r>
        <w:rPr>
          <w:rFonts w:hint="default" w:ascii="Times New Roman" w:hAnsi="Times New Roman" w:eastAsia="Times New Roman" w:cs="Times New Roman"/>
          <w:spacing w:val="-1"/>
          <w:sz w:val="23"/>
          <w:szCs w:val="23"/>
          <w:highlight w:val="none"/>
        </w:rPr>
        <w:t xml:space="preserve">53 </w:t>
      </w:r>
      <w:r>
        <w:rPr>
          <w:rFonts w:hint="default" w:ascii="Times New Roman" w:hAnsi="Times New Roman" w:eastAsia="宋体" w:cs="Times New Roman"/>
          <w:spacing w:val="-1"/>
          <w:sz w:val="23"/>
          <w:szCs w:val="23"/>
          <w:highlight w:val="none"/>
        </w:rPr>
        <w:t xml:space="preserve">列，边长为 </w:t>
      </w:r>
      <w:r>
        <w:rPr>
          <w:rFonts w:hint="default" w:ascii="Times New Roman" w:hAnsi="Times New Roman" w:eastAsia="Times New Roman" w:cs="Times New Roman"/>
          <w:spacing w:val="-1"/>
          <w:sz w:val="23"/>
          <w:szCs w:val="23"/>
          <w:highlight w:val="none"/>
        </w:rPr>
        <w:t xml:space="preserve">0.067km×0.067km </w:t>
      </w:r>
      <w:r>
        <w:rPr>
          <w:rFonts w:hint="default" w:ascii="Times New Roman" w:hAnsi="Times New Roman" w:eastAsia="宋体" w:cs="Times New Roman"/>
          <w:spacing w:val="-1"/>
          <w:sz w:val="23"/>
          <w:szCs w:val="23"/>
          <w:highlight w:val="none"/>
        </w:rPr>
        <w:t xml:space="preserve">，共剖分有效单元 </w:t>
      </w:r>
      <w:r>
        <w:rPr>
          <w:rFonts w:hint="default" w:ascii="Times New Roman" w:hAnsi="Times New Roman" w:eastAsia="Times New Roman" w:cs="Times New Roman"/>
          <w:spacing w:val="-1"/>
          <w:sz w:val="23"/>
          <w:szCs w:val="23"/>
          <w:highlight w:val="none"/>
        </w:rPr>
        <w:t xml:space="preserve">1493 </w:t>
      </w:r>
      <w:r>
        <w:rPr>
          <w:rFonts w:hint="default" w:ascii="Times New Roman" w:hAnsi="Times New Roman" w:eastAsia="宋体" w:cs="Times New Roman"/>
          <w:spacing w:val="-1"/>
          <w:sz w:val="23"/>
          <w:szCs w:val="23"/>
          <w:highlight w:val="none"/>
        </w:rPr>
        <w:t>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 xml:space="preserve">计算节点位于单元中心。模拟区网格平面剖分见图 </w:t>
      </w:r>
      <w:r>
        <w:rPr>
          <w:rFonts w:hint="default" w:ascii="Times New Roman" w:hAnsi="Times New Roman" w:eastAsia="Times New Roman" w:cs="Times New Roman"/>
          <w:spacing w:val="6"/>
          <w:sz w:val="23"/>
          <w:szCs w:val="23"/>
          <w:highlight w:val="none"/>
        </w:rPr>
        <w:t>5.2-</w:t>
      </w:r>
      <w:r>
        <w:rPr>
          <w:rFonts w:hint="eastAsia" w:ascii="Times New Roman" w:hAnsi="Times New Roman" w:eastAsia="宋体" w:cs="Times New Roman"/>
          <w:spacing w:val="6"/>
          <w:sz w:val="23"/>
          <w:szCs w:val="23"/>
          <w:highlight w:val="none"/>
          <w:lang w:val="en-US" w:eastAsia="zh-CN"/>
        </w:rPr>
        <w:t>21</w:t>
      </w:r>
      <w:r>
        <w:rPr>
          <w:rFonts w:hint="default" w:ascii="Times New Roman" w:hAnsi="Times New Roman" w:eastAsia="宋体" w:cs="Times New Roman"/>
          <w:spacing w:val="6"/>
          <w:sz w:val="23"/>
          <w:szCs w:val="23"/>
          <w:highlight w:val="none"/>
        </w:rPr>
        <w:t>。</w:t>
      </w:r>
    </w:p>
    <w:p>
      <w:pPr>
        <w:spacing w:before="22" w:line="7721" w:lineRule="exact"/>
        <w:ind w:firstLine="11"/>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5247005" cy="4902200"/>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84"/>
                    <a:stretch>
                      <a:fillRect/>
                    </a:stretch>
                  </pic:blipFill>
                  <pic:spPr>
                    <a:xfrm>
                      <a:off x="0" y="0"/>
                      <a:ext cx="5247132" cy="4902708"/>
                    </a:xfrm>
                    <a:prstGeom prst="rect">
                      <a:avLst/>
                    </a:prstGeom>
                  </pic:spPr>
                </pic:pic>
              </a:graphicData>
            </a:graphic>
          </wp:inline>
        </w:drawing>
      </w:r>
    </w:p>
    <w:p>
      <w:pPr>
        <w:spacing w:before="193" w:line="227" w:lineRule="auto"/>
        <w:ind w:left="2569"/>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shape id="_x0000_s1281" o:spid="_x0000_s1281" style="position:absolute;left:0pt;margin-left:89.85pt;margin-top:777.15pt;height:0.75pt;width:415.65pt;mso-position-horizontal-relative:page;mso-position-vertical-relative:page;z-index:251787264;mso-width-relative:page;mso-height-relative:page;" fillcolor="#FFFFFF" filled="t" stroked="f" coordsize="8312,15" o:allowincell="f" path="m0,0l8312,0,8312,14,0,14,0,0xe">
            <v:path/>
            <v:fill on="t" color2="#FFFFFF" focussize="0,0"/>
            <v:stroke on="f"/>
            <v:imagedata o:title=""/>
            <o:lock v:ext="edit" aspectratio="f"/>
          </v:shape>
        </w:pic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5"/>
          <w:sz w:val="23"/>
          <w:szCs w:val="23"/>
          <w:highlight w:val="none"/>
        </w:rPr>
        <w:t>5.2-</w:t>
      </w:r>
      <w:r>
        <w:rPr>
          <w:rFonts w:hint="eastAsia" w:ascii="Times New Roman" w:hAnsi="Times New Roman" w:eastAsia="宋体" w:cs="Times New Roman"/>
          <w:b/>
          <w:bCs/>
          <w:spacing w:val="5"/>
          <w:sz w:val="23"/>
          <w:szCs w:val="23"/>
          <w:highlight w:val="none"/>
          <w:lang w:val="en-US" w:eastAsia="zh-CN"/>
        </w:rPr>
        <w:t>21</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模拟区网格剖分</w:t>
      </w:r>
      <w:r>
        <w:rPr>
          <w:rFonts w:hint="default" w:ascii="Times New Roman" w:hAnsi="Times New Roman" w:eastAsia="宋体" w:cs="Times New Roman"/>
          <w:spacing w:val="1"/>
          <w:sz w:val="23"/>
          <w:szCs w:val="23"/>
          <w:highlight w:val="none"/>
          <w14:textOutline w14:w="4358" w14:cap="sq" w14:cmpd="sng">
            <w14:solidFill>
              <w14:srgbClr w14:val="000000"/>
            </w14:solidFill>
            <w14:prstDash w14:val="solid"/>
            <w14:bevel/>
          </w14:textOutline>
        </w:rPr>
        <w:t>图</w:t>
      </w:r>
    </w:p>
    <w:p>
      <w:pPr>
        <w:rPr>
          <w:rFonts w:hint="default" w:ascii="Times New Roman" w:hAnsi="Times New Roman" w:cs="Times New Roman"/>
          <w:highlight w:val="none"/>
        </w:rPr>
        <w:sectPr>
          <w:headerReference r:id="rId105" w:type="default"/>
          <w:footerReference r:id="rId106" w:type="default"/>
          <w:pgSz w:w="11906" w:h="16839"/>
          <w:pgMar w:top="1167" w:right="1731" w:bottom="1282" w:left="1785" w:header="897" w:footer="1015" w:gutter="0"/>
          <w:pgBorders>
            <w:top w:val="none" w:sz="0" w:space="0"/>
            <w:left w:val="none" w:sz="0" w:space="0"/>
            <w:bottom w:val="none" w:sz="0" w:space="0"/>
            <w:right w:val="none" w:sz="0" w:space="0"/>
          </w:pgBorders>
          <w:pgNumType w:fmt="decimal"/>
          <w:cols w:space="720" w:num="1"/>
        </w:sectPr>
      </w:pPr>
    </w:p>
    <w:p>
      <w:pPr>
        <w:spacing w:line="425"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282" o:spid="_x0000_s1282" style="position:absolute;left:0pt;margin-left:89.85pt;margin-top:59.05pt;height:0.75pt;width:415.65pt;mso-position-horizontal-relative:page;mso-position-vertical-relative:page;z-index:251788288;mso-width-relative:page;mso-height-relative:page;" fillcolor="#000000" filled="t" stroked="f" coordsize="8312,15" o:allowincell="f" path="m0,0l8312,0,8312,14,0,14,0,0xe">
            <v:path/>
            <v:fill on="t" focussize="0,0"/>
            <v:stroke on="f"/>
            <v:imagedata o:title=""/>
            <o:lock v:ext="edit"/>
          </v:shape>
        </w:pict>
      </w:r>
    </w:p>
    <w:p>
      <w:pPr>
        <w:spacing w:before="185" w:line="228" w:lineRule="auto"/>
        <w:ind w:left="63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降水入渗补给条件的不均匀性用入渗分区概化处理。依据有关降水入渗</w:t>
      </w:r>
      <w:r>
        <w:rPr>
          <w:rFonts w:hint="default" w:ascii="Times New Roman" w:hAnsi="Times New Roman" w:eastAsia="宋体" w:cs="Times New Roman"/>
          <w:spacing w:val="9"/>
          <w:sz w:val="23"/>
          <w:szCs w:val="23"/>
          <w:highlight w:val="none"/>
        </w:rPr>
        <w:t>资</w:t>
      </w:r>
    </w:p>
    <w:p>
      <w:pPr>
        <w:spacing w:before="219" w:line="401" w:lineRule="auto"/>
        <w:ind w:left="132" w:right="4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3"/>
          <w:sz w:val="23"/>
          <w:szCs w:val="23"/>
          <w:highlight w:val="none"/>
        </w:rPr>
        <w:t>料</w:t>
      </w:r>
      <w:r>
        <w:rPr>
          <w:rFonts w:hint="default" w:ascii="Times New Roman" w:hAnsi="Times New Roman" w:eastAsia="宋体" w:cs="Times New Roman"/>
          <w:spacing w:val="7"/>
          <w:sz w:val="23"/>
          <w:szCs w:val="23"/>
          <w:highlight w:val="none"/>
        </w:rPr>
        <w:t>，并参考包气带岩性、潜水位埋深、地形、植被等因素，绘出全区降水入渗系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数分区图，分别给出各区降水入渗系数平均值，加在模型对应的剖分网格单元</w:t>
      </w:r>
      <w:r>
        <w:rPr>
          <w:rFonts w:hint="default" w:ascii="Times New Roman" w:hAnsi="Times New Roman" w:eastAsia="宋体" w:cs="Times New Roman"/>
          <w:sz w:val="23"/>
          <w:szCs w:val="23"/>
          <w:highlight w:val="none"/>
        </w:rPr>
        <w:t xml:space="preserve">上。 </w:t>
      </w:r>
      <w:r>
        <w:rPr>
          <w:rFonts w:hint="default" w:ascii="Times New Roman" w:hAnsi="Times New Roman" w:eastAsia="宋体" w:cs="Times New Roman"/>
          <w:spacing w:val="18"/>
          <w:sz w:val="23"/>
          <w:szCs w:val="23"/>
          <w:highlight w:val="none"/>
        </w:rPr>
        <w:t>根</w:t>
      </w:r>
      <w:r>
        <w:rPr>
          <w:rFonts w:hint="default" w:ascii="Times New Roman" w:hAnsi="Times New Roman" w:eastAsia="宋体" w:cs="Times New Roman"/>
          <w:spacing w:val="10"/>
          <w:sz w:val="23"/>
          <w:szCs w:val="23"/>
          <w:highlight w:val="none"/>
        </w:rPr>
        <w:t>据</w:t>
      </w:r>
      <w:r>
        <w:rPr>
          <w:rFonts w:hint="default" w:ascii="Times New Roman" w:hAnsi="Times New Roman" w:eastAsia="宋体" w:cs="Times New Roman"/>
          <w:spacing w:val="9"/>
          <w:sz w:val="23"/>
          <w:szCs w:val="23"/>
          <w:highlight w:val="none"/>
        </w:rPr>
        <w:t>各区面积、降水量以及降水入渗系数计算大气降水入渗补给量。</w:t>
      </w:r>
    </w:p>
    <w:p>
      <w:pPr>
        <w:spacing w:before="1" w:line="401" w:lineRule="auto"/>
        <w:ind w:left="132" w:right="122"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评</w:t>
      </w:r>
      <w:r>
        <w:rPr>
          <w:rFonts w:hint="default" w:ascii="Times New Roman" w:hAnsi="Times New Roman" w:eastAsia="宋体" w:cs="Times New Roman"/>
          <w:spacing w:val="7"/>
          <w:sz w:val="23"/>
          <w:szCs w:val="23"/>
          <w:highlight w:val="none"/>
        </w:rPr>
        <w:t>价区内表层岩性以粉土和粉粘为主，本次模拟降水入渗系数参照河北省水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文站与</w:t>
      </w:r>
      <w:r>
        <w:rPr>
          <w:rFonts w:hint="default" w:ascii="Times New Roman" w:hAnsi="Times New Roman" w:eastAsia="Times New Roman" w:cs="Times New Roman"/>
          <w:spacing w:val="9"/>
          <w:sz w:val="23"/>
          <w:szCs w:val="23"/>
          <w:highlight w:val="none"/>
        </w:rPr>
        <w:t>“</w:t>
      </w:r>
      <w:r>
        <w:rPr>
          <w:rFonts w:hint="default" w:ascii="Times New Roman" w:hAnsi="Times New Roman" w:eastAsia="宋体" w:cs="Times New Roman"/>
          <w:spacing w:val="9"/>
          <w:sz w:val="23"/>
          <w:szCs w:val="23"/>
          <w:highlight w:val="none"/>
        </w:rPr>
        <w:t>六五</w:t>
      </w:r>
      <w:r>
        <w:rPr>
          <w:rFonts w:hint="default" w:ascii="Times New Roman" w:hAnsi="Times New Roman" w:eastAsia="Times New Roman" w:cs="Times New Roman"/>
          <w:spacing w:val="9"/>
          <w:sz w:val="23"/>
          <w:szCs w:val="23"/>
          <w:highlight w:val="none"/>
        </w:rPr>
        <w:t>”</w:t>
      </w:r>
      <w:r>
        <w:rPr>
          <w:rFonts w:hint="default" w:ascii="Times New Roman" w:hAnsi="Times New Roman" w:eastAsia="宋体" w:cs="Times New Roman"/>
          <w:spacing w:val="9"/>
          <w:sz w:val="23"/>
          <w:szCs w:val="23"/>
          <w:highlight w:val="none"/>
        </w:rPr>
        <w:t xml:space="preserve">科技攻关 </w:t>
      </w:r>
      <w:r>
        <w:rPr>
          <w:rFonts w:hint="default" w:ascii="Times New Roman" w:hAnsi="Times New Roman" w:eastAsia="Times New Roman" w:cs="Times New Roman"/>
          <w:spacing w:val="9"/>
          <w:sz w:val="23"/>
          <w:szCs w:val="23"/>
          <w:highlight w:val="none"/>
        </w:rPr>
        <w:t xml:space="preserve">38 </w:t>
      </w:r>
      <w:r>
        <w:rPr>
          <w:rFonts w:hint="default" w:ascii="Times New Roman" w:hAnsi="Times New Roman" w:eastAsia="宋体" w:cs="Times New Roman"/>
          <w:spacing w:val="9"/>
          <w:sz w:val="23"/>
          <w:szCs w:val="23"/>
          <w:highlight w:val="none"/>
        </w:rPr>
        <w:t>项科研报告中提供的数值，并考虑现有的地下水位</w:t>
      </w:r>
      <w:r>
        <w:rPr>
          <w:rFonts w:hint="default" w:ascii="Times New Roman" w:hAnsi="Times New Roman" w:eastAsia="宋体" w:cs="Times New Roman"/>
          <w:spacing w:val="2"/>
          <w:sz w:val="23"/>
          <w:szCs w:val="23"/>
          <w:highlight w:val="none"/>
        </w:rPr>
        <w:t>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深</w:t>
      </w:r>
      <w:r>
        <w:rPr>
          <w:rFonts w:hint="default" w:ascii="Times New Roman" w:hAnsi="Times New Roman" w:eastAsia="宋体" w:cs="Times New Roman"/>
          <w:spacing w:val="8"/>
          <w:sz w:val="23"/>
          <w:szCs w:val="23"/>
          <w:highlight w:val="none"/>
        </w:rPr>
        <w:t>，综合考虑确定如下。</w:t>
      </w:r>
    </w:p>
    <w:p>
      <w:pPr>
        <w:spacing w:line="227" w:lineRule="auto"/>
        <w:ind w:left="151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14"/>
          <w:sz w:val="23"/>
          <w:szCs w:val="23"/>
          <w:highlight w:val="none"/>
        </w:rPr>
        <w:t>5.</w:t>
      </w:r>
      <w:r>
        <w:rPr>
          <w:rFonts w:hint="default" w:ascii="Times New Roman" w:hAnsi="Times New Roman" w:eastAsia="Times New Roman" w:cs="Times New Roman"/>
          <w:b/>
          <w:bCs/>
          <w:spacing w:val="9"/>
          <w:sz w:val="23"/>
          <w:szCs w:val="23"/>
          <w:highlight w:val="none"/>
        </w:rPr>
        <w:t>2</w:t>
      </w:r>
      <w:r>
        <w:rPr>
          <w:rFonts w:hint="default" w:ascii="Times New Roman" w:hAnsi="Times New Roman" w:eastAsia="Times New Roman" w:cs="Times New Roman"/>
          <w:b/>
          <w:bCs/>
          <w:spacing w:val="7"/>
          <w:sz w:val="23"/>
          <w:szCs w:val="23"/>
          <w:highlight w:val="none"/>
        </w:rPr>
        <w:t>-</w:t>
      </w:r>
      <w:r>
        <w:rPr>
          <w:rFonts w:hint="eastAsia" w:ascii="Times New Roman" w:hAnsi="Times New Roman" w:eastAsia="宋体" w:cs="Times New Roman"/>
          <w:b/>
          <w:bCs/>
          <w:spacing w:val="7"/>
          <w:sz w:val="23"/>
          <w:szCs w:val="23"/>
          <w:highlight w:val="none"/>
          <w:lang w:val="en-US" w:eastAsia="zh-CN"/>
        </w:rPr>
        <w:t>11</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模型区大气降水入渗补给系数取值一览表</w:t>
      </w:r>
    </w:p>
    <w:p>
      <w:pPr>
        <w:spacing w:line="22" w:lineRule="exact"/>
        <w:rPr>
          <w:rFonts w:hint="default" w:ascii="Times New Roman" w:hAnsi="Times New Roman" w:cs="Times New Roman"/>
          <w:highlight w:val="none"/>
        </w:rPr>
      </w:pPr>
    </w:p>
    <w:tbl>
      <w:tblPr>
        <w:tblStyle w:val="19"/>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0"/>
        <w:gridCol w:w="1884"/>
        <w:gridCol w:w="2367"/>
        <w:gridCol w:w="19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380" w:type="dxa"/>
            <w:tcBorders>
              <w:left w:val="single" w:color="000000" w:sz="10" w:space="0"/>
            </w:tcBorders>
            <w:vAlign w:val="top"/>
          </w:tcPr>
          <w:p>
            <w:pPr>
              <w:spacing w:before="187" w:line="228" w:lineRule="auto"/>
              <w:ind w:left="76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计</w:t>
            </w:r>
            <w:r>
              <w:rPr>
                <w:rFonts w:hint="default" w:ascii="Times New Roman" w:hAnsi="Times New Roman" w:eastAsia="宋体" w:cs="Times New Roman"/>
                <w:spacing w:val="7"/>
                <w:sz w:val="20"/>
                <w:szCs w:val="20"/>
                <w:highlight w:val="none"/>
              </w:rPr>
              <w:t>算分区</w:t>
            </w:r>
          </w:p>
        </w:tc>
        <w:tc>
          <w:tcPr>
            <w:tcW w:w="1884" w:type="dxa"/>
            <w:vAlign w:val="top"/>
          </w:tcPr>
          <w:p>
            <w:pPr>
              <w:spacing w:before="187" w:line="228" w:lineRule="auto"/>
              <w:ind w:left="63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参</w:t>
            </w:r>
            <w:r>
              <w:rPr>
                <w:rFonts w:hint="default" w:ascii="Times New Roman" w:hAnsi="Times New Roman" w:eastAsia="宋体" w:cs="Times New Roman"/>
                <w:spacing w:val="6"/>
                <w:sz w:val="20"/>
                <w:szCs w:val="20"/>
                <w:highlight w:val="none"/>
              </w:rPr>
              <w:t>数值</w:t>
            </w:r>
          </w:p>
        </w:tc>
        <w:tc>
          <w:tcPr>
            <w:tcW w:w="2367" w:type="dxa"/>
            <w:vAlign w:val="top"/>
          </w:tcPr>
          <w:p>
            <w:pPr>
              <w:spacing w:before="187" w:line="228" w:lineRule="auto"/>
              <w:ind w:left="7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计</w:t>
            </w:r>
            <w:r>
              <w:rPr>
                <w:rFonts w:hint="default" w:ascii="Times New Roman" w:hAnsi="Times New Roman" w:eastAsia="宋体" w:cs="Times New Roman"/>
                <w:spacing w:val="7"/>
                <w:sz w:val="20"/>
                <w:szCs w:val="20"/>
                <w:highlight w:val="none"/>
              </w:rPr>
              <w:t>算分区</w:t>
            </w:r>
          </w:p>
        </w:tc>
        <w:tc>
          <w:tcPr>
            <w:tcW w:w="1900" w:type="dxa"/>
            <w:tcBorders>
              <w:right w:val="single" w:color="000000" w:sz="10" w:space="0"/>
            </w:tcBorders>
            <w:vAlign w:val="top"/>
          </w:tcPr>
          <w:p>
            <w:pPr>
              <w:spacing w:before="187" w:line="228" w:lineRule="auto"/>
              <w:ind w:left="64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参</w:t>
            </w:r>
            <w:r>
              <w:rPr>
                <w:rFonts w:hint="default" w:ascii="Times New Roman" w:hAnsi="Times New Roman" w:eastAsia="宋体" w:cs="Times New Roman"/>
                <w:spacing w:val="6"/>
                <w:sz w:val="20"/>
                <w:szCs w:val="20"/>
                <w:highlight w:val="none"/>
              </w:rPr>
              <w:t>数值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380" w:type="dxa"/>
            <w:tcBorders>
              <w:left w:val="single" w:color="000000" w:sz="10" w:space="0"/>
            </w:tcBorders>
            <w:vAlign w:val="top"/>
          </w:tcPr>
          <w:p>
            <w:pPr>
              <w:spacing w:before="199" w:line="195" w:lineRule="auto"/>
              <w:ind w:left="114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884" w:type="dxa"/>
            <w:vAlign w:val="top"/>
          </w:tcPr>
          <w:p>
            <w:pPr>
              <w:spacing w:before="199" w:line="195" w:lineRule="auto"/>
              <w:ind w:left="76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0"/>
                <w:sz w:val="20"/>
                <w:szCs w:val="20"/>
                <w:highlight w:val="none"/>
              </w:rPr>
              <w:t>0</w:t>
            </w:r>
            <w:r>
              <w:rPr>
                <w:rFonts w:hint="default" w:ascii="Times New Roman" w:hAnsi="Times New Roman" w:eastAsia="Times New Roman" w:cs="Times New Roman"/>
                <w:spacing w:val="-8"/>
                <w:sz w:val="20"/>
                <w:szCs w:val="20"/>
                <w:highlight w:val="none"/>
              </w:rPr>
              <w:t>. 12</w:t>
            </w:r>
          </w:p>
        </w:tc>
        <w:tc>
          <w:tcPr>
            <w:tcW w:w="2367" w:type="dxa"/>
            <w:vAlign w:val="top"/>
          </w:tcPr>
          <w:p>
            <w:pPr>
              <w:spacing w:before="199" w:line="195" w:lineRule="auto"/>
              <w:ind w:left="113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900" w:type="dxa"/>
            <w:tcBorders>
              <w:right w:val="single" w:color="000000" w:sz="10" w:space="0"/>
            </w:tcBorders>
            <w:vAlign w:val="top"/>
          </w:tcPr>
          <w:p>
            <w:pPr>
              <w:spacing w:before="199" w:line="195" w:lineRule="auto"/>
              <w:ind w:left="77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0. 10</w:t>
            </w:r>
          </w:p>
        </w:tc>
      </w:tr>
    </w:tbl>
    <w:p>
      <w:pPr>
        <w:rPr>
          <w:rFonts w:hint="default" w:ascii="Times New Roman" w:hAnsi="Times New Roman" w:cs="Times New Roman"/>
          <w:sz w:val="21"/>
          <w:highlight w:val="none"/>
        </w:rPr>
      </w:pPr>
    </w:p>
    <w:p>
      <w:pPr>
        <w:spacing w:line="271" w:lineRule="auto"/>
        <w:rPr>
          <w:rFonts w:hint="default" w:ascii="Times New Roman" w:hAnsi="Times New Roman" w:cs="Times New Roman"/>
          <w:highlight w:val="none"/>
        </w:rPr>
      </w:pPr>
      <w:r>
        <w:rPr>
          <w:rFonts w:hint="default" w:ascii="Times New Roman" w:hAnsi="Times New Roman" w:cs="Times New Roman"/>
          <w:highlight w:val="none"/>
        </w:rPr>
        <w:pict>
          <v:rect id="_x0000_s1284" o:spid="_x0000_s1284" o:spt="1" style="position:absolute;left:0pt;margin-left:89.85pt;margin-top:59.05pt;height:0.75pt;width:415.65pt;mso-position-horizontal-relative:page;mso-position-vertical-relative:page;z-index:251790336;mso-width-relative:page;mso-height-relative:page;" fillcolor="#000000" filled="t" stroked="f" coordsize="21600,21600" o:allowincell="f">
            <v:path/>
            <v:fill on="t" focussize="0,0"/>
            <v:stroke on="f"/>
            <v:imagedata o:title=""/>
            <o:lock v:ext="edit"/>
          </v:rect>
        </w:pict>
      </w:r>
      <w:r>
        <w:rPr>
          <w:rFonts w:hint="default" w:ascii="Times New Roman" w:hAnsi="Times New Roman" w:cs="Times New Roman"/>
          <w:highlight w:val="none"/>
        </w:rPr>
        <w:pict>
          <v:shape id="_x0000_s1285" o:spid="_x0000_s1285" style="position:absolute;left:0pt;margin-left:89.85pt;margin-top:776.35pt;height:0.75pt;width:415.65pt;mso-position-horizontal-relative:page;mso-position-vertical-relative:page;z-index:251789312;mso-width-relative:page;mso-height-relative:page;" fillcolor="#FFFFFF" filled="t" stroked="f" coordsize="8312,15" o:allowincell="f" path="m0,0l8312,0,8312,14,0,14,0,0xe">
            <v:path/>
            <v:fill on="t" color2="#FFFFFF" focussize="0,0"/>
            <v:stroke on="f"/>
            <v:imagedata o:title=""/>
            <o:lock v:ext="edit" aspectratio="f"/>
          </v:shape>
        </w:pict>
      </w:r>
      <w:r>
        <w:rPr>
          <w:rFonts w:hint="default" w:ascii="Times New Roman" w:hAnsi="Times New Roman" w:cs="Times New Roman"/>
          <w:highlight w:val="none"/>
        </w:rPr>
        <w:drawing>
          <wp:inline distT="0" distB="0" distL="0" distR="0">
            <wp:extent cx="5077460" cy="4871720"/>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85"/>
                    <a:stretch>
                      <a:fillRect/>
                    </a:stretch>
                  </pic:blipFill>
                  <pic:spPr>
                    <a:xfrm>
                      <a:off x="0" y="0"/>
                      <a:ext cx="5077967" cy="4872228"/>
                    </a:xfrm>
                    <a:prstGeom prst="rect">
                      <a:avLst/>
                    </a:prstGeom>
                  </pic:spPr>
                </pic:pic>
              </a:graphicData>
            </a:graphic>
          </wp:inline>
        </w:drawing>
      </w:r>
    </w:p>
    <w:p>
      <w:pPr>
        <w:spacing w:before="193" w:line="227" w:lineRule="auto"/>
        <w:ind w:left="178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12"/>
          <w:sz w:val="23"/>
          <w:szCs w:val="23"/>
          <w:highlight w:val="none"/>
        </w:rPr>
        <w:t>5</w:t>
      </w:r>
      <w:r>
        <w:rPr>
          <w:rFonts w:hint="default" w:ascii="Times New Roman" w:hAnsi="Times New Roman" w:eastAsia="Times New Roman" w:cs="Times New Roman"/>
          <w:b/>
          <w:bCs/>
          <w:spacing w:val="7"/>
          <w:sz w:val="23"/>
          <w:szCs w:val="23"/>
          <w:highlight w:val="none"/>
        </w:rPr>
        <w:t>.</w:t>
      </w:r>
      <w:r>
        <w:rPr>
          <w:rFonts w:hint="default" w:ascii="Times New Roman" w:hAnsi="Times New Roman" w:eastAsia="Times New Roman" w:cs="Times New Roman"/>
          <w:b/>
          <w:bCs/>
          <w:spacing w:val="6"/>
          <w:sz w:val="23"/>
          <w:szCs w:val="23"/>
          <w:highlight w:val="none"/>
        </w:rPr>
        <w:t>2-</w:t>
      </w:r>
      <w:r>
        <w:rPr>
          <w:rFonts w:hint="eastAsia" w:ascii="Times New Roman" w:hAnsi="Times New Roman" w:eastAsia="宋体" w:cs="Times New Roman"/>
          <w:b/>
          <w:bCs/>
          <w:spacing w:val="6"/>
          <w:sz w:val="23"/>
          <w:szCs w:val="23"/>
          <w:highlight w:val="none"/>
          <w:lang w:val="en-US" w:eastAsia="zh-CN"/>
        </w:rPr>
        <w:t>22</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大气降水入渗补给系数平面分区图</w:t>
      </w:r>
    </w:p>
    <w:p>
      <w:pPr>
        <w:spacing w:before="1"/>
        <w:ind w:left="495"/>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5"/>
          <w:sz w:val="23"/>
          <w:szCs w:val="23"/>
          <w:highlight w:val="none"/>
        </w:rPr>
        <w:t>、</w:t>
      </w:r>
      <w:r>
        <w:rPr>
          <w:rFonts w:hint="default" w:ascii="Times New Roman" w:hAnsi="Times New Roman" w:eastAsia="宋体" w:cs="Times New Roman"/>
          <w:spacing w:val="3"/>
          <w:sz w:val="23"/>
          <w:szCs w:val="23"/>
          <w:highlight w:val="none"/>
        </w:rPr>
        <w:t>模型的识别与检验</w:t>
      </w:r>
    </w:p>
    <w:p>
      <w:pPr>
        <w:spacing w:before="202" w:line="401" w:lineRule="auto"/>
        <w:ind w:left="20"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模</w:t>
      </w:r>
      <w:r>
        <w:rPr>
          <w:rFonts w:hint="default" w:ascii="Times New Roman" w:hAnsi="Times New Roman" w:eastAsia="宋体" w:cs="Times New Roman"/>
          <w:spacing w:val="7"/>
          <w:sz w:val="23"/>
          <w:szCs w:val="23"/>
          <w:highlight w:val="none"/>
        </w:rPr>
        <w:t>型的识别与验证过程是整个模拟中极为重要的一步工作，通常要在反复修</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改</w:t>
      </w:r>
      <w:r>
        <w:rPr>
          <w:rFonts w:hint="default" w:ascii="Times New Roman" w:hAnsi="Times New Roman" w:eastAsia="宋体" w:cs="Times New Roman"/>
          <w:spacing w:val="7"/>
          <w:sz w:val="23"/>
          <w:szCs w:val="23"/>
          <w:highlight w:val="none"/>
        </w:rPr>
        <w:t>参数和调整某些源汇项基础上才能达到较为理想的拟合结果。此模型的识别与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检</w:t>
      </w:r>
      <w:r>
        <w:rPr>
          <w:rFonts w:hint="default" w:ascii="Times New Roman" w:hAnsi="Times New Roman" w:eastAsia="宋体" w:cs="Times New Roman"/>
          <w:spacing w:val="7"/>
          <w:sz w:val="23"/>
          <w:szCs w:val="23"/>
          <w:highlight w:val="none"/>
        </w:rPr>
        <w:t>验过程采用的方法称为试估</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校正法，属于反求参数的间接方法之一。为了确</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保</w:t>
      </w:r>
      <w:r>
        <w:rPr>
          <w:rFonts w:hint="default" w:ascii="Times New Roman" w:hAnsi="Times New Roman" w:eastAsia="宋体" w:cs="Times New Roman"/>
          <w:spacing w:val="7"/>
          <w:sz w:val="23"/>
          <w:szCs w:val="23"/>
          <w:highlight w:val="none"/>
        </w:rPr>
        <w:t>模型求解的唯一性，在模型调试过程中充分利用各种定解条件，也就是用那些</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靠得住的实测资料，如边界断面流量、灌溉井开采量等来约束模型对原形的拟</w:t>
      </w:r>
      <w:r>
        <w:rPr>
          <w:rFonts w:hint="default" w:ascii="Times New Roman" w:hAnsi="Times New Roman" w:eastAsia="宋体" w:cs="Times New Roman"/>
          <w:spacing w:val="1"/>
          <w:sz w:val="23"/>
          <w:szCs w:val="23"/>
          <w:highlight w:val="none"/>
        </w:rPr>
        <w:t>合</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在</w:t>
      </w:r>
      <w:r>
        <w:rPr>
          <w:rFonts w:hint="default" w:ascii="Times New Roman" w:hAnsi="Times New Roman" w:eastAsia="宋体" w:cs="Times New Roman"/>
          <w:spacing w:val="7"/>
          <w:sz w:val="23"/>
          <w:szCs w:val="23"/>
          <w:highlight w:val="none"/>
        </w:rPr>
        <w:t>模型调试过程中，还充分利用水文地质调查中获得的有关信息及计算者对水文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地</w:t>
      </w:r>
      <w:r>
        <w:rPr>
          <w:rFonts w:hint="default" w:ascii="Times New Roman" w:hAnsi="Times New Roman" w:eastAsia="宋体" w:cs="Times New Roman"/>
          <w:spacing w:val="9"/>
          <w:sz w:val="23"/>
          <w:szCs w:val="23"/>
          <w:highlight w:val="none"/>
        </w:rPr>
        <w:t>质条件的认识，来约束模型的调试和识别。</w:t>
      </w:r>
    </w:p>
    <w:p>
      <w:pPr>
        <w:spacing w:before="1" w:line="407" w:lineRule="auto"/>
        <w:ind w:left="23" w:right="100" w:firstLine="515"/>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9"/>
          <w:sz w:val="23"/>
          <w:szCs w:val="23"/>
          <w:highlight w:val="none"/>
        </w:rPr>
        <w:t>运</w:t>
      </w:r>
      <w:r>
        <w:rPr>
          <w:rFonts w:hint="default" w:ascii="Times New Roman" w:hAnsi="Times New Roman" w:eastAsia="宋体" w:cs="Times New Roman"/>
          <w:spacing w:val="28"/>
          <w:sz w:val="23"/>
          <w:szCs w:val="23"/>
          <w:highlight w:val="none"/>
        </w:rPr>
        <w:t>行计算程序，可得到这种水文地质概念模型在给定水文地质参数和</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51"/>
          <w:sz w:val="23"/>
          <w:szCs w:val="23"/>
          <w:highlight w:val="none"/>
        </w:rPr>
        <w:t>各</w:t>
      </w:r>
      <w:r>
        <w:rPr>
          <w:rFonts w:hint="default" w:ascii="Times New Roman" w:hAnsi="Times New Roman" w:eastAsia="宋体" w:cs="Times New Roman"/>
          <w:spacing w:val="28"/>
          <w:sz w:val="23"/>
          <w:szCs w:val="23"/>
          <w:highlight w:val="none"/>
        </w:rPr>
        <w:t>均衡项条件下的地下水位时空分布，通过拟合同时期的流场，识别水文</w:t>
      </w:r>
      <w:r>
        <w:rPr>
          <w:rFonts w:hint="default" w:ascii="Times New Roman" w:hAnsi="Times New Roman" w:cs="Times New Roman"/>
          <w:highlight w:val="none"/>
        </w:rPr>
        <w:pict>
          <v:shape id="_x0000_s1289" o:spid="_x0000_s1289" style="position:absolute;left:0pt;margin-left:89.85pt;margin-top:59.05pt;height:0.75pt;width:415.65pt;mso-position-horizontal-relative:page;mso-position-vertical-relative:page;z-index:251793408;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52"/>
          <w:sz w:val="23"/>
          <w:szCs w:val="23"/>
          <w:highlight w:val="none"/>
        </w:rPr>
        <w:t>地</w:t>
      </w:r>
      <w:r>
        <w:rPr>
          <w:rFonts w:hint="default" w:ascii="Times New Roman" w:hAnsi="Times New Roman" w:eastAsia="宋体" w:cs="Times New Roman"/>
          <w:spacing w:val="28"/>
          <w:sz w:val="23"/>
          <w:szCs w:val="23"/>
          <w:highlight w:val="none"/>
        </w:rPr>
        <w:t>质参数、边界值和其它均衡项，使建立的模型更加符合模拟区的水文地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1"/>
          <w:sz w:val="23"/>
          <w:szCs w:val="23"/>
          <w:highlight w:val="none"/>
        </w:rPr>
        <w:t>质</w:t>
      </w:r>
      <w:r>
        <w:rPr>
          <w:rFonts w:hint="default" w:ascii="Times New Roman" w:hAnsi="Times New Roman" w:eastAsia="宋体" w:cs="Times New Roman"/>
          <w:spacing w:val="20"/>
          <w:sz w:val="23"/>
          <w:szCs w:val="23"/>
          <w:highlight w:val="none"/>
        </w:rPr>
        <w:t>条件。</w:t>
      </w:r>
    </w:p>
    <w:p>
      <w:pPr>
        <w:spacing w:before="4" w:line="401" w:lineRule="auto"/>
        <w:ind w:left="22" w:right="11"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模</w:t>
      </w:r>
      <w:r>
        <w:rPr>
          <w:rFonts w:hint="default" w:ascii="Times New Roman" w:hAnsi="Times New Roman" w:eastAsia="宋体" w:cs="Times New Roman"/>
          <w:spacing w:val="7"/>
          <w:sz w:val="23"/>
          <w:szCs w:val="23"/>
          <w:highlight w:val="none"/>
        </w:rPr>
        <w:t>型的识别和验证主要遵循以下原则：①模拟的地下水流场要与实际地下水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流</w:t>
      </w:r>
      <w:r>
        <w:rPr>
          <w:rFonts w:hint="default" w:ascii="Times New Roman" w:hAnsi="Times New Roman" w:eastAsia="宋体" w:cs="Times New Roman"/>
          <w:spacing w:val="7"/>
          <w:sz w:val="23"/>
          <w:szCs w:val="23"/>
          <w:highlight w:val="none"/>
        </w:rPr>
        <w:t>场基本一致，即要求地下水模拟等值线与实测地下水位等值线形状相似；②从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均</w:t>
      </w:r>
      <w:r>
        <w:rPr>
          <w:rFonts w:hint="default" w:ascii="Times New Roman" w:hAnsi="Times New Roman" w:eastAsia="宋体" w:cs="Times New Roman"/>
          <w:spacing w:val="7"/>
          <w:sz w:val="23"/>
          <w:szCs w:val="23"/>
          <w:highlight w:val="none"/>
        </w:rPr>
        <w:t>衡的角度出发，模拟的地下水均衡变化与实际要基本相符；③识别的水文地质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参</w:t>
      </w:r>
      <w:r>
        <w:rPr>
          <w:rFonts w:hint="default" w:ascii="Times New Roman" w:hAnsi="Times New Roman" w:eastAsia="宋体" w:cs="Times New Roman"/>
          <w:spacing w:val="7"/>
          <w:sz w:val="23"/>
          <w:szCs w:val="23"/>
          <w:highlight w:val="none"/>
        </w:rPr>
        <w:t>数要符合实际水文地质条件。根据以上三个原则，对模拟区地下水系统进行了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识</w:t>
      </w:r>
      <w:r>
        <w:rPr>
          <w:rFonts w:hint="default" w:ascii="Times New Roman" w:hAnsi="Times New Roman" w:eastAsia="宋体" w:cs="Times New Roman"/>
          <w:spacing w:val="7"/>
          <w:sz w:val="23"/>
          <w:szCs w:val="23"/>
          <w:highlight w:val="none"/>
        </w:rPr>
        <w:t>别和验证。通过反复模拟、识别验证后的水文地质参数较好的刻划了地下水系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统</w:t>
      </w:r>
      <w:r>
        <w:rPr>
          <w:rFonts w:hint="default" w:ascii="Times New Roman" w:hAnsi="Times New Roman" w:eastAsia="宋体" w:cs="Times New Roman"/>
          <w:spacing w:val="7"/>
          <w:sz w:val="23"/>
          <w:szCs w:val="23"/>
          <w:highlight w:val="none"/>
        </w:rPr>
        <w:t>的水文地质特征，基本反映了地下水随时间和空间的变化规律，使水位拟合误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差较小，达</w:t>
      </w:r>
      <w:r>
        <w:rPr>
          <w:rFonts w:hint="default" w:ascii="Times New Roman" w:hAnsi="Times New Roman" w:eastAsia="宋体" w:cs="Times New Roman"/>
          <w:spacing w:val="6"/>
          <w:sz w:val="23"/>
          <w:szCs w:val="23"/>
          <w:highlight w:val="none"/>
        </w:rPr>
        <w:t>到</w:t>
      </w:r>
      <w:r>
        <w:rPr>
          <w:rFonts w:hint="default" w:ascii="Times New Roman" w:hAnsi="Times New Roman" w:eastAsia="宋体" w:cs="Times New Roman"/>
          <w:spacing w:val="5"/>
          <w:sz w:val="23"/>
          <w:szCs w:val="23"/>
          <w:highlight w:val="none"/>
        </w:rPr>
        <w:t xml:space="preserve">预期效果。识别验证后的平面流场 (图 </w:t>
      </w:r>
      <w:r>
        <w:rPr>
          <w:rFonts w:hint="default" w:ascii="Times New Roman" w:hAnsi="Times New Roman" w:eastAsia="Times New Roman" w:cs="Times New Roman"/>
          <w:spacing w:val="5"/>
          <w:sz w:val="23"/>
          <w:szCs w:val="23"/>
          <w:highlight w:val="none"/>
        </w:rPr>
        <w:t>5.2-</w:t>
      </w:r>
      <w:r>
        <w:rPr>
          <w:rFonts w:hint="eastAsia" w:ascii="Times New Roman" w:hAnsi="Times New Roman" w:eastAsia="宋体" w:cs="Times New Roman"/>
          <w:spacing w:val="5"/>
          <w:sz w:val="23"/>
          <w:szCs w:val="23"/>
          <w:highlight w:val="none"/>
          <w:lang w:val="en-US" w:eastAsia="zh-CN"/>
        </w:rPr>
        <w:t>23</w:t>
      </w:r>
      <w:r>
        <w:rPr>
          <w:rFonts w:hint="default" w:ascii="Times New Roman" w:hAnsi="Times New Roman" w:eastAsia="宋体" w:cs="Times New Roman"/>
          <w:spacing w:val="5"/>
          <w:sz w:val="23"/>
          <w:szCs w:val="23"/>
          <w:highlight w:val="none"/>
        </w:rPr>
        <w:t>) 和参数分区图见图</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1"/>
          <w:sz w:val="23"/>
          <w:szCs w:val="23"/>
          <w:highlight w:val="none"/>
        </w:rPr>
        <w:t>5.2-</w:t>
      </w:r>
      <w:r>
        <w:rPr>
          <w:rFonts w:hint="eastAsia" w:ascii="Times New Roman" w:hAnsi="Times New Roman" w:eastAsia="宋体" w:cs="Times New Roman"/>
          <w:spacing w:val="-1"/>
          <w:sz w:val="23"/>
          <w:szCs w:val="23"/>
          <w:highlight w:val="none"/>
          <w:lang w:val="en-US" w:eastAsia="zh-CN"/>
        </w:rPr>
        <w:t>24</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，参数值见表</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z w:val="23"/>
          <w:szCs w:val="23"/>
          <w:highlight w:val="none"/>
        </w:rPr>
        <w:t>5.2-</w:t>
      </w:r>
      <w:r>
        <w:rPr>
          <w:rFonts w:hint="eastAsia" w:ascii="Times New Roman" w:hAnsi="Times New Roman" w:eastAsia="宋体" w:cs="Times New Roman"/>
          <w:sz w:val="23"/>
          <w:szCs w:val="23"/>
          <w:highlight w:val="none"/>
          <w:lang w:val="en-US" w:eastAsia="zh-CN"/>
        </w:rPr>
        <w:t>12</w:t>
      </w:r>
      <w:r>
        <w:rPr>
          <w:rFonts w:hint="default" w:ascii="Times New Roman" w:hAnsi="Times New Roman" w:eastAsia="宋体" w:cs="Times New Roman"/>
          <w:sz w:val="23"/>
          <w:szCs w:val="23"/>
          <w:highlight w:val="none"/>
        </w:rPr>
        <w:t>。</w:t>
      </w:r>
    </w:p>
    <w:p>
      <w:pPr>
        <w:spacing w:before="3" w:line="405" w:lineRule="auto"/>
        <w:ind w:left="22" w:right="11"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通过上述拟合对比，可以说明本次建立的地下水模型基本符合评价区实际水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文</w:t>
      </w:r>
      <w:r>
        <w:rPr>
          <w:rFonts w:hint="default" w:ascii="Times New Roman" w:hAnsi="Times New Roman" w:eastAsia="宋体" w:cs="Times New Roman"/>
          <w:spacing w:val="7"/>
          <w:sz w:val="23"/>
          <w:szCs w:val="23"/>
          <w:highlight w:val="none"/>
        </w:rPr>
        <w:t>地质条件，基本反映了地下水系统的流场特征，故利用该模型为基础，对建设</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区地下水环境影响进行预测评价是合理可信的</w:t>
      </w:r>
      <w:r>
        <w:rPr>
          <w:rFonts w:hint="default" w:ascii="Times New Roman" w:hAnsi="Times New Roman" w:eastAsia="宋体" w:cs="Times New Roman"/>
          <w:spacing w:val="8"/>
          <w:sz w:val="23"/>
          <w:szCs w:val="23"/>
          <w:highlight w:val="none"/>
        </w:rPr>
        <w:t>。</w:t>
      </w:r>
    </w:p>
    <w:p>
      <w:pPr>
        <w:tabs>
          <w:tab w:val="left" w:pos="1018"/>
        </w:tabs>
        <w:bidi w:val="0"/>
        <w:jc w:val="left"/>
        <w:rPr>
          <w:rFonts w:hint="default" w:ascii="Times New Roman" w:hAnsi="Times New Roman" w:cs="Times New Roman"/>
          <w:sz w:val="21"/>
          <w:highlight w:val="none"/>
        </w:rPr>
      </w:pPr>
      <w:r>
        <w:rPr>
          <w:rFonts w:hint="eastAsia" w:eastAsia="宋体" w:cs="Arial"/>
          <w:snapToGrid w:val="0"/>
          <w:color w:val="000000"/>
          <w:kern w:val="0"/>
          <w:sz w:val="21"/>
          <w:szCs w:val="21"/>
          <w:highlight w:val="none"/>
          <w:lang w:eastAsia="zh-CN"/>
        </w:rPr>
        <w:tab/>
      </w:r>
      <w:r>
        <w:rPr>
          <w:rFonts w:hint="default" w:ascii="Times New Roman" w:hAnsi="Times New Roman" w:cs="Times New Roman"/>
          <w:highlight w:val="none"/>
        </w:rPr>
        <w:pict>
          <v:rect id="_x0000_s1290" o:spid="_x0000_s1290" o:spt="1" style="position:absolute;left:0pt;margin-left:89.85pt;margin-top:59.05pt;height:0.75pt;width:415.65pt;mso-position-horizontal-relative:page;mso-position-vertical-relative:page;z-index:251796480;mso-width-relative:page;mso-height-relative:page;" fillcolor="#000000" filled="t" stroked="f" coordsize="21600,21600" o:allowincell="f">
            <v:path/>
            <v:fill on="t" focussize="0,0"/>
            <v:stroke on="f"/>
            <v:imagedata o:title=""/>
            <o:lock v:ext="edit"/>
          </v:rect>
        </w:pict>
      </w:r>
    </w:p>
    <w:p>
      <w:pPr>
        <w:spacing w:line="7720" w:lineRule="exact"/>
        <w:ind w:firstLine="11"/>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5135245" cy="4902200"/>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86"/>
                    <a:stretch>
                      <a:fillRect/>
                    </a:stretch>
                  </pic:blipFill>
                  <pic:spPr>
                    <a:xfrm>
                      <a:off x="0" y="0"/>
                      <a:ext cx="5135879" cy="4902708"/>
                    </a:xfrm>
                    <a:prstGeom prst="rect">
                      <a:avLst/>
                    </a:prstGeom>
                  </pic:spPr>
                </pic:pic>
              </a:graphicData>
            </a:graphic>
          </wp:inline>
        </w:drawing>
      </w:r>
    </w:p>
    <w:p>
      <w:pPr>
        <w:spacing w:line="392" w:lineRule="auto"/>
        <w:rPr>
          <w:rFonts w:hint="default" w:ascii="Times New Roman" w:hAnsi="Times New Roman" w:cs="Times New Roman"/>
          <w:sz w:val="21"/>
          <w:highlight w:val="none"/>
        </w:rPr>
      </w:pPr>
    </w:p>
    <w:p>
      <w:pPr>
        <w:spacing w:before="75" w:line="227" w:lineRule="auto"/>
        <w:ind w:left="190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10"/>
          <w:sz w:val="23"/>
          <w:szCs w:val="23"/>
          <w:highlight w:val="none"/>
        </w:rPr>
        <w:t>5</w:t>
      </w:r>
      <w:r>
        <w:rPr>
          <w:rFonts w:hint="default" w:ascii="Times New Roman" w:hAnsi="Times New Roman" w:eastAsia="Times New Roman" w:cs="Times New Roman"/>
          <w:b/>
          <w:bCs/>
          <w:spacing w:val="9"/>
          <w:sz w:val="23"/>
          <w:szCs w:val="23"/>
          <w:highlight w:val="none"/>
        </w:rPr>
        <w:t>.</w:t>
      </w:r>
      <w:r>
        <w:rPr>
          <w:rFonts w:hint="default" w:ascii="Times New Roman" w:hAnsi="Times New Roman" w:eastAsia="Times New Roman" w:cs="Times New Roman"/>
          <w:b/>
          <w:bCs/>
          <w:spacing w:val="5"/>
          <w:sz w:val="23"/>
          <w:szCs w:val="23"/>
          <w:highlight w:val="none"/>
        </w:rPr>
        <w:t>2-</w:t>
      </w:r>
      <w:r>
        <w:rPr>
          <w:rFonts w:hint="eastAsia" w:ascii="Times New Roman" w:hAnsi="Times New Roman" w:eastAsia="宋体" w:cs="Times New Roman"/>
          <w:b/>
          <w:bCs/>
          <w:spacing w:val="5"/>
          <w:sz w:val="23"/>
          <w:szCs w:val="23"/>
          <w:highlight w:val="none"/>
          <w:lang w:val="en-US" w:eastAsia="zh-CN"/>
        </w:rPr>
        <w:t>23</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潜水等水位线拟合图</w:t>
      </w:r>
    </w:p>
    <w:p>
      <w:pPr>
        <w:rPr>
          <w:rFonts w:hint="default" w:ascii="Times New Roman" w:hAnsi="Times New Roman" w:cs="Times New Roman"/>
          <w:highlight w:val="none"/>
        </w:rPr>
        <w:sectPr>
          <w:headerReference r:id="rId107" w:type="default"/>
          <w:footerReference r:id="rId108" w:type="default"/>
          <w:pgSz w:w="11906" w:h="16839"/>
          <w:pgMar w:top="1167" w:right="1785" w:bottom="1282" w:left="1785" w:header="897" w:footer="1015" w:gutter="0"/>
          <w:pgBorders>
            <w:top w:val="none" w:sz="0" w:space="0"/>
            <w:left w:val="none" w:sz="0" w:space="0"/>
            <w:bottom w:val="none" w:sz="0" w:space="0"/>
            <w:right w:val="none" w:sz="0" w:space="0"/>
          </w:pgBorders>
          <w:pgNumType w:fmt="decimal"/>
          <w:cols w:space="720" w:num="1"/>
        </w:sectPr>
      </w:pPr>
    </w:p>
    <w:p>
      <w:pPr>
        <w:spacing w:line="271"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292" o:spid="_x0000_s1292" o:spt="1" style="position:absolute;left:0pt;margin-left:89.85pt;margin-top:59.05pt;height:0.75pt;width:415.65pt;mso-position-horizontal-relative:page;mso-position-vertical-relative:page;z-index:251798528;mso-width-relative:page;mso-height-relative:page;" fillcolor="#000000" filled="t" stroked="f" coordsize="21600,21600" o:allowincell="f">
            <v:path/>
            <v:fill on="t" focussize="0,0"/>
            <v:stroke on="f"/>
            <v:imagedata o:title=""/>
            <o:lock v:ext="edit"/>
          </v:rect>
        </w:pict>
      </w:r>
    </w:p>
    <w:p>
      <w:pPr>
        <w:spacing w:line="7317" w:lineRule="exact"/>
        <w:ind w:firstLine="123"/>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868545" cy="464629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87"/>
                    <a:stretch>
                      <a:fillRect/>
                    </a:stretch>
                  </pic:blipFill>
                  <pic:spPr>
                    <a:xfrm>
                      <a:off x="0" y="0"/>
                      <a:ext cx="4869179" cy="4646675"/>
                    </a:xfrm>
                    <a:prstGeom prst="rect">
                      <a:avLst/>
                    </a:prstGeom>
                  </pic:spPr>
                </pic:pic>
              </a:graphicData>
            </a:graphic>
          </wp:inline>
        </w:drawing>
      </w:r>
    </w:p>
    <w:p>
      <w:pPr>
        <w:spacing w:before="193" w:line="501" w:lineRule="exact"/>
        <w:ind w:left="250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position w:val="20"/>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10"/>
          <w:position w:val="20"/>
          <w:sz w:val="23"/>
          <w:szCs w:val="23"/>
          <w:highlight w:val="none"/>
        </w:rPr>
        <w:t>5</w:t>
      </w:r>
      <w:r>
        <w:rPr>
          <w:rFonts w:hint="default" w:ascii="Times New Roman" w:hAnsi="Times New Roman" w:eastAsia="Times New Roman" w:cs="Times New Roman"/>
          <w:b/>
          <w:bCs/>
          <w:spacing w:val="9"/>
          <w:position w:val="20"/>
          <w:sz w:val="23"/>
          <w:szCs w:val="23"/>
          <w:highlight w:val="none"/>
        </w:rPr>
        <w:t>.</w:t>
      </w:r>
      <w:r>
        <w:rPr>
          <w:rFonts w:hint="default" w:ascii="Times New Roman" w:hAnsi="Times New Roman" w:eastAsia="Times New Roman" w:cs="Times New Roman"/>
          <w:b/>
          <w:bCs/>
          <w:spacing w:val="5"/>
          <w:position w:val="20"/>
          <w:sz w:val="23"/>
          <w:szCs w:val="23"/>
          <w:highlight w:val="none"/>
        </w:rPr>
        <w:t>2-</w:t>
      </w:r>
      <w:r>
        <w:rPr>
          <w:rFonts w:hint="eastAsia" w:ascii="Times New Roman" w:hAnsi="Times New Roman" w:eastAsia="宋体" w:cs="Times New Roman"/>
          <w:b/>
          <w:bCs/>
          <w:spacing w:val="5"/>
          <w:position w:val="20"/>
          <w:sz w:val="23"/>
          <w:szCs w:val="23"/>
          <w:highlight w:val="none"/>
          <w:lang w:val="en-US" w:eastAsia="zh-CN"/>
        </w:rPr>
        <w:t>24</w:t>
      </w:r>
      <w:r>
        <w:rPr>
          <w:rFonts w:hint="default" w:ascii="Times New Roman" w:hAnsi="Times New Roman" w:eastAsia="Times New Roman" w:cs="Times New Roman"/>
          <w:spacing w:val="5"/>
          <w:position w:val="20"/>
          <w:sz w:val="23"/>
          <w:szCs w:val="23"/>
          <w:highlight w:val="none"/>
        </w:rPr>
        <w:t xml:space="preserve">      </w:t>
      </w:r>
      <w:r>
        <w:rPr>
          <w:rFonts w:hint="default" w:ascii="Times New Roman" w:hAnsi="Times New Roman" w:eastAsia="宋体" w:cs="Times New Roman"/>
          <w:spacing w:val="5"/>
          <w:position w:val="20"/>
          <w:sz w:val="23"/>
          <w:szCs w:val="23"/>
          <w:highlight w:val="none"/>
          <w14:textOutline w14:w="4358" w14:cap="sq" w14:cmpd="sng">
            <w14:solidFill>
              <w14:srgbClr w14:val="000000"/>
            </w14:solidFill>
            <w14:prstDash w14:val="solid"/>
            <w14:bevel/>
          </w14:textOutline>
        </w:rPr>
        <w:t>浅层含水层参数分区图</w:t>
      </w:r>
    </w:p>
    <w:p>
      <w:pPr>
        <w:spacing w:line="228" w:lineRule="auto"/>
        <w:ind w:left="205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7"/>
          <w:sz w:val="23"/>
          <w:szCs w:val="23"/>
          <w:highlight w:val="none"/>
        </w:rPr>
        <w:t>5.2-</w:t>
      </w:r>
      <w:r>
        <w:rPr>
          <w:rFonts w:hint="eastAsia" w:ascii="Times New Roman" w:hAnsi="Times New Roman" w:eastAsia="宋体" w:cs="Times New Roman"/>
          <w:b/>
          <w:bCs/>
          <w:spacing w:val="7"/>
          <w:sz w:val="23"/>
          <w:szCs w:val="23"/>
          <w:highlight w:val="none"/>
          <w:lang w:val="en-US" w:eastAsia="zh-CN"/>
        </w:rPr>
        <w:t>12</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模型识别与验证后参数取值</w:t>
      </w: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表</w:t>
      </w:r>
    </w:p>
    <w:p>
      <w:pPr>
        <w:spacing w:line="20" w:lineRule="exact"/>
        <w:rPr>
          <w:rFonts w:hint="default" w:ascii="Times New Roman" w:hAnsi="Times New Roman" w:cs="Times New Roman"/>
          <w:highlight w:val="none"/>
        </w:rPr>
      </w:pPr>
    </w:p>
    <w:tbl>
      <w:tblPr>
        <w:tblStyle w:val="19"/>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0"/>
        <w:gridCol w:w="2125"/>
        <w:gridCol w:w="2125"/>
        <w:gridCol w:w="21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140" w:type="dxa"/>
            <w:tcBorders>
              <w:left w:val="single" w:color="000000" w:sz="10" w:space="0"/>
            </w:tcBorders>
            <w:vAlign w:val="top"/>
          </w:tcPr>
          <w:p>
            <w:pPr>
              <w:spacing w:before="100" w:line="228" w:lineRule="auto"/>
              <w:ind w:left="75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分区号</w:t>
            </w:r>
          </w:p>
        </w:tc>
        <w:tc>
          <w:tcPr>
            <w:tcW w:w="2125" w:type="dxa"/>
            <w:vAlign w:val="top"/>
          </w:tcPr>
          <w:p>
            <w:pPr>
              <w:spacing w:before="70" w:line="274" w:lineRule="exact"/>
              <w:ind w:left="360"/>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8"/>
                <w:position w:val="2"/>
                <w:sz w:val="20"/>
                <w:szCs w:val="20"/>
                <w:highlight w:val="none"/>
              </w:rPr>
              <w:t>渗</w:t>
            </w:r>
            <w:r>
              <w:rPr>
                <w:rFonts w:hint="default" w:ascii="Times New Roman" w:hAnsi="Times New Roman" w:eastAsia="宋体" w:cs="Times New Roman"/>
                <w:spacing w:val="7"/>
                <w:position w:val="2"/>
                <w:sz w:val="20"/>
                <w:szCs w:val="20"/>
                <w:highlight w:val="none"/>
              </w:rPr>
              <w:t xml:space="preserve">透系数 </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m</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d</w:t>
            </w:r>
            <w:r>
              <w:rPr>
                <w:rFonts w:hint="default" w:ascii="Times New Roman" w:hAnsi="Times New Roman" w:eastAsia="Times New Roman" w:cs="Times New Roman"/>
                <w:spacing w:val="7"/>
                <w:position w:val="2"/>
                <w:sz w:val="20"/>
                <w:szCs w:val="20"/>
                <w:highlight w:val="none"/>
              </w:rPr>
              <w:t>)</w:t>
            </w:r>
          </w:p>
        </w:tc>
        <w:tc>
          <w:tcPr>
            <w:tcW w:w="2125" w:type="dxa"/>
            <w:vAlign w:val="top"/>
          </w:tcPr>
          <w:p>
            <w:pPr>
              <w:spacing w:before="100" w:line="228" w:lineRule="auto"/>
              <w:ind w:left="75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给</w:t>
            </w:r>
            <w:r>
              <w:rPr>
                <w:rFonts w:hint="default" w:ascii="Times New Roman" w:hAnsi="Times New Roman" w:eastAsia="宋体" w:cs="Times New Roman"/>
                <w:spacing w:val="6"/>
                <w:sz w:val="20"/>
                <w:szCs w:val="20"/>
                <w:highlight w:val="none"/>
              </w:rPr>
              <w:t>水度</w:t>
            </w:r>
          </w:p>
        </w:tc>
        <w:tc>
          <w:tcPr>
            <w:tcW w:w="2141" w:type="dxa"/>
            <w:tcBorders>
              <w:right w:val="single" w:color="000000" w:sz="10" w:space="0"/>
            </w:tcBorders>
            <w:vAlign w:val="top"/>
          </w:tcPr>
          <w:p>
            <w:pPr>
              <w:spacing w:before="100" w:line="228" w:lineRule="auto"/>
              <w:ind w:left="87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140" w:type="dxa"/>
            <w:tcBorders>
              <w:left w:val="single" w:color="000000" w:sz="10" w:space="0"/>
            </w:tcBorders>
            <w:vAlign w:val="top"/>
          </w:tcPr>
          <w:p>
            <w:pPr>
              <w:spacing w:before="115" w:line="195" w:lineRule="auto"/>
              <w:ind w:left="102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2125" w:type="dxa"/>
            <w:vAlign w:val="top"/>
          </w:tcPr>
          <w:p>
            <w:pPr>
              <w:spacing w:before="115" w:line="195" w:lineRule="auto"/>
              <w:ind w:left="88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34.</w:t>
            </w:r>
            <w:r>
              <w:rPr>
                <w:rFonts w:hint="default" w:ascii="Times New Roman" w:hAnsi="Times New Roman" w:eastAsia="Times New Roman" w:cs="Times New Roman"/>
                <w:spacing w:val="1"/>
                <w:sz w:val="20"/>
                <w:szCs w:val="20"/>
                <w:highlight w:val="none"/>
              </w:rPr>
              <w:t>0</w:t>
            </w:r>
          </w:p>
        </w:tc>
        <w:tc>
          <w:tcPr>
            <w:tcW w:w="2125" w:type="dxa"/>
            <w:vAlign w:val="top"/>
          </w:tcPr>
          <w:p>
            <w:pPr>
              <w:spacing w:before="115" w:line="195" w:lineRule="auto"/>
              <w:ind w:left="8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2"/>
                <w:sz w:val="20"/>
                <w:szCs w:val="20"/>
                <w:highlight w:val="none"/>
              </w:rPr>
              <w:t>.08</w:t>
            </w:r>
          </w:p>
        </w:tc>
        <w:tc>
          <w:tcPr>
            <w:tcW w:w="2141" w:type="dxa"/>
            <w:vMerge w:val="restart"/>
            <w:tcBorders>
              <w:bottom w:val="nil"/>
              <w:right w:val="single" w:color="000000" w:sz="10" w:space="0"/>
            </w:tcBorders>
            <w:vAlign w:val="top"/>
          </w:tcPr>
          <w:p>
            <w:pPr>
              <w:spacing w:line="340" w:lineRule="auto"/>
              <w:rPr>
                <w:rFonts w:hint="default" w:ascii="Times New Roman" w:hAnsi="Times New Roman" w:cs="Times New Roman"/>
                <w:sz w:val="21"/>
                <w:highlight w:val="none"/>
              </w:rPr>
            </w:pPr>
          </w:p>
          <w:p>
            <w:pPr>
              <w:spacing w:before="65" w:line="227" w:lineRule="auto"/>
              <w:ind w:left="76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浅层</w:t>
            </w:r>
            <w:r>
              <w:rPr>
                <w:rFonts w:hint="default" w:ascii="Times New Roman" w:hAnsi="Times New Roman" w:eastAsia="宋体" w:cs="Times New Roman"/>
                <w:spacing w:val="5"/>
                <w:sz w:val="20"/>
                <w:szCs w:val="20"/>
                <w:highlight w:val="none"/>
              </w:rPr>
              <w:t>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140" w:type="dxa"/>
            <w:tcBorders>
              <w:left w:val="single" w:color="000000" w:sz="10" w:space="0"/>
            </w:tcBorders>
            <w:vAlign w:val="top"/>
          </w:tcPr>
          <w:p>
            <w:pPr>
              <w:spacing w:before="115" w:line="195" w:lineRule="auto"/>
              <w:ind w:left="100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2125" w:type="dxa"/>
            <w:vAlign w:val="top"/>
          </w:tcPr>
          <w:p>
            <w:pPr>
              <w:spacing w:before="114" w:line="198" w:lineRule="auto"/>
              <w:ind w:left="8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41.2</w:t>
            </w:r>
          </w:p>
        </w:tc>
        <w:tc>
          <w:tcPr>
            <w:tcW w:w="2125" w:type="dxa"/>
            <w:vAlign w:val="top"/>
          </w:tcPr>
          <w:p>
            <w:pPr>
              <w:spacing w:before="115" w:line="195" w:lineRule="auto"/>
              <w:ind w:left="8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0. 10</w:t>
            </w:r>
          </w:p>
        </w:tc>
        <w:tc>
          <w:tcPr>
            <w:tcW w:w="2141"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140" w:type="dxa"/>
            <w:tcBorders>
              <w:left w:val="single" w:color="000000" w:sz="10" w:space="0"/>
            </w:tcBorders>
            <w:vAlign w:val="top"/>
          </w:tcPr>
          <w:p>
            <w:pPr>
              <w:spacing w:before="117" w:line="195" w:lineRule="auto"/>
              <w:ind w:left="101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2125" w:type="dxa"/>
            <w:vAlign w:val="top"/>
          </w:tcPr>
          <w:p>
            <w:pPr>
              <w:spacing w:before="117" w:line="198" w:lineRule="auto"/>
              <w:ind w:left="87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4</w:t>
            </w:r>
            <w:r>
              <w:rPr>
                <w:rFonts w:hint="default" w:ascii="Times New Roman" w:hAnsi="Times New Roman" w:eastAsia="Times New Roman" w:cs="Times New Roman"/>
                <w:spacing w:val="4"/>
                <w:sz w:val="20"/>
                <w:szCs w:val="20"/>
                <w:highlight w:val="none"/>
              </w:rPr>
              <w:t>2.6</w:t>
            </w:r>
          </w:p>
        </w:tc>
        <w:tc>
          <w:tcPr>
            <w:tcW w:w="2125" w:type="dxa"/>
            <w:vAlign w:val="top"/>
          </w:tcPr>
          <w:p>
            <w:pPr>
              <w:spacing w:before="117" w:line="195" w:lineRule="auto"/>
              <w:ind w:left="88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0. 14</w:t>
            </w:r>
          </w:p>
        </w:tc>
        <w:tc>
          <w:tcPr>
            <w:tcW w:w="2141" w:type="dxa"/>
            <w:vMerge w:val="continue"/>
            <w:tcBorders>
              <w:top w:val="nil"/>
              <w:right w:val="single" w:color="000000" w:sz="10" w:space="0"/>
            </w:tcBorders>
            <w:vAlign w:val="top"/>
          </w:tcPr>
          <w:p>
            <w:pPr>
              <w:rPr>
                <w:rFonts w:hint="default" w:ascii="Times New Roman" w:hAnsi="Times New Roman" w:cs="Times New Roman"/>
                <w:sz w:val="21"/>
                <w:highlight w:val="none"/>
              </w:rPr>
            </w:pPr>
          </w:p>
        </w:tc>
      </w:tr>
    </w:tbl>
    <w:p>
      <w:pPr>
        <w:spacing w:before="196"/>
        <w:ind w:left="608"/>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E</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、地下水污染模拟预</w:t>
      </w:r>
      <w:r>
        <w:rPr>
          <w:rFonts w:hint="default" w:ascii="Times New Roman" w:hAnsi="Times New Roman" w:eastAsia="宋体" w:cs="Times New Roman"/>
          <w:spacing w:val="3"/>
          <w:sz w:val="23"/>
          <w:szCs w:val="23"/>
          <w:highlight w:val="none"/>
        </w:rPr>
        <w:t>测</w:t>
      </w:r>
    </w:p>
    <w:p>
      <w:pPr>
        <w:spacing w:before="164" w:line="410" w:lineRule="auto"/>
        <w:ind w:left="133" w:right="41"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本</w:t>
      </w:r>
      <w:r>
        <w:rPr>
          <w:rFonts w:hint="default" w:ascii="Times New Roman" w:hAnsi="Times New Roman" w:eastAsia="宋体" w:cs="Times New Roman"/>
          <w:spacing w:val="6"/>
          <w:sz w:val="23"/>
          <w:szCs w:val="23"/>
          <w:highlight w:val="none"/>
        </w:rPr>
        <w:t xml:space="preserve">次工作已用 </w:t>
      </w:r>
      <w:r>
        <w:rPr>
          <w:rFonts w:hint="default" w:ascii="Times New Roman" w:hAnsi="Times New Roman" w:eastAsia="Times New Roman" w:cs="Times New Roman"/>
          <w:sz w:val="23"/>
          <w:szCs w:val="23"/>
          <w:highlight w:val="none"/>
        </w:rPr>
        <w:t>GMS</w:t>
      </w:r>
      <w:r>
        <w:rPr>
          <w:rFonts w:hint="default" w:ascii="Times New Roman" w:hAnsi="Times New Roman" w:eastAsia="Times New Roman" w:cs="Times New Roman"/>
          <w:spacing w:val="6"/>
          <w:sz w:val="23"/>
          <w:szCs w:val="23"/>
          <w:highlight w:val="none"/>
        </w:rPr>
        <w:t xml:space="preserve"> 7. 1 </w:t>
      </w:r>
      <w:r>
        <w:rPr>
          <w:rFonts w:hint="default" w:ascii="Times New Roman" w:hAnsi="Times New Roman" w:eastAsia="宋体" w:cs="Times New Roman"/>
          <w:spacing w:val="6"/>
          <w:sz w:val="23"/>
          <w:szCs w:val="23"/>
          <w:highlight w:val="none"/>
        </w:rPr>
        <w:t xml:space="preserve">中 </w:t>
      </w:r>
      <w:r>
        <w:rPr>
          <w:rFonts w:hint="default" w:ascii="Times New Roman" w:hAnsi="Times New Roman" w:eastAsia="Times New Roman" w:cs="Times New Roman"/>
          <w:sz w:val="23"/>
          <w:szCs w:val="23"/>
          <w:highlight w:val="none"/>
        </w:rPr>
        <w:t>Modflow</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模块建立了水流模型，在此基础上，可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利用</w:t>
      </w:r>
      <w:r>
        <w:rPr>
          <w:rFonts w:hint="default" w:ascii="Times New Roman" w:hAnsi="Times New Roman" w:eastAsia="Times New Roman" w:cs="Times New Roman"/>
          <w:sz w:val="23"/>
          <w:szCs w:val="23"/>
          <w:highlight w:val="none"/>
        </w:rPr>
        <w:t>GMS</w:t>
      </w:r>
      <w:r>
        <w:rPr>
          <w:rFonts w:hint="default" w:ascii="Times New Roman" w:hAnsi="Times New Roman" w:eastAsia="Times New Roman" w:cs="Times New Roman"/>
          <w:spacing w:val="9"/>
          <w:sz w:val="23"/>
          <w:szCs w:val="23"/>
          <w:highlight w:val="none"/>
        </w:rPr>
        <w:t>7</w:t>
      </w:r>
      <w:r>
        <w:rPr>
          <w:rFonts w:hint="default" w:ascii="Times New Roman" w:hAnsi="Times New Roman" w:eastAsia="Times New Roman" w:cs="Times New Roman"/>
          <w:spacing w:val="7"/>
          <w:sz w:val="23"/>
          <w:szCs w:val="23"/>
          <w:highlight w:val="none"/>
        </w:rPr>
        <w:t xml:space="preserve">. 1 </w:t>
      </w:r>
      <w:r>
        <w:rPr>
          <w:rFonts w:hint="default" w:ascii="Times New Roman" w:hAnsi="Times New Roman" w:eastAsia="宋体" w:cs="Times New Roman"/>
          <w:spacing w:val="7"/>
          <w:sz w:val="23"/>
          <w:szCs w:val="23"/>
          <w:highlight w:val="none"/>
        </w:rPr>
        <w:t>中的</w:t>
      </w:r>
      <w:r>
        <w:rPr>
          <w:rFonts w:hint="default" w:ascii="Times New Roman" w:hAnsi="Times New Roman" w:eastAsia="Times New Roman" w:cs="Times New Roman"/>
          <w:sz w:val="23"/>
          <w:szCs w:val="23"/>
          <w:highlight w:val="none"/>
        </w:rPr>
        <w:t>MT</w:t>
      </w:r>
      <w:r>
        <w:rPr>
          <w:rFonts w:hint="default" w:ascii="Times New Roman" w:hAnsi="Times New Roman" w:eastAsia="Times New Roman" w:cs="Times New Roman"/>
          <w:spacing w:val="7"/>
          <w:sz w:val="23"/>
          <w:szCs w:val="23"/>
          <w:highlight w:val="none"/>
        </w:rPr>
        <w:t>3</w:t>
      </w:r>
      <w:r>
        <w:rPr>
          <w:rFonts w:hint="default" w:ascii="Times New Roman" w:hAnsi="Times New Roman" w:eastAsia="Times New Roman" w:cs="Times New Roman"/>
          <w:sz w:val="23"/>
          <w:szCs w:val="23"/>
          <w:highlight w:val="none"/>
        </w:rPr>
        <w:t>DMS</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模块进一步来模拟预测地下水中污染质的运移情况。</w:t>
      </w:r>
    </w:p>
    <w:p>
      <w:pPr>
        <w:spacing w:before="14" w:line="402" w:lineRule="auto"/>
        <w:ind w:left="133" w:right="122"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本次地下水污染模拟过程未考虑污染物在含水层中的吸附、挥发、生物化</w:t>
      </w:r>
      <w:r>
        <w:rPr>
          <w:rFonts w:hint="default" w:ascii="Times New Roman" w:hAnsi="Times New Roman" w:eastAsia="宋体" w:cs="Times New Roman"/>
          <w:spacing w:val="6"/>
          <w:sz w:val="23"/>
          <w:szCs w:val="23"/>
          <w:highlight w:val="none"/>
        </w:rPr>
        <w:t>学</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反</w:t>
      </w:r>
      <w:r>
        <w:rPr>
          <w:rFonts w:hint="default" w:ascii="Times New Roman" w:hAnsi="Times New Roman" w:eastAsia="宋体" w:cs="Times New Roman"/>
          <w:spacing w:val="9"/>
          <w:sz w:val="23"/>
          <w:szCs w:val="23"/>
          <w:highlight w:val="none"/>
        </w:rPr>
        <w:t>应，模型中各项参数予以保守性考虑。这样选择的理由是：</w:t>
      </w:r>
    </w:p>
    <w:p>
      <w:pPr>
        <w:spacing w:before="2" w:line="405" w:lineRule="auto"/>
        <w:ind w:left="132" w:right="42"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①</w:t>
      </w:r>
      <w:r>
        <w:rPr>
          <w:rFonts w:hint="default" w:ascii="Times New Roman" w:hAnsi="Times New Roman" w:eastAsia="宋体" w:cs="Times New Roman"/>
          <w:spacing w:val="7"/>
          <w:sz w:val="23"/>
          <w:szCs w:val="23"/>
          <w:highlight w:val="none"/>
        </w:rPr>
        <w:t>从保守性角度考虑，假设污染质在运移中不与含水层介质发生反应，可以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被认为是保守型污染质，只按保守型污染质来计算，即只考虑运移过程中的对</w:t>
      </w:r>
      <w:r>
        <w:rPr>
          <w:rFonts w:hint="default" w:ascii="Times New Roman" w:hAnsi="Times New Roman" w:eastAsia="宋体" w:cs="Times New Roman"/>
          <w:sz w:val="23"/>
          <w:szCs w:val="23"/>
          <w:highlight w:val="none"/>
        </w:rPr>
        <w:t xml:space="preserve">流、 </w:t>
      </w:r>
      <w:r>
        <w:rPr>
          <w:rFonts w:hint="default" w:ascii="Times New Roman" w:hAnsi="Times New Roman" w:eastAsia="宋体" w:cs="Times New Roman"/>
          <w:spacing w:val="6"/>
          <w:sz w:val="23"/>
          <w:szCs w:val="23"/>
          <w:highlight w:val="none"/>
        </w:rPr>
        <w:t>弥散作用。</w:t>
      </w:r>
    </w:p>
    <w:p>
      <w:pPr>
        <w:spacing w:before="189" w:line="72" w:lineRule="exact"/>
        <w:ind w:firstLine="122"/>
        <w:textAlignment w:val="center"/>
        <w:rPr>
          <w:rFonts w:hint="default" w:ascii="Times New Roman" w:hAnsi="Times New Roman" w:cs="Times New Roman"/>
          <w:highlight w:val="none"/>
        </w:rPr>
      </w:pPr>
    </w:p>
    <w:p>
      <w:pPr>
        <w:rPr>
          <w:rFonts w:hint="default" w:ascii="Times New Roman" w:hAnsi="Times New Roman" w:cs="Times New Roman"/>
          <w:highlight w:val="none"/>
        </w:rPr>
        <w:sectPr>
          <w:headerReference r:id="rId109" w:type="default"/>
          <w:footerReference r:id="rId110" w:type="default"/>
          <w:pgSz w:w="11906" w:h="16839"/>
          <w:pgMar w:top="1167" w:right="1674" w:bottom="1175" w:left="1674" w:header="897" w:footer="1015" w:gutter="0"/>
          <w:pgBorders>
            <w:top w:val="none" w:sz="0" w:space="0"/>
            <w:left w:val="none" w:sz="0" w:space="0"/>
            <w:bottom w:val="none" w:sz="0" w:space="0"/>
            <w:right w:val="none" w:sz="0" w:space="0"/>
          </w:pgBorders>
          <w:pgNumType w:fmt="decimal"/>
          <w:cols w:space="720" w:num="1"/>
        </w:sectPr>
      </w:pPr>
    </w:p>
    <w:p>
      <w:pPr>
        <w:spacing w:line="392"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296" o:spid="_x0000_s1296" style="position:absolute;left:0pt;margin-left:89.85pt;margin-top:59.05pt;height:0.75pt;width:415.65pt;mso-position-horizontal-relative:page;mso-position-vertical-relative:page;z-index:251800576;mso-width-relative:page;mso-height-relative:page;" fillcolor="#000000" filled="t" stroked="f" coordsize="8312,15" o:allowincell="f" path="m0,0l8312,0,8312,14,0,14,0,0xe">
            <v:path/>
            <v:fill on="t" focussize="0,0"/>
            <v:stroke on="f"/>
            <v:imagedata o:title=""/>
            <o:lock v:ext="edit"/>
          </v:shape>
        </w:pict>
      </w:r>
    </w:p>
    <w:p>
      <w:pPr>
        <w:spacing w:before="75" w:line="401" w:lineRule="auto"/>
        <w:ind w:left="20"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②有机污染物在地下水中的运移非常复杂，影响因素除对流、弥散作用以外</w:t>
      </w:r>
      <w:r>
        <w:rPr>
          <w:rFonts w:hint="default" w:ascii="Times New Roman" w:hAnsi="Times New Roman" w:eastAsia="宋体" w:cs="Times New Roman"/>
          <w:spacing w:val="1"/>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还</w:t>
      </w:r>
      <w:r>
        <w:rPr>
          <w:rFonts w:hint="default" w:ascii="Times New Roman" w:hAnsi="Times New Roman" w:eastAsia="宋体" w:cs="Times New Roman"/>
          <w:spacing w:val="7"/>
          <w:sz w:val="23"/>
          <w:szCs w:val="23"/>
          <w:highlight w:val="none"/>
        </w:rPr>
        <w:t>存在物理、化学、微生物等作用，这些作用常常会使污染质浓度衰减。目前国</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际</w:t>
      </w:r>
      <w:r>
        <w:rPr>
          <w:rFonts w:hint="default" w:ascii="Times New Roman" w:hAnsi="Times New Roman" w:eastAsia="宋体" w:cs="Times New Roman"/>
          <w:spacing w:val="9"/>
          <w:sz w:val="23"/>
          <w:szCs w:val="23"/>
          <w:highlight w:val="none"/>
        </w:rPr>
        <w:t>上对这些作用参数的准确获取还存在着困难。</w:t>
      </w:r>
    </w:p>
    <w:p>
      <w:pPr>
        <w:spacing w:line="224" w:lineRule="auto"/>
        <w:ind w:left="49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7"/>
          <w:sz w:val="23"/>
          <w:szCs w:val="23"/>
          <w:highlight w:val="none"/>
        </w:rPr>
        <w:t>③</w:t>
      </w:r>
      <w:r>
        <w:rPr>
          <w:rFonts w:hint="default" w:ascii="Times New Roman" w:hAnsi="Times New Roman" w:eastAsia="宋体" w:cs="Times New Roman"/>
          <w:spacing w:val="14"/>
          <w:sz w:val="23"/>
          <w:szCs w:val="23"/>
          <w:highlight w:val="none"/>
        </w:rPr>
        <w:t>在国际上有很多用保守型污染物作为模拟因子的环境质量评价的成功实</w:t>
      </w:r>
    </w:p>
    <w:p>
      <w:pPr>
        <w:spacing w:before="218" w:line="230" w:lineRule="auto"/>
        <w:ind w:left="2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例，保守型考虑符合工程设计的思想</w:t>
      </w:r>
      <w:r>
        <w:rPr>
          <w:rFonts w:hint="default" w:ascii="Times New Roman" w:hAnsi="Times New Roman" w:eastAsia="宋体" w:cs="Times New Roman"/>
          <w:spacing w:val="6"/>
          <w:sz w:val="23"/>
          <w:szCs w:val="23"/>
          <w:highlight w:val="none"/>
        </w:rPr>
        <w:t>。</w:t>
      </w:r>
    </w:p>
    <w:p>
      <w:pPr>
        <w:spacing w:before="213" w:line="228" w:lineRule="auto"/>
        <w:ind w:left="512"/>
        <w:outlineLvl w:val="2"/>
        <w:rPr>
          <w:rFonts w:hint="default" w:ascii="Times New Roman" w:hAnsi="Times New Roman" w:eastAsia="宋体" w:cs="Times New Roman"/>
          <w:sz w:val="23"/>
          <w:szCs w:val="23"/>
          <w:highlight w:val="none"/>
        </w:rPr>
      </w:pPr>
      <w:bookmarkStart w:id="610" w:name="_Toc31390"/>
      <w:bookmarkStart w:id="611" w:name="_Toc18672"/>
      <w:bookmarkStart w:id="612" w:name="_Toc28579"/>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16"/>
          <w:sz w:val="23"/>
          <w:szCs w:val="23"/>
          <w:highlight w:val="none"/>
        </w:rPr>
        <w:t>1</w:t>
      </w:r>
      <w:r>
        <w:rPr>
          <w:rFonts w:hint="default" w:ascii="Times New Roman" w:hAnsi="Times New Roman" w:eastAsia="宋体" w:cs="Times New Roman"/>
          <w:spacing w:val="16"/>
          <w:sz w:val="23"/>
          <w:szCs w:val="23"/>
          <w:highlight w:val="none"/>
        </w:rPr>
        <w:t>) 溶质运移数学模型</w:t>
      </w:r>
      <w:bookmarkEnd w:id="610"/>
      <w:bookmarkEnd w:id="611"/>
      <w:bookmarkEnd w:id="612"/>
    </w:p>
    <w:p>
      <w:pPr>
        <w:spacing w:before="217" w:line="228" w:lineRule="auto"/>
        <w:ind w:left="50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地下水中溶质运移的数学模型可表示为</w:t>
      </w:r>
      <w:r>
        <w:rPr>
          <w:rFonts w:hint="default" w:ascii="Times New Roman" w:hAnsi="Times New Roman" w:eastAsia="宋体" w:cs="Times New Roman"/>
          <w:spacing w:val="7"/>
          <w:sz w:val="23"/>
          <w:szCs w:val="23"/>
          <w:highlight w:val="none"/>
        </w:rPr>
        <w:t>：</w:t>
      </w:r>
    </w:p>
    <w:p>
      <w:pPr>
        <w:spacing w:before="43"/>
        <w:ind w:right="73"/>
        <w:jc w:val="right"/>
        <w:rPr>
          <w:rFonts w:hint="default" w:ascii="Times New Roman" w:hAnsi="Times New Roman" w:eastAsia="宋体" w:cs="Times New Roman"/>
          <w:sz w:val="23"/>
          <w:szCs w:val="23"/>
          <w:highlight w:val="none"/>
        </w:rPr>
      </w:pPr>
      <w:r>
        <w:rPr>
          <w:rFonts w:hint="default" w:ascii="Times New Roman" w:hAnsi="Times New Roman" w:eastAsia="微软雅黑" w:cs="Times New Roman"/>
          <w:i/>
          <w:iCs/>
          <w:spacing w:val="-6"/>
          <w:position w:val="3"/>
          <w:sz w:val="25"/>
          <w:szCs w:val="25"/>
          <w:highlight w:val="none"/>
        </w:rPr>
        <w:t>9</w:t>
      </w:r>
      <w:r>
        <w:rPr>
          <w:rFonts w:hint="default" w:ascii="Times New Roman" w:hAnsi="Times New Roman" w:cs="Times New Roman"/>
          <w:position w:val="-22"/>
          <w:sz w:val="25"/>
          <w:szCs w:val="25"/>
          <w:highlight w:val="none"/>
        </w:rPr>
        <w:drawing>
          <wp:inline distT="0" distB="0" distL="0" distR="0">
            <wp:extent cx="210820" cy="412115"/>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88"/>
                    <a:stretch>
                      <a:fillRect/>
                    </a:stretch>
                  </pic:blipFill>
                  <pic:spPr>
                    <a:xfrm>
                      <a:off x="0" y="0"/>
                      <a:ext cx="211246" cy="412510"/>
                    </a:xfrm>
                    <a:prstGeom prst="rect">
                      <a:avLst/>
                    </a:prstGeom>
                  </pic:spPr>
                </pic:pic>
              </a:graphicData>
            </a:graphic>
          </wp:inline>
        </w:drawing>
      </w:r>
      <w:r>
        <w:rPr>
          <w:rFonts w:hint="default" w:ascii="Times New Roman" w:hAnsi="Times New Roman" w:eastAsia="微软雅黑" w:cs="Times New Roman"/>
          <w:spacing w:val="-6"/>
          <w:position w:val="3"/>
          <w:sz w:val="25"/>
          <w:szCs w:val="25"/>
          <w:highlight w:val="none"/>
        </w:rPr>
        <w:t xml:space="preserve"> </w:t>
      </w:r>
      <w:r>
        <w:rPr>
          <w:rFonts w:hint="default" w:ascii="Times New Roman" w:hAnsi="Times New Roman" w:eastAsia="微软雅黑" w:cs="Times New Roman"/>
          <w:spacing w:val="-6"/>
          <w:position w:val="3"/>
          <w:sz w:val="23"/>
          <w:szCs w:val="23"/>
          <w:highlight w:val="none"/>
        </w:rPr>
        <w:t xml:space="preserve">= </w:t>
      </w:r>
      <w:r>
        <w:rPr>
          <w:rFonts w:hint="default" w:ascii="Times New Roman" w:hAnsi="Times New Roman" w:cs="Times New Roman"/>
          <w:position w:val="-25"/>
          <w:sz w:val="23"/>
          <w:szCs w:val="23"/>
          <w:highlight w:val="none"/>
        </w:rPr>
        <w:drawing>
          <wp:inline distT="0" distB="0" distL="0" distR="0">
            <wp:extent cx="216535" cy="43116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89"/>
                    <a:stretch>
                      <a:fillRect/>
                    </a:stretch>
                  </pic:blipFill>
                  <pic:spPr>
                    <a:xfrm>
                      <a:off x="0" y="0"/>
                      <a:ext cx="216559" cy="431334"/>
                    </a:xfrm>
                    <a:prstGeom prst="rect">
                      <a:avLst/>
                    </a:prstGeom>
                  </pic:spPr>
                </pic:pic>
              </a:graphicData>
            </a:graphic>
          </wp:inline>
        </w:drawing>
      </w:r>
      <w:r>
        <w:rPr>
          <w:rFonts w:hint="default" w:ascii="Times New Roman" w:hAnsi="Times New Roman" w:cs="Times New Roman"/>
          <w:position w:val="-25"/>
          <w:sz w:val="23"/>
          <w:szCs w:val="23"/>
          <w:highlight w:val="none"/>
        </w:rPr>
        <w:drawing>
          <wp:inline distT="0" distB="0" distL="0" distR="0">
            <wp:extent cx="60960" cy="438150"/>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190"/>
                    <a:stretch>
                      <a:fillRect/>
                    </a:stretch>
                  </pic:blipFill>
                  <pic:spPr>
                    <a:xfrm>
                      <a:off x="0" y="0"/>
                      <a:ext cx="61534" cy="438245"/>
                    </a:xfrm>
                    <a:prstGeom prst="rect">
                      <a:avLst/>
                    </a:prstGeom>
                  </pic:spPr>
                </pic:pic>
              </a:graphicData>
            </a:graphic>
          </wp:inline>
        </w:drawing>
      </w:r>
      <w:r>
        <w:rPr>
          <w:rFonts w:hint="default" w:ascii="Times New Roman" w:hAnsi="Times New Roman" w:eastAsia="微软雅黑" w:cs="Times New Roman"/>
          <w:i/>
          <w:iCs/>
          <w:spacing w:val="-6"/>
          <w:position w:val="3"/>
          <w:sz w:val="25"/>
          <w:szCs w:val="25"/>
          <w:highlight w:val="none"/>
        </w:rPr>
        <w:t>9</w:t>
      </w:r>
      <w:r>
        <w:rPr>
          <w:rFonts w:hint="default" w:ascii="Times New Roman" w:hAnsi="Times New Roman" w:eastAsia="Times New Roman" w:cs="Times New Roman"/>
          <w:i/>
          <w:iCs/>
          <w:spacing w:val="-3"/>
          <w:position w:val="3"/>
          <w:sz w:val="23"/>
          <w:szCs w:val="23"/>
          <w:highlight w:val="none"/>
        </w:rPr>
        <w:t>D</w:t>
      </w:r>
      <w:r>
        <w:rPr>
          <w:rFonts w:hint="default" w:ascii="Times New Roman" w:hAnsi="Times New Roman" w:eastAsia="Times New Roman" w:cs="Times New Roman"/>
          <w:i/>
          <w:iCs/>
          <w:spacing w:val="-3"/>
          <w:position w:val="-2"/>
          <w:sz w:val="13"/>
          <w:szCs w:val="13"/>
          <w:highlight w:val="none"/>
        </w:rPr>
        <w:t>ij</w:t>
      </w:r>
      <w:r>
        <w:rPr>
          <w:rFonts w:hint="default" w:ascii="Times New Roman" w:hAnsi="Times New Roman" w:eastAsia="Times New Roman" w:cs="Times New Roman"/>
          <w:spacing w:val="-6"/>
          <w:position w:val="-2"/>
          <w:sz w:val="13"/>
          <w:szCs w:val="13"/>
          <w:highlight w:val="none"/>
        </w:rPr>
        <w:t xml:space="preserve">  </w:t>
      </w:r>
      <w:r>
        <w:rPr>
          <w:rFonts w:hint="default" w:ascii="Times New Roman" w:hAnsi="Times New Roman" w:cs="Times New Roman"/>
          <w:position w:val="-22"/>
          <w:sz w:val="13"/>
          <w:szCs w:val="13"/>
          <w:highlight w:val="none"/>
        </w:rPr>
        <w:drawing>
          <wp:inline distT="0" distB="0" distL="0" distR="0">
            <wp:extent cx="215900" cy="41211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91"/>
                    <a:stretch>
                      <a:fillRect/>
                    </a:stretch>
                  </pic:blipFill>
                  <pic:spPr>
                    <a:xfrm>
                      <a:off x="0" y="0"/>
                      <a:ext cx="216141" cy="412510"/>
                    </a:xfrm>
                    <a:prstGeom prst="rect">
                      <a:avLst/>
                    </a:prstGeom>
                  </pic:spPr>
                </pic:pic>
              </a:graphicData>
            </a:graphic>
          </wp:inline>
        </w:drawing>
      </w:r>
      <w:r>
        <w:rPr>
          <w:rFonts w:hint="default" w:ascii="Times New Roman" w:hAnsi="Times New Roman" w:eastAsia="微软雅黑" w:cs="Times New Roman"/>
          <w:spacing w:val="-6"/>
          <w:sz w:val="23"/>
          <w:szCs w:val="23"/>
          <w:highlight w:val="none"/>
        </w:rPr>
        <w:t xml:space="preserve">))|| </w:t>
      </w:r>
      <w:r>
        <w:rPr>
          <w:rFonts w:hint="default" w:ascii="Times New Roman" w:hAnsi="Times New Roman" w:eastAsia="微软雅黑" w:cs="Times New Roman"/>
          <w:spacing w:val="-6"/>
          <w:position w:val="3"/>
          <w:sz w:val="23"/>
          <w:szCs w:val="23"/>
          <w:highlight w:val="none"/>
        </w:rPr>
        <w:t>-</w:t>
      </w:r>
      <w:r>
        <w:rPr>
          <w:rFonts w:hint="default" w:ascii="Times New Roman" w:hAnsi="Times New Roman" w:eastAsia="微软雅黑" w:cs="Times New Roman"/>
          <w:spacing w:val="-4"/>
          <w:position w:val="3"/>
          <w:sz w:val="23"/>
          <w:szCs w:val="23"/>
          <w:highlight w:val="none"/>
        </w:rPr>
        <w:t xml:space="preserve"> </w:t>
      </w:r>
      <w:r>
        <w:rPr>
          <w:rFonts w:hint="default" w:ascii="Times New Roman" w:hAnsi="Times New Roman" w:cs="Times New Roman"/>
          <w:position w:val="-25"/>
          <w:sz w:val="23"/>
          <w:szCs w:val="23"/>
          <w:highlight w:val="none"/>
        </w:rPr>
        <w:drawing>
          <wp:inline distT="0" distB="0" distL="0" distR="0">
            <wp:extent cx="216535" cy="431165"/>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92"/>
                    <a:stretch>
                      <a:fillRect/>
                    </a:stretch>
                  </pic:blipFill>
                  <pic:spPr>
                    <a:xfrm>
                      <a:off x="0" y="0"/>
                      <a:ext cx="216545" cy="431334"/>
                    </a:xfrm>
                    <a:prstGeom prst="rect">
                      <a:avLst/>
                    </a:prstGeom>
                  </pic:spPr>
                </pic:pic>
              </a:graphicData>
            </a:graphic>
          </wp:inline>
        </w:drawing>
      </w:r>
      <w:r>
        <w:rPr>
          <w:rFonts w:hint="default" w:ascii="Times New Roman" w:hAnsi="Times New Roman" w:eastAsia="微软雅黑" w:cs="Times New Roman"/>
          <w:spacing w:val="-3"/>
          <w:position w:val="3"/>
          <w:sz w:val="31"/>
          <w:szCs w:val="31"/>
          <w:highlight w:val="none"/>
        </w:rPr>
        <w:t>(</w:t>
      </w:r>
      <w:r>
        <w:rPr>
          <w:rFonts w:hint="default" w:ascii="Times New Roman" w:hAnsi="Times New Roman" w:eastAsia="微软雅黑" w:cs="Times New Roman"/>
          <w:i/>
          <w:iCs/>
          <w:spacing w:val="-3"/>
          <w:position w:val="3"/>
          <w:sz w:val="25"/>
          <w:szCs w:val="25"/>
          <w:highlight w:val="none"/>
        </w:rPr>
        <w:t>9</w:t>
      </w:r>
      <w:r>
        <w:rPr>
          <w:rFonts w:hint="default" w:ascii="Times New Roman" w:hAnsi="Times New Roman" w:eastAsia="Times New Roman" w:cs="Times New Roman"/>
          <w:i/>
          <w:iCs/>
          <w:spacing w:val="-3"/>
          <w:position w:val="3"/>
          <w:sz w:val="23"/>
          <w:szCs w:val="23"/>
          <w:highlight w:val="none"/>
        </w:rPr>
        <w:t>v</w:t>
      </w:r>
      <w:r>
        <w:rPr>
          <w:rFonts w:hint="default" w:ascii="Times New Roman" w:hAnsi="Times New Roman" w:eastAsia="Times New Roman" w:cs="Times New Roman"/>
          <w:i/>
          <w:iCs/>
          <w:spacing w:val="-3"/>
          <w:position w:val="-2"/>
          <w:sz w:val="13"/>
          <w:szCs w:val="13"/>
          <w:highlight w:val="none"/>
        </w:rPr>
        <w:t>i</w:t>
      </w:r>
      <w:r>
        <w:rPr>
          <w:rFonts w:hint="default" w:ascii="Times New Roman" w:hAnsi="Times New Roman" w:eastAsia="Times New Roman" w:cs="Times New Roman"/>
          <w:spacing w:val="-3"/>
          <w:position w:val="-2"/>
          <w:sz w:val="13"/>
          <w:szCs w:val="13"/>
          <w:highlight w:val="none"/>
        </w:rPr>
        <w:t xml:space="preserve"> </w:t>
      </w:r>
      <w:r>
        <w:rPr>
          <w:rFonts w:hint="default" w:ascii="Times New Roman" w:hAnsi="Times New Roman" w:eastAsia="Times New Roman" w:cs="Times New Roman"/>
          <w:i/>
          <w:iCs/>
          <w:spacing w:val="-3"/>
          <w:position w:val="3"/>
          <w:sz w:val="23"/>
          <w:szCs w:val="23"/>
          <w:highlight w:val="none"/>
        </w:rPr>
        <w:t>C</w:t>
      </w:r>
      <w:r>
        <w:rPr>
          <w:rFonts w:hint="default" w:ascii="Times New Roman" w:hAnsi="Times New Roman" w:eastAsia="微软雅黑" w:cs="Times New Roman"/>
          <w:spacing w:val="-3"/>
          <w:position w:val="3"/>
          <w:sz w:val="31"/>
          <w:szCs w:val="31"/>
          <w:highlight w:val="none"/>
        </w:rPr>
        <w:t>)</w:t>
      </w:r>
      <w:r>
        <w:rPr>
          <w:rFonts w:hint="default" w:ascii="Times New Roman" w:hAnsi="Times New Roman" w:eastAsia="微软雅黑" w:cs="Times New Roman"/>
          <w:spacing w:val="-3"/>
          <w:position w:val="3"/>
          <w:sz w:val="23"/>
          <w:szCs w:val="23"/>
          <w:highlight w:val="none"/>
        </w:rPr>
        <w:t xml:space="preserve">- </w:t>
      </w:r>
      <w:r>
        <w:rPr>
          <w:rFonts w:hint="default" w:ascii="Times New Roman" w:hAnsi="Times New Roman" w:eastAsia="Times New Roman" w:cs="Times New Roman"/>
          <w:i/>
          <w:iCs/>
          <w:spacing w:val="-3"/>
          <w:position w:val="3"/>
          <w:sz w:val="23"/>
          <w:szCs w:val="23"/>
          <w:highlight w:val="none"/>
        </w:rPr>
        <w:t>WC</w:t>
      </w:r>
      <w:r>
        <w:rPr>
          <w:rFonts w:hint="default" w:ascii="Times New Roman" w:hAnsi="Times New Roman" w:eastAsia="Times New Roman" w:cs="Times New Roman"/>
          <w:i/>
          <w:iCs/>
          <w:spacing w:val="-3"/>
          <w:position w:val="-2"/>
          <w:sz w:val="13"/>
          <w:szCs w:val="13"/>
          <w:highlight w:val="none"/>
        </w:rPr>
        <w:t>s</w:t>
      </w:r>
      <w:r>
        <w:rPr>
          <w:rFonts w:hint="default" w:ascii="Times New Roman" w:hAnsi="Times New Roman" w:eastAsia="Times New Roman" w:cs="Times New Roman"/>
          <w:spacing w:val="-3"/>
          <w:position w:val="-2"/>
          <w:sz w:val="13"/>
          <w:szCs w:val="13"/>
          <w:highlight w:val="none"/>
        </w:rPr>
        <w:t xml:space="preserve">                                      </w:t>
      </w:r>
      <w:r>
        <w:rPr>
          <w:rFonts w:hint="default" w:ascii="Times New Roman" w:hAnsi="Times New Roman" w:eastAsia="宋体" w:cs="Times New Roman"/>
          <w:spacing w:val="-3"/>
          <w:position w:val="3"/>
          <w:sz w:val="23"/>
          <w:szCs w:val="23"/>
          <w:highlight w:val="none"/>
        </w:rPr>
        <w:t>(</w:t>
      </w:r>
      <w:r>
        <w:rPr>
          <w:rFonts w:hint="default" w:ascii="Times New Roman" w:hAnsi="Times New Roman" w:eastAsia="Times New Roman" w:cs="Times New Roman"/>
          <w:spacing w:val="-3"/>
          <w:position w:val="3"/>
          <w:sz w:val="23"/>
          <w:szCs w:val="23"/>
          <w:highlight w:val="none"/>
        </w:rPr>
        <w:t>5.2.3- 19</w:t>
      </w:r>
      <w:r>
        <w:rPr>
          <w:rFonts w:hint="default" w:ascii="Times New Roman" w:hAnsi="Times New Roman" w:eastAsia="宋体" w:cs="Times New Roman"/>
          <w:spacing w:val="-3"/>
          <w:position w:val="3"/>
          <w:sz w:val="23"/>
          <w:szCs w:val="23"/>
          <w:highlight w:val="none"/>
        </w:rPr>
        <w:t>)</w:t>
      </w:r>
    </w:p>
    <w:p>
      <w:pPr>
        <w:spacing w:before="198" w:line="227" w:lineRule="auto"/>
        <w:ind w:left="2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式中</w:t>
      </w:r>
      <w:r>
        <w:rPr>
          <w:rFonts w:hint="default" w:ascii="Times New Roman" w:hAnsi="Times New Roman" w:eastAsia="宋体" w:cs="Times New Roman"/>
          <w:spacing w:val="1"/>
          <w:sz w:val="23"/>
          <w:szCs w:val="23"/>
          <w:highlight w:val="none"/>
        </w:rPr>
        <w:t>，</w:t>
      </w:r>
    </w:p>
    <w:p>
      <w:pPr>
        <w:spacing w:before="184" w:line="241" w:lineRule="auto"/>
        <w:ind w:left="514"/>
        <w:rPr>
          <w:rFonts w:hint="default" w:ascii="Times New Roman" w:hAnsi="Times New Roman" w:eastAsia="宋体" w:cs="Times New Roman"/>
          <w:sz w:val="23"/>
          <w:szCs w:val="23"/>
          <w:highlight w:val="none"/>
        </w:rPr>
      </w:pPr>
      <w:r>
        <w:rPr>
          <w:rFonts w:hint="default" w:ascii="Times New Roman" w:hAnsi="Times New Roman" w:eastAsia="微软雅黑" w:cs="Times New Roman"/>
          <w:i/>
          <w:iCs/>
          <w:spacing w:val="19"/>
          <w:sz w:val="25"/>
          <w:szCs w:val="25"/>
          <w:highlight w:val="none"/>
        </w:rPr>
        <w:t>9</w:t>
      </w:r>
      <w:r>
        <w:rPr>
          <w:rFonts w:hint="default" w:ascii="Times New Roman" w:hAnsi="Times New Roman" w:eastAsia="Times New Roman" w:cs="Times New Roman"/>
          <w:spacing w:val="10"/>
          <w:sz w:val="23"/>
          <w:szCs w:val="23"/>
          <w:highlight w:val="none"/>
        </w:rPr>
        <w:t>—</w:t>
      </w:r>
      <w:r>
        <w:rPr>
          <w:rFonts w:hint="default" w:ascii="Times New Roman" w:hAnsi="Times New Roman" w:eastAsia="宋体" w:cs="Times New Roman"/>
          <w:spacing w:val="10"/>
          <w:sz w:val="23"/>
          <w:szCs w:val="23"/>
          <w:highlight w:val="none"/>
        </w:rPr>
        <w:t>介质孔隙度，无量纲；</w:t>
      </w:r>
    </w:p>
    <w:p>
      <w:pPr>
        <w:spacing w:line="315" w:lineRule="exact"/>
        <w:ind w:left="507"/>
        <w:rPr>
          <w:rFonts w:hint="default" w:ascii="Times New Roman" w:hAnsi="Times New Roman" w:eastAsia="宋体" w:cs="Times New Roman"/>
          <w:sz w:val="23"/>
          <w:szCs w:val="23"/>
          <w:highlight w:val="none"/>
        </w:rPr>
      </w:pPr>
      <w:r>
        <w:rPr>
          <w:rFonts w:hint="default" w:ascii="Times New Roman" w:hAnsi="Times New Roman" w:eastAsia="Times New Roman" w:cs="Times New Roman"/>
          <w:i/>
          <w:iCs/>
          <w:position w:val="2"/>
          <w:sz w:val="23"/>
          <w:szCs w:val="23"/>
          <w:highlight w:val="none"/>
        </w:rPr>
        <w:t>C</w:t>
      </w:r>
      <w:r>
        <w:rPr>
          <w:rFonts w:hint="default" w:ascii="Times New Roman" w:hAnsi="Times New Roman" w:eastAsia="Times New Roman" w:cs="Times New Roman"/>
          <w:spacing w:val="14"/>
          <w:position w:val="2"/>
          <w:sz w:val="23"/>
          <w:szCs w:val="23"/>
          <w:highlight w:val="none"/>
        </w:rPr>
        <w:t>—</w:t>
      </w:r>
      <w:r>
        <w:rPr>
          <w:rFonts w:hint="default" w:ascii="Times New Roman" w:hAnsi="Times New Roman" w:eastAsia="宋体" w:cs="Times New Roman"/>
          <w:spacing w:val="8"/>
          <w:position w:val="2"/>
          <w:sz w:val="23"/>
          <w:szCs w:val="23"/>
          <w:highlight w:val="none"/>
        </w:rPr>
        <w:t>组分的浓度，</w:t>
      </w:r>
      <w:r>
        <w:rPr>
          <w:rFonts w:hint="default" w:ascii="Times New Roman" w:hAnsi="Times New Roman" w:eastAsia="Times New Roman" w:cs="Times New Roman"/>
          <w:position w:val="2"/>
          <w:sz w:val="23"/>
          <w:szCs w:val="23"/>
          <w:highlight w:val="none"/>
        </w:rPr>
        <w:t>mg</w:t>
      </w:r>
      <w:r>
        <w:rPr>
          <w:rFonts w:hint="default" w:ascii="Times New Roman" w:hAnsi="Times New Roman" w:eastAsia="Times New Roman" w:cs="Times New Roman"/>
          <w:spacing w:val="8"/>
          <w:position w:val="2"/>
          <w:sz w:val="23"/>
          <w:szCs w:val="23"/>
          <w:highlight w:val="none"/>
        </w:rPr>
        <w:t>/</w:t>
      </w:r>
      <w:r>
        <w:rPr>
          <w:rFonts w:hint="default" w:ascii="Times New Roman" w:hAnsi="Times New Roman" w:eastAsia="Times New Roman" w:cs="Times New Roman"/>
          <w:position w:val="2"/>
          <w:sz w:val="23"/>
          <w:szCs w:val="23"/>
          <w:highlight w:val="none"/>
        </w:rPr>
        <w:t>L</w:t>
      </w:r>
      <w:r>
        <w:rPr>
          <w:rFonts w:hint="default" w:ascii="Times New Roman" w:hAnsi="Times New Roman" w:eastAsia="宋体" w:cs="Times New Roman"/>
          <w:spacing w:val="8"/>
          <w:position w:val="2"/>
          <w:sz w:val="23"/>
          <w:szCs w:val="23"/>
          <w:highlight w:val="none"/>
        </w:rPr>
        <w:t>；</w:t>
      </w:r>
    </w:p>
    <w:p>
      <w:pPr>
        <w:spacing w:before="149" w:line="319" w:lineRule="exact"/>
        <w:ind w:left="501"/>
        <w:rPr>
          <w:rFonts w:hint="default" w:ascii="Times New Roman" w:hAnsi="Times New Roman" w:eastAsia="宋体" w:cs="Times New Roman"/>
          <w:sz w:val="23"/>
          <w:szCs w:val="23"/>
          <w:highlight w:val="none"/>
        </w:rPr>
      </w:pPr>
      <w:r>
        <w:rPr>
          <w:rFonts w:hint="default" w:ascii="Times New Roman" w:hAnsi="Times New Roman" w:eastAsia="Times New Roman" w:cs="Times New Roman"/>
          <w:i/>
          <w:iCs/>
          <w:spacing w:val="-2"/>
          <w:position w:val="1"/>
          <w:sz w:val="23"/>
          <w:szCs w:val="23"/>
          <w:highlight w:val="none"/>
        </w:rPr>
        <w:t>t</w:t>
      </w:r>
      <w:r>
        <w:rPr>
          <w:rFonts w:hint="default" w:ascii="Times New Roman" w:hAnsi="Times New Roman" w:eastAsia="Times New Roman" w:cs="Times New Roman"/>
          <w:spacing w:val="-3"/>
          <w:position w:val="1"/>
          <w:sz w:val="23"/>
          <w:szCs w:val="23"/>
          <w:highlight w:val="none"/>
        </w:rPr>
        <w:t xml:space="preserve"> </w:t>
      </w:r>
      <w:r>
        <w:rPr>
          <w:rFonts w:hint="default" w:ascii="Times New Roman" w:hAnsi="Times New Roman" w:eastAsia="Times New Roman" w:cs="Times New Roman"/>
          <w:spacing w:val="-2"/>
          <w:position w:val="1"/>
          <w:sz w:val="23"/>
          <w:szCs w:val="23"/>
          <w:highlight w:val="none"/>
        </w:rPr>
        <w:t xml:space="preserve">— </w:t>
      </w:r>
      <w:r>
        <w:rPr>
          <w:rFonts w:hint="default" w:ascii="Times New Roman" w:hAnsi="Times New Roman" w:eastAsia="宋体" w:cs="Times New Roman"/>
          <w:spacing w:val="-2"/>
          <w:position w:val="1"/>
          <w:sz w:val="23"/>
          <w:szCs w:val="23"/>
          <w:highlight w:val="none"/>
        </w:rPr>
        <w:t>时间，</w:t>
      </w:r>
      <w:r>
        <w:rPr>
          <w:rFonts w:hint="default" w:ascii="Times New Roman" w:hAnsi="Times New Roman" w:eastAsia="Times New Roman" w:cs="Times New Roman"/>
          <w:spacing w:val="-2"/>
          <w:position w:val="1"/>
          <w:sz w:val="23"/>
          <w:szCs w:val="23"/>
          <w:highlight w:val="none"/>
        </w:rPr>
        <w:t>d</w:t>
      </w:r>
      <w:r>
        <w:rPr>
          <w:rFonts w:hint="default" w:ascii="Times New Roman" w:hAnsi="Times New Roman" w:eastAsia="宋体" w:cs="Times New Roman"/>
          <w:spacing w:val="-2"/>
          <w:position w:val="1"/>
          <w:sz w:val="23"/>
          <w:szCs w:val="23"/>
          <w:highlight w:val="none"/>
        </w:rPr>
        <w:t>；</w:t>
      </w:r>
    </w:p>
    <w:p>
      <w:pPr>
        <w:spacing w:before="188" w:line="431" w:lineRule="exact"/>
        <w:ind w:left="483"/>
        <w:rPr>
          <w:rFonts w:hint="default" w:ascii="Times New Roman" w:hAnsi="Times New Roman" w:eastAsia="宋体" w:cs="Times New Roman"/>
          <w:sz w:val="23"/>
          <w:szCs w:val="23"/>
          <w:highlight w:val="none"/>
        </w:rPr>
      </w:pPr>
      <w:r>
        <w:rPr>
          <w:rFonts w:hint="default" w:ascii="Times New Roman" w:hAnsi="Times New Roman" w:eastAsia="Times New Roman" w:cs="Times New Roman"/>
          <w:i/>
          <w:iCs/>
          <w:position w:val="15"/>
          <w:sz w:val="23"/>
          <w:szCs w:val="23"/>
          <w:highlight w:val="none"/>
        </w:rPr>
        <w:t>x</w:t>
      </w:r>
      <w:r>
        <w:rPr>
          <w:rFonts w:hint="default" w:ascii="Times New Roman" w:hAnsi="Times New Roman" w:eastAsia="宋体" w:cs="Times New Roman"/>
          <w:spacing w:val="1"/>
          <w:position w:val="15"/>
          <w:sz w:val="23"/>
          <w:szCs w:val="23"/>
          <w:highlight w:val="none"/>
        </w:rPr>
        <w:t>，</w:t>
      </w:r>
      <w:r>
        <w:rPr>
          <w:rFonts w:hint="default" w:ascii="Times New Roman" w:hAnsi="Times New Roman" w:eastAsia="Times New Roman" w:cs="Times New Roman"/>
          <w:i/>
          <w:iCs/>
          <w:position w:val="15"/>
          <w:sz w:val="23"/>
          <w:szCs w:val="23"/>
          <w:highlight w:val="none"/>
        </w:rPr>
        <w:t>y</w:t>
      </w:r>
      <w:r>
        <w:rPr>
          <w:rFonts w:hint="default" w:ascii="Times New Roman" w:hAnsi="Times New Roman" w:eastAsia="Times New Roman" w:cs="Times New Roman"/>
          <w:spacing w:val="1"/>
          <w:position w:val="15"/>
          <w:sz w:val="23"/>
          <w:szCs w:val="23"/>
          <w:highlight w:val="none"/>
        </w:rPr>
        <w:t xml:space="preserve"> </w:t>
      </w:r>
      <w:r>
        <w:rPr>
          <w:rFonts w:hint="default" w:ascii="Times New Roman" w:hAnsi="Times New Roman" w:eastAsia="宋体" w:cs="Times New Roman"/>
          <w:spacing w:val="1"/>
          <w:position w:val="15"/>
          <w:sz w:val="23"/>
          <w:szCs w:val="23"/>
          <w:highlight w:val="none"/>
        </w:rPr>
        <w:t>，</w:t>
      </w:r>
      <w:r>
        <w:rPr>
          <w:rFonts w:hint="default" w:ascii="Times New Roman" w:hAnsi="Times New Roman" w:eastAsia="Times New Roman" w:cs="Times New Roman"/>
          <w:i/>
          <w:iCs/>
          <w:position w:val="15"/>
          <w:sz w:val="23"/>
          <w:szCs w:val="23"/>
          <w:highlight w:val="none"/>
        </w:rPr>
        <w:t>z</w:t>
      </w:r>
      <w:r>
        <w:rPr>
          <w:rFonts w:hint="default" w:ascii="Times New Roman" w:hAnsi="Times New Roman" w:eastAsia="Times New Roman" w:cs="Times New Roman"/>
          <w:spacing w:val="1"/>
          <w:position w:val="15"/>
          <w:sz w:val="23"/>
          <w:szCs w:val="23"/>
          <w:highlight w:val="none"/>
        </w:rPr>
        <w:t xml:space="preserve">— </w:t>
      </w:r>
      <w:r>
        <w:rPr>
          <w:rFonts w:hint="default" w:ascii="Times New Roman" w:hAnsi="Times New Roman" w:eastAsia="宋体" w:cs="Times New Roman"/>
          <w:spacing w:val="1"/>
          <w:position w:val="15"/>
          <w:sz w:val="23"/>
          <w:szCs w:val="23"/>
          <w:highlight w:val="none"/>
        </w:rPr>
        <w:t>空间位置坐标</w:t>
      </w:r>
      <w:r>
        <w:rPr>
          <w:rFonts w:hint="default" w:ascii="Times New Roman" w:hAnsi="Times New Roman" w:eastAsia="宋体" w:cs="Times New Roman"/>
          <w:position w:val="15"/>
          <w:sz w:val="23"/>
          <w:szCs w:val="23"/>
          <w:highlight w:val="none"/>
        </w:rPr>
        <w:t>，</w:t>
      </w:r>
      <w:r>
        <w:rPr>
          <w:rFonts w:hint="default" w:ascii="Times New Roman" w:hAnsi="Times New Roman" w:eastAsia="Times New Roman" w:cs="Times New Roman"/>
          <w:position w:val="15"/>
          <w:sz w:val="23"/>
          <w:szCs w:val="23"/>
          <w:highlight w:val="none"/>
        </w:rPr>
        <w:t>m</w:t>
      </w:r>
      <w:r>
        <w:rPr>
          <w:rFonts w:hint="default" w:ascii="Times New Roman" w:hAnsi="Times New Roman" w:eastAsia="宋体" w:cs="Times New Roman"/>
          <w:position w:val="15"/>
          <w:sz w:val="23"/>
          <w:szCs w:val="23"/>
          <w:highlight w:val="none"/>
        </w:rPr>
        <w:t>；</w:t>
      </w:r>
    </w:p>
    <w:p>
      <w:pPr>
        <w:spacing w:line="315" w:lineRule="exact"/>
        <w:ind w:left="484"/>
        <w:rPr>
          <w:rFonts w:hint="default" w:ascii="Times New Roman" w:hAnsi="Times New Roman" w:eastAsia="宋体" w:cs="Times New Roman"/>
          <w:sz w:val="23"/>
          <w:szCs w:val="23"/>
          <w:highlight w:val="none"/>
        </w:rPr>
      </w:pPr>
      <w:r>
        <w:rPr>
          <w:rFonts w:hint="default" w:ascii="Times New Roman" w:hAnsi="Times New Roman" w:eastAsia="Times New Roman" w:cs="Times New Roman"/>
          <w:i/>
          <w:iCs/>
          <w:position w:val="2"/>
          <w:sz w:val="23"/>
          <w:szCs w:val="23"/>
          <w:highlight w:val="none"/>
        </w:rPr>
        <w:t>D</w:t>
      </w:r>
      <w:r>
        <w:rPr>
          <w:rFonts w:hint="default" w:ascii="Times New Roman" w:hAnsi="Times New Roman" w:eastAsia="Times New Roman" w:cs="Times New Roman"/>
          <w:i/>
          <w:iCs/>
          <w:position w:val="1"/>
          <w:sz w:val="15"/>
          <w:szCs w:val="15"/>
          <w:highlight w:val="none"/>
        </w:rPr>
        <w:t>ij</w:t>
      </w:r>
      <w:r>
        <w:rPr>
          <w:rFonts w:hint="default" w:ascii="Times New Roman" w:hAnsi="Times New Roman" w:eastAsia="Times New Roman" w:cs="Times New Roman"/>
          <w:spacing w:val="15"/>
          <w:position w:val="2"/>
          <w:sz w:val="23"/>
          <w:szCs w:val="23"/>
          <w:highlight w:val="none"/>
        </w:rPr>
        <w:t>—</w:t>
      </w:r>
      <w:r>
        <w:rPr>
          <w:rFonts w:hint="default" w:ascii="Times New Roman" w:hAnsi="Times New Roman" w:eastAsia="宋体" w:cs="Times New Roman"/>
          <w:spacing w:val="10"/>
          <w:position w:val="2"/>
          <w:sz w:val="23"/>
          <w:szCs w:val="23"/>
          <w:highlight w:val="none"/>
        </w:rPr>
        <w:t>水动力弥散系数张量，</w:t>
      </w:r>
      <w:r>
        <w:rPr>
          <w:rFonts w:hint="default" w:ascii="Times New Roman" w:hAnsi="Times New Roman" w:eastAsia="Times New Roman" w:cs="Times New Roman"/>
          <w:position w:val="2"/>
          <w:sz w:val="23"/>
          <w:szCs w:val="23"/>
          <w:highlight w:val="none"/>
        </w:rPr>
        <w:t>m</w:t>
      </w:r>
      <w:r>
        <w:rPr>
          <w:rFonts w:hint="default" w:ascii="Times New Roman" w:hAnsi="Times New Roman" w:eastAsia="Times New Roman" w:cs="Times New Roman"/>
          <w:spacing w:val="10"/>
          <w:position w:val="10"/>
          <w:sz w:val="15"/>
          <w:szCs w:val="15"/>
          <w:highlight w:val="none"/>
        </w:rPr>
        <w:t>2</w:t>
      </w:r>
      <w:r>
        <w:rPr>
          <w:rFonts w:hint="default" w:ascii="Times New Roman" w:hAnsi="Times New Roman" w:eastAsia="Times New Roman" w:cs="Times New Roman"/>
          <w:spacing w:val="10"/>
          <w:position w:val="2"/>
          <w:sz w:val="23"/>
          <w:szCs w:val="23"/>
          <w:highlight w:val="none"/>
        </w:rPr>
        <w:t>/</w:t>
      </w:r>
      <w:r>
        <w:rPr>
          <w:rFonts w:hint="default" w:ascii="Times New Roman" w:hAnsi="Times New Roman" w:eastAsia="Times New Roman" w:cs="Times New Roman"/>
          <w:position w:val="2"/>
          <w:sz w:val="23"/>
          <w:szCs w:val="23"/>
          <w:highlight w:val="none"/>
        </w:rPr>
        <w:t>d</w:t>
      </w:r>
      <w:r>
        <w:rPr>
          <w:rFonts w:hint="default" w:ascii="Times New Roman" w:hAnsi="Times New Roman" w:eastAsia="宋体" w:cs="Times New Roman"/>
          <w:spacing w:val="10"/>
          <w:position w:val="2"/>
          <w:sz w:val="23"/>
          <w:szCs w:val="23"/>
          <w:highlight w:val="none"/>
        </w:rPr>
        <w:t>；</w:t>
      </w:r>
    </w:p>
    <w:p>
      <w:pPr>
        <w:spacing w:before="150" w:line="315" w:lineRule="exact"/>
        <w:ind w:left="521"/>
        <w:rPr>
          <w:rFonts w:hint="default" w:ascii="Times New Roman" w:hAnsi="Times New Roman" w:eastAsia="宋体" w:cs="Times New Roman"/>
          <w:sz w:val="23"/>
          <w:szCs w:val="23"/>
          <w:highlight w:val="none"/>
        </w:rPr>
      </w:pPr>
      <w:r>
        <w:rPr>
          <w:rFonts w:hint="default" w:ascii="Times New Roman" w:hAnsi="Times New Roman" w:eastAsia="Times New Roman" w:cs="Times New Roman"/>
          <w:i/>
          <w:iCs/>
          <w:position w:val="1"/>
          <w:sz w:val="23"/>
          <w:szCs w:val="23"/>
          <w:highlight w:val="none"/>
        </w:rPr>
        <w:t>V</w:t>
      </w:r>
      <w:r>
        <w:rPr>
          <w:rFonts w:hint="default" w:ascii="Times New Roman" w:hAnsi="Times New Roman" w:eastAsia="Times New Roman" w:cs="Times New Roman"/>
          <w:i/>
          <w:iCs/>
          <w:sz w:val="15"/>
          <w:szCs w:val="15"/>
          <w:highlight w:val="none"/>
        </w:rPr>
        <w:t>i</w:t>
      </w:r>
      <w:r>
        <w:rPr>
          <w:rFonts w:hint="default" w:ascii="Times New Roman" w:hAnsi="Times New Roman" w:eastAsia="Times New Roman" w:cs="Times New Roman"/>
          <w:spacing w:val="8"/>
          <w:position w:val="1"/>
          <w:sz w:val="23"/>
          <w:szCs w:val="23"/>
          <w:highlight w:val="none"/>
        </w:rPr>
        <w:t>—</w:t>
      </w:r>
      <w:r>
        <w:rPr>
          <w:rFonts w:hint="default" w:ascii="Times New Roman" w:hAnsi="Times New Roman" w:eastAsia="宋体" w:cs="Times New Roman"/>
          <w:spacing w:val="8"/>
          <w:position w:val="1"/>
          <w:sz w:val="23"/>
          <w:szCs w:val="23"/>
          <w:highlight w:val="none"/>
        </w:rPr>
        <w:t>地下水渗流速度张量，</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8"/>
          <w:position w:val="1"/>
          <w:sz w:val="23"/>
          <w:szCs w:val="23"/>
          <w:highlight w:val="none"/>
        </w:rPr>
        <w:t>/</w:t>
      </w:r>
      <w:r>
        <w:rPr>
          <w:rFonts w:hint="default" w:ascii="Times New Roman" w:hAnsi="Times New Roman" w:eastAsia="Times New Roman" w:cs="Times New Roman"/>
          <w:position w:val="1"/>
          <w:sz w:val="23"/>
          <w:szCs w:val="23"/>
          <w:highlight w:val="none"/>
        </w:rPr>
        <w:t>d</w:t>
      </w:r>
      <w:r>
        <w:rPr>
          <w:rFonts w:hint="default" w:ascii="Times New Roman" w:hAnsi="Times New Roman" w:eastAsia="宋体" w:cs="Times New Roman"/>
          <w:spacing w:val="6"/>
          <w:position w:val="1"/>
          <w:sz w:val="23"/>
          <w:szCs w:val="23"/>
          <w:highlight w:val="none"/>
        </w:rPr>
        <w:t>；</w:t>
      </w:r>
    </w:p>
    <w:p>
      <w:pPr>
        <w:spacing w:before="153" w:line="466" w:lineRule="exact"/>
        <w:ind w:left="520"/>
        <w:rPr>
          <w:rFonts w:hint="default" w:ascii="Times New Roman" w:hAnsi="Times New Roman" w:eastAsia="宋体" w:cs="Times New Roman"/>
          <w:sz w:val="23"/>
          <w:szCs w:val="23"/>
          <w:highlight w:val="none"/>
        </w:rPr>
      </w:pPr>
      <w:r>
        <w:rPr>
          <w:rFonts w:hint="default" w:ascii="Times New Roman" w:hAnsi="Times New Roman" w:eastAsia="Times New Roman" w:cs="Times New Roman"/>
          <w:i/>
          <w:iCs/>
          <w:position w:val="13"/>
          <w:sz w:val="23"/>
          <w:szCs w:val="23"/>
          <w:highlight w:val="none"/>
        </w:rPr>
        <w:t>W</w:t>
      </w:r>
      <w:r>
        <w:rPr>
          <w:rFonts w:hint="default" w:ascii="Times New Roman" w:hAnsi="Times New Roman" w:eastAsia="Times New Roman" w:cs="Times New Roman"/>
          <w:spacing w:val="7"/>
          <w:position w:val="13"/>
          <w:sz w:val="23"/>
          <w:szCs w:val="23"/>
          <w:highlight w:val="none"/>
        </w:rPr>
        <w:t>—</w:t>
      </w:r>
      <w:r>
        <w:rPr>
          <w:rFonts w:hint="default" w:ascii="Times New Roman" w:hAnsi="Times New Roman" w:eastAsia="宋体" w:cs="Times New Roman"/>
          <w:spacing w:val="7"/>
          <w:position w:val="13"/>
          <w:sz w:val="23"/>
          <w:szCs w:val="23"/>
          <w:highlight w:val="none"/>
        </w:rPr>
        <w:t>水流的源和汇，</w:t>
      </w:r>
      <w:r>
        <w:rPr>
          <w:rFonts w:hint="default" w:ascii="Times New Roman" w:hAnsi="Times New Roman" w:eastAsia="Times New Roman" w:cs="Times New Roman"/>
          <w:position w:val="13"/>
          <w:sz w:val="23"/>
          <w:szCs w:val="23"/>
          <w:highlight w:val="none"/>
        </w:rPr>
        <w:t>m</w:t>
      </w:r>
      <w:r>
        <w:rPr>
          <w:rFonts w:hint="default" w:ascii="Times New Roman" w:hAnsi="Times New Roman" w:eastAsia="Times New Roman" w:cs="Times New Roman"/>
          <w:spacing w:val="7"/>
          <w:position w:val="21"/>
          <w:sz w:val="15"/>
          <w:szCs w:val="15"/>
          <w:highlight w:val="none"/>
        </w:rPr>
        <w:t>3</w:t>
      </w:r>
      <w:r>
        <w:rPr>
          <w:rFonts w:hint="default" w:ascii="Times New Roman" w:hAnsi="Times New Roman" w:eastAsia="Times New Roman" w:cs="Times New Roman"/>
          <w:spacing w:val="7"/>
          <w:position w:val="13"/>
          <w:sz w:val="23"/>
          <w:szCs w:val="23"/>
          <w:highlight w:val="none"/>
        </w:rPr>
        <w:t>/</w:t>
      </w:r>
      <w:r>
        <w:rPr>
          <w:rFonts w:hint="default" w:ascii="Times New Roman" w:hAnsi="Times New Roman" w:eastAsia="Times New Roman" w:cs="Times New Roman"/>
          <w:position w:val="13"/>
          <w:sz w:val="23"/>
          <w:szCs w:val="23"/>
          <w:highlight w:val="none"/>
        </w:rPr>
        <w:t>d</w:t>
      </w:r>
      <w:r>
        <w:rPr>
          <w:rFonts w:hint="default" w:ascii="Times New Roman" w:hAnsi="Times New Roman" w:eastAsia="宋体" w:cs="Times New Roman"/>
          <w:spacing w:val="7"/>
          <w:position w:val="13"/>
          <w:sz w:val="23"/>
          <w:szCs w:val="23"/>
          <w:highlight w:val="none"/>
        </w:rPr>
        <w:t>；</w:t>
      </w:r>
    </w:p>
    <w:p>
      <w:pPr>
        <w:spacing w:line="315" w:lineRule="exact"/>
        <w:ind w:left="507"/>
        <w:rPr>
          <w:rFonts w:hint="default" w:ascii="Times New Roman" w:hAnsi="Times New Roman" w:eastAsia="宋体" w:cs="Times New Roman"/>
          <w:sz w:val="23"/>
          <w:szCs w:val="23"/>
          <w:highlight w:val="none"/>
        </w:rPr>
      </w:pPr>
      <w:r>
        <w:rPr>
          <w:rFonts w:hint="default" w:ascii="Times New Roman" w:hAnsi="Times New Roman" w:eastAsia="Times New Roman" w:cs="Times New Roman"/>
          <w:i/>
          <w:iCs/>
          <w:position w:val="2"/>
          <w:sz w:val="23"/>
          <w:szCs w:val="23"/>
          <w:highlight w:val="none"/>
        </w:rPr>
        <w:t>C</w:t>
      </w:r>
      <w:r>
        <w:rPr>
          <w:rFonts w:hint="default" w:ascii="Times New Roman" w:hAnsi="Times New Roman" w:eastAsia="Times New Roman" w:cs="Times New Roman"/>
          <w:i/>
          <w:iCs/>
          <w:position w:val="1"/>
          <w:sz w:val="15"/>
          <w:szCs w:val="15"/>
          <w:highlight w:val="none"/>
        </w:rPr>
        <w:t>s</w:t>
      </w:r>
      <w:r>
        <w:rPr>
          <w:rFonts w:hint="default" w:ascii="Times New Roman" w:hAnsi="Times New Roman" w:eastAsia="Times New Roman" w:cs="Times New Roman"/>
          <w:spacing w:val="9"/>
          <w:position w:val="2"/>
          <w:sz w:val="23"/>
          <w:szCs w:val="23"/>
          <w:highlight w:val="none"/>
        </w:rPr>
        <w:t>—</w:t>
      </w:r>
      <w:r>
        <w:rPr>
          <w:rFonts w:hint="default" w:ascii="Times New Roman" w:hAnsi="Times New Roman" w:eastAsia="宋体" w:cs="Times New Roman"/>
          <w:spacing w:val="9"/>
          <w:position w:val="2"/>
          <w:sz w:val="23"/>
          <w:szCs w:val="23"/>
          <w:highlight w:val="none"/>
        </w:rPr>
        <w:t>组分的浓度，</w:t>
      </w:r>
      <w:r>
        <w:rPr>
          <w:rFonts w:hint="default" w:ascii="Times New Roman" w:hAnsi="Times New Roman" w:eastAsia="Times New Roman" w:cs="Times New Roman"/>
          <w:position w:val="2"/>
          <w:sz w:val="23"/>
          <w:szCs w:val="23"/>
          <w:highlight w:val="none"/>
        </w:rPr>
        <w:t>mg</w:t>
      </w:r>
      <w:r>
        <w:rPr>
          <w:rFonts w:hint="default" w:ascii="Times New Roman" w:hAnsi="Times New Roman" w:eastAsia="Times New Roman" w:cs="Times New Roman"/>
          <w:spacing w:val="9"/>
          <w:position w:val="2"/>
          <w:sz w:val="23"/>
          <w:szCs w:val="23"/>
          <w:highlight w:val="none"/>
        </w:rPr>
        <w:t>/</w:t>
      </w:r>
      <w:r>
        <w:rPr>
          <w:rFonts w:hint="default" w:ascii="Times New Roman" w:hAnsi="Times New Roman" w:eastAsia="Times New Roman" w:cs="Times New Roman"/>
          <w:position w:val="2"/>
          <w:sz w:val="23"/>
          <w:szCs w:val="23"/>
          <w:highlight w:val="none"/>
        </w:rPr>
        <w:t>L</w:t>
      </w:r>
      <w:r>
        <w:rPr>
          <w:rFonts w:hint="default" w:ascii="Times New Roman" w:hAnsi="Times New Roman" w:eastAsia="宋体" w:cs="Times New Roman"/>
          <w:spacing w:val="8"/>
          <w:position w:val="2"/>
          <w:sz w:val="23"/>
          <w:szCs w:val="23"/>
          <w:highlight w:val="none"/>
        </w:rPr>
        <w:t>；</w:t>
      </w:r>
    </w:p>
    <w:p>
      <w:pPr>
        <w:spacing w:line="270" w:lineRule="auto"/>
        <w:rPr>
          <w:rFonts w:hint="default" w:ascii="Times New Roman" w:hAnsi="Times New Roman" w:cs="Times New Roman"/>
          <w:sz w:val="21"/>
          <w:highlight w:val="none"/>
        </w:rPr>
      </w:pPr>
    </w:p>
    <w:p>
      <w:pPr>
        <w:spacing w:before="75" w:line="228" w:lineRule="auto"/>
        <w:ind w:left="512"/>
        <w:outlineLvl w:val="2"/>
        <w:rPr>
          <w:rFonts w:hint="default" w:ascii="Times New Roman" w:hAnsi="Times New Roman" w:eastAsia="宋体" w:cs="Times New Roman"/>
          <w:sz w:val="23"/>
          <w:szCs w:val="23"/>
          <w:highlight w:val="none"/>
        </w:rPr>
      </w:pPr>
      <w:bookmarkStart w:id="613" w:name="_Toc17424"/>
      <w:bookmarkStart w:id="614" w:name="_Toc11020"/>
      <w:bookmarkStart w:id="615" w:name="_Toc11856"/>
      <w:r>
        <w:rPr>
          <w:rFonts w:hint="default" w:ascii="Times New Roman" w:hAnsi="Times New Roman" w:eastAsia="宋体" w:cs="Times New Roman"/>
          <w:spacing w:val="18"/>
          <w:sz w:val="23"/>
          <w:szCs w:val="23"/>
          <w:highlight w:val="none"/>
        </w:rPr>
        <w:t>(</w:t>
      </w:r>
      <w:r>
        <w:rPr>
          <w:rFonts w:hint="default" w:ascii="Times New Roman" w:hAnsi="Times New Roman" w:eastAsia="Times New Roman" w:cs="Times New Roman"/>
          <w:spacing w:val="18"/>
          <w:sz w:val="23"/>
          <w:szCs w:val="23"/>
          <w:highlight w:val="none"/>
        </w:rPr>
        <w:t>2</w:t>
      </w:r>
      <w:r>
        <w:rPr>
          <w:rFonts w:hint="default" w:ascii="Times New Roman" w:hAnsi="Times New Roman" w:eastAsia="宋体" w:cs="Times New Roman"/>
          <w:spacing w:val="18"/>
          <w:sz w:val="23"/>
          <w:szCs w:val="23"/>
          <w:highlight w:val="none"/>
        </w:rPr>
        <w:t>) 弥散度的确</w:t>
      </w:r>
      <w:r>
        <w:rPr>
          <w:rFonts w:hint="default" w:ascii="Times New Roman" w:hAnsi="Times New Roman" w:eastAsia="宋体" w:cs="Times New Roman"/>
          <w:spacing w:val="17"/>
          <w:sz w:val="23"/>
          <w:szCs w:val="23"/>
          <w:highlight w:val="none"/>
        </w:rPr>
        <w:t>定</w:t>
      </w:r>
      <w:bookmarkEnd w:id="613"/>
      <w:bookmarkEnd w:id="614"/>
      <w:bookmarkEnd w:id="615"/>
    </w:p>
    <w:p>
      <w:pPr>
        <w:spacing w:before="220" w:line="401" w:lineRule="auto"/>
        <w:ind w:left="21" w:right="63"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地质介质中溶质运移主要受渗透系数在空间上变化的制约，即地质介质的结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构</w:t>
      </w:r>
      <w:r>
        <w:rPr>
          <w:rFonts w:hint="default" w:ascii="Times New Roman" w:hAnsi="Times New Roman" w:eastAsia="宋体" w:cs="Times New Roman"/>
          <w:spacing w:val="7"/>
          <w:sz w:val="23"/>
          <w:szCs w:val="23"/>
          <w:highlight w:val="none"/>
        </w:rPr>
        <w:t>影响。这一空间上变化影响到地下水流速，从而影响到溶质的对流与弥散。通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常</w:t>
      </w:r>
      <w:r>
        <w:rPr>
          <w:rFonts w:hint="default" w:ascii="Times New Roman" w:hAnsi="Times New Roman" w:eastAsia="宋体" w:cs="Times New Roman"/>
          <w:spacing w:val="7"/>
          <w:sz w:val="23"/>
          <w:szCs w:val="23"/>
          <w:highlight w:val="none"/>
        </w:rPr>
        <w:t>空隙介质中的弥散度随着溶质运移距离的增加而加大，这种现象称之为水动力</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弥</w:t>
      </w:r>
      <w:r>
        <w:rPr>
          <w:rFonts w:hint="default" w:ascii="Times New Roman" w:hAnsi="Times New Roman" w:eastAsia="宋体" w:cs="Times New Roman"/>
          <w:spacing w:val="7"/>
          <w:sz w:val="23"/>
          <w:szCs w:val="23"/>
          <w:highlight w:val="none"/>
        </w:rPr>
        <w:t>散尺度效应。其具体表现为：野外弥散试验所求出的弥散度远远大于在实验室</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所</w:t>
      </w:r>
      <w:r>
        <w:rPr>
          <w:rFonts w:hint="default" w:ascii="Times New Roman" w:hAnsi="Times New Roman" w:eastAsia="宋体" w:cs="Times New Roman"/>
          <w:spacing w:val="6"/>
          <w:sz w:val="23"/>
          <w:szCs w:val="23"/>
          <w:highlight w:val="none"/>
        </w:rPr>
        <w:t xml:space="preserve">测出的值，相差可达 </w:t>
      </w:r>
      <w:r>
        <w:rPr>
          <w:rFonts w:hint="default" w:ascii="Times New Roman" w:hAnsi="Times New Roman" w:eastAsia="Times New Roman" w:cs="Times New Roman"/>
          <w:spacing w:val="6"/>
          <w:sz w:val="23"/>
          <w:szCs w:val="23"/>
          <w:highlight w:val="none"/>
        </w:rPr>
        <w:t xml:space="preserve">4-5 </w:t>
      </w:r>
      <w:r>
        <w:rPr>
          <w:rFonts w:hint="default" w:ascii="Times New Roman" w:hAnsi="Times New Roman" w:eastAsia="宋体" w:cs="Times New Roman"/>
          <w:spacing w:val="6"/>
          <w:sz w:val="23"/>
          <w:szCs w:val="23"/>
          <w:highlight w:val="none"/>
        </w:rPr>
        <w:t>个数量级；即使是同一含水层，溶质运移距离越大，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所</w:t>
      </w:r>
      <w:r>
        <w:rPr>
          <w:rFonts w:hint="default" w:ascii="Times New Roman" w:hAnsi="Times New Roman" w:eastAsia="宋体" w:cs="Times New Roman"/>
          <w:spacing w:val="7"/>
          <w:sz w:val="23"/>
          <w:szCs w:val="23"/>
          <w:highlight w:val="none"/>
        </w:rPr>
        <w:t>计算出的弥散度也越大。越来越多的室内外弥散试验不断地证实了空隙介质中</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水</w:t>
      </w:r>
      <w:r>
        <w:rPr>
          <w:rFonts w:hint="default" w:ascii="Times New Roman" w:hAnsi="Times New Roman" w:eastAsia="宋体" w:cs="Times New Roman"/>
          <w:spacing w:val="8"/>
          <w:sz w:val="23"/>
          <w:szCs w:val="23"/>
          <w:highlight w:val="none"/>
        </w:rPr>
        <w:t>动力弥散尺度效应的存在。</w:t>
      </w:r>
    </w:p>
    <w:p>
      <w:pPr>
        <w:spacing w:before="191" w:line="402" w:lineRule="auto"/>
        <w:ind w:left="19" w:firstLine="48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许多研究者都曾用类似的图说明水动力弥散的尺度效应。</w:t>
      </w:r>
      <w:r>
        <w:rPr>
          <w:rFonts w:hint="default" w:ascii="Times New Roman" w:hAnsi="Times New Roman" w:eastAsia="Times New Roman" w:cs="Times New Roman"/>
          <w:sz w:val="23"/>
          <w:szCs w:val="23"/>
          <w:highlight w:val="none"/>
        </w:rPr>
        <w:t>Geihar</w:t>
      </w:r>
      <w:r>
        <w:rPr>
          <w:rFonts w:hint="default" w:ascii="Times New Roman" w:hAnsi="Times New Roman" w:eastAsia="Times New Roman" w:cs="Times New Roman"/>
          <w:spacing w:val="9"/>
          <w:sz w:val="23"/>
          <w:szCs w:val="23"/>
          <w:highlight w:val="none"/>
        </w:rPr>
        <w:t xml:space="preserve"> </w:t>
      </w:r>
      <w:r>
        <w:rPr>
          <w:rFonts w:hint="default" w:ascii="Times New Roman" w:hAnsi="Times New Roman" w:eastAsia="宋体" w:cs="Times New Roman"/>
          <w:spacing w:val="9"/>
          <w:sz w:val="23"/>
          <w:szCs w:val="23"/>
          <w:highlight w:val="none"/>
        </w:rPr>
        <w:t>等 (</w:t>
      </w:r>
      <w:r>
        <w:rPr>
          <w:rFonts w:hint="default" w:ascii="Times New Roman" w:hAnsi="Times New Roman" w:eastAsia="Times New Roman" w:cs="Times New Roman"/>
          <w:spacing w:val="9"/>
          <w:sz w:val="23"/>
          <w:szCs w:val="23"/>
          <w:highlight w:val="none"/>
        </w:rPr>
        <w:t>1992</w:t>
      </w:r>
      <w:r>
        <w:rPr>
          <w:rFonts w:hint="default" w:ascii="Times New Roman" w:hAnsi="Times New Roman" w:eastAsia="宋体" w:cs="Times New Roman"/>
          <w:spacing w:val="3"/>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将 </w:t>
      </w:r>
      <w:r>
        <w:rPr>
          <w:rFonts w:hint="default" w:ascii="Times New Roman" w:hAnsi="Times New Roman" w:eastAsia="Times New Roman" w:cs="Times New Roman"/>
          <w:spacing w:val="5"/>
          <w:sz w:val="23"/>
          <w:szCs w:val="23"/>
          <w:highlight w:val="none"/>
        </w:rPr>
        <w:t>5</w:t>
      </w:r>
      <w:r>
        <w:rPr>
          <w:rFonts w:hint="default" w:ascii="Times New Roman" w:hAnsi="Times New Roman" w:eastAsia="Times New Roman" w:cs="Times New Roman"/>
          <w:spacing w:val="4"/>
          <w:sz w:val="23"/>
          <w:szCs w:val="23"/>
          <w:highlight w:val="none"/>
        </w:rPr>
        <w:t xml:space="preserve">9 </w:t>
      </w:r>
      <w:r>
        <w:rPr>
          <w:rFonts w:hint="default" w:ascii="Times New Roman" w:hAnsi="Times New Roman" w:eastAsia="宋体" w:cs="Times New Roman"/>
          <w:spacing w:val="4"/>
          <w:sz w:val="23"/>
          <w:szCs w:val="23"/>
          <w:highlight w:val="none"/>
        </w:rPr>
        <w:t>个不同现场所获得的弥散度按含水层类型、水力学特征、地下水流动状态、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观</w:t>
      </w:r>
      <w:r>
        <w:rPr>
          <w:rFonts w:hint="default" w:ascii="Times New Roman" w:hAnsi="Times New Roman" w:eastAsia="宋体" w:cs="Times New Roman"/>
          <w:spacing w:val="8"/>
          <w:sz w:val="23"/>
          <w:szCs w:val="23"/>
          <w:highlight w:val="none"/>
        </w:rPr>
        <w:t>测</w:t>
      </w:r>
      <w:r>
        <w:rPr>
          <w:rFonts w:hint="default" w:ascii="Times New Roman" w:hAnsi="Times New Roman" w:eastAsia="宋体" w:cs="Times New Roman"/>
          <w:spacing w:val="7"/>
          <w:sz w:val="23"/>
          <w:szCs w:val="23"/>
          <w:highlight w:val="none"/>
        </w:rPr>
        <w:t>网类别、示踪剂类型、数据的获取方法、水质模型的尺度等整理后，对弥散</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度增大</w:t>
      </w:r>
      <w:r>
        <w:rPr>
          <w:rFonts w:hint="default" w:ascii="Times New Roman" w:hAnsi="Times New Roman" w:eastAsia="宋体" w:cs="Times New Roman"/>
          <w:spacing w:val="11"/>
          <w:sz w:val="23"/>
          <w:szCs w:val="23"/>
          <w:highlight w:val="none"/>
        </w:rPr>
        <w:t>的</w:t>
      </w:r>
      <w:r>
        <w:rPr>
          <w:rFonts w:hint="default" w:ascii="Times New Roman" w:hAnsi="Times New Roman" w:eastAsia="宋体" w:cs="Times New Roman"/>
          <w:spacing w:val="8"/>
          <w:sz w:val="23"/>
          <w:szCs w:val="23"/>
          <w:highlight w:val="none"/>
        </w:rPr>
        <w:t>规律进行了讨论。</w:t>
      </w:r>
      <w:r>
        <w:rPr>
          <w:rFonts w:hint="default" w:ascii="Times New Roman" w:hAnsi="Times New Roman" w:eastAsia="Times New Roman" w:cs="Times New Roman"/>
          <w:sz w:val="23"/>
          <w:szCs w:val="23"/>
          <w:highlight w:val="none"/>
        </w:rPr>
        <w:t>Neuman</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1991</w:t>
      </w:r>
      <w:r>
        <w:rPr>
          <w:rFonts w:hint="default" w:ascii="Times New Roman" w:hAnsi="Times New Roman" w:eastAsia="宋体" w:cs="Times New Roman"/>
          <w:spacing w:val="8"/>
          <w:sz w:val="23"/>
          <w:szCs w:val="23"/>
          <w:highlight w:val="none"/>
        </w:rPr>
        <w:t xml:space="preserve">) 根据前人文献中所记载的 </w:t>
      </w:r>
      <w:r>
        <w:rPr>
          <w:rFonts w:hint="default" w:ascii="Times New Roman" w:hAnsi="Times New Roman" w:eastAsia="Times New Roman" w:cs="Times New Roman"/>
          <w:spacing w:val="8"/>
          <w:sz w:val="23"/>
          <w:szCs w:val="23"/>
          <w:highlight w:val="none"/>
        </w:rPr>
        <w:t xml:space="preserve">130 </w:t>
      </w:r>
      <w:r>
        <w:rPr>
          <w:rFonts w:hint="default" w:ascii="Times New Roman" w:hAnsi="Times New Roman" w:eastAsia="宋体" w:cs="Times New Roman"/>
          <w:spacing w:val="8"/>
          <w:sz w:val="23"/>
          <w:szCs w:val="23"/>
          <w:highlight w:val="none"/>
        </w:rPr>
        <w:t>余个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纵</w:t>
      </w:r>
      <w:r>
        <w:rPr>
          <w:rFonts w:hint="default" w:ascii="Times New Roman" w:hAnsi="Times New Roman" w:eastAsia="宋体" w:cs="Times New Roman"/>
          <w:spacing w:val="8"/>
          <w:sz w:val="23"/>
          <w:szCs w:val="23"/>
          <w:highlight w:val="none"/>
        </w:rPr>
        <w:t>向</w:t>
      </w:r>
      <w:r>
        <w:rPr>
          <w:rFonts w:hint="default" w:ascii="Times New Roman" w:hAnsi="Times New Roman" w:eastAsia="宋体" w:cs="Times New Roman"/>
          <w:spacing w:val="7"/>
          <w:sz w:val="23"/>
          <w:szCs w:val="23"/>
          <w:highlight w:val="none"/>
        </w:rPr>
        <w:t>弥散度进行了线性回归分析，并综合前人发展的准线性扩散理论，对尺度效</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应进行</w:t>
      </w:r>
      <w:r>
        <w:rPr>
          <w:rFonts w:hint="default" w:ascii="Times New Roman" w:hAnsi="Times New Roman" w:eastAsia="宋体" w:cs="Times New Roman"/>
          <w:spacing w:val="7"/>
          <w:sz w:val="23"/>
          <w:szCs w:val="23"/>
          <w:highlight w:val="none"/>
        </w:rPr>
        <w:t>了</w:t>
      </w:r>
      <w:r>
        <w:rPr>
          <w:rFonts w:hint="default" w:ascii="Times New Roman" w:hAnsi="Times New Roman" w:eastAsia="宋体" w:cs="Times New Roman"/>
          <w:spacing w:val="6"/>
          <w:sz w:val="23"/>
          <w:szCs w:val="23"/>
          <w:highlight w:val="none"/>
        </w:rPr>
        <w:t>解释与讨论。李国敏等 (</w:t>
      </w:r>
      <w:r>
        <w:rPr>
          <w:rFonts w:hint="default" w:ascii="Times New Roman" w:hAnsi="Times New Roman" w:eastAsia="Times New Roman" w:cs="Times New Roman"/>
          <w:spacing w:val="6"/>
          <w:sz w:val="23"/>
          <w:szCs w:val="23"/>
          <w:highlight w:val="none"/>
        </w:rPr>
        <w:t>1995</w:t>
      </w:r>
      <w:r>
        <w:rPr>
          <w:rFonts w:hint="default" w:ascii="Times New Roman" w:hAnsi="Times New Roman" w:eastAsia="宋体" w:cs="Times New Roman"/>
          <w:spacing w:val="6"/>
          <w:sz w:val="23"/>
          <w:szCs w:val="23"/>
          <w:highlight w:val="none"/>
        </w:rPr>
        <w:t>) 综合了前人文献中记录的弥散度数值按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介质类</w:t>
      </w:r>
      <w:r>
        <w:rPr>
          <w:rFonts w:hint="default" w:ascii="Times New Roman" w:hAnsi="Times New Roman" w:eastAsia="宋体" w:cs="Times New Roman"/>
          <w:spacing w:val="7"/>
          <w:sz w:val="23"/>
          <w:szCs w:val="23"/>
          <w:highlight w:val="none"/>
        </w:rPr>
        <w:t>型</w:t>
      </w:r>
      <w:r>
        <w:rPr>
          <w:rFonts w:hint="default" w:ascii="Times New Roman" w:hAnsi="Times New Roman" w:eastAsia="宋体" w:cs="Times New Roman"/>
          <w:spacing w:val="6"/>
          <w:sz w:val="23"/>
          <w:szCs w:val="23"/>
          <w:highlight w:val="none"/>
        </w:rPr>
        <w:t xml:space="preserve"> (孔隙与非孔隙的裂隙等介质) 、模型类别 (解析模型与数值模型) 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分</w:t>
      </w:r>
      <w:r>
        <w:rPr>
          <w:rFonts w:hint="default" w:ascii="Times New Roman" w:hAnsi="Times New Roman" w:eastAsia="宋体" w:cs="Times New Roman"/>
          <w:spacing w:val="8"/>
          <w:sz w:val="23"/>
          <w:szCs w:val="23"/>
          <w:highlight w:val="none"/>
        </w:rPr>
        <w:t>别</w:t>
      </w:r>
      <w:r>
        <w:rPr>
          <w:rFonts w:hint="default" w:ascii="Times New Roman" w:hAnsi="Times New Roman" w:eastAsia="宋体" w:cs="Times New Roman"/>
          <w:spacing w:val="7"/>
          <w:sz w:val="23"/>
          <w:szCs w:val="23"/>
          <w:highlight w:val="none"/>
        </w:rPr>
        <w:t>作出弥散度与基准尺度的双对数分布，并分别给出了不同介质中使用不同模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型</w:t>
      </w:r>
      <w:r>
        <w:rPr>
          <w:rFonts w:hint="default" w:ascii="Times New Roman" w:hAnsi="Times New Roman" w:eastAsia="宋体" w:cs="Times New Roman"/>
          <w:spacing w:val="8"/>
          <w:sz w:val="23"/>
          <w:szCs w:val="23"/>
          <w:highlight w:val="none"/>
        </w:rPr>
        <w:t>所</w:t>
      </w:r>
      <w:r>
        <w:rPr>
          <w:rFonts w:hint="default" w:ascii="Times New Roman" w:hAnsi="Times New Roman" w:eastAsia="宋体" w:cs="Times New Roman"/>
          <w:spacing w:val="7"/>
          <w:sz w:val="23"/>
          <w:szCs w:val="23"/>
          <w:highlight w:val="none"/>
        </w:rPr>
        <w:t>求出参数的分维数。如前述分析，由于水动力弥散尺度效应的存在，难以通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过</w:t>
      </w:r>
      <w:r>
        <w:rPr>
          <w:rFonts w:hint="default" w:ascii="Times New Roman" w:hAnsi="Times New Roman" w:eastAsia="宋体" w:cs="Times New Roman"/>
          <w:spacing w:val="8"/>
          <w:sz w:val="23"/>
          <w:szCs w:val="23"/>
          <w:highlight w:val="none"/>
        </w:rPr>
        <w:t>野</w:t>
      </w:r>
      <w:r>
        <w:rPr>
          <w:rFonts w:hint="default" w:ascii="Times New Roman" w:hAnsi="Times New Roman" w:eastAsia="宋体" w:cs="Times New Roman"/>
          <w:spacing w:val="7"/>
          <w:sz w:val="23"/>
          <w:szCs w:val="23"/>
          <w:highlight w:val="none"/>
        </w:rPr>
        <w:t>外或室内弥散试验获得真实的弥散度。因此，由于水动力弥散尺度效应的存</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在</w:t>
      </w:r>
      <w:r>
        <w:rPr>
          <w:rFonts w:hint="default" w:ascii="Times New Roman" w:hAnsi="Times New Roman" w:eastAsia="宋体" w:cs="Times New Roman"/>
          <w:spacing w:val="8"/>
          <w:sz w:val="23"/>
          <w:szCs w:val="23"/>
          <w:highlight w:val="none"/>
        </w:rPr>
        <w:t>，</w:t>
      </w:r>
      <w:r>
        <w:rPr>
          <w:rFonts w:hint="default" w:ascii="Times New Roman" w:hAnsi="Times New Roman" w:eastAsia="宋体" w:cs="Times New Roman"/>
          <w:spacing w:val="7"/>
          <w:sz w:val="23"/>
          <w:szCs w:val="23"/>
          <w:highlight w:val="none"/>
        </w:rPr>
        <w:t>本次工作参考前人的研究成果，和类似溶质运移模拟的经验，从保守角度考</w:t>
      </w:r>
      <w:r>
        <w:rPr>
          <w:rFonts w:hint="default" w:ascii="Times New Roman" w:hAnsi="Times New Roman" w:eastAsia="宋体" w:cs="Times New Roman"/>
          <w:spacing w:val="4"/>
          <w:sz w:val="23"/>
          <w:szCs w:val="23"/>
          <w:highlight w:val="none"/>
        </w:rPr>
        <w:t xml:space="preserve">虑，取弥散度参数值取 </w:t>
      </w:r>
      <w:r>
        <w:rPr>
          <w:rFonts w:hint="default" w:ascii="Times New Roman" w:hAnsi="Times New Roman" w:eastAsia="Times New Roman" w:cs="Times New Roman"/>
          <w:spacing w:val="4"/>
          <w:sz w:val="23"/>
          <w:szCs w:val="23"/>
          <w:highlight w:val="none"/>
        </w:rPr>
        <w:t>10</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3"/>
          <w:sz w:val="23"/>
          <w:szCs w:val="23"/>
          <w:highlight w:val="none"/>
        </w:rPr>
        <w:t>。</w:t>
      </w:r>
    </w:p>
    <w:p>
      <w:pPr>
        <w:spacing w:line="103" w:lineRule="exact"/>
        <w:ind w:firstLine="1344"/>
        <w:textAlignment w:val="center"/>
        <w:rPr>
          <w:rFonts w:hint="default" w:ascii="Times New Roman" w:hAnsi="Times New Roman" w:cs="Times New Roman"/>
          <w:highlight w:val="none"/>
        </w:rPr>
      </w:pPr>
      <w:r>
        <w:rPr>
          <w:rFonts w:hint="default" w:ascii="Times New Roman" w:hAnsi="Times New Roman" w:cs="Times New Roman"/>
          <w:highlight w:val="none"/>
        </w:rPr>
        <w:pict>
          <v:shape id="_x0000_s1322" o:spid="_x0000_s1322" style="height:5.2pt;width:23pt;" filled="f" stroked="t" coordsize="460,103" path="m1,17l17,1,17,102m1,102l34,102m68,102l68,85m119,102l102,85,102,17,119,1,136,1,153,17,153,85,136,102,119,102m187,102l187,1,255,1m187,51l221,51m187,102l255,102m322,85l322,17m356,51l289,51m458,68l390,68,441,1,441,102e">
            <v:fill on="f" focussize="0,0"/>
            <v:stroke weight="0.12pt" color="#0000FF" miterlimit="2" endcap="round"/>
            <v:imagedata o:title=""/>
            <o:lock v:ext="edit"/>
            <w10:wrap type="none"/>
            <w10:anchorlock/>
          </v:shape>
        </w:pict>
      </w:r>
    </w:p>
    <w:p>
      <w:pPr>
        <w:spacing w:line="313" w:lineRule="auto"/>
        <w:rPr>
          <w:rFonts w:hint="default" w:ascii="Times New Roman" w:hAnsi="Times New Roman" w:cs="Times New Roman"/>
          <w:sz w:val="21"/>
          <w:highlight w:val="none"/>
        </w:rPr>
      </w:pPr>
    </w:p>
    <w:p>
      <w:pPr>
        <w:spacing w:line="104" w:lineRule="exact"/>
        <w:ind w:firstLine="1362"/>
        <w:textAlignment w:val="center"/>
        <w:rPr>
          <w:rFonts w:hint="default" w:ascii="Times New Roman" w:hAnsi="Times New Roman" w:cs="Times New Roman"/>
          <w:highlight w:val="none"/>
        </w:rPr>
      </w:pPr>
      <w:r>
        <w:rPr>
          <w:rFonts w:hint="default" w:ascii="Times New Roman" w:hAnsi="Times New Roman" w:cs="Times New Roman"/>
          <w:highlight w:val="none"/>
        </w:rPr>
        <w:pict>
          <v:shape id="_x0000_s1323" o:spid="_x0000_s1323" style="height:5.2pt;width:23pt;" filled="f" stroked="t" coordsize="460,103" path="m1,18l18,1,18,102m1,102l35,102m69,102l69,85m119,102l102,85,102,18,119,1,136,1,153,18,153,85,136,102,119,102m187,102l187,1,255,1m187,51l221,51m187,102l255,102m323,85l323,18m357,51l289,51m390,18l407,1,441,1,458,18,458,34,441,51,424,51m441,51l458,68,458,85,441,102,407,102,390,85e">
            <v:fill on="f" focussize="0,0"/>
            <v:stroke weight="0.12pt" color="#0000FF" miterlimit="2" endcap="round"/>
            <v:imagedata o:title=""/>
            <o:lock v:ext="edit"/>
            <w10:wrap type="none"/>
            <w10:anchorlock/>
          </v:shape>
        </w:pict>
      </w:r>
    </w:p>
    <w:p>
      <w:pPr>
        <w:spacing w:line="378" w:lineRule="auto"/>
        <w:rPr>
          <w:rFonts w:hint="default" w:ascii="Times New Roman" w:hAnsi="Times New Roman" w:cs="Times New Roman"/>
          <w:sz w:val="21"/>
          <w:highlight w:val="none"/>
        </w:rPr>
      </w:pPr>
    </w:p>
    <w:p>
      <w:pPr>
        <w:spacing w:before="1" w:line="104" w:lineRule="exact"/>
        <w:ind w:firstLine="1345"/>
        <w:textAlignment w:val="center"/>
        <w:rPr>
          <w:rFonts w:hint="default" w:ascii="Times New Roman" w:hAnsi="Times New Roman" w:cs="Times New Roman"/>
          <w:highlight w:val="none"/>
        </w:rPr>
      </w:pPr>
      <w:r>
        <w:rPr>
          <w:rFonts w:hint="default" w:ascii="Times New Roman" w:hAnsi="Times New Roman" w:cs="Times New Roman"/>
          <w:highlight w:val="none"/>
        </w:rPr>
        <w:pict>
          <v:shape id="_x0000_s1324" o:spid="_x0000_s1324" style="height:5.2pt;width:23pt;" filled="f" stroked="t" coordsize="460,103" path="m1,18l18,1,18,102m1,102l35,102m68,102l68,85m119,102l102,85,102,18,119,1,136,1,153,18,153,85,136,102,119,102m187,102l187,1,255,1m187,52l221,52m187,102l255,102m323,85l323,18m356,52l289,52m390,18l407,1,441,1,458,18,458,35,441,52,407,52,390,69,390,102,458,102e">
            <v:fill on="f" focussize="0,0"/>
            <v:stroke weight="0.12pt" color="#0000FF" miterlimit="2" endcap="round"/>
            <v:imagedata o:title=""/>
            <o:lock v:ext="edit"/>
            <w10:wrap type="none"/>
            <w10:anchorlock/>
          </v:shape>
        </w:pict>
      </w:r>
    </w:p>
    <w:p>
      <w:pPr>
        <w:spacing w:before="238" w:line="1630" w:lineRule="exact"/>
        <w:ind w:firstLine="1863"/>
        <w:textAlignment w:val="center"/>
        <w:rPr>
          <w:rFonts w:hint="default" w:ascii="Times New Roman" w:hAnsi="Times New Roman" w:cs="Times New Roman"/>
          <w:highlight w:val="none"/>
        </w:rPr>
      </w:pPr>
      <w:r>
        <w:rPr>
          <w:rFonts w:hint="default" w:ascii="Times New Roman" w:hAnsi="Times New Roman" w:cs="Times New Roman"/>
          <w:highlight w:val="none"/>
        </w:rPr>
        <w:pict>
          <v:group id="_x0000_s1325" o:spid="_x0000_s1325" o:spt="203" style="height:81.55pt;width:258.35pt;" coordsize="5167,1631">
            <o:lock v:ext="edit"/>
            <v:shape id="_x0000_s1326" o:spid="_x0000_s1326" style="position:absolute;left:24;top:0;height:1631;width:5142;" filled="f" stroked="t" coordsize="5142,1631" path="m1510,1431l1507,1417,1499,1404,1487,1396,1473,1393,1458,1396,1446,1404,1438,1417,1435,1431,1438,1446,1446,1458,1458,1466,1473,1469,1487,1466,1499,1458,1507,1446,1510,1431m1460,753l1457,738,1449,726,1437,717,1422,715,1408,717,1396,726,1388,738,1385,753,1388,767,1396,779,1408,787,1422,790,1437,787,1449,779,1457,767,1460,753m1533,871l1530,857,1522,845,1510,836,1495,833,1481,836,1468,845,1460,857,1457,871,1460,886,1468,898,1481,906,1495,909,1510,906,1522,898,1530,886,1533,871m1630,815l1627,801,1619,789,1607,781,1592,778,1578,781,1566,789,1557,801,1554,815,1557,830,1566,842,1578,850,1592,853,1607,850,1619,842,1627,830,1630,815m1730,745l1727,731,1718,719,1706,710,1692,707,1677,710,1665,719,1657,731,1654,745,1657,760,1665,772,1677,780,1692,783,1706,780,1718,772,1727,760,1730,745m1870,694l1867,680,1859,668,1847,659,1832,656,1818,659,1806,668,1798,680,1795,694,1798,709,1806,721,1818,729,1832,732,1847,729,1859,721,1867,709,1870,694m1950,607l1947,593,1939,580,1927,572,1913,569,1898,572,1886,580,1878,593,1875,607,1878,622,1886,634,1898,642,1913,645,1927,642,1939,634,1947,622,1950,607m1865,558l1862,544,1854,532,1842,524,1828,521,1813,524,1801,532,1793,544,1790,558,1793,573,1801,585,1813,593,1828,596,1842,593,1854,585,1862,573,1865,558m1582,37l1579,23,1570,11,1558,2,1544,0,1529,2,1517,11,1509,23,1506,37,1509,52,1517,64,1529,72,1544,75,1558,72,1570,64,1579,52,1582,37m1574,130l1571,115,1563,103,1551,95,1536,92,1522,95,1510,103,1502,115,1499,130,1502,144,1510,156,1522,164,1536,167,1551,164,1563,156,1571,144,1574,130m1931,876l1880,947m1880,947l1967,947m1967,947l1931,876m2277,1097l2241,1026m2190,1097l2277,1097m2241,1026l2190,1097m2418,725l2383,655m2332,725l2418,725m2383,655l2332,725m2112,679l2077,609m2025,679l2112,679m2077,609l2025,679m1812,1189l1777,1118m1726,1189l1812,1189m1777,1118l1726,1189m1502,1568l1467,1497m1415,1568l1502,1568m1467,1497l1415,1568m1049,1545l1014,1474m963,1545l1049,1545m1014,1474l963,1545m804,1630l769,1559m717,1630l804,1630m769,1559l717,1630m1520,1022l1485,951m1434,1022l1520,1022m1485,951l1434,1022m1450,648l1415,577m1363,648l1450,648m1415,577l1363,648m1784,610l1749,538m1698,610l1784,610m1749,538l1698,610m1749,430l1714,360m1662,430l1749,430m1714,360l1662,430m1725,255l1690,185m1638,255l1725,255m1690,185l1638,255m2765,109l2730,38m2679,109l2765,109m2730,38l2679,109m2382,578l2347,507m2295,578l2382,578m2347,507l2295,578m2278,422l2243,351m2191,422l2278,422m2243,351l2191,422m2075,522l2073,508,2064,495,2052,487,2038,484,2023,487,2011,495,2003,508,2000,522,2003,537,2011,549,2023,557,2038,560,2052,557,2064,549,2073,537,2075,522m1888,380l1885,366,1877,353,1865,345,1850,343,1836,345,1824,353,1815,366,1812,380,1815,395,1824,407,1836,415,1850,418,1865,415,1877,407,1885,395,1888,380m1473,926l1471,912,1463,899,1450,891,1436,888,1421,891,1409,899,1401,912,1398,926,1401,940,1409,953,1421,961,1436,964,1450,961,1463,953,1471,940,1473,926m2404,749l2401,734,2392,722,2380,714,2366,711,2351,714,2339,722,2331,734,2328,749,2331,763,2339,776,2351,784,2366,787,2380,784,2392,776,2401,763,2404,749m2607,216l2604,202,2595,189,2583,181,2569,178,2554,181,2542,189,2534,202,2531,216,2534,230,2542,243,2554,251,2569,254,2583,251,2595,243,2604,230,2607,216m2658,111l2655,96,2647,84,2635,76,2620,73,2606,76,2594,84,2586,96,2583,111,2586,125,2594,138,2606,146,2620,149,2635,146,2647,138,2655,125,2658,111m3875,101l3872,86,3863,74,3851,66,3837,63,3822,66,3810,74,3802,86,3799,101,3802,115,3810,127,3822,136,3837,139,3851,136,3863,127,3872,115,3875,101m1998,470l1995,455,1987,443,1975,435,1960,432,1946,435,1934,443,1926,455,1923,470,1926,484,1934,496,1946,505,1960,507,1975,505,1987,496,1995,484,1998,470m1438,1100l1435,1085,1427,1073,1414,1065,1400,1062,1385,1065,1373,1073,1365,1085,1362,1100,1365,1114,1373,1127,1385,1135,1400,1138,1414,1135,1427,1127,1435,1114,1438,1100m0,612l5141,612e">
              <v:fill on="f" focussize="0,0"/>
              <v:stroke weight="0pt" color="#0000FF" miterlimit="0" endcap="round"/>
              <v:imagedata o:title=""/>
              <o:lock v:ext="edit"/>
            </v:shape>
            <v:shape id="_x0000_s1327" o:spid="_x0000_s1327" style="position:absolute;left:0;top:1398;height:32;width:24;" fillcolor="#0000FF" filled="t" stroked="f" coordsize="24,32" path="m17,15l23,31,19,32,15,32,12,32,8,30,5,28,2,25,1,22,0,18,0,14,0,11,2,7,4,4,7,1,10,0,17,15e">
              <v:path/>
              <v:fill on="t" focussize="0,0"/>
              <v:stroke on="f"/>
              <v:imagedata o:title=""/>
              <o:lock v:ext="edit"/>
            </v:shape>
            <v:shape id="_x0000_s1328" o:spid="_x0000_s1328" style="position:absolute;left:0;top:1398;height:32;width:24;" filled="f" stroked="t" coordsize="24,32" path="m23,31l19,32,15,32,12,32,8,30,5,28,2,25,1,22,0,18,0,14,0,11,2,7,4,4,7,1,10,0e">
              <v:fill on="f" focussize="0,0"/>
              <v:stroke weight="0pt" color="#0000FF" miterlimit="0" endcap="round"/>
              <v:imagedata o:title=""/>
              <o:lock v:ext="edit"/>
            </v:shape>
            <w10:wrap type="none"/>
            <w10:anchorlock/>
          </v:group>
        </w:pict>
      </w:r>
    </w:p>
    <w:p>
      <w:pPr>
        <w:spacing w:line="461" w:lineRule="auto"/>
        <w:rPr>
          <w:rFonts w:hint="default" w:ascii="Times New Roman" w:hAnsi="Times New Roman" w:cs="Times New Roman"/>
          <w:sz w:val="21"/>
          <w:highlight w:val="none"/>
        </w:rPr>
      </w:pPr>
    </w:p>
    <w:p>
      <w:pPr>
        <w:spacing w:before="1" w:line="148" w:lineRule="exact"/>
        <w:ind w:firstLine="1806"/>
        <w:textAlignment w:val="center"/>
        <w:rPr>
          <w:rFonts w:hint="default" w:ascii="Times New Roman" w:hAnsi="Times New Roman" w:cs="Times New Roman"/>
          <w:highlight w:val="none"/>
        </w:rPr>
      </w:pPr>
      <w:r>
        <w:rPr>
          <w:rFonts w:hint="default" w:ascii="Times New Roman" w:hAnsi="Times New Roman" w:cs="Times New Roman"/>
          <w:highlight w:val="none"/>
        </w:rPr>
        <w:pict>
          <v:shape id="_x0000_s1329" o:spid="_x0000_s1329" style="height:7.45pt;width:274.05pt;" filled="f" stroked="t" coordsize="5480,148" path="m1,23l18,6,18,107m1,107l35,107m68,107l68,90m119,107l102,90,102,23,119,6,136,6,153,23,153,90,136,107,119,107m187,107l187,6,255,6m187,57l221,57m187,107l255,107m289,57l356,57m390,23l407,6,407,107m390,107l424,107m734,48l751,31,751,133m734,133l768,133m802,133l802,116m853,133l836,116,836,48,853,31,870,31,886,48,886,116,870,133,853,133m920,133l920,31,988,31m920,82l954,82m920,133l988,133m1056,116l1056,48m1090,82l1022,82m1141,133l1124,116,1124,48,1141,31,1157,31,1174,48,1174,116,1157,133,1141,133m1696,62l1713,45,1713,147m1696,147l1729,147m1763,147l1763,130m1814,147l1797,130,1797,62,1814,45,1831,45,1848,62,1848,130,1831,147,1814,147m1882,147l1882,45,1950,45m1882,96l1916,96m1882,147l1950,147m2017,130l2017,62m2051,96l1984,96m2085,62l2102,45,2102,147m2085,147l2119,147m2513,40l2530,23,2530,124m2513,124l2547,124m2581,124l2581,108m2632,124l2615,108,2615,40,2632,23,2649,23,2666,40,2666,108,2649,124,2632,124m2700,124l2700,23,2767,23m2700,74l2734,74m2700,124l2767,124m2835,108l2835,40m2869,74l2801,74m2903,40l2920,23,2954,23,2971,40,2971,57,2954,74,2920,74,2903,91,2903,124,2971,124m3404,18l3421,1,3421,103m3404,103l3438,103m3472,103l3472,86m3523,103l3506,86,3506,18,3523,1,3540,1,3557,18,3557,86,3540,103,3523,103m3590,103l3590,1,3658,1m3590,52l3624,52m3590,103l3658,103m3726,86l3726,18m3760,52l3692,52m3794,18l3811,1,3845,1,3861,18,3861,35,3845,52,3828,52m3845,52l3861,69,3861,86,3845,103,3811,103,3794,86m4252,37l4269,20,4269,122m4252,122l4286,122m4320,122l4320,105m4370,122l4353,105,4353,37,4370,20,4387,20,4404,37,4404,105,4387,122,4370,122m4438,122l4438,20,4506,20m4438,71l4472,71m4438,122l4506,122m4574,105l4574,37m4608,71l4540,71m4709,88l4641,88,4692,20,4692,122m5022,48l5039,31,5039,133m5022,133l5056,133m5090,133l5090,116m5140,133l5123,116,5123,48,5140,31,5157,31,5174,48,5174,116,5157,133,5140,133m5208,133l5208,31,5276,31m5208,82l5242,82m5208,133l5276,133m5344,116l5344,48m5378,82l5310,82m5411,116l5428,133,5462,133,5479,116,5479,82,5462,65,5411,65,5411,31,5479,31e">
            <v:fill on="f" focussize="0,0"/>
            <v:stroke weight="0.12pt" color="#0000FF" miterlimit="2" endcap="round"/>
            <v:imagedata o:title=""/>
            <o:lock v:ext="edit"/>
            <w10:wrap type="none"/>
            <w10:anchorlock/>
          </v:shape>
        </w:pict>
      </w:r>
    </w:p>
    <w:p>
      <w:pPr>
        <w:spacing w:before="97" w:line="118" w:lineRule="exact"/>
        <w:ind w:firstLine="4087"/>
        <w:textAlignment w:val="center"/>
        <w:rPr>
          <w:rFonts w:hint="default" w:ascii="Times New Roman" w:hAnsi="Times New Roman" w:cs="Times New Roman"/>
          <w:highlight w:val="none"/>
        </w:rPr>
      </w:pPr>
      <w:r>
        <w:rPr>
          <w:rFonts w:hint="default" w:ascii="Times New Roman" w:hAnsi="Times New Roman" w:cs="Times New Roman"/>
          <w:highlight w:val="none"/>
        </w:rPr>
        <w:pict>
          <v:shape id="_x0000_s1330" o:spid="_x0000_s1330" style="height:5.95pt;width:15.7pt;" filled="f" stroked="t" coordsize="313,118" path="m1,1l1,102,68,102m97,97l131,97,143,86,131,75,109,75,97,63,109,52,143,52m143,116l210,15m244,116l244,49m244,66l261,49,278,66,278,83m278,66l295,49,312,66,312,116e">
            <v:fill on="f" focussize="0,0"/>
            <v:stroke weight="0.12pt" color="#0000FF" miterlimit="2" endcap="round"/>
            <v:imagedata o:title=""/>
            <o:lock v:ext="edit"/>
            <w10:wrap type="none"/>
            <w10:anchorlock/>
          </v:shape>
        </w:pict>
      </w:r>
    </w:p>
    <w:p>
      <w:pPr>
        <w:spacing w:line="272" w:lineRule="auto"/>
        <w:rPr>
          <w:rFonts w:hint="default" w:ascii="Times New Roman" w:hAnsi="Times New Roman" w:cs="Times New Roman"/>
          <w:sz w:val="21"/>
          <w:highlight w:val="none"/>
        </w:rPr>
      </w:pPr>
    </w:p>
    <w:p>
      <w:pPr>
        <w:spacing w:before="76" w:line="319" w:lineRule="exact"/>
        <w:ind w:left="177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position w:val="3"/>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11"/>
          <w:position w:val="3"/>
          <w:sz w:val="23"/>
          <w:szCs w:val="23"/>
          <w:highlight w:val="none"/>
        </w:rPr>
        <w:t>5</w:t>
      </w:r>
      <w:r>
        <w:rPr>
          <w:rFonts w:hint="default" w:ascii="Times New Roman" w:hAnsi="Times New Roman" w:eastAsia="Times New Roman" w:cs="Times New Roman"/>
          <w:b/>
          <w:bCs/>
          <w:spacing w:val="7"/>
          <w:position w:val="3"/>
          <w:sz w:val="23"/>
          <w:szCs w:val="23"/>
          <w:highlight w:val="none"/>
        </w:rPr>
        <w:t>.2-</w:t>
      </w:r>
      <w:r>
        <w:rPr>
          <w:rFonts w:hint="eastAsia" w:ascii="Times New Roman" w:hAnsi="Times New Roman" w:eastAsia="宋体" w:cs="Times New Roman"/>
          <w:b/>
          <w:bCs/>
          <w:spacing w:val="7"/>
          <w:position w:val="3"/>
          <w:sz w:val="23"/>
          <w:szCs w:val="23"/>
          <w:highlight w:val="none"/>
          <w:lang w:val="en-US" w:eastAsia="zh-CN"/>
        </w:rPr>
        <w:t>25</w:t>
      </w:r>
      <w:r>
        <w:rPr>
          <w:rFonts w:hint="default" w:ascii="Times New Roman" w:hAnsi="Times New Roman" w:eastAsia="Times New Roman" w:cs="Times New Roman"/>
          <w:spacing w:val="7"/>
          <w:position w:val="3"/>
          <w:sz w:val="23"/>
          <w:szCs w:val="23"/>
          <w:highlight w:val="none"/>
        </w:rPr>
        <w:t xml:space="preserve">    </w:t>
      </w:r>
      <w:r>
        <w:rPr>
          <w:rFonts w:hint="default" w:ascii="Times New Roman" w:hAnsi="Times New Roman" w:eastAsia="宋体" w:cs="Times New Roman"/>
          <w:spacing w:val="7"/>
          <w:position w:val="3"/>
          <w:sz w:val="23"/>
          <w:szCs w:val="23"/>
          <w:highlight w:val="none"/>
          <w14:textOutline w14:w="4358" w14:cap="sq" w14:cmpd="sng">
            <w14:solidFill>
              <w14:srgbClr w14:val="000000"/>
            </w14:solidFill>
            <w14:prstDash w14:val="solid"/>
            <w14:bevel/>
          </w14:textOutline>
        </w:rPr>
        <w:t>孔隙介质</w:t>
      </w:r>
      <w:r>
        <w:rPr>
          <w:rFonts w:hint="default" w:ascii="Times New Roman" w:hAnsi="Times New Roman" w:eastAsia="Times New Roman" w:cs="Times New Roman"/>
          <w:b/>
          <w:bCs/>
          <w:spacing w:val="7"/>
          <w:position w:val="3"/>
          <w:sz w:val="23"/>
          <w:szCs w:val="23"/>
          <w:highlight w:val="none"/>
        </w:rPr>
        <w:t>2</w:t>
      </w:r>
      <w:r>
        <w:rPr>
          <w:rFonts w:hint="default" w:ascii="Times New Roman" w:hAnsi="Times New Roman" w:eastAsia="宋体" w:cs="Times New Roman"/>
          <w:spacing w:val="7"/>
          <w:position w:val="3"/>
          <w:sz w:val="23"/>
          <w:szCs w:val="23"/>
          <w:highlight w:val="none"/>
          <w14:textOutline w14:w="4358" w14:cap="sq" w14:cmpd="sng">
            <w14:solidFill>
              <w14:srgbClr w14:val="000000"/>
            </w14:solidFill>
            <w14:prstDash w14:val="solid"/>
            <w14:bevel/>
          </w14:textOutline>
        </w:rPr>
        <w:t>维数值模型的</w:t>
      </w:r>
      <w:r>
        <w:rPr>
          <w:rFonts w:hint="default" w:ascii="Times New Roman" w:hAnsi="Times New Roman" w:eastAsia="Times New Roman" w:cs="Times New Roman"/>
          <w:b/>
          <w:bCs/>
          <w:position w:val="3"/>
          <w:sz w:val="23"/>
          <w:szCs w:val="23"/>
          <w:highlight w:val="none"/>
        </w:rPr>
        <w:t>lgaL</w:t>
      </w:r>
      <w:r>
        <w:rPr>
          <w:rFonts w:hint="default" w:ascii="Times New Roman" w:hAnsi="Times New Roman" w:eastAsia="Times New Roman" w:cs="Times New Roman"/>
          <w:b/>
          <w:bCs/>
          <w:spacing w:val="7"/>
          <w:position w:val="3"/>
          <w:sz w:val="23"/>
          <w:szCs w:val="23"/>
          <w:highlight w:val="none"/>
        </w:rPr>
        <w:t>-</w:t>
      </w:r>
      <w:r>
        <w:rPr>
          <w:rFonts w:hint="default" w:ascii="Times New Roman" w:hAnsi="Times New Roman" w:eastAsia="Times New Roman" w:cs="Times New Roman"/>
          <w:b/>
          <w:bCs/>
          <w:position w:val="3"/>
          <w:sz w:val="23"/>
          <w:szCs w:val="23"/>
          <w:highlight w:val="none"/>
        </w:rPr>
        <w:t>lgLs</w:t>
      </w:r>
      <w:r>
        <w:rPr>
          <w:rFonts w:hint="default" w:ascii="Times New Roman" w:hAnsi="Times New Roman" w:eastAsia="宋体" w:cs="Times New Roman"/>
          <w:spacing w:val="7"/>
          <w:position w:val="3"/>
          <w:sz w:val="23"/>
          <w:szCs w:val="23"/>
          <w:highlight w:val="none"/>
          <w14:textOutline w14:w="4358" w14:cap="sq" w14:cmpd="sng">
            <w14:solidFill>
              <w14:srgbClr w14:val="000000"/>
            </w14:solidFill>
            <w14:prstDash w14:val="solid"/>
            <w14:bevel/>
          </w14:textOutline>
        </w:rPr>
        <w:t>图</w:t>
      </w:r>
    </w:p>
    <w:p>
      <w:pPr>
        <w:spacing w:before="222" w:line="228" w:lineRule="auto"/>
        <w:ind w:left="512"/>
        <w:outlineLvl w:val="2"/>
        <w:rPr>
          <w:rFonts w:hint="default" w:ascii="Times New Roman" w:hAnsi="Times New Roman" w:eastAsia="宋体" w:cs="Times New Roman"/>
          <w:sz w:val="23"/>
          <w:szCs w:val="23"/>
          <w:highlight w:val="none"/>
        </w:rPr>
      </w:pPr>
      <w:bookmarkStart w:id="616" w:name="_Toc14790"/>
      <w:bookmarkStart w:id="617" w:name="_Toc23520"/>
      <w:bookmarkStart w:id="618" w:name="_Toc20015"/>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5"/>
          <w:sz w:val="23"/>
          <w:szCs w:val="23"/>
          <w:highlight w:val="none"/>
        </w:rPr>
        <w:t>3</w:t>
      </w:r>
      <w:r>
        <w:rPr>
          <w:rFonts w:hint="default" w:ascii="Times New Roman" w:hAnsi="Times New Roman" w:eastAsia="宋体" w:cs="Times New Roman"/>
          <w:spacing w:val="15"/>
          <w:sz w:val="23"/>
          <w:szCs w:val="23"/>
          <w:highlight w:val="none"/>
        </w:rPr>
        <w:t>) 地下水污染预测情景设定</w:t>
      </w:r>
      <w:bookmarkEnd w:id="616"/>
      <w:bookmarkEnd w:id="617"/>
      <w:bookmarkEnd w:id="618"/>
    </w:p>
    <w:p>
      <w:pPr>
        <w:spacing w:before="214" w:line="407" w:lineRule="auto"/>
        <w:ind w:left="25" w:right="80"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厂区运行期，通过对厂区周围水文地质条件及厂区平面布置和污水收集排</w:t>
      </w:r>
      <w:r>
        <w:rPr>
          <w:rFonts w:hint="default" w:ascii="Times New Roman" w:hAnsi="Times New Roman" w:eastAsia="宋体" w:cs="Times New Roman"/>
          <w:spacing w:val="4"/>
          <w:sz w:val="23"/>
          <w:szCs w:val="23"/>
          <w:highlight w:val="none"/>
        </w:rPr>
        <w:t>放</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系统的污</w:t>
      </w:r>
      <w:r>
        <w:rPr>
          <w:rFonts w:hint="default" w:ascii="Times New Roman" w:hAnsi="Times New Roman" w:eastAsia="宋体" w:cs="Times New Roman"/>
          <w:spacing w:val="7"/>
          <w:sz w:val="23"/>
          <w:szCs w:val="23"/>
          <w:highlight w:val="none"/>
        </w:rPr>
        <w:t>染</w:t>
      </w:r>
      <w:r>
        <w:rPr>
          <w:rFonts w:hint="default" w:ascii="Times New Roman" w:hAnsi="Times New Roman" w:eastAsia="宋体" w:cs="Times New Roman"/>
          <w:spacing w:val="6"/>
          <w:sz w:val="23"/>
          <w:szCs w:val="23"/>
          <w:highlight w:val="none"/>
        </w:rPr>
        <w:t>风险综合分析，此次设定厂区生产水池体位置 (浓密池) 为模拟泄露</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点。地下水污染预测情景主要考虑非正常状况情景</w:t>
      </w:r>
      <w:r>
        <w:rPr>
          <w:rFonts w:hint="default" w:ascii="Times New Roman" w:hAnsi="Times New Roman" w:eastAsia="宋体" w:cs="Times New Roman"/>
          <w:spacing w:val="7"/>
          <w:sz w:val="23"/>
          <w:szCs w:val="23"/>
          <w:highlight w:val="none"/>
        </w:rPr>
        <w:t>。</w:t>
      </w:r>
      <w:r>
        <w:rPr>
          <w:rFonts w:hint="default" w:ascii="Times New Roman" w:hAnsi="Times New Roman" w:eastAsia="宋体" w:cs="Times New Roman"/>
          <w:spacing w:val="1"/>
          <w:sz w:val="23"/>
          <w:szCs w:val="23"/>
          <w:highlight w:val="none"/>
        </w:rPr>
        <w:t>项目</w:t>
      </w:r>
      <w:r>
        <w:rPr>
          <w:rFonts w:hint="default" w:ascii="Times New Roman" w:hAnsi="Times New Roman" w:eastAsia="宋体" w:cs="Times New Roman"/>
          <w:sz w:val="23"/>
          <w:szCs w:val="23"/>
          <w:highlight w:val="none"/>
        </w:rPr>
        <w:t>生产过程中潜在泄漏点为浓密池，半地下设置</w:t>
      </w:r>
      <w:r>
        <w:rPr>
          <w:rFonts w:hint="default" w:ascii="Times New Roman" w:hAnsi="Times New Roman" w:eastAsia="宋体" w:cs="Times New Roman"/>
          <w:spacing w:val="1"/>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主</w:t>
      </w:r>
      <w:r>
        <w:rPr>
          <w:rFonts w:hint="default" w:ascii="Times New Roman" w:hAnsi="Times New Roman" w:eastAsia="宋体" w:cs="Times New Roman"/>
          <w:spacing w:val="9"/>
          <w:sz w:val="23"/>
          <w:szCs w:val="23"/>
          <w:highlight w:val="none"/>
        </w:rPr>
        <w:t>要储存生产过程中的生产废水，主要特征污染物为铁。</w:t>
      </w:r>
    </w:p>
    <w:p>
      <w:pPr>
        <w:spacing w:before="2" w:line="401" w:lineRule="auto"/>
        <w:ind w:left="21"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源强计</w:t>
      </w:r>
      <w:r>
        <w:rPr>
          <w:rFonts w:hint="default" w:ascii="Times New Roman" w:hAnsi="Times New Roman" w:eastAsia="宋体" w:cs="Times New Roman"/>
          <w:spacing w:val="4"/>
          <w:sz w:val="23"/>
          <w:szCs w:val="23"/>
          <w:highlight w:val="none"/>
        </w:rPr>
        <w:t>算：根据《给水排水建筑物工程施工及验收规范》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4"/>
          <w:sz w:val="23"/>
          <w:szCs w:val="23"/>
          <w:highlight w:val="none"/>
        </w:rPr>
        <w:t>50141-2008</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中</w:t>
      </w:r>
      <w:r>
        <w:rPr>
          <w:rFonts w:hint="default" w:ascii="Times New Roman" w:hAnsi="Times New Roman" w:eastAsia="宋体" w:cs="Times New Roman"/>
          <w:spacing w:val="7"/>
          <w:sz w:val="23"/>
          <w:szCs w:val="23"/>
          <w:highlight w:val="none"/>
        </w:rPr>
        <w:t>关于钢筋混凝土的满水试验验收标准，钢筋混凝土结构水池渗水量的验收标准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为 </w:t>
      </w:r>
      <w:r>
        <w:rPr>
          <w:rFonts w:hint="default" w:ascii="Times New Roman" w:hAnsi="Times New Roman" w:eastAsia="Times New Roman" w:cs="Times New Roman"/>
          <w:spacing w:val="8"/>
          <w:sz w:val="23"/>
          <w:szCs w:val="23"/>
          <w:highlight w:val="none"/>
        </w:rPr>
        <w:t>2</w:t>
      </w:r>
      <w:r>
        <w:rPr>
          <w:rFonts w:hint="default" w:ascii="Times New Roman" w:hAnsi="Times New Roman" w:eastAsia="Times New Roman" w:cs="Times New Roman"/>
          <w:sz w:val="23"/>
          <w:szCs w:val="23"/>
          <w:highlight w:val="none"/>
        </w:rPr>
        <w:t>L</w:t>
      </w:r>
      <w:r>
        <w:rPr>
          <w:rFonts w:hint="default" w:ascii="Times New Roman" w:hAnsi="Times New Roman" w:eastAsia="Times New Roman" w:cs="Times New Roman"/>
          <w:spacing w:val="8"/>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8"/>
          <w:position w:val="8"/>
          <w:sz w:val="15"/>
          <w:szCs w:val="15"/>
          <w:highlight w:val="none"/>
        </w:rPr>
        <w:t>2</w:t>
      </w:r>
      <w:r>
        <w:rPr>
          <w:rFonts w:hint="default" w:ascii="Times New Roman" w:hAnsi="Times New Roman" w:eastAsia="Times New Roman" w:cs="Times New Roman"/>
          <w:spacing w:val="7"/>
          <w:position w:val="8"/>
          <w:sz w:val="15"/>
          <w:szCs w:val="15"/>
          <w:highlight w:val="none"/>
        </w:rPr>
        <w:t xml:space="preserve"> </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 xml:space="preserve">。因此正常情况下，池体最大体积为 </w:t>
      </w:r>
      <w:r>
        <w:rPr>
          <w:rFonts w:hint="default" w:ascii="Times New Roman" w:hAnsi="Times New Roman" w:eastAsia="Times New Roman" w:cs="Times New Roman"/>
          <w:spacing w:val="4"/>
          <w:sz w:val="23"/>
          <w:szCs w:val="23"/>
          <w:highlight w:val="none"/>
        </w:rPr>
        <w:t>6698.66</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position w:val="8"/>
          <w:sz w:val="15"/>
          <w:szCs w:val="15"/>
          <w:highlight w:val="none"/>
        </w:rPr>
        <w:t xml:space="preserve">3 </w:t>
      </w:r>
      <w:r>
        <w:rPr>
          <w:rFonts w:hint="default" w:ascii="Times New Roman" w:hAnsi="Times New Roman" w:eastAsia="宋体" w:cs="Times New Roman"/>
          <w:spacing w:val="4"/>
          <w:sz w:val="23"/>
          <w:szCs w:val="23"/>
          <w:highlight w:val="none"/>
        </w:rPr>
        <w:t>，浓密池尺寸表面积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为，</w:t>
      </w:r>
      <w:r>
        <w:rPr>
          <w:rFonts w:hint="default" w:ascii="Times New Roman" w:hAnsi="Times New Roman" w:eastAsia="Times New Roman" w:cs="Times New Roman"/>
          <w:spacing w:val="-1"/>
          <w:sz w:val="23"/>
          <w:szCs w:val="23"/>
          <w:highlight w:val="none"/>
        </w:rPr>
        <w:t>2*3. 14*20*3.5+ 1/2*20.74*2*3.</w:t>
      </w:r>
      <w:r>
        <w:rPr>
          <w:rFonts w:hint="default" w:ascii="Times New Roman" w:hAnsi="Times New Roman" w:eastAsia="Times New Roman" w:cs="Times New Roman"/>
          <w:sz w:val="23"/>
          <w:szCs w:val="23"/>
          <w:highlight w:val="none"/>
        </w:rPr>
        <w:t xml:space="preserve"> 14*20= 1742. 1m</w:t>
      </w:r>
      <w:r>
        <w:rPr>
          <w:rFonts w:hint="default" w:ascii="Times New Roman" w:hAnsi="Times New Roman" w:eastAsia="Times New Roman" w:cs="Times New Roman"/>
          <w:position w:val="7"/>
          <w:sz w:val="15"/>
          <w:szCs w:val="15"/>
          <w:highlight w:val="none"/>
        </w:rPr>
        <w:t xml:space="preserve">2 </w:t>
      </w:r>
      <w:r>
        <w:rPr>
          <w:rFonts w:hint="default" w:ascii="Times New Roman" w:hAnsi="Times New Roman" w:eastAsia="宋体" w:cs="Times New Roman"/>
          <w:sz w:val="23"/>
          <w:szCs w:val="23"/>
          <w:highlight w:val="none"/>
        </w:rPr>
        <w:t xml:space="preserve">，废水泄露量为 </w:t>
      </w:r>
      <w:r>
        <w:rPr>
          <w:rFonts w:hint="default" w:ascii="Times New Roman" w:hAnsi="Times New Roman" w:eastAsia="Times New Roman" w:cs="Times New Roman"/>
          <w:sz w:val="23"/>
          <w:szCs w:val="23"/>
          <w:highlight w:val="none"/>
        </w:rPr>
        <w:t xml:space="preserve">3484. 1L/d </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非</w:t>
      </w:r>
      <w:r>
        <w:rPr>
          <w:rFonts w:hint="default" w:ascii="Times New Roman" w:hAnsi="Times New Roman" w:eastAsia="宋体" w:cs="Times New Roman"/>
          <w:spacing w:val="10"/>
          <w:sz w:val="23"/>
          <w:szCs w:val="23"/>
          <w:highlight w:val="none"/>
        </w:rPr>
        <w:t>正</w:t>
      </w:r>
      <w:r>
        <w:rPr>
          <w:rFonts w:hint="default" w:ascii="Times New Roman" w:hAnsi="Times New Roman" w:eastAsia="宋体" w:cs="Times New Roman"/>
          <w:spacing w:val="8"/>
          <w:sz w:val="23"/>
          <w:szCs w:val="23"/>
          <w:highlight w:val="none"/>
        </w:rPr>
        <w:t xml:space="preserve">常情况下取正常情况下渗漏量的 </w:t>
      </w:r>
      <w:r>
        <w:rPr>
          <w:rFonts w:hint="default" w:ascii="Times New Roman" w:hAnsi="Times New Roman" w:eastAsia="Times New Roman" w:cs="Times New Roman"/>
          <w:spacing w:val="8"/>
          <w:sz w:val="23"/>
          <w:szCs w:val="23"/>
          <w:highlight w:val="none"/>
        </w:rPr>
        <w:t xml:space="preserve">10 </w:t>
      </w:r>
      <w:r>
        <w:rPr>
          <w:rFonts w:hint="default" w:ascii="Times New Roman" w:hAnsi="Times New Roman" w:eastAsia="宋体" w:cs="Times New Roman"/>
          <w:spacing w:val="8"/>
          <w:sz w:val="23"/>
          <w:szCs w:val="23"/>
          <w:highlight w:val="none"/>
        </w:rPr>
        <w:t>倍，则非正常情况下，浓密池废水泄漏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 xml:space="preserve">量为 </w:t>
      </w:r>
      <w:r>
        <w:rPr>
          <w:rFonts w:hint="default" w:ascii="Times New Roman" w:hAnsi="Times New Roman" w:eastAsia="Times New Roman" w:cs="Times New Roman"/>
          <w:spacing w:val="2"/>
          <w:sz w:val="23"/>
          <w:szCs w:val="23"/>
          <w:highlight w:val="none"/>
        </w:rPr>
        <w:t xml:space="preserve">34841.0 </w:t>
      </w:r>
      <w:r>
        <w:rPr>
          <w:rFonts w:hint="default" w:ascii="Times New Roman" w:hAnsi="Times New Roman" w:eastAsia="Times New Roman" w:cs="Times New Roman"/>
          <w:sz w:val="23"/>
          <w:szCs w:val="23"/>
          <w:highlight w:val="none"/>
        </w:rPr>
        <w:t>L</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 xml:space="preserve">即每天 </w:t>
      </w:r>
      <w:r>
        <w:rPr>
          <w:rFonts w:hint="default" w:ascii="Times New Roman" w:hAnsi="Times New Roman" w:eastAsia="Times New Roman" w:cs="Times New Roman"/>
          <w:spacing w:val="2"/>
          <w:sz w:val="23"/>
          <w:szCs w:val="23"/>
          <w:highlight w:val="none"/>
        </w:rPr>
        <w:t xml:space="preserve">34.8 </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2"/>
          <w:position w:val="8"/>
          <w:sz w:val="15"/>
          <w:szCs w:val="15"/>
          <w:highlight w:val="none"/>
        </w:rPr>
        <w:t>3</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d</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，其中生产废水铁的浓度为 </w:t>
      </w:r>
      <w:r>
        <w:rPr>
          <w:rFonts w:hint="default" w:ascii="Times New Roman" w:hAnsi="Times New Roman" w:eastAsia="Times New Roman" w:cs="Times New Roman"/>
          <w:spacing w:val="1"/>
          <w:sz w:val="23"/>
          <w:szCs w:val="23"/>
          <w:highlight w:val="none"/>
        </w:rPr>
        <w:t>0.048</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L</w:t>
      </w:r>
      <w:r>
        <w:rPr>
          <w:rFonts w:hint="default" w:ascii="Times New Roman" w:hAnsi="Times New Roman" w:eastAsia="宋体" w:cs="Times New Roman"/>
          <w:spacing w:val="1"/>
          <w:sz w:val="23"/>
          <w:szCs w:val="23"/>
          <w:highlight w:val="none"/>
        </w:rPr>
        <w:t>。</w:t>
      </w:r>
    </w:p>
    <w:p>
      <w:pPr>
        <w:spacing w:line="227" w:lineRule="auto"/>
        <w:ind w:left="50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 xml:space="preserve">设定采取的渗漏检测发现及修复事故工况时间为 </w:t>
      </w:r>
      <w:r>
        <w:rPr>
          <w:rFonts w:hint="default" w:ascii="Times New Roman" w:hAnsi="Times New Roman" w:eastAsia="Times New Roman" w:cs="Times New Roman"/>
          <w:spacing w:val="8"/>
          <w:sz w:val="23"/>
          <w:szCs w:val="23"/>
          <w:highlight w:val="none"/>
        </w:rPr>
        <w:t xml:space="preserve">20 </w:t>
      </w:r>
      <w:r>
        <w:rPr>
          <w:rFonts w:hint="default" w:ascii="Times New Roman" w:hAnsi="Times New Roman" w:eastAsia="宋体" w:cs="Times New Roman"/>
          <w:spacing w:val="8"/>
          <w:sz w:val="23"/>
          <w:szCs w:val="23"/>
          <w:highlight w:val="none"/>
        </w:rPr>
        <w:t>天，则物料 (以水为</w:t>
      </w:r>
      <w:r>
        <w:rPr>
          <w:rFonts w:hint="default" w:ascii="Times New Roman" w:hAnsi="Times New Roman" w:eastAsia="宋体" w:cs="Times New Roman"/>
          <w:spacing w:val="5"/>
          <w:sz w:val="23"/>
          <w:szCs w:val="23"/>
          <w:highlight w:val="none"/>
        </w:rPr>
        <w:t>基</w:t>
      </w:r>
    </w:p>
    <w:p>
      <w:pPr>
        <w:spacing w:before="218" w:line="230" w:lineRule="auto"/>
        <w:ind w:left="2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准</w:t>
      </w:r>
      <w:r>
        <w:rPr>
          <w:rFonts w:hint="default" w:ascii="Times New Roman" w:hAnsi="Times New Roman" w:eastAsia="宋体" w:cs="Times New Roman"/>
          <w:spacing w:val="6"/>
          <w:sz w:val="23"/>
          <w:szCs w:val="23"/>
          <w:highlight w:val="none"/>
        </w:rPr>
        <w:t>) 的泄漏量为：</w:t>
      </w:r>
    </w:p>
    <w:p>
      <w:pPr>
        <w:spacing w:before="178" w:line="315" w:lineRule="exact"/>
        <w:ind w:left="50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position w:val="1"/>
          <w:sz w:val="23"/>
          <w:szCs w:val="23"/>
          <w:highlight w:val="none"/>
          <w14:textOutline w14:w="4358" w14:cap="sq" w14:cmpd="sng">
            <w14:solidFill>
              <w14:srgbClr w14:val="000000"/>
            </w14:solidFill>
            <w14:prstDash w14:val="solid"/>
            <w14:bevel/>
          </w14:textOutline>
        </w:rPr>
        <w:t>铁</w:t>
      </w: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w:t>
      </w:r>
      <w:r>
        <w:rPr>
          <w:rFonts w:hint="default" w:ascii="Times New Roman" w:hAnsi="Times New Roman" w:eastAsia="Times New Roman" w:cs="Times New Roman"/>
          <w:spacing w:val="4"/>
          <w:position w:val="1"/>
          <w:sz w:val="23"/>
          <w:szCs w:val="23"/>
          <w:highlight w:val="none"/>
        </w:rPr>
        <w:t>34.8</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4"/>
          <w:position w:val="8"/>
          <w:sz w:val="15"/>
          <w:szCs w:val="15"/>
          <w:highlight w:val="none"/>
        </w:rPr>
        <w:t xml:space="preserve">3 </w:t>
      </w:r>
      <w:r>
        <w:rPr>
          <w:rFonts w:hint="default" w:ascii="Times New Roman" w:hAnsi="Times New Roman" w:eastAsia="Times New Roman" w:cs="Times New Roman"/>
          <w:spacing w:val="4"/>
          <w:position w:val="1"/>
          <w:sz w:val="23"/>
          <w:szCs w:val="23"/>
          <w:highlight w:val="none"/>
        </w:rPr>
        <w:t>×10</w:t>
      </w:r>
      <w:r>
        <w:rPr>
          <w:rFonts w:hint="default" w:ascii="Times New Roman" w:hAnsi="Times New Roman" w:eastAsia="Times New Roman" w:cs="Times New Roman"/>
          <w:spacing w:val="4"/>
          <w:position w:val="8"/>
          <w:sz w:val="15"/>
          <w:szCs w:val="15"/>
          <w:highlight w:val="none"/>
        </w:rPr>
        <w:t>3</w:t>
      </w:r>
      <w:r>
        <w:rPr>
          <w:rFonts w:hint="default" w:ascii="Times New Roman" w:hAnsi="Times New Roman" w:eastAsia="Times New Roman" w:cs="Times New Roman"/>
          <w:position w:val="1"/>
          <w:sz w:val="23"/>
          <w:szCs w:val="23"/>
          <w:highlight w:val="none"/>
        </w:rPr>
        <w:t>L</w:t>
      </w:r>
      <w:r>
        <w:rPr>
          <w:rFonts w:hint="default" w:ascii="Times New Roman" w:hAnsi="Times New Roman" w:eastAsia="Times New Roman" w:cs="Times New Roman"/>
          <w:spacing w:val="4"/>
          <w:position w:val="1"/>
          <w:sz w:val="23"/>
          <w:szCs w:val="23"/>
          <w:highlight w:val="none"/>
        </w:rPr>
        <w:t>/</w:t>
      </w:r>
      <w:r>
        <w:rPr>
          <w:rFonts w:hint="default" w:ascii="Times New Roman" w:hAnsi="Times New Roman" w:eastAsia="Times New Roman" w:cs="Times New Roman"/>
          <w:position w:val="1"/>
          <w:sz w:val="23"/>
          <w:szCs w:val="23"/>
          <w:highlight w:val="none"/>
        </w:rPr>
        <w:t>m</w:t>
      </w:r>
      <w:r>
        <w:rPr>
          <w:rFonts w:hint="default" w:ascii="Times New Roman" w:hAnsi="Times New Roman" w:eastAsia="Times New Roman" w:cs="Times New Roman"/>
          <w:spacing w:val="4"/>
          <w:position w:val="8"/>
          <w:sz w:val="15"/>
          <w:szCs w:val="15"/>
          <w:highlight w:val="none"/>
        </w:rPr>
        <w:t xml:space="preserve">3 </w:t>
      </w:r>
      <w:r>
        <w:rPr>
          <w:rFonts w:hint="default" w:ascii="Times New Roman" w:hAnsi="Times New Roman" w:eastAsia="Times New Roman" w:cs="Times New Roman"/>
          <w:spacing w:val="4"/>
          <w:position w:val="1"/>
          <w:sz w:val="23"/>
          <w:szCs w:val="23"/>
          <w:highlight w:val="none"/>
        </w:rPr>
        <w:t>×0.048</w:t>
      </w:r>
      <w:r>
        <w:rPr>
          <w:rFonts w:hint="default" w:ascii="Times New Roman" w:hAnsi="Times New Roman" w:eastAsia="Times New Roman" w:cs="Times New Roman"/>
          <w:position w:val="1"/>
          <w:sz w:val="23"/>
          <w:szCs w:val="23"/>
          <w:highlight w:val="none"/>
        </w:rPr>
        <w:t>mg</w:t>
      </w:r>
      <w:r>
        <w:rPr>
          <w:rFonts w:hint="default" w:ascii="Times New Roman" w:hAnsi="Times New Roman" w:eastAsia="Times New Roman" w:cs="Times New Roman"/>
          <w:spacing w:val="4"/>
          <w:position w:val="1"/>
          <w:sz w:val="23"/>
          <w:szCs w:val="23"/>
          <w:highlight w:val="none"/>
        </w:rPr>
        <w:t>/</w:t>
      </w:r>
      <w:r>
        <w:rPr>
          <w:rFonts w:hint="default" w:ascii="Times New Roman" w:hAnsi="Times New Roman" w:eastAsia="Times New Roman" w:cs="Times New Roman"/>
          <w:position w:val="1"/>
          <w:sz w:val="23"/>
          <w:szCs w:val="23"/>
          <w:highlight w:val="none"/>
        </w:rPr>
        <w:t>L</w:t>
      </w:r>
      <w:r>
        <w:rPr>
          <w:rFonts w:hint="default" w:ascii="Times New Roman" w:hAnsi="Times New Roman" w:eastAsia="Times New Roman" w:cs="Times New Roman"/>
          <w:spacing w:val="4"/>
          <w:position w:val="1"/>
          <w:sz w:val="23"/>
          <w:szCs w:val="23"/>
          <w:highlight w:val="none"/>
        </w:rPr>
        <w:t>÷1000000</w:t>
      </w:r>
      <w:r>
        <w:rPr>
          <w:rFonts w:hint="default" w:ascii="Times New Roman" w:hAnsi="Times New Roman" w:eastAsia="Times New Roman" w:cs="Times New Roman"/>
          <w:position w:val="1"/>
          <w:sz w:val="23"/>
          <w:szCs w:val="23"/>
          <w:highlight w:val="none"/>
        </w:rPr>
        <w:t>mg</w:t>
      </w:r>
      <w:r>
        <w:rPr>
          <w:rFonts w:hint="default" w:ascii="Times New Roman" w:hAnsi="Times New Roman" w:eastAsia="Times New Roman" w:cs="Times New Roman"/>
          <w:spacing w:val="4"/>
          <w:position w:val="1"/>
          <w:sz w:val="23"/>
          <w:szCs w:val="23"/>
          <w:highlight w:val="none"/>
        </w:rPr>
        <w:t>/</w:t>
      </w:r>
      <w:r>
        <w:rPr>
          <w:rFonts w:hint="default" w:ascii="Times New Roman" w:hAnsi="Times New Roman" w:eastAsia="Times New Roman" w:cs="Times New Roman"/>
          <w:position w:val="1"/>
          <w:sz w:val="23"/>
          <w:szCs w:val="23"/>
          <w:highlight w:val="none"/>
        </w:rPr>
        <w:t>kg</w:t>
      </w:r>
      <w:r>
        <w:rPr>
          <w:rFonts w:hint="default" w:ascii="Times New Roman" w:hAnsi="Times New Roman" w:eastAsia="Times New Roman" w:cs="Times New Roman"/>
          <w:spacing w:val="4"/>
          <w:position w:val="1"/>
          <w:sz w:val="23"/>
          <w:szCs w:val="23"/>
          <w:highlight w:val="none"/>
        </w:rPr>
        <w:t xml:space="preserve"> =0.00167</w:t>
      </w:r>
      <w:r>
        <w:rPr>
          <w:rFonts w:hint="default" w:ascii="Times New Roman" w:hAnsi="Times New Roman" w:eastAsia="Times New Roman" w:cs="Times New Roman"/>
          <w:position w:val="1"/>
          <w:sz w:val="23"/>
          <w:szCs w:val="23"/>
          <w:highlight w:val="none"/>
        </w:rPr>
        <w:t>Kg</w:t>
      </w:r>
      <w:r>
        <w:rPr>
          <w:rFonts w:hint="default" w:ascii="Times New Roman" w:hAnsi="Times New Roman" w:eastAsia="宋体" w:cs="Times New Roman"/>
          <w:spacing w:val="4"/>
          <w:position w:val="1"/>
          <w:sz w:val="23"/>
          <w:szCs w:val="23"/>
          <w:highlight w:val="none"/>
        </w:rPr>
        <w:t>；</w:t>
      </w:r>
    </w:p>
    <w:p>
      <w:pPr>
        <w:spacing w:before="220" w:line="227" w:lineRule="auto"/>
        <w:ind w:left="50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本次模拟预测根据污染风险分析的情景设计，在选定优先控制污染物的基</w:t>
      </w:r>
      <w:r>
        <w:rPr>
          <w:rFonts w:hint="default" w:ascii="Times New Roman" w:hAnsi="Times New Roman" w:eastAsia="宋体" w:cs="Times New Roman"/>
          <w:spacing w:val="6"/>
          <w:sz w:val="23"/>
          <w:szCs w:val="23"/>
          <w:highlight w:val="none"/>
        </w:rPr>
        <w:t>础</w:t>
      </w:r>
    </w:p>
    <w:p>
      <w:pPr>
        <w:spacing w:before="220" w:line="396" w:lineRule="auto"/>
        <w:ind w:left="22" w:right="9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sz w:val="23"/>
          <w:szCs w:val="23"/>
          <w:highlight w:val="none"/>
        </w:rPr>
        <w:t>上</w:t>
      </w:r>
      <w:r>
        <w:rPr>
          <w:rFonts w:hint="default" w:ascii="Times New Roman" w:hAnsi="Times New Roman" w:eastAsia="宋体" w:cs="Times New Roman"/>
          <w:spacing w:val="7"/>
          <w:sz w:val="23"/>
          <w:szCs w:val="23"/>
          <w:highlight w:val="none"/>
        </w:rPr>
        <w:t>，分别对地下水污染物在不同时段的运移距离、超标范围和影响范围进行模拟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预测，铁</w:t>
      </w:r>
      <w:r>
        <w:rPr>
          <w:rFonts w:hint="default" w:ascii="Times New Roman" w:hAnsi="Times New Roman" w:eastAsia="宋体" w:cs="Times New Roman"/>
          <w:spacing w:val="6"/>
          <w:sz w:val="23"/>
          <w:szCs w:val="23"/>
          <w:highlight w:val="none"/>
        </w:rPr>
        <w:t>的</w:t>
      </w:r>
      <w:r>
        <w:rPr>
          <w:rFonts w:hint="default" w:ascii="Times New Roman" w:hAnsi="Times New Roman" w:eastAsia="宋体" w:cs="Times New Roman"/>
          <w:spacing w:val="5"/>
          <w:sz w:val="23"/>
          <w:szCs w:val="23"/>
          <w:highlight w:val="none"/>
        </w:rPr>
        <w:t>超标范围参照《地下水质量标准》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5"/>
          <w:sz w:val="23"/>
          <w:szCs w:val="23"/>
          <w:highlight w:val="none"/>
        </w:rPr>
        <w:t>14848-2017</w:t>
      </w:r>
      <w:r>
        <w:rPr>
          <w:rFonts w:hint="default" w:ascii="Times New Roman" w:hAnsi="Times New Roman" w:eastAsia="宋体" w:cs="Times New Roman"/>
          <w:spacing w:val="5"/>
          <w:sz w:val="23"/>
          <w:szCs w:val="23"/>
          <w:highlight w:val="none"/>
        </w:rPr>
        <w:t>) 中Ⅲ类水的要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求</w:t>
      </w:r>
      <w:r>
        <w:rPr>
          <w:rFonts w:hint="default" w:ascii="Times New Roman" w:hAnsi="Times New Roman" w:eastAsia="宋体" w:cs="Times New Roman"/>
          <w:spacing w:val="6"/>
          <w:sz w:val="23"/>
          <w:szCs w:val="23"/>
          <w:highlight w:val="none"/>
        </w:rPr>
        <w:t xml:space="preserve">，污染物的检出下限值参照常规仪器检测下限 (详见表 </w:t>
      </w:r>
      <w:r>
        <w:rPr>
          <w:rFonts w:hint="default" w:ascii="Times New Roman" w:hAnsi="Times New Roman" w:eastAsia="Times New Roman" w:cs="Times New Roman"/>
          <w:spacing w:val="6"/>
          <w:sz w:val="23"/>
          <w:szCs w:val="23"/>
          <w:highlight w:val="none"/>
        </w:rPr>
        <w:t>5.2-</w:t>
      </w:r>
      <w:r>
        <w:rPr>
          <w:rFonts w:hint="eastAsia" w:ascii="Times New Roman" w:hAnsi="Times New Roman" w:eastAsia="宋体" w:cs="Times New Roman"/>
          <w:spacing w:val="6"/>
          <w:sz w:val="23"/>
          <w:szCs w:val="23"/>
          <w:highlight w:val="none"/>
          <w:lang w:val="en-US" w:eastAsia="zh-CN"/>
        </w:rPr>
        <w:t>13</w:t>
      </w:r>
      <w:r>
        <w:rPr>
          <w:rFonts w:hint="default" w:ascii="Times New Roman" w:hAnsi="Times New Roman" w:eastAsia="宋体" w:cs="Times New Roman"/>
          <w:spacing w:val="6"/>
          <w:sz w:val="23"/>
          <w:szCs w:val="23"/>
          <w:highlight w:val="none"/>
        </w:rPr>
        <w:t>) 。</w:t>
      </w:r>
    </w:p>
    <w:p>
      <w:pPr>
        <w:tabs>
          <w:tab w:val="left" w:pos="1334"/>
        </w:tabs>
        <w:bidi w:val="0"/>
        <w:jc w:val="left"/>
        <w:rPr>
          <w:rFonts w:hint="default" w:ascii="Times New Roman" w:hAnsi="Times New Roman" w:eastAsia="宋体" w:cs="Times New Roman"/>
          <w:sz w:val="23"/>
          <w:szCs w:val="23"/>
          <w:highlight w:val="none"/>
        </w:rPr>
      </w:pPr>
      <w:r>
        <w:rPr>
          <w:rFonts w:hint="eastAsia" w:eastAsia="宋体" w:cs="Arial"/>
          <w:snapToGrid w:val="0"/>
          <w:color w:val="000000"/>
          <w:kern w:val="0"/>
          <w:sz w:val="21"/>
          <w:szCs w:val="21"/>
          <w:highlight w:val="none"/>
          <w:lang w:eastAsia="zh-CN"/>
        </w:rPr>
        <w:tab/>
      </w:r>
      <w:r>
        <w:rPr>
          <w:rFonts w:hint="default" w:ascii="Times New Roman" w:hAnsi="Times New Roman" w:cs="Times New Roman"/>
          <w:highlight w:val="none"/>
        </w:rPr>
        <w:pict>
          <v:shape id="_x0000_s1337" o:spid="_x0000_s1337" style="position:absolute;left:0pt;margin-left:89.85pt;margin-top:59.05pt;height:0.75pt;width:415.65pt;mso-position-horizontal-relative:page;mso-position-vertical-relative:page;z-index:251801600;mso-width-relative:page;mso-height-relative:page;" fillcolor="#000000" filled="t" stroked="f" coordsize="8312,15" o:allowincell="f" path="m0,0l8312,0,8312,14,0,14,0,0xe">
            <v:path/>
            <v:fill on="t" focussize="0,0"/>
            <v:stroke on="f"/>
            <v:imagedata o:title=""/>
            <o:lock v:ext="edit"/>
          </v:shape>
        </w:pict>
      </w:r>
      <w:r>
        <w:rPr>
          <w:rFonts w:hint="eastAsia" w:ascii="Times New Roman" w:hAnsi="Times New Roman" w:eastAsia="宋体" w:cs="Times New Roman"/>
          <w:highlight w:val="none"/>
          <w:lang w:val="en-US" w:eastAsia="zh-CN"/>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Times New Roman" w:cs="Times New Roman"/>
          <w:b/>
          <w:bCs/>
          <w:spacing w:val="7"/>
          <w:sz w:val="23"/>
          <w:szCs w:val="23"/>
          <w:highlight w:val="none"/>
        </w:rPr>
        <w:t>5.2-</w:t>
      </w:r>
      <w:r>
        <w:rPr>
          <w:rFonts w:hint="eastAsia" w:ascii="Times New Roman" w:hAnsi="Times New Roman" w:eastAsia="宋体" w:cs="Times New Roman"/>
          <w:b/>
          <w:bCs/>
          <w:spacing w:val="7"/>
          <w:sz w:val="23"/>
          <w:szCs w:val="23"/>
          <w:highlight w:val="none"/>
          <w:lang w:val="en-US" w:eastAsia="zh-CN"/>
        </w:rPr>
        <w:t>13</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评价因子及评价标准一览</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表</w:t>
      </w:r>
    </w:p>
    <w:p>
      <w:pPr>
        <w:spacing w:line="21" w:lineRule="exact"/>
        <w:rPr>
          <w:rFonts w:hint="default" w:ascii="Times New Roman" w:hAnsi="Times New Roman" w:cs="Times New Roman"/>
          <w:highlight w:val="none"/>
        </w:rPr>
      </w:pPr>
    </w:p>
    <w:tbl>
      <w:tblPr>
        <w:tblStyle w:val="19"/>
        <w:tblW w:w="83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86"/>
        <w:gridCol w:w="41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186" w:type="dxa"/>
            <w:tcBorders>
              <w:left w:val="single" w:color="000000" w:sz="10" w:space="0"/>
            </w:tcBorders>
            <w:vAlign w:val="top"/>
          </w:tcPr>
          <w:p>
            <w:pPr>
              <w:spacing w:before="101" w:line="227" w:lineRule="auto"/>
              <w:ind w:left="166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评</w:t>
            </w:r>
            <w:r>
              <w:rPr>
                <w:rFonts w:hint="default" w:ascii="Times New Roman" w:hAnsi="Times New Roman" w:eastAsia="宋体" w:cs="Times New Roman"/>
                <w:spacing w:val="7"/>
                <w:sz w:val="20"/>
                <w:szCs w:val="20"/>
                <w:highlight w:val="none"/>
              </w:rPr>
              <w:t>价因子</w:t>
            </w:r>
          </w:p>
        </w:tc>
        <w:tc>
          <w:tcPr>
            <w:tcW w:w="4185" w:type="dxa"/>
            <w:tcBorders>
              <w:right w:val="single" w:color="000000" w:sz="10" w:space="0"/>
            </w:tcBorders>
            <w:vAlign w:val="top"/>
          </w:tcPr>
          <w:p>
            <w:pPr>
              <w:spacing w:before="101" w:line="228" w:lineRule="auto"/>
              <w:ind w:left="199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rPr>
              <w:t>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186" w:type="dxa"/>
            <w:tcBorders>
              <w:left w:val="single" w:color="000000" w:sz="10" w:space="0"/>
            </w:tcBorders>
            <w:vAlign w:val="top"/>
          </w:tcPr>
          <w:p>
            <w:pPr>
              <w:spacing w:before="48" w:line="274" w:lineRule="exact"/>
              <w:ind w:left="123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position w:val="2"/>
                <w:sz w:val="20"/>
                <w:szCs w:val="20"/>
                <w:highlight w:val="none"/>
              </w:rPr>
              <w:t>质</w:t>
            </w:r>
            <w:r>
              <w:rPr>
                <w:rFonts w:hint="default" w:ascii="Times New Roman" w:hAnsi="Times New Roman" w:eastAsia="宋体" w:cs="Times New Roman"/>
                <w:spacing w:val="7"/>
                <w:position w:val="2"/>
                <w:sz w:val="20"/>
                <w:szCs w:val="20"/>
                <w:highlight w:val="none"/>
              </w:rPr>
              <w:t>量标准 (</w:t>
            </w:r>
            <w:r>
              <w:rPr>
                <w:rFonts w:hint="default" w:ascii="Times New Roman" w:hAnsi="Times New Roman" w:eastAsia="Times New Roman" w:cs="Times New Roman"/>
                <w:position w:val="2"/>
                <w:sz w:val="20"/>
                <w:szCs w:val="20"/>
                <w:highlight w:val="none"/>
              </w:rPr>
              <w:t>mg</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L</w:t>
            </w:r>
            <w:r>
              <w:rPr>
                <w:rFonts w:hint="default" w:ascii="Times New Roman" w:hAnsi="Times New Roman" w:eastAsia="宋体" w:cs="Times New Roman"/>
                <w:spacing w:val="7"/>
                <w:position w:val="2"/>
                <w:sz w:val="20"/>
                <w:szCs w:val="20"/>
                <w:highlight w:val="none"/>
              </w:rPr>
              <w:t>)</w:t>
            </w:r>
          </w:p>
        </w:tc>
        <w:tc>
          <w:tcPr>
            <w:tcW w:w="4185" w:type="dxa"/>
            <w:tcBorders>
              <w:right w:val="single" w:color="000000" w:sz="10" w:space="0"/>
            </w:tcBorders>
            <w:vAlign w:val="top"/>
          </w:tcPr>
          <w:p>
            <w:pPr>
              <w:spacing w:before="115" w:line="195" w:lineRule="auto"/>
              <w:ind w:left="196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86" w:type="dxa"/>
            <w:tcBorders>
              <w:left w:val="single" w:color="000000" w:sz="10" w:space="0"/>
            </w:tcBorders>
            <w:vAlign w:val="top"/>
          </w:tcPr>
          <w:p>
            <w:pPr>
              <w:spacing w:before="49" w:line="274" w:lineRule="exact"/>
              <w:ind w:left="1372"/>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0"/>
                <w:position w:val="2"/>
                <w:sz w:val="20"/>
                <w:szCs w:val="20"/>
                <w:highlight w:val="none"/>
              </w:rPr>
              <w:t>检</w:t>
            </w:r>
            <w:r>
              <w:rPr>
                <w:rFonts w:hint="default" w:ascii="Times New Roman" w:hAnsi="Times New Roman" w:eastAsia="宋体" w:cs="Times New Roman"/>
                <w:spacing w:val="8"/>
                <w:position w:val="2"/>
                <w:sz w:val="20"/>
                <w:szCs w:val="20"/>
                <w:highlight w:val="none"/>
              </w:rPr>
              <w:t>出范围</w:t>
            </w:r>
            <w:r>
              <w:rPr>
                <w:rFonts w:hint="default" w:ascii="Times New Roman" w:hAnsi="Times New Roman" w:eastAsia="Times New Roman" w:cs="Times New Roman"/>
                <w:spacing w:val="8"/>
                <w:position w:val="2"/>
                <w:sz w:val="20"/>
                <w:szCs w:val="20"/>
                <w:highlight w:val="none"/>
              </w:rPr>
              <w:t>(</w:t>
            </w:r>
            <w:r>
              <w:rPr>
                <w:rFonts w:hint="default" w:ascii="Times New Roman" w:hAnsi="Times New Roman" w:eastAsia="Times New Roman" w:cs="Times New Roman"/>
                <w:position w:val="2"/>
                <w:sz w:val="20"/>
                <w:szCs w:val="20"/>
                <w:highlight w:val="none"/>
              </w:rPr>
              <w:t>mg</w:t>
            </w:r>
            <w:r>
              <w:rPr>
                <w:rFonts w:hint="default" w:ascii="Times New Roman" w:hAnsi="Times New Roman" w:eastAsia="Times New Roman" w:cs="Times New Roman"/>
                <w:spacing w:val="8"/>
                <w:position w:val="2"/>
                <w:sz w:val="20"/>
                <w:szCs w:val="20"/>
                <w:highlight w:val="none"/>
              </w:rPr>
              <w:t>/</w:t>
            </w:r>
            <w:r>
              <w:rPr>
                <w:rFonts w:hint="default" w:ascii="Times New Roman" w:hAnsi="Times New Roman" w:eastAsia="Times New Roman" w:cs="Times New Roman"/>
                <w:position w:val="2"/>
                <w:sz w:val="20"/>
                <w:szCs w:val="20"/>
                <w:highlight w:val="none"/>
              </w:rPr>
              <w:t>L</w:t>
            </w:r>
            <w:r>
              <w:rPr>
                <w:rFonts w:hint="default" w:ascii="Times New Roman" w:hAnsi="Times New Roman" w:eastAsia="Times New Roman" w:cs="Times New Roman"/>
                <w:spacing w:val="8"/>
                <w:position w:val="2"/>
                <w:sz w:val="20"/>
                <w:szCs w:val="20"/>
                <w:highlight w:val="none"/>
              </w:rPr>
              <w:t>)</w:t>
            </w:r>
          </w:p>
        </w:tc>
        <w:tc>
          <w:tcPr>
            <w:tcW w:w="4185" w:type="dxa"/>
            <w:tcBorders>
              <w:right w:val="single" w:color="000000" w:sz="10" w:space="0"/>
            </w:tcBorders>
            <w:vAlign w:val="top"/>
          </w:tcPr>
          <w:p>
            <w:pPr>
              <w:spacing w:before="116" w:line="195" w:lineRule="auto"/>
              <w:ind w:left="191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0</w:t>
            </w:r>
            <w:r>
              <w:rPr>
                <w:rFonts w:hint="default" w:ascii="Times New Roman" w:hAnsi="Times New Roman" w:eastAsia="Times New Roman" w:cs="Times New Roman"/>
                <w:spacing w:val="2"/>
                <w:sz w:val="20"/>
                <w:szCs w:val="20"/>
                <w:highlight w:val="none"/>
              </w:rPr>
              <w:t>.01</w:t>
            </w:r>
          </w:p>
        </w:tc>
      </w:tr>
    </w:tbl>
    <w:p>
      <w:pPr>
        <w:spacing w:before="193" w:line="402" w:lineRule="auto"/>
        <w:ind w:left="50" w:right="42" w:firstLine="50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以</w:t>
      </w:r>
      <w:r>
        <w:rPr>
          <w:rFonts w:hint="default" w:ascii="Times New Roman" w:hAnsi="Times New Roman" w:eastAsia="宋体" w:cs="Times New Roman"/>
          <w:spacing w:val="6"/>
          <w:sz w:val="23"/>
          <w:szCs w:val="23"/>
          <w:highlight w:val="none"/>
        </w:rPr>
        <w:t>下所有模拟预测结果中，黑色线以内表示地下水污染物浓度超过水质标准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限值 (超标范围) ，颜色越偏红说明超标越严重；红色线以内范围表示污染物</w:t>
      </w:r>
      <w:r>
        <w:rPr>
          <w:rFonts w:hint="default" w:ascii="Times New Roman" w:hAnsi="Times New Roman" w:eastAsia="宋体" w:cs="Times New Roman"/>
          <w:spacing w:val="1"/>
          <w:sz w:val="23"/>
          <w:szCs w:val="23"/>
          <w:highlight w:val="none"/>
        </w:rPr>
        <w:t>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度可检出 (影响范围) ，根据设定的污染源位置和源强大小，对厂区非正常状</w:t>
      </w:r>
      <w:r>
        <w:rPr>
          <w:rFonts w:hint="default" w:ascii="Times New Roman" w:hAnsi="Times New Roman" w:eastAsia="宋体" w:cs="Times New Roman"/>
          <w:spacing w:val="1"/>
          <w:sz w:val="23"/>
          <w:szCs w:val="23"/>
          <w:highlight w:val="none"/>
        </w:rPr>
        <w:t>况</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情景进行模拟预测，预测结果如下</w:t>
      </w:r>
      <w:r>
        <w:rPr>
          <w:rFonts w:hint="default" w:ascii="Times New Roman" w:hAnsi="Times New Roman" w:eastAsia="宋体" w:cs="Times New Roman"/>
          <w:spacing w:val="7"/>
          <w:sz w:val="23"/>
          <w:szCs w:val="23"/>
          <w:highlight w:val="none"/>
        </w:rPr>
        <w:t>：</w:t>
      </w:r>
    </w:p>
    <w:p>
      <w:pPr>
        <w:spacing w:line="228" w:lineRule="auto"/>
        <w:ind w:left="63"/>
        <w:outlineLvl w:val="2"/>
        <w:rPr>
          <w:rFonts w:hint="default" w:ascii="Times New Roman" w:hAnsi="Times New Roman" w:eastAsia="宋体" w:cs="Times New Roman"/>
          <w:sz w:val="23"/>
          <w:szCs w:val="23"/>
          <w:highlight w:val="none"/>
        </w:rPr>
      </w:pPr>
      <w:bookmarkStart w:id="619" w:name="_Toc5663"/>
      <w:bookmarkStart w:id="620" w:name="_Toc23147"/>
      <w:bookmarkStart w:id="621" w:name="_Toc16209"/>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7"/>
          <w:sz w:val="23"/>
          <w:szCs w:val="23"/>
          <w:highlight w:val="none"/>
        </w:rPr>
        <w:t>4</w:t>
      </w:r>
      <w:r>
        <w:rPr>
          <w:rFonts w:hint="default" w:ascii="Times New Roman" w:hAnsi="Times New Roman" w:eastAsia="宋体" w:cs="Times New Roman"/>
          <w:spacing w:val="17"/>
          <w:sz w:val="23"/>
          <w:szCs w:val="23"/>
          <w:highlight w:val="none"/>
        </w:rPr>
        <w:t>) 地下水污染预测</w:t>
      </w:r>
      <w:bookmarkEnd w:id="619"/>
      <w:bookmarkEnd w:id="620"/>
      <w:bookmarkEnd w:id="621"/>
    </w:p>
    <w:p>
      <w:pPr>
        <w:spacing w:before="184" w:line="408" w:lineRule="auto"/>
        <w:ind w:left="56" w:right="36"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为了</w:t>
      </w:r>
      <w:r>
        <w:rPr>
          <w:rFonts w:hint="default" w:ascii="Times New Roman" w:hAnsi="Times New Roman" w:eastAsia="宋体" w:cs="Times New Roman"/>
          <w:spacing w:val="9"/>
          <w:sz w:val="23"/>
          <w:szCs w:val="23"/>
          <w:highlight w:val="none"/>
        </w:rPr>
        <w:t>更</w:t>
      </w:r>
      <w:r>
        <w:rPr>
          <w:rFonts w:hint="default" w:ascii="Times New Roman" w:hAnsi="Times New Roman" w:eastAsia="宋体" w:cs="Times New Roman"/>
          <w:spacing w:val="5"/>
          <w:sz w:val="23"/>
          <w:szCs w:val="23"/>
          <w:highlight w:val="none"/>
        </w:rPr>
        <w:t xml:space="preserve">好地观测泄露污染物 </w:t>
      </w:r>
      <w:r>
        <w:rPr>
          <w:rFonts w:hint="default" w:ascii="Times New Roman" w:hAnsi="Times New Roman" w:eastAsia="Times New Roman" w:cs="Times New Roman"/>
          <w:sz w:val="23"/>
          <w:szCs w:val="23"/>
          <w:highlight w:val="none"/>
        </w:rPr>
        <w:t>Fe</w:t>
      </w:r>
      <w:r>
        <w:rPr>
          <w:rFonts w:hint="default" w:ascii="Times New Roman" w:hAnsi="Times New Roman" w:eastAsia="Times New Roman" w:cs="Times New Roman"/>
          <w:spacing w:val="5"/>
          <w:position w:val="7"/>
          <w:sz w:val="15"/>
          <w:szCs w:val="15"/>
          <w:highlight w:val="none"/>
        </w:rPr>
        <w:t>2+</w:t>
      </w:r>
      <w:r>
        <w:rPr>
          <w:rFonts w:hint="default" w:ascii="Times New Roman" w:hAnsi="Times New Roman" w:eastAsia="宋体" w:cs="Times New Roman"/>
          <w:spacing w:val="5"/>
          <w:sz w:val="23"/>
          <w:szCs w:val="23"/>
          <w:highlight w:val="none"/>
        </w:rPr>
        <w:t>离子浓度的变化，在厂区下游沿着地下水流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 xml:space="preserve">向布置了 </w:t>
      </w:r>
      <w:r>
        <w:rPr>
          <w:rFonts w:hint="default" w:ascii="Times New Roman" w:hAnsi="Times New Roman" w:eastAsia="Times New Roman" w:cs="Times New Roman"/>
          <w:spacing w:val="-1"/>
          <w:sz w:val="23"/>
          <w:szCs w:val="23"/>
          <w:highlight w:val="none"/>
        </w:rPr>
        <w:t xml:space="preserve">3 </w:t>
      </w:r>
      <w:r>
        <w:rPr>
          <w:rFonts w:hint="default" w:ascii="Times New Roman" w:hAnsi="Times New Roman" w:eastAsia="宋体" w:cs="Times New Roman"/>
          <w:spacing w:val="-1"/>
          <w:sz w:val="23"/>
          <w:szCs w:val="23"/>
          <w:highlight w:val="none"/>
        </w:rPr>
        <w:t xml:space="preserve">个观测点，分别为距离厂区 </w:t>
      </w:r>
      <w:r>
        <w:rPr>
          <w:rFonts w:hint="default" w:ascii="Times New Roman" w:hAnsi="Times New Roman" w:eastAsia="Times New Roman" w:cs="Times New Roman"/>
          <w:spacing w:val="-1"/>
          <w:sz w:val="23"/>
          <w:szCs w:val="23"/>
          <w:highlight w:val="none"/>
        </w:rPr>
        <w:t>1</w:t>
      </w:r>
      <w:r>
        <w:rPr>
          <w:rFonts w:hint="default" w:ascii="Times New Roman" w:hAnsi="Times New Roman" w:eastAsia="Times New Roman" w:cs="Times New Roman"/>
          <w:sz w:val="23"/>
          <w:szCs w:val="23"/>
          <w:highlight w:val="none"/>
        </w:rPr>
        <w:t xml:space="preserve">00 </w:t>
      </w:r>
      <w:r>
        <w:rPr>
          <w:rFonts w:hint="default" w:ascii="Times New Roman" w:hAnsi="Times New Roman" w:eastAsia="宋体" w:cs="Times New Roman"/>
          <w:sz w:val="23"/>
          <w:szCs w:val="23"/>
          <w:highlight w:val="none"/>
        </w:rPr>
        <w:t>米，</w:t>
      </w:r>
      <w:r>
        <w:rPr>
          <w:rFonts w:hint="default" w:ascii="Times New Roman" w:hAnsi="Times New Roman" w:eastAsia="Times New Roman" w:cs="Times New Roman"/>
          <w:sz w:val="23"/>
          <w:szCs w:val="23"/>
          <w:highlight w:val="none"/>
        </w:rPr>
        <w:t xml:space="preserve">200 </w:t>
      </w:r>
      <w:r>
        <w:rPr>
          <w:rFonts w:hint="default" w:ascii="Times New Roman" w:hAnsi="Times New Roman" w:eastAsia="宋体" w:cs="Times New Roman"/>
          <w:sz w:val="23"/>
          <w:szCs w:val="23"/>
          <w:highlight w:val="none"/>
        </w:rPr>
        <w:t>米，</w:t>
      </w:r>
      <w:r>
        <w:rPr>
          <w:rFonts w:hint="default" w:ascii="Times New Roman" w:hAnsi="Times New Roman" w:eastAsia="Times New Roman" w:cs="Times New Roman"/>
          <w:sz w:val="23"/>
          <w:szCs w:val="23"/>
          <w:highlight w:val="none"/>
        </w:rPr>
        <w:t xml:space="preserve">300 </w:t>
      </w:r>
      <w:r>
        <w:rPr>
          <w:rFonts w:hint="default" w:ascii="Times New Roman" w:hAnsi="Times New Roman" w:eastAsia="宋体" w:cs="Times New Roman"/>
          <w:sz w:val="23"/>
          <w:szCs w:val="23"/>
          <w:highlight w:val="none"/>
        </w:rPr>
        <w:t xml:space="preserve">米。其各个位置 </w:t>
      </w:r>
      <w:r>
        <w:rPr>
          <w:rFonts w:hint="default" w:ascii="Times New Roman" w:hAnsi="Times New Roman" w:eastAsia="Times New Roman" w:cs="Times New Roman"/>
          <w:sz w:val="23"/>
          <w:szCs w:val="23"/>
          <w:highlight w:val="none"/>
        </w:rPr>
        <w:t>Fe</w:t>
      </w:r>
      <w:r>
        <w:rPr>
          <w:rFonts w:hint="default" w:ascii="Times New Roman" w:hAnsi="Times New Roman" w:eastAsia="Times New Roman" w:cs="Times New Roman"/>
          <w:position w:val="7"/>
          <w:sz w:val="15"/>
          <w:szCs w:val="15"/>
          <w:highlight w:val="none"/>
        </w:rPr>
        <w:t xml:space="preserve">2+ </w:t>
      </w:r>
      <w:r>
        <w:rPr>
          <w:rFonts w:hint="default" w:ascii="Times New Roman" w:hAnsi="Times New Roman" w:eastAsia="宋体" w:cs="Times New Roman"/>
          <w:spacing w:val="2"/>
          <w:sz w:val="23"/>
          <w:szCs w:val="23"/>
          <w:highlight w:val="none"/>
        </w:rPr>
        <w:t xml:space="preserve">离子浓度变化曲线如图 </w:t>
      </w:r>
      <w:r>
        <w:rPr>
          <w:rFonts w:hint="default" w:ascii="Times New Roman" w:hAnsi="Times New Roman" w:eastAsia="Times New Roman" w:cs="Times New Roman"/>
          <w:spacing w:val="2"/>
          <w:sz w:val="23"/>
          <w:szCs w:val="23"/>
          <w:highlight w:val="none"/>
        </w:rPr>
        <w:t>5</w:t>
      </w:r>
      <w:r>
        <w:rPr>
          <w:rFonts w:hint="default" w:ascii="Times New Roman" w:hAnsi="Times New Roman" w:eastAsia="Times New Roman" w:cs="Times New Roman"/>
          <w:spacing w:val="1"/>
          <w:sz w:val="23"/>
          <w:szCs w:val="23"/>
          <w:highlight w:val="none"/>
        </w:rPr>
        <w:t>.2-</w:t>
      </w:r>
      <w:r>
        <w:rPr>
          <w:rFonts w:hint="eastAsia" w:ascii="Times New Roman" w:hAnsi="Times New Roman" w:eastAsia="宋体" w:cs="Times New Roman"/>
          <w:spacing w:val="1"/>
          <w:sz w:val="23"/>
          <w:szCs w:val="23"/>
          <w:highlight w:val="none"/>
          <w:lang w:val="en-US" w:eastAsia="zh-CN"/>
        </w:rPr>
        <w:t>26</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至 </w:t>
      </w:r>
      <w:r>
        <w:rPr>
          <w:rFonts w:hint="default" w:ascii="Times New Roman" w:hAnsi="Times New Roman" w:eastAsia="Times New Roman" w:cs="Times New Roman"/>
          <w:spacing w:val="1"/>
          <w:sz w:val="23"/>
          <w:szCs w:val="23"/>
          <w:highlight w:val="none"/>
        </w:rPr>
        <w:t>5.2-</w:t>
      </w:r>
      <w:r>
        <w:rPr>
          <w:rFonts w:hint="eastAsia" w:ascii="Times New Roman" w:hAnsi="Times New Roman" w:eastAsia="宋体" w:cs="Times New Roman"/>
          <w:spacing w:val="1"/>
          <w:sz w:val="23"/>
          <w:szCs w:val="23"/>
          <w:highlight w:val="none"/>
          <w:lang w:val="en-US" w:eastAsia="zh-CN"/>
        </w:rPr>
        <w:t>28</w:t>
      </w:r>
      <w:r>
        <w:rPr>
          <w:rFonts w:hint="default" w:ascii="Times New Roman" w:hAnsi="Times New Roman" w:eastAsia="宋体" w:cs="Times New Roman"/>
          <w:spacing w:val="1"/>
          <w:sz w:val="23"/>
          <w:szCs w:val="23"/>
          <w:highlight w:val="none"/>
        </w:rPr>
        <w:t>。</w:t>
      </w:r>
    </w:p>
    <w:p>
      <w:pPr>
        <w:spacing w:line="4850" w:lineRule="exact"/>
        <w:ind w:firstLine="736"/>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637405" cy="307975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93"/>
                    <a:stretch>
                      <a:fillRect/>
                    </a:stretch>
                  </pic:blipFill>
                  <pic:spPr>
                    <a:xfrm>
                      <a:off x="0" y="0"/>
                      <a:ext cx="4637532" cy="3080004"/>
                    </a:xfrm>
                    <a:prstGeom prst="rect">
                      <a:avLst/>
                    </a:prstGeom>
                  </pic:spPr>
                </pic:pic>
              </a:graphicData>
            </a:graphic>
          </wp:inline>
        </w:drawing>
      </w:r>
    </w:p>
    <w:p>
      <w:pPr>
        <w:spacing w:before="225" w:line="320" w:lineRule="exact"/>
        <w:ind w:left="101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position w:val="1"/>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12"/>
          <w:position w:val="1"/>
          <w:sz w:val="23"/>
          <w:szCs w:val="23"/>
          <w:highlight w:val="none"/>
        </w:rPr>
        <w:t>5.</w:t>
      </w:r>
      <w:r>
        <w:rPr>
          <w:rFonts w:hint="default" w:ascii="Times New Roman" w:hAnsi="Times New Roman" w:eastAsia="Times New Roman" w:cs="Times New Roman"/>
          <w:b/>
          <w:bCs/>
          <w:spacing w:val="8"/>
          <w:position w:val="1"/>
          <w:sz w:val="23"/>
          <w:szCs w:val="23"/>
          <w:highlight w:val="none"/>
        </w:rPr>
        <w:t>2</w:t>
      </w:r>
      <w:r>
        <w:rPr>
          <w:rFonts w:hint="default" w:ascii="Times New Roman" w:hAnsi="Times New Roman" w:eastAsia="Times New Roman" w:cs="Times New Roman"/>
          <w:b/>
          <w:bCs/>
          <w:spacing w:val="6"/>
          <w:position w:val="1"/>
          <w:sz w:val="23"/>
          <w:szCs w:val="23"/>
          <w:highlight w:val="none"/>
        </w:rPr>
        <w:t>-</w:t>
      </w:r>
      <w:r>
        <w:rPr>
          <w:rFonts w:hint="eastAsia" w:ascii="Times New Roman" w:hAnsi="Times New Roman" w:eastAsia="宋体" w:cs="Times New Roman"/>
          <w:b/>
          <w:bCs/>
          <w:spacing w:val="6"/>
          <w:position w:val="1"/>
          <w:sz w:val="23"/>
          <w:szCs w:val="23"/>
          <w:highlight w:val="none"/>
          <w:lang w:val="en-US" w:eastAsia="zh-CN"/>
        </w:rPr>
        <w:t>26</w:t>
      </w:r>
      <w:r>
        <w:rPr>
          <w:rFonts w:hint="default" w:ascii="Times New Roman" w:hAnsi="Times New Roman" w:eastAsia="Times New Roman" w:cs="Times New Roman"/>
          <w:spacing w:val="6"/>
          <w:position w:val="1"/>
          <w:sz w:val="23"/>
          <w:szCs w:val="23"/>
          <w:highlight w:val="none"/>
        </w:rPr>
        <w:t xml:space="preserve">        </w:t>
      </w:r>
      <w:r>
        <w:rPr>
          <w:rFonts w:hint="default" w:ascii="Times New Roman" w:hAnsi="Times New Roman" w:eastAsia="宋体" w:cs="Times New Roman"/>
          <w:spacing w:val="6"/>
          <w:position w:val="1"/>
          <w:sz w:val="23"/>
          <w:szCs w:val="23"/>
          <w:highlight w:val="none"/>
          <w14:textOutline w14:w="4358" w14:cap="sq" w14:cmpd="sng">
            <w14:solidFill>
              <w14:srgbClr w14:val="000000"/>
            </w14:solidFill>
            <w14:prstDash w14:val="solid"/>
            <w14:bevel/>
          </w14:textOutline>
        </w:rPr>
        <w:t>距离污染泄露点</w:t>
      </w:r>
      <w:r>
        <w:rPr>
          <w:rFonts w:hint="default" w:ascii="Times New Roman" w:hAnsi="Times New Roman" w:eastAsia="Times New Roman" w:cs="Times New Roman"/>
          <w:b/>
          <w:bCs/>
          <w:spacing w:val="6"/>
          <w:position w:val="1"/>
          <w:sz w:val="23"/>
          <w:szCs w:val="23"/>
          <w:highlight w:val="none"/>
        </w:rPr>
        <w:t>100</w:t>
      </w:r>
      <w:r>
        <w:rPr>
          <w:rFonts w:hint="default" w:ascii="Times New Roman" w:hAnsi="Times New Roman" w:eastAsia="宋体" w:cs="Times New Roman"/>
          <w:spacing w:val="6"/>
          <w:position w:val="1"/>
          <w:sz w:val="23"/>
          <w:szCs w:val="23"/>
          <w:highlight w:val="none"/>
          <w14:textOutline w14:w="4358" w14:cap="sq" w14:cmpd="sng">
            <w14:solidFill>
              <w14:srgbClr w14:val="000000"/>
            </w14:solidFill>
            <w14:prstDash w14:val="solid"/>
            <w14:bevel/>
          </w14:textOutline>
        </w:rPr>
        <w:t>米处</w:t>
      </w:r>
      <w:r>
        <w:rPr>
          <w:rFonts w:hint="default" w:ascii="Times New Roman" w:hAnsi="Times New Roman" w:eastAsia="Times New Roman" w:cs="Times New Roman"/>
          <w:b/>
          <w:bCs/>
          <w:position w:val="1"/>
          <w:sz w:val="23"/>
          <w:szCs w:val="23"/>
          <w:highlight w:val="none"/>
        </w:rPr>
        <w:t>Fe</w:t>
      </w:r>
      <w:r>
        <w:rPr>
          <w:rFonts w:hint="default" w:ascii="Times New Roman" w:hAnsi="Times New Roman" w:eastAsia="Times New Roman" w:cs="Times New Roman"/>
          <w:b/>
          <w:bCs/>
          <w:spacing w:val="6"/>
          <w:position w:val="8"/>
          <w:sz w:val="15"/>
          <w:szCs w:val="15"/>
          <w:highlight w:val="none"/>
        </w:rPr>
        <w:t>2+</w:t>
      </w:r>
      <w:r>
        <w:rPr>
          <w:rFonts w:hint="default" w:ascii="Times New Roman" w:hAnsi="Times New Roman" w:eastAsia="宋体" w:cs="Times New Roman"/>
          <w:spacing w:val="6"/>
          <w:position w:val="1"/>
          <w:sz w:val="23"/>
          <w:szCs w:val="23"/>
          <w:highlight w:val="none"/>
          <w14:textOutline w14:w="4358" w14:cap="sq" w14:cmpd="sng">
            <w14:solidFill>
              <w14:srgbClr w14:val="000000"/>
            </w14:solidFill>
            <w14:prstDash w14:val="solid"/>
            <w14:bevel/>
          </w14:textOutline>
        </w:rPr>
        <w:t>离子时间变化过程线</w:t>
      </w:r>
    </w:p>
    <w:p>
      <w:pPr>
        <w:rPr>
          <w:rFonts w:hint="default" w:ascii="Times New Roman" w:hAnsi="Times New Roman" w:cs="Times New Roman"/>
          <w:highlight w:val="none"/>
        </w:rPr>
      </w:pPr>
    </w:p>
    <w:p>
      <w:pPr>
        <w:tabs>
          <w:tab w:val="left" w:pos="1699"/>
        </w:tabs>
        <w:bidi w:val="0"/>
        <w:jc w:val="left"/>
        <w:rPr>
          <w:rFonts w:hint="default" w:ascii="Times New Roman" w:hAnsi="Times New Roman" w:cs="Times New Roman"/>
          <w:sz w:val="21"/>
          <w:highlight w:val="none"/>
        </w:rPr>
      </w:pPr>
      <w:r>
        <w:rPr>
          <w:rFonts w:hint="eastAsia" w:eastAsia="宋体"/>
          <w:highlight w:val="none"/>
          <w:lang w:eastAsia="zh-CN"/>
        </w:rPr>
        <w:tab/>
      </w:r>
      <w:r>
        <w:rPr>
          <w:rFonts w:hint="default" w:ascii="Times New Roman" w:hAnsi="Times New Roman" w:cs="Times New Roman"/>
          <w:highlight w:val="none"/>
        </w:rPr>
        <w:pict>
          <v:rect id="_x0000_s1338" o:spid="_x0000_s1338" o:spt="1" style="position:absolute;left:0pt;margin-left:89.85pt;margin-top:59.05pt;height:0.75pt;width:415.65pt;mso-position-horizontal-relative:page;mso-position-vertical-relative:page;z-index:251802624;mso-width-relative:page;mso-height-relative:page;" fillcolor="#000000" filled="t" stroked="f" coordsize="21600,21600" o:allowincell="f">
            <v:path/>
            <v:fill on="t" focussize="0,0"/>
            <v:stroke on="f"/>
            <v:imagedata o:title=""/>
            <o:lock v:ext="edit"/>
          </v:rect>
        </w:pict>
      </w:r>
    </w:p>
    <w:p>
      <w:pPr>
        <w:spacing w:line="4848" w:lineRule="exact"/>
        <w:ind w:firstLine="676"/>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632325" cy="3078480"/>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194"/>
                    <a:stretch>
                      <a:fillRect/>
                    </a:stretch>
                  </pic:blipFill>
                  <pic:spPr>
                    <a:xfrm>
                      <a:off x="0" y="0"/>
                      <a:ext cx="4632959" cy="3078480"/>
                    </a:xfrm>
                    <a:prstGeom prst="rect">
                      <a:avLst/>
                    </a:prstGeom>
                  </pic:spPr>
                </pic:pic>
              </a:graphicData>
            </a:graphic>
          </wp:inline>
        </w:drawing>
      </w:r>
    </w:p>
    <w:p>
      <w:pPr>
        <w:spacing w:before="160" w:line="319" w:lineRule="exact"/>
        <w:ind w:left="110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7"/>
          <w:position w:val="1"/>
          <w:sz w:val="23"/>
          <w:szCs w:val="23"/>
          <w:highlight w:val="none"/>
        </w:rPr>
        <w:t>5.2-</w:t>
      </w:r>
      <w:r>
        <w:rPr>
          <w:rFonts w:hint="eastAsia" w:ascii="Times New Roman" w:hAnsi="Times New Roman" w:eastAsia="宋体" w:cs="Times New Roman"/>
          <w:b/>
          <w:bCs/>
          <w:spacing w:val="7"/>
          <w:position w:val="1"/>
          <w:sz w:val="23"/>
          <w:szCs w:val="23"/>
          <w:highlight w:val="none"/>
          <w:lang w:val="en-US" w:eastAsia="zh-CN"/>
        </w:rPr>
        <w:t>27</w:t>
      </w:r>
      <w:r>
        <w:rPr>
          <w:rFonts w:hint="default" w:ascii="Times New Roman" w:hAnsi="Times New Roman" w:eastAsia="Times New Roman" w:cs="Times New Roman"/>
          <w:spacing w:val="7"/>
          <w:position w:val="1"/>
          <w:sz w:val="23"/>
          <w:szCs w:val="23"/>
          <w:highlight w:val="none"/>
        </w:rPr>
        <w:t xml:space="preserve">    </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距离污染泄露点</w:t>
      </w:r>
      <w:r>
        <w:rPr>
          <w:rFonts w:hint="default" w:ascii="Times New Roman" w:hAnsi="Times New Roman" w:eastAsia="Times New Roman" w:cs="Times New Roman"/>
          <w:b/>
          <w:bCs/>
          <w:spacing w:val="7"/>
          <w:position w:val="1"/>
          <w:sz w:val="23"/>
          <w:szCs w:val="23"/>
          <w:highlight w:val="none"/>
        </w:rPr>
        <w:t>200</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米处</w:t>
      </w:r>
      <w:r>
        <w:rPr>
          <w:rFonts w:hint="default" w:ascii="Times New Roman" w:hAnsi="Times New Roman" w:eastAsia="Times New Roman" w:cs="Times New Roman"/>
          <w:b/>
          <w:bCs/>
          <w:position w:val="1"/>
          <w:sz w:val="23"/>
          <w:szCs w:val="23"/>
          <w:highlight w:val="none"/>
        </w:rPr>
        <w:t>Fe</w:t>
      </w:r>
      <w:r>
        <w:rPr>
          <w:rFonts w:hint="default" w:ascii="Times New Roman" w:hAnsi="Times New Roman" w:eastAsia="Times New Roman" w:cs="Times New Roman"/>
          <w:b/>
          <w:bCs/>
          <w:spacing w:val="7"/>
          <w:position w:val="8"/>
          <w:sz w:val="15"/>
          <w:szCs w:val="15"/>
          <w:highlight w:val="none"/>
        </w:rPr>
        <w:t>2+</w:t>
      </w:r>
      <w:r>
        <w:rPr>
          <w:rFonts w:hint="default" w:ascii="Times New Roman" w:hAnsi="Times New Roman" w:eastAsia="宋体" w:cs="Times New Roman"/>
          <w:spacing w:val="7"/>
          <w:position w:val="1"/>
          <w:sz w:val="23"/>
          <w:szCs w:val="23"/>
          <w:highlight w:val="none"/>
          <w14:textOutline w14:w="4358" w14:cap="sq" w14:cmpd="sng">
            <w14:solidFill>
              <w14:srgbClr w14:val="000000"/>
            </w14:solidFill>
            <w14:prstDash w14:val="solid"/>
            <w14:bevel/>
          </w14:textOutline>
        </w:rPr>
        <w:t>离子时间变化过程线</w:t>
      </w:r>
    </w:p>
    <w:p>
      <w:pPr>
        <w:spacing w:line="249" w:lineRule="auto"/>
        <w:rPr>
          <w:rFonts w:hint="default" w:ascii="Times New Roman" w:hAnsi="Times New Roman" w:cs="Times New Roman"/>
          <w:sz w:val="21"/>
          <w:highlight w:val="none"/>
        </w:rPr>
      </w:pPr>
    </w:p>
    <w:p>
      <w:pPr>
        <w:spacing w:line="249" w:lineRule="auto"/>
        <w:rPr>
          <w:rFonts w:hint="default" w:ascii="Times New Roman" w:hAnsi="Times New Roman" w:cs="Times New Roman"/>
          <w:sz w:val="21"/>
          <w:highlight w:val="none"/>
        </w:rPr>
      </w:pPr>
    </w:p>
    <w:p>
      <w:pPr>
        <w:spacing w:line="4848" w:lineRule="exact"/>
        <w:ind w:firstLine="518"/>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632325" cy="307784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95"/>
                    <a:stretch>
                      <a:fillRect/>
                    </a:stretch>
                  </pic:blipFill>
                  <pic:spPr>
                    <a:xfrm>
                      <a:off x="0" y="0"/>
                      <a:ext cx="4632959" cy="3078479"/>
                    </a:xfrm>
                    <a:prstGeom prst="rect">
                      <a:avLst/>
                    </a:prstGeom>
                  </pic:spPr>
                </pic:pic>
              </a:graphicData>
            </a:graphic>
          </wp:inline>
        </w:drawing>
      </w:r>
    </w:p>
    <w:p>
      <w:pPr>
        <w:spacing w:before="160" w:line="319" w:lineRule="exact"/>
        <w:ind w:left="104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position w:val="1"/>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Times New Roman" w:cs="Times New Roman"/>
          <w:b/>
          <w:bCs/>
          <w:spacing w:val="12"/>
          <w:position w:val="1"/>
          <w:sz w:val="23"/>
          <w:szCs w:val="23"/>
          <w:highlight w:val="none"/>
        </w:rPr>
        <w:t>5.2</w:t>
      </w:r>
      <w:r>
        <w:rPr>
          <w:rFonts w:hint="default" w:ascii="Times New Roman" w:hAnsi="Times New Roman" w:eastAsia="Times New Roman" w:cs="Times New Roman"/>
          <w:b/>
          <w:bCs/>
          <w:spacing w:val="9"/>
          <w:position w:val="1"/>
          <w:sz w:val="23"/>
          <w:szCs w:val="23"/>
          <w:highlight w:val="none"/>
        </w:rPr>
        <w:t>-</w:t>
      </w:r>
      <w:r>
        <w:rPr>
          <w:rFonts w:hint="eastAsia" w:ascii="Times New Roman" w:hAnsi="Times New Roman" w:eastAsia="宋体" w:cs="Times New Roman"/>
          <w:b/>
          <w:bCs/>
          <w:spacing w:val="6"/>
          <w:position w:val="1"/>
          <w:sz w:val="23"/>
          <w:szCs w:val="23"/>
          <w:highlight w:val="none"/>
          <w:lang w:val="en-US" w:eastAsia="zh-CN"/>
        </w:rPr>
        <w:t>28</w:t>
      </w:r>
      <w:r>
        <w:rPr>
          <w:rFonts w:hint="default" w:ascii="Times New Roman" w:hAnsi="Times New Roman" w:eastAsia="Times New Roman" w:cs="Times New Roman"/>
          <w:spacing w:val="6"/>
          <w:position w:val="1"/>
          <w:sz w:val="23"/>
          <w:szCs w:val="23"/>
          <w:highlight w:val="none"/>
        </w:rPr>
        <w:t xml:space="preserve">      </w:t>
      </w:r>
      <w:r>
        <w:rPr>
          <w:rFonts w:hint="default" w:ascii="Times New Roman" w:hAnsi="Times New Roman" w:eastAsia="宋体" w:cs="Times New Roman"/>
          <w:spacing w:val="6"/>
          <w:position w:val="1"/>
          <w:sz w:val="23"/>
          <w:szCs w:val="23"/>
          <w:highlight w:val="none"/>
          <w14:textOutline w14:w="4358" w14:cap="sq" w14:cmpd="sng">
            <w14:solidFill>
              <w14:srgbClr w14:val="000000"/>
            </w14:solidFill>
            <w14:prstDash w14:val="solid"/>
            <w14:bevel/>
          </w14:textOutline>
        </w:rPr>
        <w:t>距离污染泄露点</w:t>
      </w:r>
      <w:r>
        <w:rPr>
          <w:rFonts w:hint="default" w:ascii="Times New Roman" w:hAnsi="Times New Roman" w:eastAsia="Times New Roman" w:cs="Times New Roman"/>
          <w:b/>
          <w:bCs/>
          <w:spacing w:val="6"/>
          <w:position w:val="1"/>
          <w:sz w:val="23"/>
          <w:szCs w:val="23"/>
          <w:highlight w:val="none"/>
        </w:rPr>
        <w:t>300</w:t>
      </w:r>
      <w:r>
        <w:rPr>
          <w:rFonts w:hint="default" w:ascii="Times New Roman" w:hAnsi="Times New Roman" w:eastAsia="宋体" w:cs="Times New Roman"/>
          <w:spacing w:val="6"/>
          <w:position w:val="1"/>
          <w:sz w:val="23"/>
          <w:szCs w:val="23"/>
          <w:highlight w:val="none"/>
          <w14:textOutline w14:w="4358" w14:cap="sq" w14:cmpd="sng">
            <w14:solidFill>
              <w14:srgbClr w14:val="000000"/>
            </w14:solidFill>
            <w14:prstDash w14:val="solid"/>
            <w14:bevel/>
          </w14:textOutline>
        </w:rPr>
        <w:t>米处</w:t>
      </w:r>
      <w:r>
        <w:rPr>
          <w:rFonts w:hint="default" w:ascii="Times New Roman" w:hAnsi="Times New Roman" w:eastAsia="Times New Roman" w:cs="Times New Roman"/>
          <w:b/>
          <w:bCs/>
          <w:position w:val="1"/>
          <w:sz w:val="23"/>
          <w:szCs w:val="23"/>
          <w:highlight w:val="none"/>
        </w:rPr>
        <w:t>Fe</w:t>
      </w:r>
      <w:r>
        <w:rPr>
          <w:rFonts w:hint="default" w:ascii="Times New Roman" w:hAnsi="Times New Roman" w:eastAsia="Times New Roman" w:cs="Times New Roman"/>
          <w:b/>
          <w:bCs/>
          <w:spacing w:val="6"/>
          <w:position w:val="8"/>
          <w:sz w:val="15"/>
          <w:szCs w:val="15"/>
          <w:highlight w:val="none"/>
        </w:rPr>
        <w:t>2+</w:t>
      </w:r>
      <w:r>
        <w:rPr>
          <w:rFonts w:hint="default" w:ascii="Times New Roman" w:hAnsi="Times New Roman" w:eastAsia="宋体" w:cs="Times New Roman"/>
          <w:spacing w:val="6"/>
          <w:position w:val="1"/>
          <w:sz w:val="23"/>
          <w:szCs w:val="23"/>
          <w:highlight w:val="none"/>
          <w14:textOutline w14:w="4358" w14:cap="sq" w14:cmpd="sng">
            <w14:solidFill>
              <w14:srgbClr w14:val="000000"/>
            </w14:solidFill>
            <w14:prstDash w14:val="solid"/>
            <w14:bevel/>
          </w14:textOutline>
        </w:rPr>
        <w:t>离子时间变化过程线</w:t>
      </w:r>
    </w:p>
    <w:p>
      <w:pPr>
        <w:spacing w:before="215"/>
        <w:ind w:left="495"/>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F</w:t>
      </w:r>
      <w:r>
        <w:rPr>
          <w:rFonts w:hint="default" w:ascii="Times New Roman" w:hAnsi="Times New Roman" w:eastAsia="Times New Roman" w:cs="Times New Roman"/>
          <w:spacing w:val="10"/>
          <w:sz w:val="23"/>
          <w:szCs w:val="23"/>
          <w:highlight w:val="none"/>
        </w:rPr>
        <w:t xml:space="preserve"> </w:t>
      </w:r>
      <w:r>
        <w:rPr>
          <w:rFonts w:hint="default" w:ascii="Times New Roman" w:hAnsi="Times New Roman" w:eastAsia="宋体" w:cs="Times New Roman"/>
          <w:spacing w:val="6"/>
          <w:sz w:val="23"/>
          <w:szCs w:val="23"/>
          <w:highlight w:val="none"/>
        </w:rPr>
        <w:t>、厂区建设对区域地下水影响评价小结</w:t>
      </w:r>
    </w:p>
    <w:p>
      <w:pPr>
        <w:spacing w:before="199" w:line="402" w:lineRule="auto"/>
        <w:ind w:left="21" w:right="11" w:firstLine="49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1</w:t>
      </w:r>
      <w:r>
        <w:rPr>
          <w:rFonts w:hint="default" w:ascii="Times New Roman" w:hAnsi="Times New Roman" w:eastAsia="宋体" w:cs="Times New Roman"/>
          <w:spacing w:val="13"/>
          <w:sz w:val="23"/>
          <w:szCs w:val="23"/>
          <w:highlight w:val="none"/>
        </w:rPr>
        <w:t>) 由预测结果可知，污染物在水动力条件作用下主要由东北向西南方向</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运</w:t>
      </w:r>
      <w:r>
        <w:rPr>
          <w:rFonts w:hint="default" w:ascii="Times New Roman" w:hAnsi="Times New Roman" w:eastAsia="宋体" w:cs="Times New Roman"/>
          <w:spacing w:val="9"/>
          <w:sz w:val="23"/>
          <w:szCs w:val="23"/>
          <w:highlight w:val="none"/>
        </w:rPr>
        <w:t>移。由于本区含水层渗透性能较好，污染物迁移较快。</w:t>
      </w:r>
    </w:p>
    <w:p>
      <w:pPr>
        <w:spacing w:before="2" w:line="407" w:lineRule="auto"/>
        <w:ind w:left="21" w:right="30" w:firstLine="49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w:t>
      </w:r>
      <w:r>
        <w:rPr>
          <w:rFonts w:hint="default" w:ascii="Times New Roman" w:hAnsi="Times New Roman" w:eastAsia="Times New Roman" w:cs="Times New Roman"/>
          <w:spacing w:val="12"/>
          <w:sz w:val="23"/>
          <w:szCs w:val="23"/>
          <w:highlight w:val="none"/>
        </w:rPr>
        <w:t>2</w:t>
      </w:r>
      <w:r>
        <w:rPr>
          <w:rFonts w:hint="default" w:ascii="Times New Roman" w:hAnsi="Times New Roman" w:eastAsia="宋体" w:cs="Times New Roman"/>
          <w:spacing w:val="12"/>
          <w:sz w:val="23"/>
          <w:szCs w:val="23"/>
          <w:highlight w:val="none"/>
        </w:rPr>
        <w:t>) 考虑最不利状况 (项目区废水处理站调节池泄露情景下) ，可以看</w:t>
      </w:r>
      <w:r>
        <w:rPr>
          <w:rFonts w:hint="default" w:ascii="Times New Roman" w:hAnsi="Times New Roman" w:eastAsia="宋体" w:cs="Times New Roman"/>
          <w:spacing w:val="11"/>
          <w:sz w:val="23"/>
          <w:szCs w:val="23"/>
          <w:highlight w:val="none"/>
        </w:rPr>
        <w:t>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4"/>
          <w:sz w:val="23"/>
          <w:szCs w:val="23"/>
          <w:highlight w:val="none"/>
        </w:rPr>
        <w:t>地</w:t>
      </w:r>
      <w:r>
        <w:rPr>
          <w:rFonts w:hint="default" w:ascii="Times New Roman" w:hAnsi="Times New Roman" w:eastAsia="宋体" w:cs="Times New Roman"/>
          <w:spacing w:val="26"/>
          <w:sz w:val="23"/>
          <w:szCs w:val="23"/>
          <w:highlight w:val="none"/>
        </w:rPr>
        <w:t xml:space="preserve">下水中 </w:t>
      </w:r>
      <w:r>
        <w:rPr>
          <w:rFonts w:hint="default" w:ascii="Times New Roman" w:hAnsi="Times New Roman" w:eastAsia="Times New Roman" w:cs="Times New Roman"/>
          <w:sz w:val="23"/>
          <w:szCs w:val="23"/>
          <w:highlight w:val="none"/>
        </w:rPr>
        <w:t>COD</w:t>
      </w:r>
      <w:r>
        <w:rPr>
          <w:rFonts w:hint="default" w:ascii="Times New Roman" w:hAnsi="Times New Roman" w:eastAsia="Times New Roman" w:cs="Times New Roman"/>
          <w:spacing w:val="26"/>
          <w:sz w:val="23"/>
          <w:szCs w:val="23"/>
          <w:highlight w:val="none"/>
        </w:rPr>
        <w:t xml:space="preserve"> </w:t>
      </w:r>
      <w:r>
        <w:rPr>
          <w:rFonts w:hint="default" w:ascii="Times New Roman" w:hAnsi="Times New Roman" w:eastAsia="宋体" w:cs="Times New Roman"/>
          <w:spacing w:val="26"/>
          <w:sz w:val="23"/>
          <w:szCs w:val="23"/>
          <w:highlight w:val="none"/>
        </w:rPr>
        <w:t>有超标，但超标范围都基本没有超出厂区范围。</w:t>
      </w:r>
    </w:p>
    <w:p>
      <w:pPr>
        <w:spacing w:before="2" w:line="407" w:lineRule="auto"/>
        <w:ind w:left="21" w:right="30" w:firstLine="491"/>
        <w:rPr>
          <w:rFonts w:hint="default" w:ascii="Times New Roman" w:hAnsi="Times New Roman" w:eastAsia="宋体" w:cs="Times New Roman"/>
          <w:spacing w:val="12"/>
          <w:sz w:val="23"/>
          <w:szCs w:val="23"/>
          <w:highlight w:val="none"/>
        </w:rPr>
      </w:pPr>
      <w:r>
        <w:rPr>
          <w:rFonts w:hint="default" w:ascii="Times New Roman" w:hAnsi="Times New Roman" w:eastAsia="宋体" w:cs="Times New Roman"/>
          <w:spacing w:val="12"/>
          <w:sz w:val="23"/>
          <w:szCs w:val="23"/>
          <w:highlight w:val="none"/>
        </w:rPr>
        <w:pict>
          <v:shape id="_x0000_s1340" o:spid="_x0000_s1340" style="position:absolute;left:0pt;margin-left:89.85pt;margin-top:59.05pt;height:0.75pt;width:415.65pt;mso-position-horizontal-relative:page;mso-position-vertical-relative:page;z-index:251803648;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12"/>
          <w:sz w:val="23"/>
          <w:szCs w:val="23"/>
          <w:highlight w:val="none"/>
        </w:rPr>
        <w:t>(3) 根据评价区的地层及水文地质剖面图资料可知区内深层承压水与浅层 潜水水力联系不密切，之间有一层比较稳定的隔水层，岩性以粘土为主。浅深层 水之间有粘土层相隔保护，因此在分层止水成井质量完好情况下，上部污染浅层 水对深部承压水越流污染的可能性小。</w:t>
      </w:r>
    </w:p>
    <w:p>
      <w:pPr>
        <w:spacing w:before="2" w:line="407" w:lineRule="auto"/>
        <w:ind w:left="21" w:right="30" w:firstLine="491"/>
        <w:rPr>
          <w:rFonts w:hint="default" w:ascii="Times New Roman" w:hAnsi="Times New Roman" w:eastAsia="宋体" w:cs="Times New Roman"/>
          <w:spacing w:val="12"/>
          <w:sz w:val="23"/>
          <w:szCs w:val="23"/>
          <w:highlight w:val="none"/>
        </w:rPr>
      </w:pPr>
      <w:r>
        <w:rPr>
          <w:rFonts w:hint="default" w:ascii="Times New Roman" w:hAnsi="Times New Roman" w:eastAsia="宋体" w:cs="Times New Roman"/>
          <w:spacing w:val="12"/>
          <w:sz w:val="23"/>
          <w:szCs w:val="23"/>
          <w:highlight w:val="none"/>
        </w:rPr>
        <w:t>通过预测可知，厂区部分特征污染物的渗漏将会对厂区附近的浅层地下水环 境产生一定影响，但对评价区承压水尤其水源井污染可能性较小 (评价区内村庄 都已实现集中供水，集中供水井位置均不在评价区范围内，且均开采深层承压 水) 。</w:t>
      </w:r>
    </w:p>
    <w:p>
      <w:pPr>
        <w:spacing w:before="2" w:line="405" w:lineRule="auto"/>
        <w:ind w:left="22" w:right="63" w:firstLine="49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4</w:t>
      </w:r>
      <w:r>
        <w:rPr>
          <w:rFonts w:hint="default" w:ascii="Times New Roman" w:hAnsi="Times New Roman" w:eastAsia="宋体" w:cs="Times New Roman"/>
          <w:spacing w:val="13"/>
          <w:sz w:val="23"/>
          <w:szCs w:val="23"/>
          <w:highlight w:val="none"/>
        </w:rPr>
        <w:t>) 从总的评价结果来看，在有效的防渗措施和完善的监测系统条件下，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该</w:t>
      </w:r>
      <w:r>
        <w:rPr>
          <w:rFonts w:hint="default" w:ascii="Times New Roman" w:hAnsi="Times New Roman" w:eastAsia="宋体" w:cs="Times New Roman"/>
          <w:spacing w:val="7"/>
          <w:sz w:val="23"/>
          <w:szCs w:val="23"/>
          <w:highlight w:val="none"/>
        </w:rPr>
        <w:t>项目不会对地下水造成很大影响。发生事故立即启动应急预案，只要处理及时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其对地下水的污染可控制在厂区范围之内</w:t>
      </w:r>
      <w:r>
        <w:rPr>
          <w:rFonts w:hint="default" w:ascii="Times New Roman" w:hAnsi="Times New Roman" w:eastAsia="宋体" w:cs="Times New Roman"/>
          <w:spacing w:val="7"/>
          <w:sz w:val="23"/>
          <w:szCs w:val="23"/>
          <w:highlight w:val="none"/>
        </w:rPr>
        <w:t>。</w:t>
      </w:r>
    </w:p>
    <w:p>
      <w:pPr>
        <w:spacing w:before="104" w:line="228" w:lineRule="auto"/>
        <w:ind w:left="23"/>
        <w:outlineLvl w:val="3"/>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2"/>
          <w:sz w:val="23"/>
          <w:szCs w:val="23"/>
          <w:highlight w:val="none"/>
        </w:rPr>
        <w:t>5</w:t>
      </w:r>
      <w:r>
        <w:rPr>
          <w:rFonts w:hint="default" w:ascii="Times New Roman" w:hAnsi="Times New Roman" w:eastAsia="Times New Roman" w:cs="Times New Roman"/>
          <w:spacing w:val="6"/>
          <w:sz w:val="23"/>
          <w:szCs w:val="23"/>
          <w:highlight w:val="none"/>
        </w:rPr>
        <w:t xml:space="preserve">.2.3.4 </w:t>
      </w:r>
      <w:r>
        <w:rPr>
          <w:rFonts w:hint="default" w:ascii="Times New Roman" w:hAnsi="Times New Roman" w:eastAsia="宋体" w:cs="Times New Roman"/>
          <w:spacing w:val="6"/>
          <w:sz w:val="23"/>
          <w:szCs w:val="23"/>
          <w:highlight w:val="none"/>
        </w:rPr>
        <w:t>地下水环境保护措施</w:t>
      </w:r>
    </w:p>
    <w:p>
      <w:pPr>
        <w:spacing w:line="261" w:lineRule="auto"/>
        <w:rPr>
          <w:rFonts w:hint="default" w:ascii="Times New Roman" w:hAnsi="Times New Roman" w:cs="Times New Roman"/>
          <w:sz w:val="21"/>
          <w:highlight w:val="none"/>
        </w:rPr>
      </w:pPr>
    </w:p>
    <w:p>
      <w:pPr>
        <w:spacing w:before="75"/>
        <w:ind w:left="493"/>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4"/>
          <w:sz w:val="23"/>
          <w:szCs w:val="23"/>
          <w:highlight w:val="none"/>
        </w:rPr>
        <w:t>、地下水污染控制原则</w:t>
      </w:r>
    </w:p>
    <w:p>
      <w:pPr>
        <w:spacing w:before="201" w:line="401" w:lineRule="auto"/>
        <w:ind w:left="21" w:right="63"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sz w:val="23"/>
          <w:szCs w:val="23"/>
          <w:highlight w:val="none"/>
        </w:rPr>
        <w:t>针对项目可能发生的地下水污染，地下水污染防治措施按照</w:t>
      </w:r>
      <w:r>
        <w:rPr>
          <w:rFonts w:hint="default" w:ascii="Times New Roman" w:hAnsi="Times New Roman" w:eastAsia="Times New Roman" w:cs="Times New Roman"/>
          <w:spacing w:val="11"/>
          <w:sz w:val="23"/>
          <w:szCs w:val="23"/>
          <w:highlight w:val="none"/>
        </w:rPr>
        <w:t>“</w:t>
      </w:r>
      <w:r>
        <w:rPr>
          <w:rFonts w:hint="default" w:ascii="Times New Roman" w:hAnsi="Times New Roman" w:eastAsia="宋体" w:cs="Times New Roman"/>
          <w:spacing w:val="11"/>
          <w:sz w:val="23"/>
          <w:szCs w:val="23"/>
          <w:highlight w:val="none"/>
        </w:rPr>
        <w:t>源头控制、</w:t>
      </w:r>
      <w:r>
        <w:rPr>
          <w:rFonts w:hint="default" w:ascii="Times New Roman" w:hAnsi="Times New Roman" w:eastAsia="宋体" w:cs="Times New Roman"/>
          <w:spacing w:val="7"/>
          <w:sz w:val="23"/>
          <w:szCs w:val="23"/>
          <w:highlight w:val="none"/>
        </w:rPr>
        <w:t>末</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端防治、污染监控、应急响应</w:t>
      </w:r>
      <w:r>
        <w:rPr>
          <w:rFonts w:hint="default" w:ascii="Times New Roman" w:hAnsi="Times New Roman" w:eastAsia="Times New Roman" w:cs="Times New Roman"/>
          <w:spacing w:val="11"/>
          <w:sz w:val="23"/>
          <w:szCs w:val="23"/>
          <w:highlight w:val="none"/>
        </w:rPr>
        <w:t>”</w:t>
      </w:r>
      <w:r>
        <w:rPr>
          <w:rFonts w:hint="default" w:ascii="Times New Roman" w:hAnsi="Times New Roman" w:eastAsia="宋体" w:cs="Times New Roman"/>
          <w:spacing w:val="11"/>
          <w:sz w:val="23"/>
          <w:szCs w:val="23"/>
          <w:highlight w:val="none"/>
        </w:rPr>
        <w:t>相结合的原则，从污染物的产生、入渗、扩散</w:t>
      </w:r>
      <w:r>
        <w:rPr>
          <w:rFonts w:hint="default" w:ascii="Times New Roman" w:hAnsi="Times New Roman" w:eastAsia="宋体" w:cs="Times New Roman"/>
          <w:spacing w:val="5"/>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应</w:t>
      </w:r>
      <w:r>
        <w:rPr>
          <w:rFonts w:hint="default" w:ascii="Times New Roman" w:hAnsi="Times New Roman" w:eastAsia="宋体" w:cs="Times New Roman"/>
          <w:spacing w:val="8"/>
          <w:sz w:val="23"/>
          <w:szCs w:val="23"/>
          <w:highlight w:val="none"/>
        </w:rPr>
        <w:t>急响应全阶段进行控制。</w:t>
      </w:r>
    </w:p>
    <w:p>
      <w:pPr>
        <w:spacing w:before="1" w:line="401" w:lineRule="auto"/>
        <w:ind w:left="21" w:right="57" w:firstLine="49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1</w:t>
      </w:r>
      <w:r>
        <w:rPr>
          <w:rFonts w:hint="default" w:ascii="Times New Roman" w:hAnsi="Times New Roman" w:eastAsia="宋体" w:cs="Times New Roman"/>
          <w:spacing w:val="13"/>
          <w:sz w:val="23"/>
          <w:szCs w:val="23"/>
          <w:highlight w:val="none"/>
        </w:rPr>
        <w:t>) 源头控制措施：主要包括在工艺、管道、设备、污水储存及处理构筑</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物</w:t>
      </w:r>
      <w:r>
        <w:rPr>
          <w:rFonts w:hint="default" w:ascii="Times New Roman" w:hAnsi="Times New Roman" w:eastAsia="宋体" w:cs="Times New Roman"/>
          <w:spacing w:val="7"/>
          <w:sz w:val="23"/>
          <w:szCs w:val="23"/>
          <w:highlight w:val="none"/>
        </w:rPr>
        <w:t>采取相应措施，防止和降低污染物跑、冒、滴、漏，将污染物泄漏的环境风险</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事故降到最低程度；管线敷设尽量采用</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可视化</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原则，即管道尽可能地上敷设</w:t>
      </w:r>
      <w:r>
        <w:rPr>
          <w:rFonts w:hint="default" w:ascii="Times New Roman" w:hAnsi="Times New Roman" w:eastAsia="宋体" w:cs="Times New Roman"/>
          <w:spacing w:val="3"/>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做</w:t>
      </w:r>
      <w:r>
        <w:rPr>
          <w:rFonts w:hint="default" w:ascii="Times New Roman" w:hAnsi="Times New Roman" w:eastAsia="宋体" w:cs="Times New Roman"/>
          <w:spacing w:val="8"/>
          <w:sz w:val="23"/>
          <w:szCs w:val="23"/>
          <w:highlight w:val="none"/>
        </w:rPr>
        <w:t>到</w:t>
      </w:r>
      <w:r>
        <w:rPr>
          <w:rFonts w:hint="default" w:ascii="Times New Roman" w:hAnsi="Times New Roman" w:eastAsia="宋体" w:cs="Times New Roman"/>
          <w:spacing w:val="7"/>
          <w:sz w:val="23"/>
          <w:szCs w:val="23"/>
          <w:highlight w:val="none"/>
        </w:rPr>
        <w:t>污染物</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早发现、早处理</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，减少由于埋地管道泄漏而造成的地下水污染。</w:t>
      </w:r>
    </w:p>
    <w:p>
      <w:pPr>
        <w:spacing w:before="4" w:line="404" w:lineRule="auto"/>
        <w:ind w:left="24" w:firstLine="487"/>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2</w:t>
      </w:r>
      <w:r>
        <w:rPr>
          <w:rFonts w:hint="default" w:ascii="Times New Roman" w:hAnsi="Times New Roman" w:eastAsia="宋体" w:cs="Times New Roman"/>
          <w:spacing w:val="13"/>
          <w:sz w:val="23"/>
          <w:szCs w:val="23"/>
          <w:highlight w:val="none"/>
        </w:rPr>
        <w:t>) 末端控制措施：主要包括厂内污染区地面的防渗措施和泄漏、渗漏污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染物收集</w:t>
      </w:r>
      <w:r>
        <w:rPr>
          <w:rFonts w:hint="default" w:ascii="Times New Roman" w:hAnsi="Times New Roman" w:eastAsia="宋体" w:cs="Times New Roman"/>
          <w:spacing w:val="3"/>
          <w:sz w:val="23"/>
          <w:szCs w:val="23"/>
          <w:highlight w:val="none"/>
        </w:rPr>
        <w:t>措</w:t>
      </w:r>
      <w:r>
        <w:rPr>
          <w:rFonts w:hint="default" w:ascii="Times New Roman" w:hAnsi="Times New Roman" w:eastAsia="宋体" w:cs="Times New Roman"/>
          <w:spacing w:val="2"/>
          <w:sz w:val="23"/>
          <w:szCs w:val="23"/>
          <w:highlight w:val="none"/>
        </w:rPr>
        <w:t>施，即在污染区地面进行防渗处理，防止洒落地面的污染物渗入地下，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并</w:t>
      </w:r>
      <w:r>
        <w:rPr>
          <w:rFonts w:hint="default" w:ascii="Times New Roman" w:hAnsi="Times New Roman" w:eastAsia="宋体" w:cs="Times New Roman"/>
          <w:spacing w:val="7"/>
          <w:sz w:val="23"/>
          <w:szCs w:val="23"/>
          <w:highlight w:val="none"/>
        </w:rPr>
        <w:t>把滞留在地面的污染物收集起来，集中送至污水处理场处理；末端控制采取分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区</w:t>
      </w:r>
      <w:r>
        <w:rPr>
          <w:rFonts w:hint="default" w:ascii="Times New Roman" w:hAnsi="Times New Roman" w:eastAsia="宋体" w:cs="Times New Roman"/>
          <w:spacing w:val="7"/>
          <w:sz w:val="23"/>
          <w:szCs w:val="23"/>
          <w:highlight w:val="none"/>
        </w:rPr>
        <w:t>防渗，重点污染防治区、一般污染防治区和非污染区防渗措施有区别的防渗原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则。</w:t>
      </w:r>
    </w:p>
    <w:p>
      <w:pPr>
        <w:spacing w:before="1" w:line="401" w:lineRule="auto"/>
        <w:ind w:left="21" w:right="57" w:firstLine="491"/>
        <w:jc w:val="both"/>
        <w:rPr>
          <w:rFonts w:hint="default" w:ascii="Times New Roman" w:hAnsi="Times New Roman" w:eastAsia="宋体" w:cs="Times New Roman"/>
          <w:spacing w:val="7"/>
          <w:sz w:val="23"/>
          <w:szCs w:val="23"/>
          <w:highlight w:val="none"/>
        </w:rPr>
      </w:pPr>
      <w:r>
        <w:rPr>
          <w:rFonts w:hint="default" w:ascii="Times New Roman" w:hAnsi="Times New Roman" w:eastAsia="宋体" w:cs="Times New Roman"/>
          <w:spacing w:val="7"/>
          <w:sz w:val="23"/>
          <w:szCs w:val="23"/>
          <w:highlight w:val="none"/>
        </w:rPr>
        <w:pict>
          <v:shape id="_x0000_s1342" o:spid="_x0000_s1342" style="position:absolute;left:0pt;margin-left:89.85pt;margin-top:59.05pt;height:0.75pt;width:415.65pt;mso-position-horizontal-relative:page;mso-position-vertical-relative:page;z-index:251806720;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7"/>
          <w:sz w:val="23"/>
          <w:szCs w:val="23"/>
          <w:highlight w:val="none"/>
        </w:rPr>
        <w:t>(3) 污染监控体系：实施覆盖生产区的地下水污染监控系统，包括建立完 善的监测制度、配备先进的检测仪器和设备、科学、合理设置地下水污染监控井， 及时发现污染、及时控制；</w:t>
      </w:r>
    </w:p>
    <w:p>
      <w:pPr>
        <w:spacing w:before="1" w:line="401" w:lineRule="auto"/>
        <w:ind w:left="21" w:right="57" w:firstLine="491"/>
        <w:jc w:val="both"/>
        <w:rPr>
          <w:rFonts w:hint="default" w:ascii="Times New Roman" w:hAnsi="Times New Roman" w:eastAsia="宋体" w:cs="Times New Roman"/>
          <w:spacing w:val="7"/>
          <w:sz w:val="23"/>
          <w:szCs w:val="23"/>
          <w:highlight w:val="none"/>
        </w:rPr>
      </w:pPr>
      <w:r>
        <w:rPr>
          <w:rFonts w:hint="default" w:ascii="Times New Roman" w:hAnsi="Times New Roman" w:eastAsia="宋体" w:cs="Times New Roman"/>
          <w:spacing w:val="7"/>
          <w:sz w:val="23"/>
          <w:szCs w:val="23"/>
          <w:highlight w:val="none"/>
        </w:rPr>
        <w:t>(4) 应急响应措施：包括一旦发现地下水污染事故，立即启动应急预案、 采取应急措施控制地下水污染，并使污染得到治理。</w:t>
      </w:r>
    </w:p>
    <w:p>
      <w:pPr>
        <w:ind w:left="495"/>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B</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pacing w:val="3"/>
          <w:sz w:val="23"/>
          <w:szCs w:val="23"/>
          <w:highlight w:val="none"/>
        </w:rPr>
        <w:t>污</w:t>
      </w:r>
      <w:r>
        <w:rPr>
          <w:rFonts w:hint="default" w:ascii="Times New Roman" w:hAnsi="Times New Roman" w:eastAsia="宋体" w:cs="Times New Roman"/>
          <w:spacing w:val="2"/>
          <w:sz w:val="23"/>
          <w:szCs w:val="23"/>
          <w:highlight w:val="none"/>
        </w:rPr>
        <w:t>染物源头控制</w:t>
      </w:r>
    </w:p>
    <w:p>
      <w:pPr>
        <w:spacing w:before="201" w:line="401" w:lineRule="auto"/>
        <w:ind w:left="21" w:right="81" w:firstLine="49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1</w:t>
      </w:r>
      <w:r>
        <w:rPr>
          <w:rFonts w:hint="default" w:ascii="Times New Roman" w:hAnsi="Times New Roman" w:eastAsia="宋体" w:cs="Times New Roman"/>
          <w:spacing w:val="13"/>
          <w:sz w:val="23"/>
          <w:szCs w:val="23"/>
          <w:highlight w:val="none"/>
        </w:rPr>
        <w:t>) 对工艺、管道、设备、污水储存及处理构筑物等严格检查，有质量问</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题的及时更换，阀门采用优质产品，防止和降低</w:t>
      </w:r>
      <w:r>
        <w:rPr>
          <w:rFonts w:hint="default" w:ascii="Times New Roman" w:hAnsi="Times New Roman" w:eastAsia="Times New Roman" w:cs="Times New Roman"/>
          <w:spacing w:val="9"/>
          <w:sz w:val="23"/>
          <w:szCs w:val="23"/>
          <w:highlight w:val="none"/>
        </w:rPr>
        <w:t>“</w:t>
      </w:r>
      <w:r>
        <w:rPr>
          <w:rFonts w:hint="default" w:ascii="Times New Roman" w:hAnsi="Times New Roman" w:eastAsia="宋体" w:cs="Times New Roman"/>
          <w:spacing w:val="9"/>
          <w:sz w:val="23"/>
          <w:szCs w:val="23"/>
          <w:highlight w:val="none"/>
        </w:rPr>
        <w:t>跑、冒、滴、漏</w:t>
      </w:r>
      <w:r>
        <w:rPr>
          <w:rFonts w:hint="default" w:ascii="Times New Roman" w:hAnsi="Times New Roman" w:eastAsia="Times New Roman" w:cs="Times New Roman"/>
          <w:spacing w:val="9"/>
          <w:sz w:val="23"/>
          <w:szCs w:val="23"/>
          <w:highlight w:val="none"/>
        </w:rPr>
        <w:t>”</w:t>
      </w:r>
      <w:r>
        <w:rPr>
          <w:rFonts w:hint="default" w:ascii="Times New Roman" w:hAnsi="Times New Roman" w:eastAsia="宋体" w:cs="Times New Roman"/>
          <w:spacing w:val="8"/>
          <w:sz w:val="23"/>
          <w:szCs w:val="23"/>
          <w:highlight w:val="none"/>
        </w:rPr>
        <w:t>。</w:t>
      </w:r>
    </w:p>
    <w:p>
      <w:pPr>
        <w:spacing w:before="1" w:line="401" w:lineRule="auto"/>
        <w:ind w:left="23" w:right="81" w:firstLine="48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2</w:t>
      </w:r>
      <w:r>
        <w:rPr>
          <w:rFonts w:hint="default" w:ascii="Times New Roman" w:hAnsi="Times New Roman" w:eastAsia="宋体" w:cs="Times New Roman"/>
          <w:spacing w:val="13"/>
          <w:sz w:val="23"/>
          <w:szCs w:val="23"/>
          <w:highlight w:val="none"/>
        </w:rPr>
        <w:t>) 所有生产中的储槽、容器均做防腐处理。禁止在厂区内任意设置排污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水</w:t>
      </w:r>
      <w:r>
        <w:rPr>
          <w:rFonts w:hint="default" w:ascii="Times New Roman" w:hAnsi="Times New Roman" w:eastAsia="宋体" w:cs="Times New Roman"/>
          <w:spacing w:val="8"/>
          <w:sz w:val="23"/>
          <w:szCs w:val="23"/>
          <w:highlight w:val="none"/>
        </w:rPr>
        <w:t>口，全封闭，防止流入环境中。</w:t>
      </w:r>
    </w:p>
    <w:p>
      <w:pPr>
        <w:spacing w:before="1" w:line="401" w:lineRule="auto"/>
        <w:ind w:left="21" w:right="81" w:firstLine="49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3</w:t>
      </w:r>
      <w:r>
        <w:rPr>
          <w:rFonts w:hint="default" w:ascii="Times New Roman" w:hAnsi="Times New Roman" w:eastAsia="宋体" w:cs="Times New Roman"/>
          <w:spacing w:val="13"/>
          <w:sz w:val="23"/>
          <w:szCs w:val="23"/>
          <w:highlight w:val="none"/>
        </w:rPr>
        <w:t>) 对工艺要求必须地下走管的管道、阀门设专用防渗管沟，管沟上设活</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动</w:t>
      </w:r>
      <w:r>
        <w:rPr>
          <w:rFonts w:hint="default" w:ascii="Times New Roman" w:hAnsi="Times New Roman" w:eastAsia="宋体" w:cs="Times New Roman"/>
          <w:spacing w:val="7"/>
          <w:sz w:val="23"/>
          <w:szCs w:val="23"/>
          <w:highlight w:val="none"/>
        </w:rPr>
        <w:t>观察顶盖，以便出现渗漏问题及时观察、解决，管沟与污水集水井相连，并设</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计</w:t>
      </w:r>
      <w:r>
        <w:rPr>
          <w:rFonts w:hint="default" w:ascii="Times New Roman" w:hAnsi="Times New Roman" w:eastAsia="宋体" w:cs="Times New Roman"/>
          <w:spacing w:val="11"/>
          <w:sz w:val="23"/>
          <w:szCs w:val="23"/>
          <w:highlight w:val="none"/>
        </w:rPr>
        <w:t>合</w:t>
      </w:r>
      <w:r>
        <w:rPr>
          <w:rFonts w:hint="default" w:ascii="Times New Roman" w:hAnsi="Times New Roman" w:eastAsia="宋体" w:cs="Times New Roman"/>
          <w:spacing w:val="9"/>
          <w:sz w:val="23"/>
          <w:szCs w:val="23"/>
          <w:highlight w:val="none"/>
        </w:rPr>
        <w:t>理的排水坡度，便于废水排至集水井，然后统一排入污水收集池。</w:t>
      </w:r>
    </w:p>
    <w:p>
      <w:pPr>
        <w:spacing w:before="1" w:line="401" w:lineRule="auto"/>
        <w:ind w:left="22" w:firstLine="49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4</w:t>
      </w:r>
      <w:r>
        <w:rPr>
          <w:rFonts w:hint="default" w:ascii="Times New Roman" w:hAnsi="Times New Roman" w:eastAsia="宋体" w:cs="Times New Roman"/>
          <w:spacing w:val="13"/>
          <w:sz w:val="23"/>
          <w:szCs w:val="23"/>
          <w:highlight w:val="none"/>
        </w:rPr>
        <w:t>) 厂区内设置生活垃圾收集点和垃圾中转站，集中收集后的生活垃圾运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至城市规划的生活垃圾填埋场。生活垃圾运输基本实现收集容器化、运输密封</w:t>
      </w:r>
      <w:r>
        <w:rPr>
          <w:rFonts w:hint="default" w:ascii="Times New Roman" w:hAnsi="Times New Roman" w:eastAsia="宋体" w:cs="Times New Roman"/>
          <w:sz w:val="23"/>
          <w:szCs w:val="23"/>
          <w:highlight w:val="none"/>
        </w:rPr>
        <w:t xml:space="preserve">化。 </w:t>
      </w:r>
      <w:r>
        <w:rPr>
          <w:rFonts w:hint="default" w:ascii="Times New Roman" w:hAnsi="Times New Roman" w:eastAsia="宋体" w:cs="Times New Roman"/>
          <w:spacing w:val="12"/>
          <w:sz w:val="23"/>
          <w:szCs w:val="23"/>
          <w:highlight w:val="none"/>
        </w:rPr>
        <w:t>工</w:t>
      </w:r>
      <w:r>
        <w:rPr>
          <w:rFonts w:hint="default" w:ascii="Times New Roman" w:hAnsi="Times New Roman" w:eastAsia="宋体" w:cs="Times New Roman"/>
          <w:spacing w:val="7"/>
          <w:sz w:val="23"/>
          <w:szCs w:val="23"/>
          <w:highlight w:val="none"/>
        </w:rPr>
        <w:t>业垃圾首先在企业内部进行无害化处理，再运至规划建设的固体废弃物填埋场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作</w:t>
      </w:r>
      <w:r>
        <w:rPr>
          <w:rFonts w:hint="default" w:ascii="Times New Roman" w:hAnsi="Times New Roman" w:eastAsia="宋体" w:cs="Times New Roman"/>
          <w:spacing w:val="9"/>
          <w:sz w:val="23"/>
          <w:szCs w:val="23"/>
          <w:highlight w:val="none"/>
        </w:rPr>
        <w:t>进一步处置。防止固废因淋溶对地下水造成的二次污染。</w:t>
      </w:r>
    </w:p>
    <w:p>
      <w:pPr>
        <w:spacing w:before="3" w:line="401" w:lineRule="auto"/>
        <w:ind w:left="22" w:right="81" w:firstLine="48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5</w:t>
      </w:r>
      <w:r>
        <w:rPr>
          <w:rFonts w:hint="default" w:ascii="Times New Roman" w:hAnsi="Times New Roman" w:eastAsia="宋体" w:cs="Times New Roman"/>
          <w:spacing w:val="13"/>
          <w:sz w:val="23"/>
          <w:szCs w:val="23"/>
          <w:highlight w:val="none"/>
        </w:rPr>
        <w:t>) 为了防止突发事故，污染物外泄，造成对环境的污染，厂区应设置专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门</w:t>
      </w:r>
      <w:r>
        <w:rPr>
          <w:rFonts w:hint="default" w:ascii="Times New Roman" w:hAnsi="Times New Roman" w:eastAsia="宋体" w:cs="Times New Roman"/>
          <w:spacing w:val="7"/>
          <w:sz w:val="23"/>
          <w:szCs w:val="23"/>
          <w:highlight w:val="none"/>
        </w:rPr>
        <w:t>的事故水池及安全事故报警系统，一旦有事故发生，被污染的消防水、冲洗水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等</w:t>
      </w:r>
      <w:r>
        <w:rPr>
          <w:rFonts w:hint="default" w:ascii="Times New Roman" w:hAnsi="Times New Roman" w:eastAsia="宋体" w:cs="Times New Roman"/>
          <w:spacing w:val="7"/>
          <w:sz w:val="23"/>
          <w:szCs w:val="23"/>
          <w:highlight w:val="none"/>
        </w:rPr>
        <w:t>直接流入事故水池，等待处理，厂区排水口设在线监测系统，以防止超标污水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外泄</w:t>
      </w:r>
      <w:r>
        <w:rPr>
          <w:rFonts w:hint="default" w:ascii="Times New Roman" w:hAnsi="Times New Roman" w:eastAsia="宋体" w:cs="Times New Roman"/>
          <w:spacing w:val="2"/>
          <w:sz w:val="23"/>
          <w:szCs w:val="23"/>
          <w:highlight w:val="none"/>
        </w:rPr>
        <w:t>。</w:t>
      </w:r>
    </w:p>
    <w:p>
      <w:pPr>
        <w:spacing w:before="1"/>
        <w:ind w:left="500"/>
        <w:rPr>
          <w:rFonts w:hint="default" w:ascii="Times New Roman" w:hAnsi="Times New Roman" w:eastAsia="宋体" w:cs="Times New Roman"/>
          <w:spacing w:val="1"/>
          <w:sz w:val="23"/>
          <w:szCs w:val="23"/>
          <w:highlight w:val="none"/>
        </w:rPr>
      </w:pPr>
      <w:r>
        <w:rPr>
          <w:rFonts w:hint="default" w:ascii="Times New Roman" w:hAnsi="Times New Roman" w:eastAsia="Times New Roman" w:cs="Times New Roman"/>
          <w:sz w:val="23"/>
          <w:szCs w:val="23"/>
          <w:highlight w:val="none"/>
        </w:rPr>
        <w:t>C</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、地面防渗措施</w:t>
      </w:r>
    </w:p>
    <w:p>
      <w:pPr>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根据建设项目所在区域水文地质条件和建设项目各污染源类型及分布情况，参照《环境影响评价技术导则—地下水环境》（HJ610-2016）、《危险废物贮存污染控制标准》（GB18597-20</w:t>
      </w:r>
      <w:r>
        <w:rPr>
          <w:rFonts w:hint="eastAsia" w:ascii="Times New Roman" w:hAnsi="Times New Roman" w:eastAsia="宋体" w:cs="Times New Roman"/>
          <w:sz w:val="23"/>
          <w:szCs w:val="23"/>
          <w:highlight w:val="none"/>
          <w:lang w:val="en-US" w:eastAsia="zh-CN"/>
        </w:rPr>
        <w:t>23</w:t>
      </w:r>
      <w:r>
        <w:rPr>
          <w:rFonts w:hint="default" w:ascii="Times New Roman" w:hAnsi="Times New Roman" w:cs="Times New Roman"/>
          <w:sz w:val="23"/>
          <w:szCs w:val="23"/>
          <w:highlight w:val="none"/>
        </w:rPr>
        <w:t>）、</w:t>
      </w:r>
      <w:r>
        <w:rPr>
          <w:rFonts w:hint="default" w:ascii="Times New Roman" w:hAnsi="Times New Roman" w:cs="Times New Roman"/>
          <w:kern w:val="2"/>
          <w:sz w:val="23"/>
          <w:szCs w:val="23"/>
          <w:highlight w:val="none"/>
        </w:rPr>
        <w:t>《污水综合排放标准》（GB8978-1996）</w:t>
      </w:r>
      <w:r>
        <w:rPr>
          <w:rFonts w:hint="default" w:ascii="Times New Roman" w:hAnsi="Times New Roman" w:cs="Times New Roman"/>
          <w:sz w:val="23"/>
          <w:szCs w:val="23"/>
          <w:highlight w:val="none"/>
        </w:rPr>
        <w:t>，评价提出在建设项目区域内采取分区防渗措施，避免厂区项目区域内各类废水和污染物对地下水的污染。</w:t>
      </w:r>
    </w:p>
    <w:p>
      <w:pPr>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建设项目根据各装置区及生产单元可能泄漏至地面污染物的性质、种类、浓度不同，将生产区域划分为简单防渗区、一般防渗区、重点防渗区，分别进行不同等级和要求的防渗措施。建设项目防渗分区如下：</w:t>
      </w:r>
    </w:p>
    <w:p>
      <w:pPr>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①重点防渗区：</w:t>
      </w:r>
      <w:r>
        <w:rPr>
          <w:rFonts w:hint="eastAsia" w:ascii="Times New Roman" w:hAnsi="Times New Roman" w:eastAsia="宋体" w:cs="Times New Roman"/>
          <w:sz w:val="23"/>
          <w:szCs w:val="23"/>
          <w:highlight w:val="none"/>
          <w:lang w:val="en-US" w:eastAsia="zh-CN"/>
        </w:rPr>
        <w:t>现有</w:t>
      </w:r>
      <w:r>
        <w:rPr>
          <w:rFonts w:hint="default" w:ascii="Times New Roman" w:hAnsi="Times New Roman" w:cs="Times New Roman"/>
          <w:sz w:val="23"/>
          <w:szCs w:val="23"/>
          <w:highlight w:val="none"/>
        </w:rPr>
        <w:t>危废暂存间</w:t>
      </w:r>
      <w:r>
        <w:rPr>
          <w:rFonts w:hint="eastAsia" w:ascii="Times New Roman" w:hAnsi="Times New Roman" w:eastAsia="宋体" w:cs="Times New Roman"/>
          <w:sz w:val="23"/>
          <w:szCs w:val="23"/>
          <w:highlight w:val="none"/>
          <w:lang w:val="en-US" w:eastAsia="zh-CN"/>
        </w:rPr>
        <w:t>已</w:t>
      </w:r>
      <w:r>
        <w:rPr>
          <w:rFonts w:hint="default" w:ascii="Times New Roman" w:hAnsi="Times New Roman" w:cs="Times New Roman"/>
          <w:sz w:val="23"/>
          <w:szCs w:val="23"/>
          <w:highlight w:val="none"/>
        </w:rPr>
        <w:t>按《危险废物贮存污染控制标准》（GB18597-20</w:t>
      </w:r>
      <w:r>
        <w:rPr>
          <w:rFonts w:hint="eastAsia" w:ascii="Times New Roman" w:hAnsi="Times New Roman" w:eastAsia="宋体" w:cs="Times New Roman"/>
          <w:sz w:val="23"/>
          <w:szCs w:val="23"/>
          <w:highlight w:val="none"/>
          <w:lang w:val="en-US" w:eastAsia="zh-CN"/>
        </w:rPr>
        <w:t>23</w:t>
      </w:r>
      <w:r>
        <w:rPr>
          <w:rFonts w:hint="default" w:ascii="Times New Roman" w:hAnsi="Times New Roman" w:cs="Times New Roman"/>
          <w:sz w:val="23"/>
          <w:szCs w:val="23"/>
          <w:highlight w:val="none"/>
        </w:rPr>
        <w:t>）关于防渗要求处理：地面与裙脚采用土工膜（2mm）防渗，</w:t>
      </w:r>
      <w:r>
        <w:rPr>
          <w:rFonts w:hint="default" w:ascii="Times New Roman" w:hAnsi="Times New Roman" w:cs="Times New Roman"/>
          <w:kern w:val="24"/>
          <w:sz w:val="23"/>
          <w:szCs w:val="23"/>
          <w:highlight w:val="none"/>
        </w:rPr>
        <w:t>地面及裙角均采取抗渗水泥防渗，地面水泥厚度为20cm；</w:t>
      </w:r>
      <w:r>
        <w:rPr>
          <w:rFonts w:hint="default" w:ascii="Times New Roman" w:hAnsi="Times New Roman" w:cs="Times New Roman"/>
          <w:sz w:val="23"/>
          <w:szCs w:val="23"/>
          <w:highlight w:val="none"/>
        </w:rPr>
        <w:t>裙角高度1.5m</w:t>
      </w:r>
      <w:r>
        <w:rPr>
          <w:rFonts w:hint="default" w:ascii="Times New Roman" w:hAnsi="Times New Roman" w:cs="Times New Roman"/>
          <w:kern w:val="24"/>
          <w:sz w:val="23"/>
          <w:szCs w:val="23"/>
          <w:highlight w:val="none"/>
        </w:rPr>
        <w:t>，厚度20cm</w:t>
      </w:r>
      <w:r>
        <w:rPr>
          <w:rFonts w:hint="default" w:ascii="Times New Roman" w:hAnsi="Times New Roman" w:cs="Times New Roman"/>
          <w:sz w:val="23"/>
          <w:szCs w:val="23"/>
          <w:highlight w:val="none"/>
        </w:rPr>
        <w:t>，地面及四周裙脚均应耐腐蚀，耐热且表面无裂隙，同时设置泄漏液体的收集装置。防渗层渗透系数小于10</w:t>
      </w:r>
      <w:r>
        <w:rPr>
          <w:rFonts w:hint="default" w:ascii="Times New Roman" w:hAnsi="Times New Roman" w:cs="Times New Roman"/>
          <w:sz w:val="23"/>
          <w:szCs w:val="23"/>
          <w:highlight w:val="none"/>
          <w:vertAlign w:val="superscript"/>
        </w:rPr>
        <w:t>-10</w:t>
      </w:r>
      <w:r>
        <w:rPr>
          <w:rFonts w:hint="default" w:ascii="Times New Roman" w:hAnsi="Times New Roman" w:cs="Times New Roman"/>
          <w:sz w:val="23"/>
          <w:szCs w:val="23"/>
          <w:highlight w:val="none"/>
        </w:rPr>
        <w:t>cm/s。</w:t>
      </w:r>
    </w:p>
    <w:p>
      <w:pPr>
        <w:spacing w:line="480" w:lineRule="exact"/>
        <w:ind w:firstLine="460" w:firstLineChars="200"/>
        <w:jc w:val="both"/>
        <w:rPr>
          <w:rFonts w:hint="default" w:ascii="Times New Roman" w:hAnsi="Times New Roman" w:cs="Times New Roman"/>
          <w:sz w:val="23"/>
          <w:szCs w:val="23"/>
          <w:highlight w:val="none"/>
          <w:lang w:val="zh-CN"/>
        </w:rPr>
      </w:pPr>
      <w:r>
        <w:rPr>
          <w:rFonts w:hint="default" w:ascii="Times New Roman" w:hAnsi="Times New Roman" w:cs="Times New Roman"/>
          <w:sz w:val="23"/>
          <w:szCs w:val="23"/>
          <w:highlight w:val="none"/>
        </w:rPr>
        <w:t>②一般防渗区：</w:t>
      </w:r>
      <w:r>
        <w:rPr>
          <w:rFonts w:hint="eastAsia" w:ascii="Times New Roman" w:hAnsi="Times New Roman" w:cs="Times New Roman"/>
          <w:sz w:val="23"/>
          <w:szCs w:val="23"/>
          <w:highlight w:val="none"/>
          <w:lang w:val="en-US" w:eastAsia="zh-CN"/>
        </w:rPr>
        <w:t>各生产车间、库房</w:t>
      </w:r>
      <w:r>
        <w:rPr>
          <w:rFonts w:hint="default" w:ascii="Times New Roman" w:hAnsi="Times New Roman" w:cs="Times New Roman"/>
          <w:sz w:val="23"/>
          <w:szCs w:val="23"/>
          <w:highlight w:val="none"/>
        </w:rPr>
        <w:t>地面采用防渗混凝土浇筑，厚度为20cm，</w:t>
      </w:r>
      <w:r>
        <w:rPr>
          <w:rFonts w:hint="default" w:ascii="Times New Roman" w:hAnsi="Times New Roman" w:cs="Times New Roman"/>
          <w:snapToGrid w:val="0"/>
          <w:sz w:val="23"/>
          <w:szCs w:val="23"/>
          <w:highlight w:val="none"/>
        </w:rPr>
        <w:t>渗透系数</w:t>
      </w:r>
      <w:r>
        <w:rPr>
          <w:rFonts w:hint="default" w:ascii="Times New Roman" w:hAnsi="Times New Roman" w:cs="Times New Roman"/>
          <w:kern w:val="24"/>
          <w:sz w:val="23"/>
          <w:szCs w:val="23"/>
          <w:highlight w:val="none"/>
        </w:rPr>
        <w:t>小于10</w:t>
      </w:r>
      <w:r>
        <w:rPr>
          <w:rFonts w:hint="default" w:ascii="Times New Roman" w:hAnsi="Times New Roman" w:cs="Times New Roman"/>
          <w:kern w:val="24"/>
          <w:sz w:val="23"/>
          <w:szCs w:val="23"/>
          <w:highlight w:val="none"/>
          <w:vertAlign w:val="superscript"/>
        </w:rPr>
        <w:t>-7</w:t>
      </w:r>
      <w:r>
        <w:rPr>
          <w:rFonts w:hint="default" w:ascii="Times New Roman" w:hAnsi="Times New Roman" w:cs="Times New Roman"/>
          <w:kern w:val="24"/>
          <w:sz w:val="23"/>
          <w:szCs w:val="23"/>
          <w:highlight w:val="none"/>
        </w:rPr>
        <w:t>cm/s</w:t>
      </w:r>
      <w:r>
        <w:rPr>
          <w:rFonts w:hint="default" w:ascii="Times New Roman" w:hAnsi="Times New Roman" w:cs="Times New Roman"/>
          <w:sz w:val="23"/>
          <w:szCs w:val="23"/>
          <w:highlight w:val="none"/>
        </w:rPr>
        <w:t>；</w:t>
      </w:r>
      <w:r>
        <w:rPr>
          <w:rFonts w:hint="eastAsia" w:ascii="Times New Roman" w:hAnsi="Times New Roman" w:cs="Times New Roman"/>
          <w:sz w:val="23"/>
          <w:szCs w:val="23"/>
          <w:highlight w:val="none"/>
          <w:lang w:val="en-US" w:eastAsia="zh-CN"/>
        </w:rPr>
        <w:t>浓密</w:t>
      </w:r>
      <w:r>
        <w:rPr>
          <w:rFonts w:hint="default" w:ascii="Times New Roman" w:hAnsi="Times New Roman" w:cs="Times New Roman"/>
          <w:sz w:val="23"/>
          <w:szCs w:val="23"/>
          <w:highlight w:val="none"/>
        </w:rPr>
        <w:t>池、</w:t>
      </w:r>
      <w:r>
        <w:rPr>
          <w:rFonts w:hint="eastAsia" w:ascii="Times New Roman" w:hAnsi="Times New Roman" w:cs="Times New Roman"/>
          <w:sz w:val="23"/>
          <w:szCs w:val="23"/>
          <w:highlight w:val="none"/>
          <w:lang w:val="en-US" w:eastAsia="zh-CN"/>
        </w:rPr>
        <w:t>清</w:t>
      </w:r>
      <w:r>
        <w:rPr>
          <w:rFonts w:hint="default" w:ascii="Times New Roman" w:hAnsi="Times New Roman" w:cs="Times New Roman"/>
          <w:sz w:val="23"/>
          <w:szCs w:val="23"/>
          <w:highlight w:val="none"/>
        </w:rPr>
        <w:t>水池、事故池、车辆清洗沉淀池底部及四壁均采用混凝土浇筑防渗，厚度为20cm，渗透系数小于10</w:t>
      </w:r>
      <w:r>
        <w:rPr>
          <w:rFonts w:hint="default" w:ascii="Times New Roman" w:hAnsi="Times New Roman" w:cs="Times New Roman"/>
          <w:sz w:val="23"/>
          <w:szCs w:val="23"/>
          <w:highlight w:val="none"/>
          <w:vertAlign w:val="superscript"/>
        </w:rPr>
        <w:t>-7</w:t>
      </w:r>
      <w:r>
        <w:rPr>
          <w:rFonts w:hint="default" w:ascii="Times New Roman" w:hAnsi="Times New Roman" w:cs="Times New Roman"/>
          <w:sz w:val="23"/>
          <w:szCs w:val="23"/>
          <w:highlight w:val="none"/>
        </w:rPr>
        <w:t>cm/s</w:t>
      </w:r>
      <w:r>
        <w:rPr>
          <w:rFonts w:hint="default" w:ascii="Times New Roman" w:hAnsi="Times New Roman" w:cs="Times New Roman"/>
          <w:sz w:val="23"/>
          <w:szCs w:val="23"/>
          <w:highlight w:val="none"/>
          <w:lang w:val="zh-CN"/>
        </w:rPr>
        <w:t>。</w:t>
      </w:r>
    </w:p>
    <w:p>
      <w:pPr>
        <w:widowControl w:val="0"/>
        <w:spacing w:line="480" w:lineRule="exact"/>
        <w:ind w:firstLine="460" w:firstLineChars="200"/>
        <w:jc w:val="both"/>
        <w:outlineLvl w:val="1"/>
        <w:rPr>
          <w:rFonts w:hint="default" w:ascii="Times New Roman" w:hAnsi="Times New Roman" w:cs="Times New Roman"/>
          <w:sz w:val="23"/>
          <w:szCs w:val="23"/>
          <w:highlight w:val="none"/>
        </w:rPr>
      </w:pPr>
      <w:bookmarkStart w:id="622" w:name="_Toc6837"/>
      <w:bookmarkStart w:id="623" w:name="_Toc26330"/>
      <w:bookmarkStart w:id="624" w:name="_Toc22008"/>
      <w:r>
        <w:rPr>
          <w:rFonts w:hint="default" w:ascii="Times New Roman" w:hAnsi="Times New Roman" w:cs="Times New Roman"/>
          <w:sz w:val="23"/>
          <w:szCs w:val="23"/>
          <w:highlight w:val="none"/>
        </w:rPr>
        <w:t>③简单防渗区：办公用房区域为简单防渗区，采用水泥硬化。</w:t>
      </w:r>
      <w:bookmarkEnd w:id="622"/>
      <w:bookmarkEnd w:id="623"/>
      <w:bookmarkEnd w:id="624"/>
    </w:p>
    <w:p>
      <w:pPr>
        <w:spacing w:before="199" w:line="402" w:lineRule="auto"/>
        <w:ind w:left="20" w:right="81"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根据厂区可能泄漏至地面区域污染物的性质和生产单元的构筑方式，将厂区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划</w:t>
      </w:r>
      <w:r>
        <w:rPr>
          <w:rFonts w:hint="default" w:ascii="Times New Roman" w:hAnsi="Times New Roman" w:eastAsia="宋体" w:cs="Times New Roman"/>
          <w:spacing w:val="9"/>
          <w:sz w:val="23"/>
          <w:szCs w:val="23"/>
          <w:highlight w:val="none"/>
        </w:rPr>
        <w:t>分为重点污染防治区、一般污染防治区和非污染防治区。</w:t>
      </w:r>
    </w:p>
    <w:p>
      <w:pPr>
        <w:spacing w:before="1" w:line="400" w:lineRule="auto"/>
        <w:ind w:left="22" w:right="80" w:firstLine="478"/>
        <w:rPr>
          <w:rFonts w:hint="default" w:ascii="Times New Roman" w:hAnsi="Times New Roman" w:eastAsia="宋体" w:cs="Times New Roman"/>
          <w:spacing w:val="7"/>
          <w:sz w:val="23"/>
          <w:szCs w:val="23"/>
          <w:highlight w:val="none"/>
        </w:rPr>
      </w:pPr>
      <w:r>
        <w:rPr>
          <w:rFonts w:hint="default" w:ascii="Times New Roman" w:hAnsi="Times New Roman" w:eastAsia="宋体" w:cs="Times New Roman"/>
          <w:spacing w:val="7"/>
          <w:sz w:val="23"/>
          <w:szCs w:val="23"/>
          <w:highlight w:val="none"/>
        </w:rPr>
        <w:t>D 、地下水环境质量监测、管理</w:t>
      </w:r>
    </w:p>
    <w:p>
      <w:pPr>
        <w:spacing w:before="1" w:line="400" w:lineRule="auto"/>
        <w:ind w:left="22" w:right="80" w:firstLine="47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为了及时准确地掌握厂区所在地周围地下水环境质量状况和地下水体中</w:t>
      </w:r>
      <w:r>
        <w:rPr>
          <w:rFonts w:hint="default" w:ascii="Times New Roman" w:hAnsi="Times New Roman" w:eastAsia="宋体" w:cs="Times New Roman"/>
          <w:spacing w:val="14"/>
          <w:sz w:val="23"/>
          <w:szCs w:val="23"/>
          <w:highlight w:val="none"/>
        </w:rPr>
        <w:t>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染</w:t>
      </w:r>
      <w:r>
        <w:rPr>
          <w:rFonts w:hint="default" w:ascii="Times New Roman" w:hAnsi="Times New Roman" w:eastAsia="宋体" w:cs="Times New Roman"/>
          <w:spacing w:val="7"/>
          <w:sz w:val="23"/>
          <w:szCs w:val="23"/>
          <w:highlight w:val="none"/>
        </w:rPr>
        <w:t>物的动态变化情况，应对该厂区所在区域地下水环境质量进行定期的监测，防</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止或最大限度的减轻厂区对地下水的污染</w:t>
      </w:r>
      <w:r>
        <w:rPr>
          <w:rFonts w:hint="default" w:ascii="Times New Roman" w:hAnsi="Times New Roman" w:eastAsia="宋体" w:cs="Times New Roman"/>
          <w:spacing w:val="7"/>
          <w:sz w:val="23"/>
          <w:szCs w:val="23"/>
          <w:highlight w:val="none"/>
        </w:rPr>
        <w:t>。</w:t>
      </w:r>
    </w:p>
    <w:p>
      <w:pPr>
        <w:spacing w:before="1" w:line="225" w:lineRule="auto"/>
        <w:ind w:left="512"/>
        <w:jc w:val="both"/>
        <w:outlineLvl w:val="2"/>
        <w:rPr>
          <w:rFonts w:hint="default" w:ascii="Times New Roman" w:hAnsi="Times New Roman" w:eastAsia="宋体" w:cs="Times New Roman"/>
          <w:sz w:val="23"/>
          <w:szCs w:val="23"/>
          <w:highlight w:val="none"/>
        </w:rPr>
      </w:pPr>
      <w:bookmarkStart w:id="625" w:name="_Toc17206"/>
      <w:bookmarkStart w:id="626" w:name="_Toc30618"/>
      <w:bookmarkStart w:id="627" w:name="_Toc3166"/>
      <w:r>
        <w:rPr>
          <w:rFonts w:hint="default" w:ascii="Times New Roman" w:hAnsi="Times New Roman" w:eastAsia="宋体" w:cs="Times New Roman"/>
          <w:spacing w:val="26"/>
          <w:sz w:val="23"/>
          <w:szCs w:val="23"/>
          <w:highlight w:val="none"/>
        </w:rPr>
        <w:t>(</w:t>
      </w:r>
      <w:r>
        <w:rPr>
          <w:rFonts w:hint="default" w:ascii="Times New Roman" w:hAnsi="Times New Roman" w:eastAsia="Times New Roman" w:cs="Times New Roman"/>
          <w:spacing w:val="16"/>
          <w:sz w:val="23"/>
          <w:szCs w:val="23"/>
          <w:highlight w:val="none"/>
        </w:rPr>
        <w:t>1</w:t>
      </w:r>
      <w:r>
        <w:rPr>
          <w:rFonts w:hint="default" w:ascii="Times New Roman" w:hAnsi="Times New Roman" w:eastAsia="宋体" w:cs="Times New Roman"/>
          <w:spacing w:val="13"/>
          <w:sz w:val="23"/>
          <w:szCs w:val="23"/>
          <w:highlight w:val="none"/>
        </w:rPr>
        <w:t>) 厂区及其上下游地下水监测井布设原则</w:t>
      </w:r>
      <w:bookmarkEnd w:id="625"/>
      <w:bookmarkEnd w:id="626"/>
      <w:bookmarkEnd w:id="627"/>
    </w:p>
    <w:p>
      <w:pPr>
        <w:spacing w:before="219" w:line="401" w:lineRule="auto"/>
        <w:ind w:left="22" w:right="80"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重点污染区加密监测原则；主要监测浅层水</w:t>
      </w:r>
      <w:r>
        <w:rPr>
          <w:rFonts w:hint="eastAsia" w:ascii="Times New Roman" w:hAnsi="Times New Roman" w:eastAsia="宋体" w:cs="Times New Roman"/>
          <w:spacing w:val="7"/>
          <w:sz w:val="23"/>
          <w:szCs w:val="23"/>
          <w:highlight w:val="none"/>
          <w:lang w:eastAsia="zh-CN"/>
        </w:rPr>
        <w:t>，</w:t>
      </w:r>
      <w:r>
        <w:rPr>
          <w:rFonts w:hint="default" w:ascii="Times New Roman" w:hAnsi="Times New Roman" w:eastAsia="宋体" w:cs="Times New Roman"/>
          <w:spacing w:val="7"/>
          <w:sz w:val="23"/>
          <w:szCs w:val="23"/>
          <w:highlight w:val="none"/>
        </w:rPr>
        <w:t>以地下水下游区为主，地下</w:t>
      </w:r>
      <w:r>
        <w:rPr>
          <w:rFonts w:hint="default" w:ascii="Times New Roman" w:hAnsi="Times New Roman" w:eastAsia="宋体" w:cs="Times New Roman"/>
          <w:spacing w:val="6"/>
          <w:sz w:val="23"/>
          <w:szCs w:val="23"/>
          <w:highlight w:val="none"/>
        </w:rPr>
        <w:t>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上</w:t>
      </w:r>
      <w:r>
        <w:rPr>
          <w:rFonts w:hint="default" w:ascii="Times New Roman" w:hAnsi="Times New Roman" w:eastAsia="宋体" w:cs="Times New Roman"/>
          <w:spacing w:val="9"/>
          <w:sz w:val="23"/>
          <w:szCs w:val="23"/>
          <w:highlight w:val="none"/>
        </w:rPr>
        <w:t>游区设置背景点；在线监测与例行监测相结合原则。</w:t>
      </w:r>
    </w:p>
    <w:p>
      <w:pPr>
        <w:spacing w:before="1" w:line="227" w:lineRule="auto"/>
        <w:ind w:left="512"/>
        <w:jc w:val="both"/>
        <w:outlineLvl w:val="2"/>
        <w:rPr>
          <w:rFonts w:hint="default" w:ascii="Times New Roman" w:hAnsi="Times New Roman" w:eastAsia="宋体" w:cs="Times New Roman"/>
          <w:sz w:val="23"/>
          <w:szCs w:val="23"/>
          <w:highlight w:val="none"/>
        </w:rPr>
      </w:pPr>
      <w:bookmarkStart w:id="628" w:name="_Toc746"/>
      <w:bookmarkStart w:id="629" w:name="_Toc11203"/>
      <w:bookmarkStart w:id="630" w:name="_Toc4234"/>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7"/>
          <w:sz w:val="23"/>
          <w:szCs w:val="23"/>
          <w:highlight w:val="none"/>
        </w:rPr>
        <w:t>2</w:t>
      </w:r>
      <w:r>
        <w:rPr>
          <w:rFonts w:hint="default" w:ascii="Times New Roman" w:hAnsi="Times New Roman" w:eastAsia="宋体" w:cs="Times New Roman"/>
          <w:spacing w:val="17"/>
          <w:sz w:val="23"/>
          <w:szCs w:val="23"/>
          <w:highlight w:val="none"/>
        </w:rPr>
        <w:t>) 监测点布设方案</w:t>
      </w:r>
      <w:bookmarkEnd w:id="628"/>
      <w:bookmarkEnd w:id="629"/>
      <w:bookmarkEnd w:id="630"/>
    </w:p>
    <w:p>
      <w:pPr>
        <w:spacing w:before="218" w:line="228" w:lineRule="auto"/>
        <w:ind w:left="519"/>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5"/>
          <w:sz w:val="23"/>
          <w:szCs w:val="23"/>
          <w:highlight w:val="none"/>
        </w:rPr>
        <w:t>1</w:t>
      </w:r>
      <w:r>
        <w:rPr>
          <w:rFonts w:hint="default" w:ascii="Times New Roman" w:hAnsi="Times New Roman" w:eastAsia="宋体" w:cs="Times New Roman"/>
          <w:spacing w:val="3"/>
          <w:sz w:val="23"/>
          <w:szCs w:val="23"/>
          <w:highlight w:val="none"/>
        </w:rPr>
        <w:t>) 监测井数：</w:t>
      </w:r>
    </w:p>
    <w:p>
      <w:pPr>
        <w:spacing w:before="201" w:line="401" w:lineRule="auto"/>
        <w:ind w:right="80" w:firstLine="496" w:firstLineChars="200"/>
        <w:jc w:val="both"/>
        <w:rPr>
          <w:rFonts w:hint="default" w:ascii="Times New Roman" w:hAnsi="Times New Roman" w:eastAsia="宋体" w:cs="Times New Roman"/>
          <w:spacing w:val="9"/>
          <w:sz w:val="23"/>
          <w:szCs w:val="23"/>
          <w:highlight w:val="none"/>
        </w:rPr>
      </w:pPr>
      <w:r>
        <w:rPr>
          <w:rFonts w:hint="default" w:ascii="Times New Roman" w:hAnsi="Times New Roman" w:eastAsia="宋体" w:cs="Times New Roman"/>
          <w:spacing w:val="9"/>
          <w:sz w:val="23"/>
          <w:szCs w:val="23"/>
          <w:highlight w:val="none"/>
        </w:rPr>
        <w:pict>
          <v:shape id="_x0000_s1348" o:spid="_x0000_s1348" style="position:absolute;left:0pt;margin-left:89.85pt;margin-top:59.05pt;height:0.75pt;width:415.65pt;mso-position-horizontal-relative:page;mso-position-vertical-relative:page;z-index:251807744;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9"/>
          <w:sz w:val="23"/>
          <w:szCs w:val="23"/>
          <w:highlight w:val="none"/>
        </w:rPr>
        <w:t>为了掌握本工程周围地下水环境质量状况和地下水体中污染物的动态变化， 应对项目所在地周围的地下水水质进行监测，以便及时准确地反馈地下水水质状 况，为防止对地下水的污染采取相应的措施提供重要依据。</w:t>
      </w:r>
    </w:p>
    <w:p>
      <w:pPr>
        <w:spacing w:before="2" w:line="400" w:lineRule="auto"/>
        <w:ind w:left="132" w:right="120" w:firstLine="49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因为</w:t>
      </w:r>
      <w:r>
        <w:rPr>
          <w:rFonts w:hint="default" w:ascii="Times New Roman" w:hAnsi="Times New Roman" w:eastAsia="宋体" w:cs="Times New Roman"/>
          <w:spacing w:val="9"/>
          <w:sz w:val="23"/>
          <w:szCs w:val="23"/>
          <w:highlight w:val="none"/>
        </w:rPr>
        <w:t>厂</w:t>
      </w:r>
      <w:r>
        <w:rPr>
          <w:rFonts w:hint="default" w:ascii="Times New Roman" w:hAnsi="Times New Roman" w:eastAsia="宋体" w:cs="Times New Roman"/>
          <w:spacing w:val="6"/>
          <w:sz w:val="23"/>
          <w:szCs w:val="23"/>
          <w:highlight w:val="none"/>
        </w:rPr>
        <w:t>区附近相对较易污染的是浅层地下水，因此，此次以浅层地下水为监</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测对象</w:t>
      </w:r>
      <w:r>
        <w:rPr>
          <w:rFonts w:hint="default" w:ascii="Times New Roman" w:hAnsi="Times New Roman" w:eastAsia="宋体" w:cs="Times New Roman"/>
          <w:spacing w:val="12"/>
          <w:sz w:val="23"/>
          <w:szCs w:val="23"/>
          <w:highlight w:val="none"/>
        </w:rPr>
        <w:t>，</w:t>
      </w:r>
      <w:r>
        <w:rPr>
          <w:rFonts w:hint="default" w:ascii="Times New Roman" w:hAnsi="Times New Roman" w:eastAsia="宋体" w:cs="Times New Roman"/>
          <w:spacing w:val="7"/>
          <w:sz w:val="23"/>
          <w:szCs w:val="23"/>
          <w:highlight w:val="none"/>
        </w:rPr>
        <w:t>根据《地下水环境监测技术规范》</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7"/>
          <w:sz w:val="23"/>
          <w:szCs w:val="23"/>
          <w:highlight w:val="none"/>
        </w:rPr>
        <w:t>164-20</w:t>
      </w:r>
      <w:r>
        <w:rPr>
          <w:rFonts w:hint="eastAsia" w:ascii="Times New Roman" w:hAnsi="Times New Roman" w:eastAsia="宋体" w:cs="Times New Roman"/>
          <w:spacing w:val="7"/>
          <w:sz w:val="23"/>
          <w:szCs w:val="23"/>
          <w:highlight w:val="none"/>
          <w:lang w:val="en-US" w:eastAsia="zh-CN"/>
        </w:rPr>
        <w:t>20</w:t>
      </w:r>
      <w:r>
        <w:rPr>
          <w:rFonts w:hint="default" w:ascii="Times New Roman" w:hAnsi="Times New Roman" w:eastAsia="宋体" w:cs="Times New Roman"/>
          <w:spacing w:val="7"/>
          <w:sz w:val="23"/>
          <w:szCs w:val="23"/>
          <w:highlight w:val="none"/>
        </w:rPr>
        <w:t>的要求，共布设地下水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水质监测井</w:t>
      </w:r>
      <w:r>
        <w:rPr>
          <w:rFonts w:hint="default" w:ascii="Times New Roman" w:hAnsi="Times New Roman" w:eastAsia="Times New Roman" w:cs="Times New Roman"/>
          <w:spacing w:val="6"/>
          <w:sz w:val="23"/>
          <w:szCs w:val="23"/>
          <w:highlight w:val="none"/>
        </w:rPr>
        <w:t>3</w:t>
      </w:r>
      <w:r>
        <w:rPr>
          <w:rFonts w:hint="default" w:ascii="Times New Roman" w:hAnsi="Times New Roman" w:eastAsia="宋体" w:cs="Times New Roman"/>
          <w:spacing w:val="6"/>
          <w:sz w:val="23"/>
          <w:szCs w:val="23"/>
          <w:highlight w:val="none"/>
        </w:rPr>
        <w:t>眼。随时掌握地下水水质变化趋势。为避免污染物随</w:t>
      </w:r>
      <w:r>
        <w:rPr>
          <w:rFonts w:hint="default" w:ascii="Times New Roman" w:hAnsi="Times New Roman" w:eastAsia="宋体" w:cs="Times New Roman"/>
          <w:spacing w:val="4"/>
          <w:sz w:val="23"/>
          <w:szCs w:val="23"/>
          <w:highlight w:val="none"/>
        </w:rPr>
        <w:t>孔</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壁</w:t>
      </w:r>
      <w:r>
        <w:rPr>
          <w:rFonts w:hint="default" w:ascii="Times New Roman" w:hAnsi="Times New Roman" w:eastAsia="宋体" w:cs="Times New Roman"/>
          <w:spacing w:val="12"/>
          <w:sz w:val="23"/>
          <w:szCs w:val="23"/>
          <w:highlight w:val="none"/>
        </w:rPr>
        <w:t>渗</w:t>
      </w:r>
      <w:r>
        <w:rPr>
          <w:rFonts w:hint="default" w:ascii="Times New Roman" w:hAnsi="Times New Roman" w:eastAsia="宋体" w:cs="Times New Roman"/>
          <w:spacing w:val="8"/>
          <w:sz w:val="23"/>
          <w:szCs w:val="23"/>
          <w:highlight w:val="none"/>
        </w:rPr>
        <w:t>入地下，建议成井时水泥封孔。</w:t>
      </w:r>
    </w:p>
    <w:p>
      <w:pPr>
        <w:spacing w:before="3" w:line="401" w:lineRule="auto"/>
        <w:ind w:left="131" w:right="122" w:firstLine="48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厂</w:t>
      </w:r>
      <w:r>
        <w:rPr>
          <w:rFonts w:hint="default" w:ascii="Times New Roman" w:hAnsi="Times New Roman" w:eastAsia="宋体" w:cs="Times New Roman"/>
          <w:spacing w:val="13"/>
          <w:sz w:val="23"/>
          <w:szCs w:val="23"/>
          <w:highlight w:val="none"/>
        </w:rPr>
        <w:t>区</w:t>
      </w:r>
      <w:r>
        <w:rPr>
          <w:rFonts w:hint="default" w:ascii="Times New Roman" w:hAnsi="Times New Roman" w:eastAsia="宋体" w:cs="Times New Roman"/>
          <w:spacing w:val="10"/>
          <w:sz w:val="23"/>
          <w:szCs w:val="23"/>
          <w:highlight w:val="none"/>
        </w:rPr>
        <w:t>区域上游布设</w:t>
      </w:r>
      <w:r>
        <w:rPr>
          <w:rFonts w:hint="default" w:ascii="Times New Roman" w:hAnsi="Times New Roman" w:eastAsia="Times New Roman" w:cs="Times New Roman"/>
          <w:spacing w:val="10"/>
          <w:sz w:val="23"/>
          <w:szCs w:val="23"/>
          <w:highlight w:val="none"/>
        </w:rPr>
        <w:t>1</w:t>
      </w:r>
      <w:r>
        <w:rPr>
          <w:rFonts w:hint="default" w:ascii="Times New Roman" w:hAnsi="Times New Roman" w:eastAsia="宋体" w:cs="Times New Roman"/>
          <w:spacing w:val="10"/>
          <w:sz w:val="23"/>
          <w:szCs w:val="23"/>
          <w:highlight w:val="none"/>
        </w:rPr>
        <w:t>眼监测井，用于检测地下水上游背景值，厂区内重点污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染风险源下游布设</w:t>
      </w:r>
      <w:r>
        <w:rPr>
          <w:rFonts w:hint="default" w:ascii="Times New Roman" w:hAnsi="Times New Roman" w:eastAsia="Times New Roman" w:cs="Times New Roman"/>
          <w:spacing w:val="7"/>
          <w:sz w:val="23"/>
          <w:szCs w:val="23"/>
          <w:highlight w:val="none"/>
        </w:rPr>
        <w:t>1</w:t>
      </w:r>
      <w:r>
        <w:rPr>
          <w:rFonts w:hint="default" w:ascii="Times New Roman" w:hAnsi="Times New Roman" w:eastAsia="宋体" w:cs="Times New Roman"/>
          <w:spacing w:val="7"/>
          <w:sz w:val="23"/>
          <w:szCs w:val="23"/>
          <w:highlight w:val="none"/>
        </w:rPr>
        <w:t>眼监测井，用于污染扩散监测。地下水主径流方向下游布设</w:t>
      </w:r>
      <w:r>
        <w:rPr>
          <w:rFonts w:hint="default" w:ascii="Times New Roman" w:hAnsi="Times New Roman" w:eastAsia="Times New Roman" w:cs="Times New Roman"/>
          <w:spacing w:val="7"/>
          <w:sz w:val="23"/>
          <w:szCs w:val="23"/>
          <w:highlight w:val="none"/>
        </w:rPr>
        <w:t>1</w:t>
      </w:r>
      <w:r>
        <w:rPr>
          <w:rFonts w:hint="default" w:ascii="Times New Roman" w:hAnsi="Times New Roman" w:eastAsia="Times New Roman" w:cs="Times New Roman"/>
          <w:sz w:val="23"/>
          <w:szCs w:val="23"/>
          <w:highlight w:val="none"/>
        </w:rPr>
        <w:t xml:space="preserve"> </w:t>
      </w:r>
      <w:r>
        <w:rPr>
          <w:rFonts w:hint="default" w:ascii="Times New Roman" w:hAnsi="Times New Roman" w:eastAsia="宋体" w:cs="Times New Roman"/>
          <w:spacing w:val="7"/>
          <w:sz w:val="23"/>
          <w:szCs w:val="23"/>
          <w:highlight w:val="none"/>
        </w:rPr>
        <w:t>眼浅层监测井，用于检测下游地下水状况，并作为事故应急处置井 (在突发事故</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造成泄露时可利用事故应急处置井抽排受污染的地下水) 。</w:t>
      </w:r>
    </w:p>
    <w:p>
      <w:pPr>
        <w:spacing w:line="228" w:lineRule="auto"/>
        <w:ind w:left="268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b/>
          <w:bCs/>
          <w:spacing w:val="4"/>
          <w:sz w:val="23"/>
          <w:szCs w:val="23"/>
          <w:highlight w:val="none"/>
        </w:rPr>
        <w:t>5</w:t>
      </w:r>
      <w:r>
        <w:rPr>
          <w:rFonts w:hint="default" w:ascii="Times New Roman" w:hAnsi="Times New Roman" w:eastAsia="Times New Roman" w:cs="Times New Roman"/>
          <w:b/>
          <w:bCs/>
          <w:spacing w:val="3"/>
          <w:sz w:val="23"/>
          <w:szCs w:val="23"/>
          <w:highlight w:val="none"/>
        </w:rPr>
        <w:t>.2-</w:t>
      </w:r>
      <w:r>
        <w:rPr>
          <w:rFonts w:hint="eastAsia" w:ascii="Times New Roman" w:hAnsi="Times New Roman" w:eastAsia="宋体" w:cs="Times New Roman"/>
          <w:b/>
          <w:bCs/>
          <w:spacing w:val="3"/>
          <w:sz w:val="23"/>
          <w:szCs w:val="23"/>
          <w:highlight w:val="none"/>
          <w:lang w:val="en-US" w:eastAsia="zh-CN"/>
        </w:rPr>
        <w:t>14</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水质监测点一览表</w:t>
      </w:r>
    </w:p>
    <w:p>
      <w:pPr>
        <w:spacing w:line="21" w:lineRule="exact"/>
        <w:rPr>
          <w:rFonts w:hint="default" w:ascii="Times New Roman" w:hAnsi="Times New Roman" w:cs="Times New Roman"/>
          <w:highlight w:val="none"/>
        </w:rPr>
      </w:pPr>
    </w:p>
    <w:tbl>
      <w:tblPr>
        <w:tblStyle w:val="19"/>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7"/>
        <w:gridCol w:w="1583"/>
        <w:gridCol w:w="2305"/>
        <w:gridCol w:w="1660"/>
        <w:gridCol w:w="18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147" w:type="dxa"/>
            <w:vMerge w:val="restart"/>
            <w:tcBorders>
              <w:left w:val="single" w:color="000000" w:sz="10" w:space="0"/>
              <w:bottom w:val="nil"/>
            </w:tcBorders>
            <w:vAlign w:val="top"/>
          </w:tcPr>
          <w:p>
            <w:pPr>
              <w:spacing w:before="265" w:line="228" w:lineRule="auto"/>
              <w:ind w:left="10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井编</w:t>
            </w:r>
            <w:r>
              <w:rPr>
                <w:rFonts w:hint="default" w:ascii="Times New Roman" w:hAnsi="Times New Roman" w:eastAsia="宋体" w:cs="Times New Roman"/>
                <w:spacing w:val="6"/>
                <w:sz w:val="20"/>
                <w:szCs w:val="20"/>
                <w:highlight w:val="none"/>
              </w:rPr>
              <w:t>号</w:t>
            </w:r>
          </w:p>
        </w:tc>
        <w:tc>
          <w:tcPr>
            <w:tcW w:w="1583" w:type="dxa"/>
            <w:vMerge w:val="restart"/>
            <w:tcBorders>
              <w:bottom w:val="nil"/>
            </w:tcBorders>
            <w:vAlign w:val="top"/>
          </w:tcPr>
          <w:p>
            <w:pPr>
              <w:spacing w:before="265" w:line="229" w:lineRule="auto"/>
              <w:ind w:left="10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和厂区关</w:t>
            </w:r>
            <w:r>
              <w:rPr>
                <w:rFonts w:hint="default" w:ascii="Times New Roman" w:hAnsi="Times New Roman" w:eastAsia="宋体" w:cs="Times New Roman"/>
                <w:spacing w:val="7"/>
                <w:sz w:val="20"/>
                <w:szCs w:val="20"/>
                <w:highlight w:val="none"/>
              </w:rPr>
              <w:t>系</w:t>
            </w:r>
          </w:p>
        </w:tc>
        <w:tc>
          <w:tcPr>
            <w:tcW w:w="2305" w:type="dxa"/>
            <w:vMerge w:val="restart"/>
            <w:tcBorders>
              <w:bottom w:val="nil"/>
            </w:tcBorders>
            <w:vAlign w:val="top"/>
          </w:tcPr>
          <w:p>
            <w:pPr>
              <w:spacing w:before="265" w:line="229" w:lineRule="auto"/>
              <w:ind w:left="59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监测井功</w:t>
            </w:r>
            <w:r>
              <w:rPr>
                <w:rFonts w:hint="default" w:ascii="Times New Roman" w:hAnsi="Times New Roman" w:eastAsia="宋体" w:cs="Times New Roman"/>
                <w:spacing w:val="7"/>
                <w:sz w:val="20"/>
                <w:szCs w:val="20"/>
                <w:highlight w:val="none"/>
              </w:rPr>
              <w:t>能</w:t>
            </w:r>
          </w:p>
        </w:tc>
        <w:tc>
          <w:tcPr>
            <w:tcW w:w="3496" w:type="dxa"/>
            <w:gridSpan w:val="2"/>
            <w:tcBorders>
              <w:right w:val="single" w:color="000000" w:sz="10" w:space="0"/>
            </w:tcBorders>
            <w:vAlign w:val="top"/>
          </w:tcPr>
          <w:p>
            <w:pPr>
              <w:spacing w:before="89" w:line="230" w:lineRule="auto"/>
              <w:ind w:left="157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绝对位</w:t>
            </w:r>
            <w:r>
              <w:rPr>
                <w:rFonts w:hint="default" w:ascii="Times New Roman" w:hAnsi="Times New Roman" w:eastAsia="宋体" w:cs="Times New Roman"/>
                <w:spacing w:val="6"/>
                <w:sz w:val="20"/>
                <w:szCs w:val="20"/>
                <w:highlight w:val="none"/>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7" w:type="dxa"/>
            <w:vMerge w:val="continue"/>
            <w:tcBorders>
              <w:top w:val="nil"/>
              <w:left w:val="single" w:color="000000" w:sz="10" w:space="0"/>
            </w:tcBorders>
            <w:vAlign w:val="top"/>
          </w:tcPr>
          <w:p>
            <w:pPr>
              <w:rPr>
                <w:rFonts w:hint="default" w:ascii="Times New Roman" w:hAnsi="Times New Roman" w:cs="Times New Roman"/>
                <w:sz w:val="21"/>
                <w:highlight w:val="none"/>
              </w:rPr>
            </w:pPr>
          </w:p>
        </w:tc>
        <w:tc>
          <w:tcPr>
            <w:tcW w:w="1583" w:type="dxa"/>
            <w:vMerge w:val="continue"/>
            <w:tcBorders>
              <w:top w:val="nil"/>
            </w:tcBorders>
            <w:vAlign w:val="top"/>
          </w:tcPr>
          <w:p>
            <w:pPr>
              <w:rPr>
                <w:rFonts w:hint="default" w:ascii="Times New Roman" w:hAnsi="Times New Roman" w:cs="Times New Roman"/>
                <w:sz w:val="21"/>
                <w:highlight w:val="none"/>
              </w:rPr>
            </w:pPr>
          </w:p>
        </w:tc>
        <w:tc>
          <w:tcPr>
            <w:tcW w:w="2305" w:type="dxa"/>
            <w:vMerge w:val="continue"/>
            <w:tcBorders>
              <w:top w:val="nil"/>
            </w:tcBorders>
            <w:vAlign w:val="top"/>
          </w:tcPr>
          <w:p>
            <w:pPr>
              <w:rPr>
                <w:rFonts w:hint="default" w:ascii="Times New Roman" w:hAnsi="Times New Roman" w:cs="Times New Roman"/>
                <w:sz w:val="21"/>
                <w:highlight w:val="none"/>
              </w:rPr>
            </w:pPr>
          </w:p>
        </w:tc>
        <w:tc>
          <w:tcPr>
            <w:tcW w:w="1660" w:type="dxa"/>
            <w:vAlign w:val="top"/>
          </w:tcPr>
          <w:p>
            <w:pPr>
              <w:spacing w:before="106" w:line="192" w:lineRule="auto"/>
              <w:ind w:left="99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X</w:t>
            </w:r>
          </w:p>
        </w:tc>
        <w:tc>
          <w:tcPr>
            <w:tcW w:w="1836" w:type="dxa"/>
            <w:tcBorders>
              <w:right w:val="single" w:color="000000" w:sz="10" w:space="0"/>
            </w:tcBorders>
            <w:vAlign w:val="top"/>
          </w:tcPr>
          <w:p>
            <w:pPr>
              <w:spacing w:before="106" w:line="192" w:lineRule="auto"/>
              <w:ind w:left="108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7" w:type="dxa"/>
            <w:tcBorders>
              <w:left w:val="single" w:color="000000" w:sz="10" w:space="0"/>
            </w:tcBorders>
            <w:vAlign w:val="top"/>
          </w:tcPr>
          <w:p>
            <w:pPr>
              <w:spacing w:before="104" w:line="195" w:lineRule="auto"/>
              <w:ind w:left="52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JC</w:t>
            </w:r>
            <w:r>
              <w:rPr>
                <w:rFonts w:hint="default" w:ascii="Times New Roman" w:hAnsi="Times New Roman" w:eastAsia="Times New Roman" w:cs="Times New Roman"/>
                <w:spacing w:val="9"/>
                <w:sz w:val="20"/>
                <w:szCs w:val="20"/>
                <w:highlight w:val="none"/>
              </w:rPr>
              <w:t>1</w:t>
            </w:r>
          </w:p>
        </w:tc>
        <w:tc>
          <w:tcPr>
            <w:tcW w:w="1583" w:type="dxa"/>
            <w:vAlign w:val="top"/>
          </w:tcPr>
          <w:p>
            <w:pPr>
              <w:spacing w:before="66" w:line="229" w:lineRule="auto"/>
              <w:ind w:left="10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厂</w:t>
            </w:r>
            <w:r>
              <w:rPr>
                <w:rFonts w:hint="default" w:ascii="Times New Roman" w:hAnsi="Times New Roman" w:eastAsia="宋体" w:cs="Times New Roman"/>
                <w:spacing w:val="6"/>
                <w:sz w:val="20"/>
                <w:szCs w:val="20"/>
                <w:highlight w:val="none"/>
              </w:rPr>
              <w:t>区上游</w:t>
            </w:r>
          </w:p>
        </w:tc>
        <w:tc>
          <w:tcPr>
            <w:tcW w:w="2305" w:type="dxa"/>
            <w:vAlign w:val="top"/>
          </w:tcPr>
          <w:p>
            <w:pPr>
              <w:spacing w:before="66" w:line="228" w:lineRule="auto"/>
              <w:ind w:left="31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3"/>
                <w:sz w:val="20"/>
                <w:szCs w:val="20"/>
                <w:highlight w:val="none"/>
              </w:rPr>
              <w:t>地</w:t>
            </w:r>
            <w:r>
              <w:rPr>
                <w:rFonts w:hint="default" w:ascii="Times New Roman" w:hAnsi="Times New Roman" w:eastAsia="宋体" w:cs="Times New Roman"/>
                <w:spacing w:val="8"/>
                <w:sz w:val="20"/>
                <w:szCs w:val="20"/>
                <w:highlight w:val="none"/>
              </w:rPr>
              <w:t>下水上游背景值</w:t>
            </w:r>
          </w:p>
        </w:tc>
        <w:tc>
          <w:tcPr>
            <w:tcW w:w="1660" w:type="dxa"/>
            <w:vAlign w:val="top"/>
          </w:tcPr>
          <w:p>
            <w:pPr>
              <w:spacing w:before="104" w:line="195" w:lineRule="auto"/>
              <w:ind w:left="5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0582894</w:t>
            </w:r>
          </w:p>
        </w:tc>
        <w:tc>
          <w:tcPr>
            <w:tcW w:w="1836" w:type="dxa"/>
            <w:tcBorders>
              <w:right w:val="single" w:color="000000" w:sz="10" w:space="0"/>
            </w:tcBorders>
            <w:vAlign w:val="top"/>
          </w:tcPr>
          <w:p>
            <w:pPr>
              <w:spacing w:before="104" w:line="195" w:lineRule="auto"/>
              <w:ind w:left="59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4</w:t>
            </w:r>
            <w:r>
              <w:rPr>
                <w:rFonts w:hint="default" w:ascii="Times New Roman" w:hAnsi="Times New Roman" w:eastAsia="Times New Roman" w:cs="Times New Roman"/>
                <w:spacing w:val="4"/>
                <w:sz w:val="20"/>
                <w:szCs w:val="20"/>
                <w:highlight w:val="none"/>
              </w:rPr>
              <w:t>456514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7" w:type="dxa"/>
            <w:tcBorders>
              <w:left w:val="single" w:color="000000" w:sz="10" w:space="0"/>
            </w:tcBorders>
            <w:vAlign w:val="top"/>
          </w:tcPr>
          <w:p>
            <w:pPr>
              <w:spacing w:before="106" w:line="195" w:lineRule="auto"/>
              <w:ind w:left="52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JC</w:t>
            </w:r>
            <w:r>
              <w:rPr>
                <w:rFonts w:hint="default" w:ascii="Times New Roman" w:hAnsi="Times New Roman" w:eastAsia="Times New Roman" w:cs="Times New Roman"/>
                <w:spacing w:val="9"/>
                <w:sz w:val="20"/>
                <w:szCs w:val="20"/>
                <w:highlight w:val="none"/>
              </w:rPr>
              <w:t>2</w:t>
            </w:r>
          </w:p>
        </w:tc>
        <w:tc>
          <w:tcPr>
            <w:tcW w:w="1583" w:type="dxa"/>
            <w:vMerge w:val="restart"/>
            <w:tcBorders>
              <w:bottom w:val="nil"/>
            </w:tcBorders>
            <w:vAlign w:val="top"/>
          </w:tcPr>
          <w:p>
            <w:pPr>
              <w:spacing w:before="255" w:line="228" w:lineRule="auto"/>
              <w:ind w:left="10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厂</w:t>
            </w:r>
            <w:r>
              <w:rPr>
                <w:rFonts w:hint="default" w:ascii="Times New Roman" w:hAnsi="Times New Roman" w:eastAsia="宋体" w:cs="Times New Roman"/>
                <w:spacing w:val="7"/>
                <w:sz w:val="20"/>
                <w:szCs w:val="20"/>
                <w:highlight w:val="none"/>
              </w:rPr>
              <w:t>区内下游</w:t>
            </w:r>
          </w:p>
        </w:tc>
        <w:tc>
          <w:tcPr>
            <w:tcW w:w="2305" w:type="dxa"/>
            <w:vMerge w:val="restart"/>
            <w:tcBorders>
              <w:bottom w:val="nil"/>
            </w:tcBorders>
            <w:vAlign w:val="top"/>
          </w:tcPr>
          <w:p>
            <w:pPr>
              <w:spacing w:before="255" w:line="228" w:lineRule="auto"/>
              <w:ind w:left="3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污</w:t>
            </w:r>
            <w:r>
              <w:rPr>
                <w:rFonts w:hint="default" w:ascii="Times New Roman" w:hAnsi="Times New Roman" w:eastAsia="宋体" w:cs="Times New Roman"/>
                <w:spacing w:val="8"/>
                <w:sz w:val="20"/>
                <w:szCs w:val="20"/>
                <w:highlight w:val="none"/>
              </w:rPr>
              <w:t>染扩散监测点</w:t>
            </w:r>
          </w:p>
        </w:tc>
        <w:tc>
          <w:tcPr>
            <w:tcW w:w="1660" w:type="dxa"/>
            <w:vAlign w:val="top"/>
          </w:tcPr>
          <w:p>
            <w:pPr>
              <w:spacing w:before="106" w:line="195" w:lineRule="auto"/>
              <w:ind w:left="5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0582890</w:t>
            </w:r>
          </w:p>
        </w:tc>
        <w:tc>
          <w:tcPr>
            <w:tcW w:w="1836" w:type="dxa"/>
            <w:tcBorders>
              <w:right w:val="single" w:color="000000" w:sz="10" w:space="0"/>
            </w:tcBorders>
            <w:vAlign w:val="top"/>
          </w:tcPr>
          <w:p>
            <w:pPr>
              <w:spacing w:before="106" w:line="195" w:lineRule="auto"/>
              <w:ind w:left="59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4</w:t>
            </w:r>
            <w:r>
              <w:rPr>
                <w:rFonts w:hint="default" w:ascii="Times New Roman" w:hAnsi="Times New Roman" w:eastAsia="Times New Roman" w:cs="Times New Roman"/>
                <w:spacing w:val="4"/>
                <w:sz w:val="20"/>
                <w:szCs w:val="20"/>
                <w:highlight w:val="none"/>
              </w:rPr>
              <w:t>456327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pPr>
              <w:spacing w:before="57" w:line="195" w:lineRule="auto"/>
              <w:ind w:left="52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JC</w:t>
            </w:r>
            <w:r>
              <w:rPr>
                <w:rFonts w:hint="default" w:ascii="Times New Roman" w:hAnsi="Times New Roman" w:eastAsia="Times New Roman" w:cs="Times New Roman"/>
                <w:spacing w:val="9"/>
                <w:sz w:val="20"/>
                <w:szCs w:val="20"/>
                <w:highlight w:val="none"/>
              </w:rPr>
              <w:t>3</w:t>
            </w:r>
          </w:p>
        </w:tc>
        <w:tc>
          <w:tcPr>
            <w:tcW w:w="1583" w:type="dxa"/>
            <w:vMerge w:val="continue"/>
            <w:tcBorders>
              <w:top w:val="nil"/>
            </w:tcBorders>
            <w:vAlign w:val="top"/>
          </w:tcPr>
          <w:p>
            <w:pPr>
              <w:rPr>
                <w:rFonts w:hint="default" w:ascii="Times New Roman" w:hAnsi="Times New Roman" w:cs="Times New Roman"/>
                <w:sz w:val="21"/>
                <w:highlight w:val="none"/>
              </w:rPr>
            </w:pPr>
          </w:p>
        </w:tc>
        <w:tc>
          <w:tcPr>
            <w:tcW w:w="2305" w:type="dxa"/>
            <w:vMerge w:val="continue"/>
            <w:tcBorders>
              <w:top w:val="nil"/>
            </w:tcBorders>
            <w:vAlign w:val="top"/>
          </w:tcPr>
          <w:p>
            <w:pPr>
              <w:rPr>
                <w:rFonts w:hint="default" w:ascii="Times New Roman" w:hAnsi="Times New Roman" w:cs="Times New Roman"/>
                <w:sz w:val="21"/>
                <w:highlight w:val="none"/>
              </w:rPr>
            </w:pPr>
          </w:p>
        </w:tc>
        <w:tc>
          <w:tcPr>
            <w:tcW w:w="1660" w:type="dxa"/>
            <w:vAlign w:val="top"/>
          </w:tcPr>
          <w:p>
            <w:pPr>
              <w:spacing w:before="57" w:line="195" w:lineRule="auto"/>
              <w:ind w:left="63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2</w:t>
            </w:r>
            <w:r>
              <w:rPr>
                <w:rFonts w:hint="default" w:ascii="Times New Roman" w:hAnsi="Times New Roman" w:eastAsia="Times New Roman" w:cs="Times New Roman"/>
                <w:spacing w:val="4"/>
                <w:sz w:val="20"/>
                <w:szCs w:val="20"/>
                <w:highlight w:val="none"/>
              </w:rPr>
              <w:t>0582752</w:t>
            </w:r>
          </w:p>
        </w:tc>
        <w:tc>
          <w:tcPr>
            <w:tcW w:w="1836" w:type="dxa"/>
            <w:tcBorders>
              <w:right w:val="single" w:color="000000" w:sz="10" w:space="0"/>
            </w:tcBorders>
            <w:vAlign w:val="top"/>
          </w:tcPr>
          <w:p>
            <w:pPr>
              <w:spacing w:before="57" w:line="195" w:lineRule="auto"/>
              <w:ind w:left="64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4</w:t>
            </w:r>
            <w:r>
              <w:rPr>
                <w:rFonts w:hint="default" w:ascii="Times New Roman" w:hAnsi="Times New Roman" w:eastAsia="Times New Roman" w:cs="Times New Roman"/>
                <w:spacing w:val="4"/>
                <w:sz w:val="20"/>
                <w:szCs w:val="20"/>
                <w:highlight w:val="none"/>
              </w:rPr>
              <w:t>456257</w:t>
            </w:r>
          </w:p>
        </w:tc>
      </w:tr>
    </w:tbl>
    <w:p>
      <w:pPr>
        <w:spacing w:before="157" w:line="411" w:lineRule="auto"/>
        <w:ind w:left="132" w:right="120"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根据</w:t>
      </w:r>
      <w:r>
        <w:rPr>
          <w:rFonts w:hint="default" w:ascii="Times New Roman" w:hAnsi="Times New Roman" w:eastAsia="宋体" w:cs="Times New Roman"/>
          <w:spacing w:val="13"/>
          <w:sz w:val="23"/>
          <w:szCs w:val="23"/>
          <w:highlight w:val="none"/>
        </w:rPr>
        <w:t>《</w:t>
      </w:r>
      <w:r>
        <w:rPr>
          <w:rFonts w:hint="default" w:ascii="Times New Roman" w:hAnsi="Times New Roman" w:eastAsia="宋体" w:cs="Times New Roman"/>
          <w:spacing w:val="7"/>
          <w:sz w:val="23"/>
          <w:szCs w:val="23"/>
          <w:highlight w:val="none"/>
        </w:rPr>
        <w:t>地下水环境监测技术规范》</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7"/>
          <w:sz w:val="23"/>
          <w:szCs w:val="23"/>
          <w:highlight w:val="none"/>
        </w:rPr>
        <w:t>164-20</w:t>
      </w:r>
      <w:r>
        <w:rPr>
          <w:rFonts w:hint="eastAsia" w:ascii="Times New Roman" w:hAnsi="Times New Roman" w:eastAsia="宋体" w:cs="Times New Roman"/>
          <w:spacing w:val="7"/>
          <w:sz w:val="23"/>
          <w:szCs w:val="23"/>
          <w:highlight w:val="none"/>
          <w:lang w:val="en-US" w:eastAsia="zh-CN"/>
        </w:rPr>
        <w:t>20</w:t>
      </w:r>
      <w:r>
        <w:rPr>
          <w:rFonts w:hint="default" w:ascii="Times New Roman" w:hAnsi="Times New Roman" w:eastAsia="宋体" w:cs="Times New Roman"/>
          <w:spacing w:val="7"/>
          <w:sz w:val="23"/>
          <w:szCs w:val="23"/>
          <w:highlight w:val="none"/>
        </w:rPr>
        <w:t>的要求及地下水监测点布设</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原则，根据地下水流向 (东北向西南) ，在厂区上下游共布设地下水水质浅</w:t>
      </w:r>
      <w:r>
        <w:rPr>
          <w:rFonts w:hint="default" w:ascii="Times New Roman" w:hAnsi="Times New Roman" w:eastAsia="宋体" w:cs="Times New Roman"/>
          <w:spacing w:val="6"/>
          <w:sz w:val="23"/>
          <w:szCs w:val="23"/>
          <w:highlight w:val="none"/>
        </w:rPr>
        <w:t>层</w:t>
      </w:r>
      <w:r>
        <w:rPr>
          <w:rFonts w:hint="default" w:ascii="Times New Roman" w:hAnsi="Times New Roman" w:eastAsia="宋体" w:cs="Times New Roman"/>
          <w:sz w:val="23"/>
          <w:szCs w:val="23"/>
          <w:highlight w:val="none"/>
        </w:rPr>
        <w:t xml:space="preserve">监 </w:t>
      </w:r>
      <w:r>
        <w:rPr>
          <w:rFonts w:hint="default" w:ascii="Times New Roman" w:hAnsi="Times New Roman" w:eastAsia="宋体" w:cs="Times New Roman"/>
          <w:spacing w:val="6"/>
          <w:sz w:val="23"/>
          <w:szCs w:val="23"/>
          <w:highlight w:val="none"/>
        </w:rPr>
        <w:t>测井</w:t>
      </w:r>
      <w:r>
        <w:rPr>
          <w:rFonts w:hint="default" w:ascii="Times New Roman" w:hAnsi="Times New Roman" w:eastAsia="Times New Roman" w:cs="Times New Roman"/>
          <w:spacing w:val="6"/>
          <w:sz w:val="23"/>
          <w:szCs w:val="23"/>
          <w:highlight w:val="none"/>
        </w:rPr>
        <w:t>3</w:t>
      </w:r>
      <w:r>
        <w:rPr>
          <w:rFonts w:hint="default" w:ascii="Times New Roman" w:hAnsi="Times New Roman" w:eastAsia="宋体" w:cs="Times New Roman"/>
          <w:spacing w:val="6"/>
          <w:sz w:val="23"/>
          <w:szCs w:val="23"/>
          <w:highlight w:val="none"/>
        </w:rPr>
        <w:t>眼，见图</w:t>
      </w:r>
      <w:r>
        <w:rPr>
          <w:rFonts w:hint="default" w:ascii="Times New Roman" w:hAnsi="Times New Roman" w:eastAsia="Times New Roman" w:cs="Times New Roman"/>
          <w:spacing w:val="6"/>
          <w:sz w:val="23"/>
          <w:szCs w:val="23"/>
          <w:highlight w:val="none"/>
        </w:rPr>
        <w:t>5.2-</w:t>
      </w:r>
      <w:r>
        <w:rPr>
          <w:rFonts w:hint="eastAsia" w:ascii="Times New Roman" w:hAnsi="Times New Roman" w:eastAsia="宋体" w:cs="Times New Roman"/>
          <w:spacing w:val="6"/>
          <w:sz w:val="23"/>
          <w:szCs w:val="23"/>
          <w:highlight w:val="none"/>
          <w:lang w:val="en-US" w:eastAsia="zh-CN"/>
        </w:rPr>
        <w:t>29</w:t>
      </w:r>
      <w:r>
        <w:rPr>
          <w:rFonts w:hint="default" w:ascii="Times New Roman" w:hAnsi="Times New Roman" w:eastAsia="宋体" w:cs="Times New Roman"/>
          <w:spacing w:val="6"/>
          <w:sz w:val="23"/>
          <w:szCs w:val="23"/>
          <w:highlight w:val="none"/>
        </w:rPr>
        <w:t>。随时掌握地下水水质变化趋势。为避免污染物随孔壁渗</w:t>
      </w:r>
      <w:r>
        <w:rPr>
          <w:rFonts w:hint="default" w:ascii="Times New Roman" w:hAnsi="Times New Roman" w:eastAsia="宋体" w:cs="Times New Roman"/>
          <w:spacing w:val="4"/>
          <w:sz w:val="23"/>
          <w:szCs w:val="23"/>
          <w:highlight w:val="none"/>
        </w:rPr>
        <w:t>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地</w:t>
      </w:r>
      <w:r>
        <w:rPr>
          <w:rFonts w:hint="default" w:ascii="Times New Roman" w:hAnsi="Times New Roman" w:eastAsia="宋体" w:cs="Times New Roman"/>
          <w:spacing w:val="8"/>
          <w:sz w:val="23"/>
          <w:szCs w:val="23"/>
          <w:highlight w:val="none"/>
        </w:rPr>
        <w:t>下，建议成井时水泥封孔。</w:t>
      </w:r>
    </w:p>
    <w:p>
      <w:pPr>
        <w:tabs>
          <w:tab w:val="left" w:pos="1479"/>
        </w:tabs>
        <w:bidi w:val="0"/>
        <w:jc w:val="left"/>
        <w:rPr>
          <w:rFonts w:hint="default" w:ascii="Times New Roman" w:hAnsi="Times New Roman" w:cs="Times New Roman"/>
          <w:sz w:val="21"/>
          <w:highlight w:val="none"/>
        </w:rPr>
      </w:pPr>
      <w:r>
        <w:rPr>
          <w:rFonts w:hint="default" w:ascii="Times New Roman" w:hAnsi="Times New Roman" w:cs="Times New Roman"/>
          <w:highlight w:val="none"/>
        </w:rPr>
        <w:pict>
          <v:rect id="_x0000_s1349" o:spid="_x0000_s1349" o:spt="1" style="position:absolute;left:0pt;margin-left:89.85pt;margin-top:59.05pt;height:0.75pt;width:415.65pt;mso-position-horizontal-relative:page;mso-position-vertical-relative:page;z-index:251809792;mso-width-relative:page;mso-height-relative:page;" fillcolor="#000000" filled="t" stroked="f" coordsize="21600,21600" o:allowincell="f">
            <v:path/>
            <v:fill on="t" focussize="0,0"/>
            <v:stroke on="f"/>
            <v:imagedata o:title=""/>
            <o:lock v:ext="edit"/>
          </v:rect>
        </w:pict>
      </w:r>
    </w:p>
    <w:p>
      <w:pPr>
        <w:spacing w:line="7370" w:lineRule="exact"/>
        <w:ind w:firstLine="297"/>
        <w:textAlignment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4914900" cy="46799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96"/>
                    <a:stretch>
                      <a:fillRect/>
                    </a:stretch>
                  </pic:blipFill>
                  <pic:spPr>
                    <a:xfrm>
                      <a:off x="0" y="0"/>
                      <a:ext cx="4914900" cy="4680203"/>
                    </a:xfrm>
                    <a:prstGeom prst="rect">
                      <a:avLst/>
                    </a:prstGeom>
                  </pic:spPr>
                </pic:pic>
              </a:graphicData>
            </a:graphic>
          </wp:inline>
        </w:drawing>
      </w:r>
    </w:p>
    <w:p>
      <w:pPr>
        <w:spacing w:before="193" w:line="227" w:lineRule="auto"/>
        <w:ind w:left="2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图</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Times New Roman" w:cs="Times New Roman"/>
          <w:b/>
          <w:bCs/>
          <w:spacing w:val="4"/>
          <w:sz w:val="23"/>
          <w:szCs w:val="23"/>
          <w:highlight w:val="none"/>
        </w:rPr>
        <w:t>5.2-</w:t>
      </w:r>
      <w:r>
        <w:rPr>
          <w:rFonts w:hint="eastAsia" w:ascii="Times New Roman" w:hAnsi="Times New Roman" w:eastAsia="宋体" w:cs="Times New Roman"/>
          <w:b/>
          <w:bCs/>
          <w:spacing w:val="3"/>
          <w:sz w:val="23"/>
          <w:szCs w:val="23"/>
          <w:highlight w:val="none"/>
          <w:lang w:val="en-US" w:eastAsia="zh-CN"/>
        </w:rPr>
        <w:t>29</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14:textOutline w14:w="4358" w14:cap="sq" w14:cmpd="sng">
            <w14:solidFill>
              <w14:srgbClr w14:val="000000"/>
            </w14:solidFill>
            <w14:prstDash w14:val="solid"/>
            <w14:bevel/>
          </w14:textOutline>
        </w:rPr>
        <w:t>地下水监测点布置图</w:t>
      </w:r>
    </w:p>
    <w:p>
      <w:pPr>
        <w:spacing w:before="218" w:line="228" w:lineRule="auto"/>
        <w:ind w:left="496"/>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9"/>
          <w:sz w:val="23"/>
          <w:szCs w:val="23"/>
          <w:highlight w:val="none"/>
        </w:rPr>
        <w:t>2</w:t>
      </w:r>
      <w:r>
        <w:rPr>
          <w:rFonts w:hint="default" w:ascii="Times New Roman" w:hAnsi="Times New Roman" w:eastAsia="宋体" w:cs="Times New Roman"/>
          <w:spacing w:val="7"/>
          <w:sz w:val="23"/>
          <w:szCs w:val="23"/>
          <w:highlight w:val="none"/>
        </w:rPr>
        <w:t>) 监测频率及项目：</w:t>
      </w:r>
    </w:p>
    <w:p>
      <w:pPr>
        <w:spacing w:before="214" w:line="402" w:lineRule="auto"/>
        <w:ind w:left="22" w:right="11"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监测频率：上游背景值监测井每年枯水期采样一次；下游污染扩散监测井</w:t>
      </w:r>
      <w:r>
        <w:rPr>
          <w:rFonts w:hint="default" w:ascii="Times New Roman" w:hAnsi="Times New Roman" w:eastAsia="宋体" w:cs="Times New Roman"/>
          <w:spacing w:val="6"/>
          <w:sz w:val="23"/>
          <w:szCs w:val="23"/>
          <w:highlight w:val="none"/>
        </w:rPr>
        <w:t>每</w:t>
      </w:r>
      <w:r>
        <w:rPr>
          <w:rFonts w:hint="eastAsia" w:ascii="Times New Roman" w:hAnsi="Times New Roman" w:eastAsia="宋体" w:cs="Times New Roman"/>
          <w:spacing w:val="6"/>
          <w:sz w:val="23"/>
          <w:szCs w:val="23"/>
          <w:highlight w:val="none"/>
          <w:lang w:val="en-US" w:eastAsia="zh-CN"/>
        </w:rPr>
        <w:t>半年</w:t>
      </w:r>
      <w:r>
        <w:rPr>
          <w:rFonts w:hint="default" w:ascii="Times New Roman" w:hAnsi="Times New Roman" w:eastAsia="宋体" w:cs="Times New Roman"/>
          <w:spacing w:val="8"/>
          <w:sz w:val="23"/>
          <w:szCs w:val="23"/>
          <w:highlight w:val="none"/>
        </w:rPr>
        <w:t>采样一次，全年</w:t>
      </w:r>
      <w:r>
        <w:rPr>
          <w:rFonts w:hint="eastAsia" w:ascii="Times New Roman" w:hAnsi="Times New Roman" w:eastAsia="宋体" w:cs="Times New Roman"/>
          <w:spacing w:val="8"/>
          <w:sz w:val="23"/>
          <w:szCs w:val="23"/>
          <w:highlight w:val="none"/>
          <w:lang w:val="en-US" w:eastAsia="zh-CN"/>
        </w:rPr>
        <w:t>2</w:t>
      </w:r>
      <w:r>
        <w:rPr>
          <w:rFonts w:hint="default" w:ascii="Times New Roman" w:hAnsi="Times New Roman" w:eastAsia="宋体" w:cs="Times New Roman"/>
          <w:spacing w:val="8"/>
          <w:sz w:val="23"/>
          <w:szCs w:val="23"/>
          <w:highlight w:val="none"/>
        </w:rPr>
        <w:t>次。</w:t>
      </w:r>
    </w:p>
    <w:p>
      <w:pPr>
        <w:spacing w:before="1" w:line="400" w:lineRule="auto"/>
        <w:ind w:left="496" w:right="1458" w:firstLine="5"/>
        <w:rPr>
          <w:rFonts w:hint="default" w:ascii="Times New Roman" w:hAnsi="Times New Roman" w:eastAsia="宋体" w:cs="Times New Roman"/>
          <w:spacing w:val="2"/>
          <w:sz w:val="23"/>
          <w:szCs w:val="23"/>
          <w:highlight w:val="none"/>
        </w:rPr>
      </w:pPr>
      <w:r>
        <w:rPr>
          <w:rFonts w:hint="default" w:ascii="Times New Roman" w:hAnsi="Times New Roman" w:eastAsia="宋体" w:cs="Times New Roman"/>
          <w:spacing w:val="4"/>
          <w:sz w:val="23"/>
          <w:szCs w:val="23"/>
          <w:highlight w:val="none"/>
        </w:rPr>
        <w:t>监测项目为：</w:t>
      </w:r>
      <w:r>
        <w:rPr>
          <w:rFonts w:hint="default" w:ascii="Times New Roman" w:hAnsi="Times New Roman" w:eastAsia="Times New Roman" w:cs="Times New Roman"/>
          <w:sz w:val="23"/>
          <w:szCs w:val="23"/>
          <w:highlight w:val="none"/>
        </w:rPr>
        <w:t>pH</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w:t>
      </w:r>
      <w:r>
        <w:rPr>
          <w:rFonts w:hint="eastAsia" w:ascii="Times New Roman" w:hAnsi="Times New Roman" w:eastAsia="宋体" w:cs="Times New Roman"/>
          <w:sz w:val="23"/>
          <w:szCs w:val="23"/>
          <w:highlight w:val="none"/>
          <w:lang w:val="en-US" w:eastAsia="zh-CN"/>
        </w:rPr>
        <w:t>石油类</w:t>
      </w:r>
      <w:r>
        <w:rPr>
          <w:rFonts w:hint="default" w:ascii="Times New Roman" w:hAnsi="Times New Roman" w:eastAsia="Times New Roman" w:cs="Times New Roman"/>
          <w:spacing w:val="2"/>
          <w:position w:val="-1"/>
          <w:sz w:val="15"/>
          <w:szCs w:val="15"/>
          <w:highlight w:val="none"/>
        </w:rPr>
        <w:t xml:space="preserve"> </w:t>
      </w:r>
      <w:r>
        <w:rPr>
          <w:rFonts w:hint="default" w:ascii="Times New Roman" w:hAnsi="Times New Roman" w:eastAsia="宋体" w:cs="Times New Roman"/>
          <w:spacing w:val="2"/>
          <w:sz w:val="23"/>
          <w:szCs w:val="23"/>
          <w:highlight w:val="none"/>
        </w:rPr>
        <w:t>、铁、溶解性固体、耗氧量。</w:t>
      </w:r>
    </w:p>
    <w:p>
      <w:pPr>
        <w:spacing w:before="1" w:line="400" w:lineRule="auto"/>
        <w:ind w:left="496" w:right="1458" w:firstLine="5"/>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z w:val="23"/>
          <w:szCs w:val="23"/>
          <w:highlight w:val="none"/>
        </w:rPr>
        <w:t>E</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、监测数</w:t>
      </w:r>
      <w:r>
        <w:rPr>
          <w:rFonts w:hint="default" w:ascii="Times New Roman" w:hAnsi="Times New Roman" w:eastAsia="宋体" w:cs="Times New Roman"/>
          <w:spacing w:val="1"/>
          <w:sz w:val="23"/>
          <w:szCs w:val="23"/>
          <w:highlight w:val="none"/>
        </w:rPr>
        <w:t>据管理</w:t>
      </w:r>
    </w:p>
    <w:p>
      <w:pPr>
        <w:spacing w:line="228" w:lineRule="auto"/>
        <w:ind w:left="50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上述监测结果应按厂区有关规定及时建立档案，并抄送环境保护行政主管</w:t>
      </w:r>
      <w:r>
        <w:rPr>
          <w:rFonts w:hint="default" w:ascii="Times New Roman" w:hAnsi="Times New Roman" w:eastAsia="宋体" w:cs="Times New Roman"/>
          <w:spacing w:val="5"/>
          <w:sz w:val="23"/>
          <w:szCs w:val="23"/>
          <w:highlight w:val="none"/>
        </w:rPr>
        <w:t>部</w:t>
      </w:r>
    </w:p>
    <w:p>
      <w:pPr>
        <w:spacing w:before="219" w:line="401" w:lineRule="auto"/>
        <w:ind w:left="22" w:right="11" w:firstLine="2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门，</w:t>
      </w:r>
      <w:r>
        <w:rPr>
          <w:rFonts w:hint="default" w:ascii="Times New Roman" w:hAnsi="Times New Roman" w:eastAsia="宋体" w:cs="Times New Roman"/>
          <w:spacing w:val="8"/>
          <w:sz w:val="23"/>
          <w:szCs w:val="23"/>
          <w:highlight w:val="none"/>
        </w:rPr>
        <w:t>对</w:t>
      </w:r>
      <w:r>
        <w:rPr>
          <w:rFonts w:hint="default" w:ascii="Times New Roman" w:hAnsi="Times New Roman" w:eastAsia="宋体" w:cs="Times New Roman"/>
          <w:spacing w:val="6"/>
          <w:sz w:val="23"/>
          <w:szCs w:val="23"/>
          <w:highlight w:val="none"/>
        </w:rPr>
        <w:t>于常规检测数据应该进行公开，特别是对厂区附近区域的居民公开，满足</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法</w:t>
      </w:r>
      <w:r>
        <w:rPr>
          <w:rFonts w:hint="default" w:ascii="Times New Roman" w:hAnsi="Times New Roman" w:eastAsia="宋体" w:cs="Times New Roman"/>
          <w:spacing w:val="7"/>
          <w:sz w:val="23"/>
          <w:szCs w:val="23"/>
          <w:highlight w:val="none"/>
        </w:rPr>
        <w:t>律中关于知情权的要求。发现污染和水质恶化时，要及时进行处理，开展系统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调</w:t>
      </w:r>
      <w:r>
        <w:rPr>
          <w:rFonts w:hint="default" w:ascii="Times New Roman" w:hAnsi="Times New Roman" w:eastAsia="宋体" w:cs="Times New Roman"/>
          <w:spacing w:val="8"/>
          <w:sz w:val="23"/>
          <w:szCs w:val="23"/>
          <w:highlight w:val="none"/>
        </w:rPr>
        <w:t>查，并上报有关部门。</w:t>
      </w:r>
    </w:p>
    <w:p>
      <w:pPr>
        <w:spacing w:line="499" w:lineRule="exact"/>
        <w:ind w:left="495"/>
        <w:rPr>
          <w:rFonts w:hint="default" w:ascii="Times New Roman" w:hAnsi="Times New Roman" w:eastAsia="宋体" w:cs="Times New Roman"/>
          <w:sz w:val="23"/>
          <w:szCs w:val="23"/>
          <w:highlight w:val="none"/>
        </w:rPr>
      </w:pPr>
      <w:r>
        <w:rPr>
          <w:rFonts w:hint="default" w:ascii="Times New Roman" w:hAnsi="Times New Roman" w:eastAsia="Times New Roman" w:cs="Times New Roman"/>
          <w:position w:val="21"/>
          <w:sz w:val="23"/>
          <w:szCs w:val="23"/>
          <w:highlight w:val="none"/>
        </w:rPr>
        <w:t>F</w:t>
      </w:r>
      <w:r>
        <w:rPr>
          <w:rFonts w:hint="default" w:ascii="Times New Roman" w:hAnsi="Times New Roman" w:eastAsia="Times New Roman" w:cs="Times New Roman"/>
          <w:spacing w:val="10"/>
          <w:position w:val="21"/>
          <w:sz w:val="23"/>
          <w:szCs w:val="23"/>
          <w:highlight w:val="none"/>
        </w:rPr>
        <w:t xml:space="preserve"> </w:t>
      </w:r>
      <w:r>
        <w:rPr>
          <w:rFonts w:hint="default" w:ascii="Times New Roman" w:hAnsi="Times New Roman" w:eastAsia="宋体" w:cs="Times New Roman"/>
          <w:spacing w:val="7"/>
          <w:position w:val="21"/>
          <w:sz w:val="23"/>
          <w:szCs w:val="23"/>
          <w:highlight w:val="none"/>
        </w:rPr>
        <w:t>、</w:t>
      </w:r>
      <w:r>
        <w:rPr>
          <w:rFonts w:hint="default" w:ascii="Times New Roman" w:hAnsi="Times New Roman" w:eastAsia="宋体" w:cs="Times New Roman"/>
          <w:spacing w:val="5"/>
          <w:position w:val="21"/>
          <w:sz w:val="23"/>
          <w:szCs w:val="23"/>
          <w:highlight w:val="none"/>
        </w:rPr>
        <w:t>地下水风险污染事故应急预案</w:t>
      </w:r>
    </w:p>
    <w:p>
      <w:pPr>
        <w:spacing w:line="228" w:lineRule="auto"/>
        <w:ind w:left="512"/>
        <w:outlineLvl w:val="2"/>
        <w:rPr>
          <w:rFonts w:hint="default" w:ascii="Times New Roman" w:hAnsi="Times New Roman" w:eastAsia="宋体" w:cs="Times New Roman"/>
          <w:sz w:val="23"/>
          <w:szCs w:val="23"/>
          <w:highlight w:val="none"/>
        </w:rPr>
      </w:pPr>
      <w:bookmarkStart w:id="631" w:name="_Toc12891"/>
      <w:bookmarkStart w:id="632" w:name="_Toc11820"/>
      <w:bookmarkStart w:id="633" w:name="_Toc7267"/>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1</w:t>
      </w:r>
      <w:r>
        <w:rPr>
          <w:rFonts w:hint="default" w:ascii="Times New Roman" w:hAnsi="Times New Roman" w:eastAsia="宋体" w:cs="Times New Roman"/>
          <w:spacing w:val="20"/>
          <w:sz w:val="23"/>
          <w:szCs w:val="23"/>
          <w:highlight w:val="none"/>
        </w:rPr>
        <w:t>) 应急预</w:t>
      </w:r>
      <w:r>
        <w:rPr>
          <w:rFonts w:hint="default" w:ascii="Times New Roman" w:hAnsi="Times New Roman" w:eastAsia="宋体" w:cs="Times New Roman"/>
          <w:spacing w:val="19"/>
          <w:sz w:val="23"/>
          <w:szCs w:val="23"/>
          <w:highlight w:val="none"/>
        </w:rPr>
        <w:t>案</w:t>
      </w:r>
      <w:bookmarkEnd w:id="631"/>
      <w:bookmarkEnd w:id="632"/>
      <w:bookmarkEnd w:id="633"/>
    </w:p>
    <w:p>
      <w:pPr>
        <w:rPr>
          <w:rFonts w:hint="default" w:ascii="Times New Roman" w:hAnsi="Times New Roman" w:cs="Times New Roman"/>
          <w:highlight w:val="none"/>
        </w:rPr>
        <w:sectPr>
          <w:headerReference r:id="rId111" w:type="default"/>
          <w:footerReference r:id="rId112" w:type="default"/>
          <w:pgSz w:w="11906" w:h="16839"/>
          <w:pgMar w:top="1167" w:right="1785" w:bottom="1282" w:left="1785" w:header="897" w:footer="1015" w:gutter="0"/>
          <w:pgBorders>
            <w:top w:val="none" w:sz="0" w:space="0"/>
            <w:left w:val="none" w:sz="0" w:space="0"/>
            <w:bottom w:val="none" w:sz="0" w:space="0"/>
            <w:right w:val="none" w:sz="0" w:space="0"/>
          </w:pgBorders>
          <w:pgNumType w:fmt="decimal"/>
          <w:cols w:space="720" w:num="1"/>
        </w:sectPr>
      </w:pPr>
    </w:p>
    <w:p>
      <w:pPr>
        <w:spacing w:line="390"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352" o:spid="_x0000_s1352" style="position:absolute;left:0pt;margin-left:89.85pt;margin-top:59.05pt;height:0.75pt;width:415.65pt;mso-position-horizontal-relative:page;mso-position-vertical-relative:page;z-index:251811840;mso-width-relative:page;mso-height-relative:page;" fillcolor="#000000" filled="t" stroked="f" coordsize="8312,15" o:allowincell="f" path="m0,0l8312,0,8312,14,0,14,0,0xe">
            <v:path/>
            <v:fill on="t" focussize="0,0"/>
            <v:stroke on="f"/>
            <v:imagedata o:title=""/>
            <o:lock v:ext="edit"/>
          </v:shape>
        </w:pict>
      </w:r>
    </w:p>
    <w:p>
      <w:pPr>
        <w:spacing w:before="75" w:line="401" w:lineRule="auto"/>
        <w:ind w:left="21" w:right="63" w:firstLine="498"/>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8"/>
          <w:sz w:val="23"/>
          <w:szCs w:val="23"/>
          <w:highlight w:val="none"/>
        </w:rPr>
        <w:t>1</w:t>
      </w:r>
      <w:r>
        <w:rPr>
          <w:rFonts w:hint="default" w:ascii="Times New Roman" w:hAnsi="Times New Roman" w:eastAsia="宋体" w:cs="Times New Roman"/>
          <w:spacing w:val="18"/>
          <w:sz w:val="23"/>
          <w:szCs w:val="23"/>
          <w:highlight w:val="none"/>
        </w:rPr>
        <w:t>)</w:t>
      </w:r>
      <w:r>
        <w:rPr>
          <w:rFonts w:hint="default" w:ascii="Times New Roman" w:hAnsi="Times New Roman" w:eastAsia="宋体" w:cs="Times New Roman"/>
          <w:spacing w:val="13"/>
          <w:sz w:val="23"/>
          <w:szCs w:val="23"/>
          <w:highlight w:val="none"/>
        </w:rPr>
        <w:t xml:space="preserve"> </w:t>
      </w:r>
      <w:r>
        <w:rPr>
          <w:rFonts w:hint="default" w:ascii="Times New Roman" w:hAnsi="Times New Roman" w:eastAsia="宋体" w:cs="Times New Roman"/>
          <w:spacing w:val="9"/>
          <w:sz w:val="23"/>
          <w:szCs w:val="23"/>
          <w:highlight w:val="none"/>
        </w:rPr>
        <w:t>在制定厂区安全管理体制的基础上，制订专门的地下水污染事故的应急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措</w:t>
      </w:r>
      <w:r>
        <w:rPr>
          <w:rFonts w:hint="default" w:ascii="Times New Roman" w:hAnsi="Times New Roman" w:eastAsia="宋体" w:cs="Times New Roman"/>
          <w:spacing w:val="12"/>
          <w:sz w:val="23"/>
          <w:szCs w:val="23"/>
          <w:highlight w:val="none"/>
        </w:rPr>
        <w:t>施</w:t>
      </w:r>
      <w:r>
        <w:rPr>
          <w:rFonts w:hint="default" w:ascii="Times New Roman" w:hAnsi="Times New Roman" w:eastAsia="宋体" w:cs="Times New Roman"/>
          <w:spacing w:val="8"/>
          <w:sz w:val="23"/>
          <w:szCs w:val="23"/>
          <w:highlight w:val="none"/>
        </w:rPr>
        <w:t>，并应与其它应急预案相协调。</w:t>
      </w:r>
    </w:p>
    <w:p>
      <w:pPr>
        <w:spacing w:line="228" w:lineRule="auto"/>
        <w:ind w:left="496"/>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3"/>
          <w:sz w:val="23"/>
          <w:szCs w:val="23"/>
          <w:highlight w:val="none"/>
        </w:rPr>
        <w:t>2</w:t>
      </w:r>
      <w:r>
        <w:rPr>
          <w:rFonts w:hint="default" w:ascii="Times New Roman" w:hAnsi="Times New Roman" w:eastAsia="宋体" w:cs="Times New Roman"/>
          <w:spacing w:val="8"/>
          <w:sz w:val="23"/>
          <w:szCs w:val="23"/>
          <w:highlight w:val="none"/>
        </w:rPr>
        <w:t>) 地下水应急预案应包括以下内容：</w:t>
      </w:r>
    </w:p>
    <w:p>
      <w:pPr>
        <w:spacing w:before="217" w:line="227" w:lineRule="auto"/>
        <w:ind w:left="50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应</w:t>
      </w:r>
      <w:r>
        <w:rPr>
          <w:rFonts w:hint="default" w:ascii="Times New Roman" w:hAnsi="Times New Roman" w:eastAsia="宋体" w:cs="Times New Roman"/>
          <w:spacing w:val="10"/>
          <w:sz w:val="23"/>
          <w:szCs w:val="23"/>
          <w:highlight w:val="none"/>
        </w:rPr>
        <w:t>急</w:t>
      </w:r>
      <w:r>
        <w:rPr>
          <w:rFonts w:hint="default" w:ascii="Times New Roman" w:hAnsi="Times New Roman" w:eastAsia="宋体" w:cs="Times New Roman"/>
          <w:spacing w:val="8"/>
          <w:sz w:val="23"/>
          <w:szCs w:val="23"/>
          <w:highlight w:val="none"/>
        </w:rPr>
        <w:t>预案的日常协调和指挥机构；</w:t>
      </w:r>
    </w:p>
    <w:p>
      <w:pPr>
        <w:spacing w:before="216" w:line="225" w:lineRule="auto"/>
        <w:ind w:left="50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相关部门在应急预案中的职责和分工</w:t>
      </w:r>
      <w:r>
        <w:rPr>
          <w:rFonts w:hint="default" w:ascii="Times New Roman" w:hAnsi="Times New Roman" w:eastAsia="宋体" w:cs="Times New Roman"/>
          <w:spacing w:val="6"/>
          <w:sz w:val="23"/>
          <w:szCs w:val="23"/>
          <w:highlight w:val="none"/>
        </w:rPr>
        <w:t>；</w:t>
      </w:r>
    </w:p>
    <w:p>
      <w:pPr>
        <w:spacing w:before="219" w:line="220" w:lineRule="auto"/>
        <w:ind w:left="50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5"/>
          <w:sz w:val="23"/>
          <w:szCs w:val="23"/>
          <w:highlight w:val="none"/>
        </w:rPr>
        <w:t>地</w:t>
      </w:r>
      <w:r>
        <w:rPr>
          <w:rFonts w:hint="default" w:ascii="Times New Roman" w:hAnsi="Times New Roman" w:eastAsia="宋体" w:cs="Times New Roman"/>
          <w:spacing w:val="9"/>
          <w:sz w:val="23"/>
          <w:szCs w:val="23"/>
          <w:highlight w:val="none"/>
        </w:rPr>
        <w:t>下水环境保护目标的确定</w:t>
      </w:r>
      <w:r>
        <w:rPr>
          <w:rFonts w:hint="default" w:ascii="Times New Roman" w:hAnsi="Times New Roman" w:eastAsia="Times New Roman" w:cs="Times New Roman"/>
          <w:spacing w:val="9"/>
          <w:sz w:val="23"/>
          <w:szCs w:val="23"/>
          <w:highlight w:val="none"/>
        </w:rPr>
        <w:t>,</w:t>
      </w:r>
      <w:r>
        <w:rPr>
          <w:rFonts w:hint="default" w:ascii="Times New Roman" w:hAnsi="Times New Roman" w:eastAsia="宋体" w:cs="Times New Roman"/>
          <w:spacing w:val="9"/>
          <w:sz w:val="23"/>
          <w:szCs w:val="23"/>
          <w:highlight w:val="none"/>
        </w:rPr>
        <w:t>采取的紧急处置措施和潜在污染可能性评估；</w:t>
      </w:r>
    </w:p>
    <w:p>
      <w:pPr>
        <w:spacing w:before="227" w:line="228" w:lineRule="auto"/>
        <w:ind w:left="50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特</w:t>
      </w:r>
      <w:r>
        <w:rPr>
          <w:rFonts w:hint="default" w:ascii="Times New Roman" w:hAnsi="Times New Roman" w:eastAsia="宋体" w:cs="Times New Roman"/>
          <w:spacing w:val="10"/>
          <w:sz w:val="23"/>
          <w:szCs w:val="23"/>
          <w:highlight w:val="none"/>
        </w:rPr>
        <w:t>大</w:t>
      </w:r>
      <w:r>
        <w:rPr>
          <w:rFonts w:hint="default" w:ascii="Times New Roman" w:hAnsi="Times New Roman" w:eastAsia="宋体" w:cs="Times New Roman"/>
          <w:spacing w:val="9"/>
          <w:sz w:val="23"/>
          <w:szCs w:val="23"/>
          <w:highlight w:val="none"/>
        </w:rPr>
        <w:t>事故应急救援组织状况和人员、装备情况，平常的训练和演习；</w:t>
      </w:r>
    </w:p>
    <w:p>
      <w:pPr>
        <w:spacing w:before="215" w:line="220" w:lineRule="auto"/>
        <w:ind w:left="50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特大事故的社会支持和援助</w:t>
      </w:r>
      <w:r>
        <w:rPr>
          <w:rFonts w:hint="default" w:ascii="Times New Roman" w:hAnsi="Times New Roman" w:eastAsia="Times New Roman" w:cs="Times New Roman"/>
          <w:spacing w:val="9"/>
          <w:sz w:val="23"/>
          <w:szCs w:val="23"/>
          <w:highlight w:val="none"/>
        </w:rPr>
        <w:t>,</w:t>
      </w:r>
      <w:r>
        <w:rPr>
          <w:rFonts w:hint="default" w:ascii="Times New Roman" w:hAnsi="Times New Roman" w:eastAsia="宋体" w:cs="Times New Roman"/>
          <w:spacing w:val="9"/>
          <w:sz w:val="23"/>
          <w:szCs w:val="23"/>
          <w:highlight w:val="none"/>
        </w:rPr>
        <w:t>应急救援的经费保障</w:t>
      </w:r>
      <w:r>
        <w:rPr>
          <w:rFonts w:hint="default" w:ascii="Times New Roman" w:hAnsi="Times New Roman" w:eastAsia="宋体" w:cs="Times New Roman"/>
          <w:spacing w:val="5"/>
          <w:sz w:val="23"/>
          <w:szCs w:val="23"/>
          <w:highlight w:val="none"/>
        </w:rPr>
        <w:t>。</w:t>
      </w:r>
    </w:p>
    <w:p>
      <w:pPr>
        <w:spacing w:before="225" w:line="230" w:lineRule="auto"/>
        <w:ind w:left="512"/>
        <w:jc w:val="both"/>
        <w:outlineLvl w:val="2"/>
        <w:rPr>
          <w:rFonts w:hint="default" w:ascii="Times New Roman" w:hAnsi="Times New Roman" w:eastAsia="宋体" w:cs="Times New Roman"/>
          <w:sz w:val="23"/>
          <w:szCs w:val="23"/>
          <w:highlight w:val="none"/>
        </w:rPr>
      </w:pPr>
      <w:bookmarkStart w:id="634" w:name="_Toc3059"/>
      <w:bookmarkStart w:id="635" w:name="_Toc5272"/>
      <w:bookmarkStart w:id="636" w:name="_Toc362"/>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2</w:t>
      </w:r>
      <w:r>
        <w:rPr>
          <w:rFonts w:hint="default" w:ascii="Times New Roman" w:hAnsi="Times New Roman" w:eastAsia="宋体" w:cs="Times New Roman"/>
          <w:spacing w:val="20"/>
          <w:sz w:val="23"/>
          <w:szCs w:val="23"/>
          <w:highlight w:val="none"/>
        </w:rPr>
        <w:t>) 应急处</w:t>
      </w:r>
      <w:r>
        <w:rPr>
          <w:rFonts w:hint="default" w:ascii="Times New Roman" w:hAnsi="Times New Roman" w:eastAsia="宋体" w:cs="Times New Roman"/>
          <w:spacing w:val="19"/>
          <w:sz w:val="23"/>
          <w:szCs w:val="23"/>
          <w:highlight w:val="none"/>
        </w:rPr>
        <w:t>置</w:t>
      </w:r>
      <w:bookmarkEnd w:id="634"/>
      <w:bookmarkEnd w:id="635"/>
      <w:bookmarkEnd w:id="636"/>
    </w:p>
    <w:p>
      <w:pPr>
        <w:spacing w:before="214" w:line="395" w:lineRule="exact"/>
        <w:ind w:left="504"/>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position w:val="2"/>
          <w:sz w:val="23"/>
          <w:szCs w:val="23"/>
          <w:highlight w:val="none"/>
        </w:rPr>
        <w:t>一旦发</w:t>
      </w:r>
      <w:r>
        <w:rPr>
          <w:rFonts w:hint="default" w:ascii="Times New Roman" w:hAnsi="Times New Roman" w:eastAsia="宋体" w:cs="Times New Roman"/>
          <w:spacing w:val="11"/>
          <w:position w:val="2"/>
          <w:sz w:val="23"/>
          <w:szCs w:val="23"/>
          <w:highlight w:val="none"/>
        </w:rPr>
        <w:t>现</w:t>
      </w:r>
      <w:r>
        <w:rPr>
          <w:rFonts w:hint="default" w:ascii="Times New Roman" w:hAnsi="Times New Roman" w:eastAsia="宋体" w:cs="Times New Roman"/>
          <w:spacing w:val="7"/>
          <w:position w:val="2"/>
          <w:sz w:val="23"/>
          <w:szCs w:val="23"/>
          <w:highlight w:val="none"/>
        </w:rPr>
        <w:t>地下水水质发生异常情况，必须按照应急预案马上采取紧急措施：</w:t>
      </w:r>
    </w:p>
    <w:p>
      <w:pPr>
        <w:spacing w:before="104" w:line="402" w:lineRule="auto"/>
        <w:ind w:left="39" w:right="63" w:firstLine="480"/>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8"/>
          <w:sz w:val="23"/>
          <w:szCs w:val="23"/>
          <w:highlight w:val="none"/>
        </w:rPr>
        <w:t>1</w:t>
      </w:r>
      <w:r>
        <w:rPr>
          <w:rFonts w:hint="default" w:ascii="Times New Roman" w:hAnsi="Times New Roman" w:eastAsia="宋体" w:cs="Times New Roman"/>
          <w:spacing w:val="18"/>
          <w:sz w:val="23"/>
          <w:szCs w:val="23"/>
          <w:highlight w:val="none"/>
        </w:rPr>
        <w:t>)</w:t>
      </w:r>
      <w:r>
        <w:rPr>
          <w:rFonts w:hint="default" w:ascii="Times New Roman" w:hAnsi="Times New Roman" w:eastAsia="宋体" w:cs="Times New Roman"/>
          <w:spacing w:val="13"/>
          <w:sz w:val="23"/>
          <w:szCs w:val="23"/>
          <w:highlight w:val="none"/>
        </w:rPr>
        <w:t xml:space="preserve"> </w:t>
      </w:r>
      <w:r>
        <w:rPr>
          <w:rFonts w:hint="default" w:ascii="Times New Roman" w:hAnsi="Times New Roman" w:eastAsia="宋体" w:cs="Times New Roman"/>
          <w:spacing w:val="9"/>
          <w:sz w:val="23"/>
          <w:szCs w:val="23"/>
          <w:highlight w:val="none"/>
        </w:rPr>
        <w:t>当确定发生地下水异常情况时，按照制订的地下水应急预案，在第一时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间内尽快上报主管领导，通知当地环保局，密切关注地下水水质变化情况</w:t>
      </w:r>
      <w:r>
        <w:rPr>
          <w:rFonts w:hint="default" w:ascii="Times New Roman" w:hAnsi="Times New Roman" w:eastAsia="宋体" w:cs="Times New Roman"/>
          <w:spacing w:val="3"/>
          <w:sz w:val="23"/>
          <w:szCs w:val="23"/>
          <w:highlight w:val="none"/>
        </w:rPr>
        <w:t>。</w:t>
      </w:r>
    </w:p>
    <w:p>
      <w:pPr>
        <w:spacing w:before="2" w:line="400" w:lineRule="auto"/>
        <w:ind w:left="22" w:right="13" w:firstLine="474"/>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20"/>
          <w:sz w:val="23"/>
          <w:szCs w:val="23"/>
          <w:highlight w:val="none"/>
        </w:rPr>
        <w:t>2</w:t>
      </w:r>
      <w:r>
        <w:rPr>
          <w:rFonts w:hint="default" w:ascii="Times New Roman" w:hAnsi="Times New Roman" w:eastAsia="宋体" w:cs="Times New Roman"/>
          <w:spacing w:val="11"/>
          <w:sz w:val="23"/>
          <w:szCs w:val="23"/>
          <w:highlight w:val="none"/>
        </w:rPr>
        <w:t>)</w:t>
      </w:r>
      <w:r>
        <w:rPr>
          <w:rFonts w:hint="default" w:ascii="Times New Roman" w:hAnsi="Times New Roman" w:eastAsia="宋体" w:cs="Times New Roman"/>
          <w:spacing w:val="10"/>
          <w:sz w:val="23"/>
          <w:szCs w:val="23"/>
          <w:highlight w:val="none"/>
        </w:rPr>
        <w:t xml:space="preserve"> 组织专业队伍对事故现场进行调查、监测，尽量将紧急事件局部化，防</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止事</w:t>
      </w:r>
      <w:r>
        <w:rPr>
          <w:rFonts w:hint="default" w:ascii="Times New Roman" w:hAnsi="Times New Roman" w:eastAsia="宋体" w:cs="Times New Roman"/>
          <w:spacing w:val="12"/>
          <w:sz w:val="23"/>
          <w:szCs w:val="23"/>
          <w:highlight w:val="none"/>
        </w:rPr>
        <w:t>故</w:t>
      </w:r>
      <w:r>
        <w:rPr>
          <w:rFonts w:hint="default" w:ascii="Times New Roman" w:hAnsi="Times New Roman" w:eastAsia="宋体" w:cs="Times New Roman"/>
          <w:spacing w:val="8"/>
          <w:sz w:val="23"/>
          <w:szCs w:val="23"/>
          <w:highlight w:val="none"/>
        </w:rPr>
        <w:t>的扩散、蔓延及连锁反应，尽量缩小地下水污染事故的影响范围和程度。</w:t>
      </w:r>
    </w:p>
    <w:p>
      <w:pPr>
        <w:spacing w:before="1" w:line="401" w:lineRule="auto"/>
        <w:ind w:left="21" w:firstLine="480"/>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6"/>
          <w:sz w:val="23"/>
          <w:szCs w:val="23"/>
          <w:highlight w:val="none"/>
        </w:rPr>
        <w:t>3</w:t>
      </w:r>
      <w:r>
        <w:rPr>
          <w:rFonts w:hint="default" w:ascii="Times New Roman" w:hAnsi="Times New Roman" w:eastAsia="宋体" w:cs="Times New Roman"/>
          <w:spacing w:val="10"/>
          <w:sz w:val="23"/>
          <w:szCs w:val="23"/>
          <w:highlight w:val="none"/>
        </w:rPr>
        <w:t>) 当通过监测发现水质监测井周围地下水造成污染时，根据监测井的反馈</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信息，立即启</w:t>
      </w:r>
      <w:r>
        <w:rPr>
          <w:rFonts w:hint="default" w:ascii="Times New Roman" w:hAnsi="Times New Roman" w:eastAsia="宋体" w:cs="Times New Roman"/>
          <w:spacing w:val="3"/>
          <w:sz w:val="23"/>
          <w:szCs w:val="23"/>
          <w:highlight w:val="none"/>
        </w:rPr>
        <w:t>动</w:t>
      </w:r>
      <w:r>
        <w:rPr>
          <w:rFonts w:hint="default" w:ascii="Times New Roman" w:hAnsi="Times New Roman" w:eastAsia="宋体" w:cs="Times New Roman"/>
          <w:spacing w:val="2"/>
          <w:sz w:val="23"/>
          <w:szCs w:val="23"/>
          <w:highlight w:val="none"/>
        </w:rPr>
        <w:t>应急预案，采取措施，抑制污染物向下游扩散量，控制污染范围，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使</w:t>
      </w:r>
      <w:r>
        <w:rPr>
          <w:rFonts w:hint="default" w:ascii="Times New Roman" w:hAnsi="Times New Roman" w:eastAsia="宋体" w:cs="Times New Roman"/>
          <w:spacing w:val="8"/>
          <w:sz w:val="23"/>
          <w:szCs w:val="23"/>
          <w:highlight w:val="none"/>
        </w:rPr>
        <w:t>地下水质量得到尽快恢复。</w:t>
      </w:r>
    </w:p>
    <w:p>
      <w:pPr>
        <w:spacing w:before="1" w:line="226" w:lineRule="auto"/>
        <w:ind w:left="495"/>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9"/>
          <w:sz w:val="23"/>
          <w:szCs w:val="23"/>
          <w:highlight w:val="none"/>
        </w:rPr>
        <w:t>4</w:t>
      </w:r>
      <w:r>
        <w:rPr>
          <w:rFonts w:hint="default" w:ascii="Times New Roman" w:hAnsi="Times New Roman" w:eastAsia="宋体" w:cs="Times New Roman"/>
          <w:spacing w:val="9"/>
          <w:sz w:val="23"/>
          <w:szCs w:val="23"/>
          <w:highlight w:val="none"/>
        </w:rPr>
        <w:t>) 对事故后果进行评估，并制定防止类似事件发生的措施</w:t>
      </w:r>
      <w:r>
        <w:rPr>
          <w:rFonts w:hint="default" w:ascii="Times New Roman" w:hAnsi="Times New Roman" w:eastAsia="宋体" w:cs="Times New Roman"/>
          <w:spacing w:val="8"/>
          <w:sz w:val="23"/>
          <w:szCs w:val="23"/>
          <w:highlight w:val="none"/>
        </w:rPr>
        <w:t>。</w:t>
      </w:r>
    </w:p>
    <w:p>
      <w:pPr>
        <w:spacing w:before="219" w:line="228" w:lineRule="auto"/>
        <w:ind w:left="503"/>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9"/>
          <w:sz w:val="23"/>
          <w:szCs w:val="23"/>
          <w:highlight w:val="none"/>
        </w:rPr>
        <w:t>5</w:t>
      </w:r>
      <w:r>
        <w:rPr>
          <w:rFonts w:hint="default" w:ascii="Times New Roman" w:hAnsi="Times New Roman" w:eastAsia="宋体" w:cs="Times New Roman"/>
          <w:spacing w:val="9"/>
          <w:sz w:val="23"/>
          <w:szCs w:val="23"/>
          <w:highlight w:val="none"/>
        </w:rPr>
        <w:t>) 如果自身力量无法应对污染事故，应立即请求社会应急力量协助处理</w:t>
      </w:r>
      <w:r>
        <w:rPr>
          <w:rFonts w:hint="default" w:ascii="Times New Roman" w:hAnsi="Times New Roman" w:eastAsia="宋体" w:cs="Times New Roman"/>
          <w:spacing w:val="6"/>
          <w:sz w:val="23"/>
          <w:szCs w:val="23"/>
          <w:highlight w:val="none"/>
        </w:rPr>
        <w:t>。</w:t>
      </w:r>
    </w:p>
    <w:p>
      <w:pPr>
        <w:spacing w:before="215"/>
        <w:ind w:left="500"/>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G</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w:t>
      </w:r>
      <w:r>
        <w:rPr>
          <w:rFonts w:hint="default" w:ascii="Times New Roman" w:hAnsi="Times New Roman" w:eastAsia="宋体" w:cs="Times New Roman"/>
          <w:spacing w:val="4"/>
          <w:sz w:val="23"/>
          <w:szCs w:val="23"/>
          <w:highlight w:val="none"/>
        </w:rPr>
        <w:t>地</w:t>
      </w:r>
      <w:r>
        <w:rPr>
          <w:rFonts w:hint="default" w:ascii="Times New Roman" w:hAnsi="Times New Roman" w:eastAsia="宋体" w:cs="Times New Roman"/>
          <w:spacing w:val="3"/>
          <w:sz w:val="23"/>
          <w:szCs w:val="23"/>
          <w:highlight w:val="none"/>
        </w:rPr>
        <w:t>下水污染治理措施</w:t>
      </w:r>
    </w:p>
    <w:p>
      <w:pPr>
        <w:spacing w:before="200" w:line="228" w:lineRule="auto"/>
        <w:ind w:left="512"/>
        <w:jc w:val="both"/>
        <w:outlineLvl w:val="2"/>
        <w:rPr>
          <w:rFonts w:hint="default" w:ascii="Times New Roman" w:hAnsi="Times New Roman" w:eastAsia="宋体" w:cs="Times New Roman"/>
          <w:sz w:val="23"/>
          <w:szCs w:val="23"/>
          <w:highlight w:val="none"/>
        </w:rPr>
      </w:pPr>
      <w:bookmarkStart w:id="637" w:name="_Toc19570"/>
      <w:bookmarkStart w:id="638" w:name="_Toc16008"/>
      <w:bookmarkStart w:id="639" w:name="_Toc24254"/>
      <w:r>
        <w:rPr>
          <w:rFonts w:hint="default" w:ascii="Times New Roman" w:hAnsi="Times New Roman" w:eastAsia="宋体" w:cs="Times New Roman"/>
          <w:spacing w:val="18"/>
          <w:sz w:val="23"/>
          <w:szCs w:val="23"/>
          <w:highlight w:val="none"/>
        </w:rPr>
        <w:t>(</w:t>
      </w:r>
      <w:r>
        <w:rPr>
          <w:rFonts w:hint="default" w:ascii="Times New Roman" w:hAnsi="Times New Roman" w:eastAsia="Times New Roman" w:cs="Times New Roman"/>
          <w:spacing w:val="18"/>
          <w:sz w:val="23"/>
          <w:szCs w:val="23"/>
          <w:highlight w:val="none"/>
        </w:rPr>
        <w:t>1</w:t>
      </w:r>
      <w:r>
        <w:rPr>
          <w:rFonts w:hint="default" w:ascii="Times New Roman" w:hAnsi="Times New Roman" w:eastAsia="宋体" w:cs="Times New Roman"/>
          <w:spacing w:val="18"/>
          <w:sz w:val="23"/>
          <w:szCs w:val="23"/>
          <w:highlight w:val="none"/>
        </w:rPr>
        <w:t>) 规范支撑体</w:t>
      </w:r>
      <w:r>
        <w:rPr>
          <w:rFonts w:hint="default" w:ascii="Times New Roman" w:hAnsi="Times New Roman" w:eastAsia="宋体" w:cs="Times New Roman"/>
          <w:spacing w:val="17"/>
          <w:sz w:val="23"/>
          <w:szCs w:val="23"/>
          <w:highlight w:val="none"/>
        </w:rPr>
        <w:t>系</w:t>
      </w:r>
      <w:bookmarkEnd w:id="637"/>
      <w:bookmarkEnd w:id="638"/>
      <w:bookmarkEnd w:id="639"/>
    </w:p>
    <w:p>
      <w:pPr>
        <w:spacing w:before="221" w:line="403" w:lineRule="auto"/>
        <w:ind w:left="22" w:right="63" w:firstLine="48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为进一步完善环保技术法规和标准体系，科学确定环境基准，目前正在开</w:t>
      </w:r>
      <w:r>
        <w:rPr>
          <w:rFonts w:hint="default" w:ascii="Times New Roman" w:hAnsi="Times New Roman" w:eastAsia="宋体" w:cs="Times New Roman"/>
          <w:spacing w:val="4"/>
          <w:sz w:val="23"/>
          <w:szCs w:val="23"/>
          <w:highlight w:val="none"/>
        </w:rPr>
        <w:t>展</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的</w:t>
      </w:r>
      <w:r>
        <w:rPr>
          <w:rFonts w:hint="default" w:ascii="Times New Roman" w:hAnsi="Times New Roman" w:eastAsia="宋体" w:cs="Times New Roman"/>
          <w:spacing w:val="7"/>
          <w:sz w:val="23"/>
          <w:szCs w:val="23"/>
          <w:highlight w:val="none"/>
        </w:rPr>
        <w:t>场地环境保护标准修订项目包括《场地环境调查技术规范》、《污染场地环境</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监</w:t>
      </w:r>
      <w:r>
        <w:rPr>
          <w:rFonts w:hint="default" w:ascii="Times New Roman" w:hAnsi="Times New Roman" w:eastAsia="宋体" w:cs="Times New Roman"/>
          <w:spacing w:val="7"/>
          <w:sz w:val="23"/>
          <w:szCs w:val="23"/>
          <w:highlight w:val="none"/>
        </w:rPr>
        <w:t>测技术导则》、《污染场地风险评估技术导则》和《污染场地土壤修复技术导</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则</w:t>
      </w:r>
      <w:r>
        <w:rPr>
          <w:rFonts w:hint="default" w:ascii="Times New Roman" w:hAnsi="Times New Roman" w:eastAsia="宋体" w:cs="Times New Roman"/>
          <w:spacing w:val="7"/>
          <w:sz w:val="23"/>
          <w:szCs w:val="23"/>
          <w:highlight w:val="none"/>
        </w:rPr>
        <w:t>》，上述标准构成了场地环境保护标准体系的总体框架；其中的环境调查、环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境</w:t>
      </w:r>
      <w:r>
        <w:rPr>
          <w:rFonts w:hint="default" w:ascii="Times New Roman" w:hAnsi="Times New Roman" w:eastAsia="宋体" w:cs="Times New Roman"/>
          <w:spacing w:val="7"/>
          <w:sz w:val="23"/>
          <w:szCs w:val="23"/>
          <w:highlight w:val="none"/>
        </w:rPr>
        <w:t>监测、风险评估和土壤修复技术导则规定了相关工作的原则、方法、程序和技</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术</w:t>
      </w:r>
      <w:r>
        <w:rPr>
          <w:rFonts w:hint="default" w:ascii="Times New Roman" w:hAnsi="Times New Roman" w:eastAsia="宋体" w:cs="Times New Roman"/>
          <w:spacing w:val="9"/>
          <w:sz w:val="23"/>
          <w:szCs w:val="23"/>
          <w:highlight w:val="none"/>
        </w:rPr>
        <w:t>要求，是目前地下水污染应急唯一可参照执行的技术导则。</w:t>
      </w:r>
    </w:p>
    <w:p>
      <w:pPr>
        <w:jc w:val="both"/>
        <w:rPr>
          <w:rFonts w:hint="default" w:ascii="Times New Roman" w:hAnsi="Times New Roman" w:cs="Times New Roman"/>
          <w:highlight w:val="none"/>
        </w:rPr>
        <w:sectPr>
          <w:headerReference r:id="rId113" w:type="default"/>
          <w:footerReference r:id="rId114" w:type="default"/>
          <w:pgSz w:w="11906" w:h="16839"/>
          <w:pgMar w:top="1167" w:right="1733" w:bottom="1282" w:left="1785" w:header="897" w:footer="1015" w:gutter="0"/>
          <w:pgBorders>
            <w:top w:val="none" w:sz="0" w:space="0"/>
            <w:left w:val="none" w:sz="0" w:space="0"/>
            <w:bottom w:val="none" w:sz="0" w:space="0"/>
            <w:right w:val="none" w:sz="0" w:space="0"/>
          </w:pgBorders>
          <w:pgNumType w:fmt="decimal"/>
          <w:cols w:space="720" w:num="1"/>
        </w:sectPr>
      </w:pPr>
    </w:p>
    <w:p>
      <w:pPr>
        <w:spacing w:line="390" w:lineRule="auto"/>
        <w:jc w:val="both"/>
        <w:rPr>
          <w:rFonts w:hint="default" w:ascii="Times New Roman" w:hAnsi="Times New Roman" w:cs="Times New Roman"/>
          <w:sz w:val="21"/>
          <w:highlight w:val="none"/>
        </w:rPr>
      </w:pPr>
      <w:r>
        <w:rPr>
          <w:rFonts w:hint="default" w:ascii="Times New Roman" w:hAnsi="Times New Roman" w:cs="Times New Roman"/>
          <w:highlight w:val="none"/>
        </w:rPr>
        <w:pict>
          <v:shape id="_x0000_s1354" o:spid="_x0000_s1354" style="position:absolute;left:0pt;margin-left:89.85pt;margin-top:59.05pt;height:0.75pt;width:415.65pt;mso-position-horizontal-relative:page;mso-position-vertical-relative:page;z-index:251812864;mso-width-relative:page;mso-height-relative:page;" fillcolor="#000000" filled="t" stroked="f" coordsize="8312,15" o:allowincell="f" path="m0,0l8312,0,8312,14,0,14,0,0xe">
            <v:path/>
            <v:fill on="t" focussize="0,0"/>
            <v:stroke on="f"/>
            <v:imagedata o:title=""/>
            <o:lock v:ext="edit"/>
          </v:shape>
        </w:pict>
      </w:r>
    </w:p>
    <w:p>
      <w:pPr>
        <w:spacing w:before="75" w:line="230" w:lineRule="auto"/>
        <w:ind w:left="512"/>
        <w:jc w:val="both"/>
        <w:outlineLvl w:val="2"/>
        <w:rPr>
          <w:rFonts w:hint="default" w:ascii="Times New Roman" w:hAnsi="Times New Roman" w:eastAsia="宋体" w:cs="Times New Roman"/>
          <w:sz w:val="23"/>
          <w:szCs w:val="23"/>
          <w:highlight w:val="none"/>
        </w:rPr>
      </w:pPr>
      <w:bookmarkStart w:id="640" w:name="_Toc5609"/>
      <w:bookmarkStart w:id="641" w:name="_Toc4667"/>
      <w:bookmarkStart w:id="642" w:name="_Toc4530"/>
      <w:r>
        <w:rPr>
          <w:rFonts w:hint="default" w:ascii="Times New Roman" w:hAnsi="Times New Roman" w:eastAsia="宋体" w:cs="Times New Roman"/>
          <w:spacing w:val="18"/>
          <w:sz w:val="23"/>
          <w:szCs w:val="23"/>
          <w:highlight w:val="none"/>
        </w:rPr>
        <w:t>(</w:t>
      </w:r>
      <w:r>
        <w:rPr>
          <w:rFonts w:hint="default" w:ascii="Times New Roman" w:hAnsi="Times New Roman" w:eastAsia="Times New Roman" w:cs="Times New Roman"/>
          <w:spacing w:val="18"/>
          <w:sz w:val="23"/>
          <w:szCs w:val="23"/>
          <w:highlight w:val="none"/>
        </w:rPr>
        <w:t>2</w:t>
      </w:r>
      <w:r>
        <w:rPr>
          <w:rFonts w:hint="default" w:ascii="Times New Roman" w:hAnsi="Times New Roman" w:eastAsia="宋体" w:cs="Times New Roman"/>
          <w:spacing w:val="18"/>
          <w:sz w:val="23"/>
          <w:szCs w:val="23"/>
          <w:highlight w:val="none"/>
        </w:rPr>
        <w:t>) 应急治理体</w:t>
      </w:r>
      <w:r>
        <w:rPr>
          <w:rFonts w:hint="default" w:ascii="Times New Roman" w:hAnsi="Times New Roman" w:eastAsia="宋体" w:cs="Times New Roman"/>
          <w:spacing w:val="17"/>
          <w:sz w:val="23"/>
          <w:szCs w:val="23"/>
          <w:highlight w:val="none"/>
        </w:rPr>
        <w:t>系</w:t>
      </w:r>
      <w:bookmarkEnd w:id="640"/>
      <w:bookmarkEnd w:id="641"/>
      <w:bookmarkEnd w:id="642"/>
    </w:p>
    <w:p>
      <w:pPr>
        <w:spacing w:before="212" w:line="402" w:lineRule="auto"/>
        <w:ind w:left="22" w:firstLine="47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在</w:t>
      </w:r>
      <w:r>
        <w:rPr>
          <w:rFonts w:hint="default" w:ascii="Times New Roman" w:hAnsi="Times New Roman" w:eastAsia="宋体" w:cs="Times New Roman"/>
          <w:spacing w:val="8"/>
          <w:sz w:val="23"/>
          <w:szCs w:val="23"/>
          <w:highlight w:val="none"/>
        </w:rPr>
        <w:t>场地环境保护标准体系中，场地的污染防治一般要经过场地污染的确认，</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风</w:t>
      </w:r>
      <w:r>
        <w:rPr>
          <w:rFonts w:hint="default" w:ascii="Times New Roman" w:hAnsi="Times New Roman" w:eastAsia="宋体" w:cs="Times New Roman"/>
          <w:spacing w:val="8"/>
          <w:sz w:val="23"/>
          <w:szCs w:val="23"/>
          <w:highlight w:val="none"/>
        </w:rPr>
        <w:t>险评估和修复等过程。</w:t>
      </w:r>
    </w:p>
    <w:p>
      <w:pPr>
        <w:spacing w:before="1" w:line="400" w:lineRule="auto"/>
        <w:ind w:left="22" w:right="32" w:firstLine="485"/>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《场地环境调查技术规范》主要用于污染场地的调查和污染确认，并为场</w:t>
      </w:r>
      <w:r>
        <w:rPr>
          <w:rFonts w:hint="default" w:ascii="Times New Roman" w:hAnsi="Times New Roman" w:eastAsia="宋体" w:cs="Times New Roman"/>
          <w:spacing w:val="1"/>
          <w:sz w:val="23"/>
          <w:szCs w:val="23"/>
          <w:highlight w:val="none"/>
        </w:rPr>
        <w:t>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风</w:t>
      </w:r>
      <w:r>
        <w:rPr>
          <w:rFonts w:hint="default" w:ascii="Times New Roman" w:hAnsi="Times New Roman" w:eastAsia="宋体" w:cs="Times New Roman"/>
          <w:spacing w:val="9"/>
          <w:sz w:val="23"/>
          <w:szCs w:val="23"/>
          <w:highlight w:val="none"/>
        </w:rPr>
        <w:t>险评估和污染场地修复的调查提供基础数据和信息。</w:t>
      </w:r>
    </w:p>
    <w:p>
      <w:pPr>
        <w:spacing w:before="1" w:line="401" w:lineRule="auto"/>
        <w:ind w:left="40" w:right="32" w:firstLine="466"/>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《场地污染风险评估技术导则》在场地污染调查的基础上采用健康风险评</w:t>
      </w:r>
      <w:r>
        <w:rPr>
          <w:rFonts w:hint="default" w:ascii="Times New Roman" w:hAnsi="Times New Roman" w:eastAsia="宋体" w:cs="Times New Roman"/>
          <w:spacing w:val="1"/>
          <w:sz w:val="23"/>
          <w:szCs w:val="23"/>
          <w:highlight w:val="none"/>
        </w:rPr>
        <w:t>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的</w:t>
      </w:r>
      <w:r>
        <w:rPr>
          <w:rFonts w:hint="default" w:ascii="Times New Roman" w:hAnsi="Times New Roman" w:eastAsia="宋体" w:cs="Times New Roman"/>
          <w:spacing w:val="8"/>
          <w:sz w:val="23"/>
          <w:szCs w:val="23"/>
          <w:highlight w:val="none"/>
        </w:rPr>
        <w:t>方法确定场地的风险，提出场地的风险管理目标。</w:t>
      </w:r>
    </w:p>
    <w:p>
      <w:pPr>
        <w:spacing w:before="1" w:line="401" w:lineRule="auto"/>
        <w:ind w:left="22" w:right="32" w:firstLine="485"/>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《污染场地土壤修复技术导则》规定了实现场地风险管理目标的技术筛选</w:t>
      </w:r>
      <w:r>
        <w:rPr>
          <w:rFonts w:hint="default" w:ascii="Times New Roman" w:hAnsi="Times New Roman" w:eastAsia="宋体" w:cs="Times New Roman"/>
          <w:spacing w:val="1"/>
          <w:sz w:val="23"/>
          <w:szCs w:val="23"/>
          <w:highlight w:val="none"/>
        </w:rPr>
        <w:t>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方法。</w:t>
      </w:r>
    </w:p>
    <w:p>
      <w:pPr>
        <w:spacing w:before="2" w:line="400" w:lineRule="auto"/>
        <w:ind w:left="22" w:right="32" w:firstLine="485"/>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《场地环境监测技术导则》作为工具性标准为场地的调查、风险评估和修</w:t>
      </w:r>
      <w:r>
        <w:rPr>
          <w:rFonts w:hint="default" w:ascii="Times New Roman" w:hAnsi="Times New Roman" w:eastAsia="宋体" w:cs="Times New Roman"/>
          <w:spacing w:val="1"/>
          <w:sz w:val="23"/>
          <w:szCs w:val="23"/>
          <w:highlight w:val="none"/>
        </w:rPr>
        <w:t>复</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提供技术支撑。</w:t>
      </w:r>
    </w:p>
    <w:p>
      <w:pPr>
        <w:spacing w:line="228" w:lineRule="auto"/>
        <w:ind w:left="512"/>
        <w:jc w:val="both"/>
        <w:outlineLvl w:val="2"/>
        <w:rPr>
          <w:rFonts w:hint="default" w:ascii="Times New Roman" w:hAnsi="Times New Roman" w:eastAsia="宋体" w:cs="Times New Roman"/>
          <w:sz w:val="23"/>
          <w:szCs w:val="23"/>
          <w:highlight w:val="none"/>
        </w:rPr>
      </w:pPr>
      <w:bookmarkStart w:id="643" w:name="_Toc14084"/>
      <w:bookmarkStart w:id="644" w:name="_Toc10045"/>
      <w:bookmarkStart w:id="645" w:name="_Toc20698"/>
      <w:r>
        <w:rPr>
          <w:rFonts w:hint="default" w:ascii="Times New Roman" w:hAnsi="Times New Roman" w:eastAsia="宋体" w:cs="Times New Roman"/>
          <w:spacing w:val="17"/>
          <w:sz w:val="23"/>
          <w:szCs w:val="23"/>
          <w:highlight w:val="none"/>
        </w:rPr>
        <w:t>(</w:t>
      </w:r>
      <w:r>
        <w:rPr>
          <w:rFonts w:hint="default" w:ascii="Times New Roman" w:hAnsi="Times New Roman" w:eastAsia="Times New Roman" w:cs="Times New Roman"/>
          <w:spacing w:val="16"/>
          <w:sz w:val="23"/>
          <w:szCs w:val="23"/>
          <w:highlight w:val="none"/>
        </w:rPr>
        <w:t>3</w:t>
      </w:r>
      <w:r>
        <w:rPr>
          <w:rFonts w:hint="default" w:ascii="Times New Roman" w:hAnsi="Times New Roman" w:eastAsia="宋体" w:cs="Times New Roman"/>
          <w:spacing w:val="16"/>
          <w:sz w:val="23"/>
          <w:szCs w:val="23"/>
          <w:highlight w:val="none"/>
        </w:rPr>
        <w:t>) 地下水污染治理技术</w:t>
      </w:r>
      <w:bookmarkEnd w:id="643"/>
      <w:bookmarkEnd w:id="644"/>
      <w:bookmarkEnd w:id="645"/>
    </w:p>
    <w:p>
      <w:pPr>
        <w:spacing w:before="217" w:line="401" w:lineRule="auto"/>
        <w:ind w:left="23" w:right="32" w:firstLine="477"/>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地下水污染治理技术归纳起来主要有：物理处理法、水动力控制法、抽出处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理</w:t>
      </w:r>
      <w:r>
        <w:rPr>
          <w:rFonts w:hint="default" w:ascii="Times New Roman" w:hAnsi="Times New Roman" w:eastAsia="宋体" w:cs="Times New Roman"/>
          <w:spacing w:val="7"/>
          <w:sz w:val="23"/>
          <w:szCs w:val="23"/>
          <w:highlight w:val="none"/>
        </w:rPr>
        <w:t>法和原位处理法等。</w:t>
      </w:r>
    </w:p>
    <w:p>
      <w:pPr>
        <w:spacing w:before="1" w:line="229" w:lineRule="auto"/>
        <w:ind w:left="519"/>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3"/>
          <w:sz w:val="23"/>
          <w:szCs w:val="23"/>
          <w:highlight w:val="none"/>
        </w:rPr>
        <w:t>1</w:t>
      </w:r>
      <w:r>
        <w:rPr>
          <w:rFonts w:hint="default" w:ascii="Times New Roman" w:hAnsi="Times New Roman" w:eastAsia="宋体" w:cs="Times New Roman"/>
          <w:spacing w:val="3"/>
          <w:sz w:val="23"/>
          <w:szCs w:val="23"/>
          <w:highlight w:val="none"/>
        </w:rPr>
        <w:t>) 物理</w:t>
      </w:r>
      <w:r>
        <w:rPr>
          <w:rFonts w:hint="default" w:ascii="Times New Roman" w:hAnsi="Times New Roman" w:eastAsia="宋体" w:cs="Times New Roman"/>
          <w:spacing w:val="1"/>
          <w:sz w:val="23"/>
          <w:szCs w:val="23"/>
          <w:highlight w:val="none"/>
        </w:rPr>
        <w:t>法</w:t>
      </w:r>
    </w:p>
    <w:p>
      <w:pPr>
        <w:spacing w:before="218" w:line="395" w:lineRule="auto"/>
        <w:ind w:left="20" w:right="32"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物理法是用物理的手段对受污染的地下水进行治理的一种方法，概括起来又</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可</w:t>
      </w:r>
      <w:r>
        <w:rPr>
          <w:rFonts w:hint="default" w:ascii="Times New Roman" w:hAnsi="Times New Roman" w:eastAsia="宋体" w:cs="Times New Roman"/>
          <w:spacing w:val="7"/>
          <w:sz w:val="23"/>
          <w:szCs w:val="23"/>
          <w:highlight w:val="none"/>
        </w:rPr>
        <w:t>分为：屏蔽法</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在地下建立各种物理屏障，将受污染水体圈闭起来，以防止</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污</w:t>
      </w:r>
      <w:r>
        <w:rPr>
          <w:rFonts w:hint="default" w:ascii="Times New Roman" w:hAnsi="Times New Roman" w:eastAsia="宋体" w:cs="Times New Roman"/>
          <w:spacing w:val="14"/>
          <w:sz w:val="23"/>
          <w:szCs w:val="23"/>
          <w:highlight w:val="none"/>
        </w:rPr>
        <w:t>染物进一步扩散蔓延。被动收集法</w:t>
      </w:r>
      <w:r>
        <w:rPr>
          <w:rFonts w:hint="default" w:ascii="Times New Roman" w:hAnsi="Times New Roman" w:eastAsia="Times New Roman" w:cs="Times New Roman"/>
          <w:spacing w:val="14"/>
          <w:sz w:val="23"/>
          <w:szCs w:val="23"/>
          <w:highlight w:val="none"/>
        </w:rPr>
        <w:t>——</w:t>
      </w:r>
      <w:r>
        <w:rPr>
          <w:rFonts w:hint="default" w:ascii="Times New Roman" w:hAnsi="Times New Roman" w:eastAsia="宋体" w:cs="Times New Roman"/>
          <w:spacing w:val="14"/>
          <w:sz w:val="23"/>
          <w:szCs w:val="23"/>
          <w:highlight w:val="none"/>
        </w:rPr>
        <w:t>在地下水流的下游挖一条足够深的沟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道</w:t>
      </w:r>
      <w:r>
        <w:rPr>
          <w:rFonts w:hint="default" w:ascii="Times New Roman" w:hAnsi="Times New Roman" w:eastAsia="宋体" w:cs="Times New Roman"/>
          <w:spacing w:val="7"/>
          <w:sz w:val="23"/>
          <w:szCs w:val="23"/>
          <w:highlight w:val="none"/>
        </w:rPr>
        <w:t>，在沟内布置收集系统，将水面漂浮的污染物质如油类污染物等收集起来或将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所</w:t>
      </w:r>
      <w:r>
        <w:rPr>
          <w:rFonts w:hint="default" w:ascii="Times New Roman" w:hAnsi="Times New Roman" w:eastAsia="宋体" w:cs="Times New Roman"/>
          <w:spacing w:val="7"/>
          <w:sz w:val="23"/>
          <w:szCs w:val="23"/>
          <w:highlight w:val="none"/>
        </w:rPr>
        <w:t>有受污染地下水收集起来以便处理的一种方法。被动收集法在处理轻质污染物</w:t>
      </w:r>
    </w:p>
    <w:p>
      <w:pPr>
        <w:spacing w:line="315" w:lineRule="exact"/>
        <w:ind w:left="21"/>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8"/>
          <w:position w:val="2"/>
          <w:sz w:val="23"/>
          <w:szCs w:val="23"/>
          <w:highlight w:val="none"/>
        </w:rPr>
        <w:t>(</w:t>
      </w:r>
      <w:r>
        <w:rPr>
          <w:rFonts w:hint="default" w:ascii="Times New Roman" w:hAnsi="Times New Roman" w:eastAsia="宋体" w:cs="Times New Roman"/>
          <w:spacing w:val="8"/>
          <w:position w:val="2"/>
          <w:sz w:val="23"/>
          <w:szCs w:val="23"/>
          <w:highlight w:val="none"/>
        </w:rPr>
        <w:t>如油类等</w:t>
      </w:r>
      <w:r>
        <w:rPr>
          <w:rFonts w:hint="default" w:ascii="Times New Roman" w:hAnsi="Times New Roman" w:eastAsia="Times New Roman" w:cs="Times New Roman"/>
          <w:spacing w:val="8"/>
          <w:position w:val="2"/>
          <w:sz w:val="23"/>
          <w:szCs w:val="23"/>
          <w:highlight w:val="none"/>
        </w:rPr>
        <w:t>)</w:t>
      </w:r>
      <w:r>
        <w:rPr>
          <w:rFonts w:hint="default" w:ascii="Times New Roman" w:hAnsi="Times New Roman" w:eastAsia="宋体" w:cs="Times New Roman"/>
          <w:spacing w:val="8"/>
          <w:position w:val="2"/>
          <w:sz w:val="23"/>
          <w:szCs w:val="23"/>
          <w:highlight w:val="none"/>
        </w:rPr>
        <w:t>时得到过广泛的应用</w:t>
      </w:r>
      <w:r>
        <w:rPr>
          <w:rFonts w:hint="default" w:ascii="Times New Roman" w:hAnsi="Times New Roman" w:eastAsia="宋体" w:cs="Times New Roman"/>
          <w:spacing w:val="5"/>
          <w:position w:val="2"/>
          <w:sz w:val="23"/>
          <w:szCs w:val="23"/>
          <w:highlight w:val="none"/>
        </w:rPr>
        <w:t>。</w:t>
      </w:r>
    </w:p>
    <w:p>
      <w:pPr>
        <w:spacing w:before="222" w:line="228" w:lineRule="auto"/>
        <w:ind w:left="496"/>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3"/>
          <w:sz w:val="23"/>
          <w:szCs w:val="23"/>
          <w:highlight w:val="none"/>
        </w:rPr>
        <w:t>2</w:t>
      </w:r>
      <w:r>
        <w:rPr>
          <w:rFonts w:hint="default" w:ascii="Times New Roman" w:hAnsi="Times New Roman" w:eastAsia="宋体" w:cs="Times New Roman"/>
          <w:spacing w:val="7"/>
          <w:sz w:val="23"/>
          <w:szCs w:val="23"/>
          <w:highlight w:val="none"/>
        </w:rPr>
        <w:t>) 水动力控制法</w:t>
      </w:r>
    </w:p>
    <w:p>
      <w:pPr>
        <w:spacing w:before="216" w:line="401" w:lineRule="auto"/>
        <w:ind w:left="23" w:right="32"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水动力控制法是利用井群系统，通过抽水或向含水层注水，人为地改变地</w:t>
      </w:r>
      <w:r>
        <w:rPr>
          <w:rFonts w:hint="default" w:ascii="Times New Roman" w:hAnsi="Times New Roman" w:eastAsia="宋体" w:cs="Times New Roman"/>
          <w:spacing w:val="4"/>
          <w:sz w:val="23"/>
          <w:szCs w:val="23"/>
          <w:highlight w:val="none"/>
        </w:rPr>
        <w:t>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水</w:t>
      </w:r>
      <w:r>
        <w:rPr>
          <w:rFonts w:hint="default" w:ascii="Times New Roman" w:hAnsi="Times New Roman" w:eastAsia="宋体" w:cs="Times New Roman"/>
          <w:spacing w:val="7"/>
          <w:sz w:val="23"/>
          <w:szCs w:val="23"/>
          <w:highlight w:val="none"/>
        </w:rPr>
        <w:t>的水力梯度，从而将受污染水体与清洁水体分隔开来。根据井群系统布置方式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的</w:t>
      </w:r>
      <w:r>
        <w:rPr>
          <w:rFonts w:hint="default" w:ascii="Times New Roman" w:hAnsi="Times New Roman" w:eastAsia="宋体" w:cs="Times New Roman"/>
          <w:spacing w:val="9"/>
          <w:sz w:val="23"/>
          <w:szCs w:val="23"/>
          <w:highlight w:val="none"/>
        </w:rPr>
        <w:t>不同，水力控制法又可分为上游分水岭法和下游分水岭法。</w:t>
      </w:r>
    </w:p>
    <w:p>
      <w:pPr>
        <w:spacing w:before="1" w:line="229" w:lineRule="auto"/>
        <w:ind w:left="501"/>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7"/>
          <w:sz w:val="23"/>
          <w:szCs w:val="23"/>
          <w:highlight w:val="none"/>
        </w:rPr>
        <w:t>3</w:t>
      </w:r>
      <w:r>
        <w:rPr>
          <w:rFonts w:hint="default" w:ascii="Times New Roman" w:hAnsi="Times New Roman" w:eastAsia="宋体" w:cs="Times New Roman"/>
          <w:spacing w:val="7"/>
          <w:sz w:val="23"/>
          <w:szCs w:val="23"/>
          <w:highlight w:val="none"/>
        </w:rPr>
        <w:t>) 抽出处理</w:t>
      </w:r>
      <w:r>
        <w:rPr>
          <w:rFonts w:hint="default" w:ascii="Times New Roman" w:hAnsi="Times New Roman" w:eastAsia="宋体" w:cs="Times New Roman"/>
          <w:spacing w:val="6"/>
          <w:sz w:val="23"/>
          <w:szCs w:val="23"/>
          <w:highlight w:val="none"/>
        </w:rPr>
        <w:t>法</w:t>
      </w:r>
    </w:p>
    <w:p>
      <w:pPr>
        <w:jc w:val="both"/>
        <w:rPr>
          <w:rFonts w:hint="default" w:ascii="Times New Roman" w:hAnsi="Times New Roman" w:cs="Times New Roman"/>
          <w:highlight w:val="none"/>
        </w:rPr>
        <w:sectPr>
          <w:headerReference r:id="rId115" w:type="default"/>
          <w:footerReference r:id="rId116" w:type="default"/>
          <w:pgSz w:w="11906" w:h="16839"/>
          <w:pgMar w:top="1167" w:right="1765" w:bottom="1282" w:left="1785" w:header="897" w:footer="1015" w:gutter="0"/>
          <w:pgBorders>
            <w:top w:val="none" w:sz="0" w:space="0"/>
            <w:left w:val="none" w:sz="0" w:space="0"/>
            <w:bottom w:val="none" w:sz="0" w:space="0"/>
            <w:right w:val="none" w:sz="0" w:space="0"/>
          </w:pgBorders>
          <w:pgNumType w:fmt="decimal"/>
          <w:cols w:space="720" w:num="1"/>
        </w:sectPr>
      </w:pPr>
    </w:p>
    <w:p>
      <w:pPr>
        <w:spacing w:line="390" w:lineRule="auto"/>
        <w:jc w:val="both"/>
        <w:rPr>
          <w:rFonts w:hint="default" w:ascii="Times New Roman" w:hAnsi="Times New Roman" w:cs="Times New Roman"/>
          <w:sz w:val="21"/>
          <w:highlight w:val="none"/>
        </w:rPr>
      </w:pPr>
      <w:r>
        <w:rPr>
          <w:rFonts w:hint="default" w:ascii="Times New Roman" w:hAnsi="Times New Roman" w:cs="Times New Roman"/>
          <w:highlight w:val="none"/>
        </w:rPr>
        <w:pict>
          <v:shape id="_x0000_s1356" o:spid="_x0000_s1356" style="position:absolute;left:0pt;margin-left:89.85pt;margin-top:59.05pt;height:0.75pt;width:415.65pt;mso-position-horizontal-relative:page;mso-position-vertical-relative:page;z-index:251815936;mso-width-relative:page;mso-height-relative:page;" fillcolor="#000000" filled="t" stroked="f" coordsize="8312,15" o:allowincell="f" path="m0,0l8312,0,8312,14,0,14,0,0xe">
            <v:path/>
            <v:fill on="t" focussize="0,0"/>
            <v:stroke on="f"/>
            <v:imagedata o:title=""/>
            <o:lock v:ext="edit"/>
          </v:shape>
        </w:pict>
      </w:r>
    </w:p>
    <w:p>
      <w:pPr>
        <w:spacing w:before="75" w:line="401" w:lineRule="auto"/>
        <w:ind w:left="20" w:right="81" w:firstLine="480"/>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抽</w:t>
      </w:r>
      <w:r>
        <w:rPr>
          <w:rFonts w:hint="default" w:ascii="Times New Roman" w:hAnsi="Times New Roman" w:eastAsia="宋体" w:cs="Times New Roman"/>
          <w:spacing w:val="7"/>
          <w:sz w:val="23"/>
          <w:szCs w:val="23"/>
          <w:highlight w:val="none"/>
        </w:rPr>
        <w:t>出处理法是当前应用很普遍的一种方法，可根据污染物类型和处理费用来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选</w:t>
      </w:r>
      <w:r>
        <w:rPr>
          <w:rFonts w:hint="default" w:ascii="Times New Roman" w:hAnsi="Times New Roman" w:eastAsia="宋体" w:cs="Times New Roman"/>
          <w:spacing w:val="8"/>
          <w:sz w:val="23"/>
          <w:szCs w:val="23"/>
          <w:highlight w:val="none"/>
        </w:rPr>
        <w:t>用，大致可分为三类：</w:t>
      </w:r>
    </w:p>
    <w:p>
      <w:pPr>
        <w:spacing w:before="1" w:line="401" w:lineRule="auto"/>
        <w:ind w:left="22" w:right="81" w:firstLine="47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物理法。包括：吸附法、重力分离法、过滤法、反渗透法、气吹法和焚烧法</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等；</w:t>
      </w:r>
    </w:p>
    <w:p>
      <w:pPr>
        <w:spacing w:line="229" w:lineRule="auto"/>
        <w:ind w:left="50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化</w:t>
      </w:r>
      <w:r>
        <w:rPr>
          <w:rFonts w:hint="default" w:ascii="Times New Roman" w:hAnsi="Times New Roman" w:eastAsia="宋体" w:cs="Times New Roman"/>
          <w:spacing w:val="9"/>
          <w:sz w:val="23"/>
          <w:szCs w:val="23"/>
          <w:highlight w:val="none"/>
        </w:rPr>
        <w:t>学法。包括：混凝沉淀法、氧化还原法、离子交换法和中和法等；</w:t>
      </w:r>
    </w:p>
    <w:p>
      <w:pPr>
        <w:spacing w:before="212" w:line="230" w:lineRule="auto"/>
        <w:ind w:left="50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生</w:t>
      </w:r>
      <w:r>
        <w:rPr>
          <w:rFonts w:hint="default" w:ascii="Times New Roman" w:hAnsi="Times New Roman" w:eastAsia="宋体" w:cs="Times New Roman"/>
          <w:spacing w:val="9"/>
          <w:sz w:val="23"/>
          <w:szCs w:val="23"/>
          <w:highlight w:val="none"/>
        </w:rPr>
        <w:t>物法。包括：活性污泥法、生物膜法、厌氧消化法和土壤处置法等。</w:t>
      </w:r>
    </w:p>
    <w:p>
      <w:pPr>
        <w:spacing w:before="217" w:line="401" w:lineRule="auto"/>
        <w:ind w:left="22" w:right="81" w:firstLine="48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受污染地下水抽出后的处理方法与地表水的处理相同，需要指出的是，在</w:t>
      </w:r>
      <w:r>
        <w:rPr>
          <w:rFonts w:hint="default" w:ascii="Times New Roman" w:hAnsi="Times New Roman" w:eastAsia="宋体" w:cs="Times New Roman"/>
          <w:spacing w:val="3"/>
          <w:sz w:val="23"/>
          <w:szCs w:val="23"/>
          <w:highlight w:val="none"/>
        </w:rPr>
        <w:t>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污</w:t>
      </w:r>
      <w:r>
        <w:rPr>
          <w:rFonts w:hint="default" w:ascii="Times New Roman" w:hAnsi="Times New Roman" w:eastAsia="宋体" w:cs="Times New Roman"/>
          <w:spacing w:val="7"/>
          <w:sz w:val="23"/>
          <w:szCs w:val="23"/>
          <w:highlight w:val="none"/>
        </w:rPr>
        <w:t>染地下水的抽出处理中，井群系统的建立是关键，井群系统要能控制整个受污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染水体的流动</w:t>
      </w:r>
      <w:r>
        <w:rPr>
          <w:rFonts w:hint="default" w:ascii="Times New Roman" w:hAnsi="Times New Roman" w:eastAsia="宋体" w:cs="Times New Roman"/>
          <w:spacing w:val="6"/>
          <w:sz w:val="23"/>
          <w:szCs w:val="23"/>
          <w:highlight w:val="none"/>
        </w:rPr>
        <w:t>。</w:t>
      </w:r>
    </w:p>
    <w:p>
      <w:pPr>
        <w:spacing w:line="229" w:lineRule="auto"/>
        <w:ind w:left="495"/>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pacing w:val="12"/>
          <w:sz w:val="23"/>
          <w:szCs w:val="23"/>
          <w:highlight w:val="none"/>
        </w:rPr>
        <w:t>4</w:t>
      </w:r>
      <w:r>
        <w:rPr>
          <w:rFonts w:hint="default" w:ascii="Times New Roman" w:hAnsi="Times New Roman" w:eastAsia="宋体" w:cs="Times New Roman"/>
          <w:spacing w:val="7"/>
          <w:sz w:val="23"/>
          <w:szCs w:val="23"/>
          <w:highlight w:val="none"/>
        </w:rPr>
        <w:t>) 原位处理法</w:t>
      </w:r>
    </w:p>
    <w:p>
      <w:pPr>
        <w:spacing w:before="215" w:line="401" w:lineRule="auto"/>
        <w:ind w:left="21" w:right="48" w:firstLine="485"/>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原位处理法是地下水污染治理技术研究的热点，不但处理费用相对节省，</w:t>
      </w:r>
      <w:r>
        <w:rPr>
          <w:rFonts w:hint="default" w:ascii="Times New Roman" w:hAnsi="Times New Roman" w:eastAsia="宋体" w:cs="Times New Roman"/>
          <w:spacing w:val="2"/>
          <w:sz w:val="23"/>
          <w:szCs w:val="23"/>
          <w:highlight w:val="none"/>
        </w:rPr>
        <w:t>而</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且</w:t>
      </w:r>
      <w:r>
        <w:rPr>
          <w:rFonts w:hint="default" w:ascii="Times New Roman" w:hAnsi="Times New Roman" w:eastAsia="宋体" w:cs="Times New Roman"/>
          <w:spacing w:val="8"/>
          <w:sz w:val="23"/>
          <w:szCs w:val="23"/>
          <w:highlight w:val="none"/>
        </w:rPr>
        <w:t>还可减少地表处理设施，最大程度地减少污染物的暴露，减少对环境的扰动，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是</w:t>
      </w:r>
      <w:r>
        <w:rPr>
          <w:rFonts w:hint="default" w:ascii="Times New Roman" w:hAnsi="Times New Roman" w:eastAsia="宋体" w:cs="Times New Roman"/>
          <w:spacing w:val="9"/>
          <w:sz w:val="23"/>
          <w:szCs w:val="23"/>
          <w:highlight w:val="none"/>
        </w:rPr>
        <w:t>一种很有前景的地下水污染治理技术，大致可分为两类：</w:t>
      </w:r>
    </w:p>
    <w:p>
      <w:pPr>
        <w:spacing w:before="1" w:line="401" w:lineRule="auto"/>
        <w:ind w:left="22" w:right="81"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物理化学处理法。包括：加药法、渗透性处理床、土壤改性法、冲洗法和射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频</w:t>
      </w:r>
      <w:r>
        <w:rPr>
          <w:rFonts w:hint="default" w:ascii="Times New Roman" w:hAnsi="Times New Roman" w:eastAsia="宋体" w:cs="Times New Roman"/>
          <w:spacing w:val="7"/>
          <w:sz w:val="23"/>
          <w:szCs w:val="23"/>
          <w:highlight w:val="none"/>
        </w:rPr>
        <w:t>放电加热法等；</w:t>
      </w:r>
    </w:p>
    <w:p>
      <w:pPr>
        <w:spacing w:before="1" w:line="229" w:lineRule="auto"/>
        <w:ind w:left="50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生物处理法</w:t>
      </w:r>
      <w:r>
        <w:rPr>
          <w:rFonts w:hint="default" w:ascii="Times New Roman" w:hAnsi="Times New Roman" w:eastAsia="宋体" w:cs="Times New Roman"/>
          <w:spacing w:val="3"/>
          <w:sz w:val="23"/>
          <w:szCs w:val="23"/>
          <w:highlight w:val="none"/>
        </w:rPr>
        <w:t>包</w:t>
      </w:r>
      <w:r>
        <w:rPr>
          <w:rFonts w:hint="default" w:ascii="Times New Roman" w:hAnsi="Times New Roman" w:eastAsia="宋体" w:cs="Times New Roman"/>
          <w:spacing w:val="2"/>
          <w:sz w:val="23"/>
          <w:szCs w:val="23"/>
          <w:highlight w:val="none"/>
        </w:rPr>
        <w:t>括：生物气冲技术、溶气水供氧技术和过氧化氢供氧技术等。</w:t>
      </w:r>
    </w:p>
    <w:p>
      <w:pPr>
        <w:spacing w:before="214"/>
        <w:ind w:left="495"/>
        <w:jc w:val="both"/>
        <w:rPr>
          <w:rFonts w:hint="default" w:ascii="Times New Roman" w:hAnsi="Times New Roman" w:eastAsia="宋体" w:cs="Times New Roman"/>
          <w:sz w:val="23"/>
          <w:szCs w:val="23"/>
          <w:highlight w:val="none"/>
        </w:rPr>
      </w:pPr>
      <w:r>
        <w:rPr>
          <w:rFonts w:hint="default" w:ascii="Times New Roman" w:hAnsi="Times New Roman" w:eastAsia="Times New Roman" w:cs="Times New Roman"/>
          <w:sz w:val="23"/>
          <w:szCs w:val="23"/>
          <w:highlight w:val="none"/>
        </w:rPr>
        <w:t>H</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、建议措</w:t>
      </w:r>
      <w:r>
        <w:rPr>
          <w:rFonts w:hint="default" w:ascii="Times New Roman" w:hAnsi="Times New Roman" w:eastAsia="宋体" w:cs="Times New Roman"/>
          <w:sz w:val="23"/>
          <w:szCs w:val="23"/>
          <w:highlight w:val="none"/>
        </w:rPr>
        <w:t>施</w:t>
      </w:r>
    </w:p>
    <w:p>
      <w:pPr>
        <w:spacing w:before="199" w:line="229" w:lineRule="auto"/>
        <w:ind w:left="516"/>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当</w:t>
      </w:r>
      <w:r>
        <w:rPr>
          <w:rFonts w:hint="default" w:ascii="Times New Roman" w:hAnsi="Times New Roman" w:eastAsia="宋体" w:cs="Times New Roman"/>
          <w:spacing w:val="9"/>
          <w:sz w:val="23"/>
          <w:szCs w:val="23"/>
          <w:highlight w:val="none"/>
        </w:rPr>
        <w:t>发</w:t>
      </w:r>
      <w:r>
        <w:rPr>
          <w:rFonts w:hint="default" w:ascii="Times New Roman" w:hAnsi="Times New Roman" w:eastAsia="宋体" w:cs="Times New Roman"/>
          <w:spacing w:val="8"/>
          <w:sz w:val="23"/>
          <w:szCs w:val="23"/>
          <w:highlight w:val="none"/>
        </w:rPr>
        <w:t>生污染事故时，建议采取如下污染治理措施：</w:t>
      </w:r>
    </w:p>
    <w:p>
      <w:pPr>
        <w:spacing w:before="217" w:line="231" w:lineRule="auto"/>
        <w:ind w:left="51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4"/>
          <w:sz w:val="23"/>
          <w:szCs w:val="23"/>
          <w:highlight w:val="none"/>
        </w:rPr>
        <w:t>(</w:t>
      </w:r>
      <w:r>
        <w:rPr>
          <w:rFonts w:hint="default" w:ascii="Times New Roman" w:hAnsi="Times New Roman" w:eastAsia="Times New Roman" w:cs="Times New Roman"/>
          <w:spacing w:val="17"/>
          <w:sz w:val="23"/>
          <w:szCs w:val="23"/>
          <w:highlight w:val="none"/>
        </w:rPr>
        <w:t>1</w:t>
      </w:r>
      <w:r>
        <w:rPr>
          <w:rFonts w:hint="default" w:ascii="Times New Roman" w:hAnsi="Times New Roman" w:eastAsia="宋体" w:cs="Times New Roman"/>
          <w:spacing w:val="12"/>
          <w:sz w:val="23"/>
          <w:szCs w:val="23"/>
          <w:highlight w:val="none"/>
        </w:rPr>
        <w:t>) 一旦发生地下水污染事故，应立即启动应急预案；</w:t>
      </w:r>
    </w:p>
    <w:p>
      <w:pPr>
        <w:spacing w:before="211" w:line="228" w:lineRule="auto"/>
        <w:ind w:left="51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5"/>
          <w:sz w:val="23"/>
          <w:szCs w:val="23"/>
          <w:highlight w:val="none"/>
        </w:rPr>
        <w:t>2</w:t>
      </w:r>
      <w:r>
        <w:rPr>
          <w:rFonts w:hint="default" w:ascii="Times New Roman" w:hAnsi="Times New Roman" w:eastAsia="宋体" w:cs="Times New Roman"/>
          <w:spacing w:val="15"/>
          <w:sz w:val="23"/>
          <w:szCs w:val="23"/>
          <w:highlight w:val="none"/>
        </w:rPr>
        <w:t>) 查明并切断污染源；</w:t>
      </w:r>
    </w:p>
    <w:p>
      <w:pPr>
        <w:spacing w:before="216" w:line="228" w:lineRule="auto"/>
        <w:ind w:left="51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w:t>
      </w:r>
      <w:r>
        <w:rPr>
          <w:rFonts w:hint="default" w:ascii="Times New Roman" w:hAnsi="Times New Roman" w:eastAsia="Times New Roman" w:cs="Times New Roman"/>
          <w:spacing w:val="13"/>
          <w:sz w:val="23"/>
          <w:szCs w:val="23"/>
          <w:highlight w:val="none"/>
        </w:rPr>
        <w:t>3</w:t>
      </w:r>
      <w:r>
        <w:rPr>
          <w:rFonts w:hint="default" w:ascii="Times New Roman" w:hAnsi="Times New Roman" w:eastAsia="宋体" w:cs="Times New Roman"/>
          <w:spacing w:val="13"/>
          <w:sz w:val="23"/>
          <w:szCs w:val="23"/>
          <w:highlight w:val="none"/>
        </w:rPr>
        <w:t>) 探明地下水污染深度、范围和污染程度；</w:t>
      </w:r>
    </w:p>
    <w:p>
      <w:pPr>
        <w:spacing w:before="216" w:line="401" w:lineRule="auto"/>
        <w:ind w:left="29" w:right="81" w:firstLine="48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4</w:t>
      </w:r>
      <w:r>
        <w:rPr>
          <w:rFonts w:hint="default" w:ascii="Times New Roman" w:hAnsi="Times New Roman" w:eastAsia="宋体" w:cs="Times New Roman"/>
          <w:spacing w:val="13"/>
          <w:sz w:val="23"/>
          <w:szCs w:val="23"/>
          <w:highlight w:val="none"/>
        </w:rPr>
        <w:t>) 依据探明的地下水污染情况和污染场地的岩性特征，合理布置轻型井</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点</w:t>
      </w:r>
      <w:r>
        <w:rPr>
          <w:rFonts w:hint="default" w:ascii="Times New Roman" w:hAnsi="Times New Roman" w:eastAsia="宋体" w:cs="Times New Roman"/>
          <w:spacing w:val="12"/>
          <w:sz w:val="23"/>
          <w:szCs w:val="23"/>
          <w:highlight w:val="none"/>
        </w:rPr>
        <w:t>的</w:t>
      </w:r>
      <w:r>
        <w:rPr>
          <w:rFonts w:hint="default" w:ascii="Times New Roman" w:hAnsi="Times New Roman" w:eastAsia="宋体" w:cs="Times New Roman"/>
          <w:spacing w:val="8"/>
          <w:sz w:val="23"/>
          <w:szCs w:val="23"/>
          <w:highlight w:val="none"/>
        </w:rPr>
        <w:t>深度及间距，并进行轻型井点试抽工作；</w:t>
      </w:r>
    </w:p>
    <w:p>
      <w:pPr>
        <w:spacing w:before="2" w:line="401" w:lineRule="auto"/>
        <w:ind w:left="20" w:right="81" w:firstLine="49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5</w:t>
      </w:r>
      <w:r>
        <w:rPr>
          <w:rFonts w:hint="default" w:ascii="Times New Roman" w:hAnsi="Times New Roman" w:eastAsia="宋体" w:cs="Times New Roman"/>
          <w:spacing w:val="13"/>
          <w:sz w:val="23"/>
          <w:szCs w:val="23"/>
          <w:highlight w:val="none"/>
        </w:rPr>
        <w:t>) 依据轻型井点抽水设计方案进行施工，抽取被污染的地下水体，并依</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5"/>
          <w:sz w:val="23"/>
          <w:szCs w:val="23"/>
          <w:highlight w:val="none"/>
        </w:rPr>
        <w:t>据</w:t>
      </w:r>
      <w:r>
        <w:rPr>
          <w:rFonts w:hint="default" w:ascii="Times New Roman" w:hAnsi="Times New Roman" w:eastAsia="宋体" w:cs="Times New Roman"/>
          <w:spacing w:val="8"/>
          <w:sz w:val="23"/>
          <w:szCs w:val="23"/>
          <w:highlight w:val="none"/>
        </w:rPr>
        <w:t>各井点出水情况进行调整；</w:t>
      </w:r>
    </w:p>
    <w:p>
      <w:pPr>
        <w:spacing w:line="228" w:lineRule="auto"/>
        <w:ind w:left="512"/>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7"/>
          <w:sz w:val="23"/>
          <w:szCs w:val="23"/>
          <w:highlight w:val="none"/>
        </w:rPr>
        <w:t>(</w:t>
      </w:r>
      <w:r>
        <w:rPr>
          <w:rFonts w:hint="default" w:ascii="Times New Roman" w:hAnsi="Times New Roman" w:eastAsia="Times New Roman" w:cs="Times New Roman"/>
          <w:spacing w:val="12"/>
          <w:sz w:val="23"/>
          <w:szCs w:val="23"/>
          <w:highlight w:val="none"/>
        </w:rPr>
        <w:t>6</w:t>
      </w:r>
      <w:r>
        <w:rPr>
          <w:rFonts w:hint="default" w:ascii="Times New Roman" w:hAnsi="Times New Roman" w:eastAsia="宋体" w:cs="Times New Roman"/>
          <w:spacing w:val="12"/>
          <w:sz w:val="23"/>
          <w:szCs w:val="23"/>
          <w:highlight w:val="none"/>
        </w:rPr>
        <w:t>) 将抽取的地下水进行集中收集处理，并送实验室进行化验分析；</w:t>
      </w:r>
    </w:p>
    <w:p>
      <w:pPr>
        <w:spacing w:before="216" w:line="401" w:lineRule="auto"/>
        <w:ind w:left="29" w:right="81" w:firstLine="483"/>
        <w:jc w:val="both"/>
        <w:rPr>
          <w:rFonts w:hint="default" w:ascii="Times New Roman" w:hAnsi="Times New Roman" w:eastAsia="宋体" w:cs="Times New Roman"/>
          <w:spacing w:val="8"/>
          <w:sz w:val="23"/>
          <w:szCs w:val="23"/>
          <w:highlight w:val="none"/>
        </w:rPr>
      </w:pPr>
      <w:r>
        <w:rPr>
          <w:rFonts w:hint="default" w:ascii="Times New Roman" w:hAnsi="Times New Roman" w:eastAsia="宋体" w:cs="Times New Roman"/>
          <w:spacing w:val="8"/>
          <w:sz w:val="23"/>
          <w:szCs w:val="23"/>
          <w:highlight w:val="none"/>
        </w:rPr>
        <w:t>(7) 当地下水中的特征污染物浓度满足地下水功能区划的标准后，逐步停</w:t>
      </w:r>
    </w:p>
    <w:p>
      <w:pPr>
        <w:spacing w:before="216" w:line="401" w:lineRule="auto"/>
        <w:ind w:right="81"/>
        <w:jc w:val="both"/>
        <w:rPr>
          <w:rFonts w:hint="default" w:ascii="Times New Roman" w:hAnsi="Times New Roman" w:eastAsia="宋体" w:cs="Times New Roman"/>
          <w:spacing w:val="8"/>
          <w:sz w:val="23"/>
          <w:szCs w:val="23"/>
          <w:highlight w:val="none"/>
        </w:rPr>
      </w:pPr>
      <w:r>
        <w:rPr>
          <w:rFonts w:hint="default" w:ascii="Times New Roman" w:hAnsi="Times New Roman" w:eastAsia="宋体" w:cs="Times New Roman"/>
          <w:spacing w:val="8"/>
          <w:sz w:val="23"/>
          <w:szCs w:val="23"/>
          <w:highlight w:val="none"/>
        </w:rPr>
        <w:pict>
          <v:shape id="_x0000_s1357" o:spid="_x0000_s1357" style="position:absolute;left:0pt;margin-left:89.85pt;margin-top:59.05pt;height:0.75pt;width:415.65pt;mso-position-horizontal-relative:page;mso-position-vertical-relative:page;z-index:251816960;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8"/>
          <w:sz w:val="23"/>
          <w:szCs w:val="23"/>
          <w:highlight w:val="none"/>
        </w:rPr>
        <w:t>止井点抽水，并进行土壤修复治理工作。</w:t>
      </w:r>
    </w:p>
    <w:p>
      <w:pPr>
        <w:spacing w:before="75" w:line="227" w:lineRule="auto"/>
        <w:ind w:left="19"/>
        <w:outlineLvl w:val="2"/>
        <w:rPr>
          <w:rFonts w:hint="default" w:ascii="Times New Roman" w:hAnsi="Times New Roman" w:eastAsia="宋体" w:cs="Times New Roman"/>
          <w:sz w:val="23"/>
          <w:szCs w:val="23"/>
          <w:highlight w:val="none"/>
        </w:rPr>
      </w:pPr>
      <w:bookmarkStart w:id="646" w:name="_Toc150"/>
      <w:bookmarkStart w:id="647" w:name="_Toc8407"/>
      <w:bookmarkStart w:id="648" w:name="_Toc10631"/>
      <w:r>
        <w:rPr>
          <w:rFonts w:hint="default" w:ascii="Times New Roman" w:hAnsi="Times New Roman" w:eastAsia="Times New Roman" w:cs="Times New Roman"/>
          <w:b/>
          <w:bCs/>
          <w:spacing w:val="14"/>
          <w:sz w:val="23"/>
          <w:szCs w:val="23"/>
          <w:highlight w:val="none"/>
        </w:rPr>
        <w:t>5</w:t>
      </w:r>
      <w:r>
        <w:rPr>
          <w:rFonts w:hint="default" w:ascii="Times New Roman" w:hAnsi="Times New Roman" w:eastAsia="Times New Roman" w:cs="Times New Roman"/>
          <w:b/>
          <w:bCs/>
          <w:spacing w:val="7"/>
          <w:sz w:val="23"/>
          <w:szCs w:val="23"/>
          <w:highlight w:val="none"/>
        </w:rPr>
        <w:t>.2.4</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声环境影响预测与评价</w:t>
      </w:r>
      <w:bookmarkEnd w:id="646"/>
      <w:bookmarkEnd w:id="647"/>
      <w:bookmarkEnd w:id="648"/>
    </w:p>
    <w:p>
      <w:pPr>
        <w:spacing w:before="74" w:line="397" w:lineRule="auto"/>
        <w:ind w:left="22" w:right="77" w:firstLine="481"/>
        <w:rPr>
          <w:rFonts w:hint="eastAsia" w:ascii="Times New Roman" w:hAnsi="Times New Roman" w:eastAsia="宋体" w:cs="Times New Roman"/>
          <w:sz w:val="23"/>
          <w:szCs w:val="23"/>
          <w:highlight w:val="none"/>
          <w:lang w:eastAsia="zh-CN"/>
        </w:rPr>
      </w:pPr>
      <w:r>
        <w:rPr>
          <w:rFonts w:hint="default" w:ascii="Times New Roman" w:hAnsi="Times New Roman" w:eastAsia="宋体" w:cs="Times New Roman"/>
          <w:spacing w:val="7"/>
          <w:sz w:val="23"/>
          <w:szCs w:val="23"/>
          <w:highlight w:val="none"/>
        </w:rPr>
        <w:t>该项目投入使用后，</w:t>
      </w:r>
      <w:r>
        <w:rPr>
          <w:rFonts w:hint="eastAsia" w:ascii="Times New Roman" w:hAnsi="Times New Roman" w:eastAsia="宋体" w:cs="Times New Roman"/>
          <w:spacing w:val="7"/>
          <w:sz w:val="23"/>
          <w:szCs w:val="23"/>
          <w:highlight w:val="none"/>
          <w:lang w:val="en-US" w:eastAsia="zh-CN"/>
        </w:rPr>
        <w:t>新增</w:t>
      </w:r>
      <w:r>
        <w:rPr>
          <w:rFonts w:hint="default" w:ascii="Times New Roman" w:hAnsi="Times New Roman" w:eastAsia="宋体" w:cs="Times New Roman"/>
          <w:spacing w:val="7"/>
          <w:sz w:val="23"/>
          <w:szCs w:val="23"/>
          <w:highlight w:val="none"/>
        </w:rPr>
        <w:t>噪声污染主要来源于</w:t>
      </w:r>
      <w:r>
        <w:rPr>
          <w:rFonts w:hint="eastAsia" w:ascii="Times New Roman" w:hAnsi="Times New Roman" w:eastAsia="宋体" w:cs="Times New Roman"/>
          <w:spacing w:val="7"/>
          <w:sz w:val="23"/>
          <w:szCs w:val="23"/>
          <w:highlight w:val="none"/>
          <w:lang w:val="en-US" w:eastAsia="zh-CN"/>
        </w:rPr>
        <w:t>颚式破碎机、圆锥</w:t>
      </w:r>
      <w:r>
        <w:rPr>
          <w:rFonts w:hint="default" w:ascii="Times New Roman" w:hAnsi="Times New Roman" w:eastAsia="宋体" w:cs="Times New Roman"/>
          <w:spacing w:val="7"/>
          <w:sz w:val="23"/>
          <w:szCs w:val="23"/>
          <w:highlight w:val="none"/>
        </w:rPr>
        <w:t>破碎机、</w:t>
      </w:r>
      <w:r>
        <w:rPr>
          <w:rFonts w:hint="eastAsia" w:ascii="Times New Roman" w:hAnsi="Times New Roman" w:eastAsia="宋体" w:cs="Times New Roman"/>
          <w:spacing w:val="7"/>
          <w:sz w:val="23"/>
          <w:szCs w:val="23"/>
          <w:highlight w:val="none"/>
          <w:lang w:val="en-US" w:eastAsia="zh-CN"/>
        </w:rPr>
        <w:t>振动筛</w:t>
      </w:r>
      <w:r>
        <w:rPr>
          <w:rFonts w:hint="default" w:ascii="Times New Roman" w:hAnsi="Times New Roman" w:eastAsia="宋体" w:cs="Times New Roman"/>
          <w:spacing w:val="7"/>
          <w:sz w:val="23"/>
          <w:szCs w:val="23"/>
          <w:highlight w:val="none"/>
        </w:rPr>
        <w:t>、</w:t>
      </w:r>
      <w:r>
        <w:rPr>
          <w:rFonts w:hint="eastAsia" w:ascii="Times New Roman" w:hAnsi="Times New Roman" w:eastAsia="宋体" w:cs="Times New Roman"/>
          <w:spacing w:val="7"/>
          <w:sz w:val="23"/>
          <w:szCs w:val="23"/>
          <w:highlight w:val="none"/>
          <w:lang w:val="en-US" w:eastAsia="zh-CN"/>
        </w:rPr>
        <w:t>风机、空压机</w:t>
      </w:r>
      <w:r>
        <w:rPr>
          <w:rFonts w:hint="default" w:ascii="Times New Roman" w:hAnsi="Times New Roman" w:eastAsia="宋体" w:cs="Times New Roman"/>
          <w:spacing w:val="7"/>
          <w:sz w:val="23"/>
          <w:szCs w:val="23"/>
          <w:highlight w:val="none"/>
        </w:rPr>
        <w:t>等</w:t>
      </w:r>
      <w:r>
        <w:rPr>
          <w:rFonts w:hint="default" w:ascii="Times New Roman" w:hAnsi="Times New Roman" w:eastAsia="宋体" w:cs="Times New Roman"/>
          <w:spacing w:val="4"/>
          <w:sz w:val="23"/>
          <w:szCs w:val="23"/>
          <w:highlight w:val="none"/>
        </w:rPr>
        <w:t xml:space="preserve">生产设备噪声，源强 </w:t>
      </w:r>
      <w:r>
        <w:rPr>
          <w:rFonts w:hint="default" w:ascii="Times New Roman" w:hAnsi="Times New Roman" w:eastAsia="Times New Roman" w:cs="Times New Roman"/>
          <w:spacing w:val="4"/>
          <w:sz w:val="23"/>
          <w:szCs w:val="23"/>
          <w:highlight w:val="none"/>
        </w:rPr>
        <w:t>70- 100</w:t>
      </w:r>
      <w:r>
        <w:rPr>
          <w:rFonts w:hint="default" w:ascii="Times New Roman" w:hAnsi="Times New Roman" w:eastAsia="Times New Roman" w:cs="Times New Roman"/>
          <w:sz w:val="23"/>
          <w:szCs w:val="23"/>
          <w:highlight w:val="none"/>
        </w:rPr>
        <w:t>dB</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1"/>
          <w:sz w:val="23"/>
          <w:szCs w:val="23"/>
          <w:highlight w:val="none"/>
        </w:rPr>
        <w:t>。</w:t>
      </w:r>
      <w:r>
        <w:rPr>
          <w:rFonts w:hint="eastAsia" w:ascii="Times New Roman" w:hAnsi="Times New Roman" w:eastAsia="宋体" w:cs="Times New Roman"/>
          <w:sz w:val="23"/>
          <w:szCs w:val="23"/>
          <w:highlight w:val="none"/>
          <w:lang w:val="en-US" w:eastAsia="zh-CN"/>
        </w:rPr>
        <w:t>噪声源强见</w:t>
      </w:r>
      <w:r>
        <w:rPr>
          <w:rFonts w:hint="default" w:ascii="Times New Roman" w:hAnsi="Times New Roman" w:eastAsia="宋体" w:cs="Times New Roman"/>
          <w:sz w:val="23"/>
          <w:szCs w:val="23"/>
          <w:highlight w:val="none"/>
        </w:rPr>
        <w:t xml:space="preserve">表 </w:t>
      </w:r>
      <w:r>
        <w:rPr>
          <w:rFonts w:hint="default" w:ascii="Times New Roman" w:hAnsi="Times New Roman" w:eastAsia="Times New Roman" w:cs="Times New Roman"/>
          <w:sz w:val="23"/>
          <w:szCs w:val="23"/>
          <w:highlight w:val="none"/>
        </w:rPr>
        <w:t>5.2-</w:t>
      </w:r>
      <w:r>
        <w:rPr>
          <w:rFonts w:hint="eastAsia" w:ascii="Times New Roman" w:hAnsi="Times New Roman" w:eastAsia="宋体" w:cs="Times New Roman"/>
          <w:sz w:val="23"/>
          <w:szCs w:val="23"/>
          <w:highlight w:val="none"/>
          <w:lang w:val="en-US" w:eastAsia="zh-CN"/>
        </w:rPr>
        <w:t>15</w:t>
      </w:r>
      <w:r>
        <w:rPr>
          <w:rFonts w:hint="default" w:ascii="Times New Roman" w:hAnsi="Times New Roman" w:eastAsia="Times New Roman" w:cs="Times New Roman"/>
          <w:sz w:val="23"/>
          <w:szCs w:val="23"/>
          <w:highlight w:val="none"/>
        </w:rPr>
        <w:t xml:space="preserve"> </w:t>
      </w:r>
      <w:r>
        <w:rPr>
          <w:rFonts w:hint="eastAsia" w:ascii="Times New Roman" w:hAnsi="Times New Roman" w:eastAsia="宋体" w:cs="Times New Roman"/>
          <w:sz w:val="23"/>
          <w:szCs w:val="23"/>
          <w:highlight w:val="none"/>
          <w:lang w:eastAsia="zh-CN"/>
        </w:rPr>
        <w:t>。</w:t>
      </w:r>
    </w:p>
    <w:p>
      <w:pPr>
        <w:spacing w:before="155" w:line="319" w:lineRule="exact"/>
        <w:ind w:left="143"/>
        <w:jc w:val="center"/>
        <w:rPr>
          <w:rFonts w:hint="default" w:ascii="Times New Roman" w:hAnsi="Times New Roman" w:eastAsia="宋体" w:cs="Times New Roman"/>
          <w:spacing w:val="4"/>
          <w:position w:val="1"/>
          <w:sz w:val="23"/>
          <w:szCs w:val="23"/>
          <w:highlight w:val="none"/>
          <w:lang w:val="en-US" w:eastAsia="zh-CN"/>
          <w14:textOutline w14:w="4358" w14:cap="sq" w14:cmpd="sng">
            <w14:solidFill>
              <w14:srgbClr w14:val="000000"/>
            </w14:solidFill>
            <w14:prstDash w14:val="solid"/>
            <w14:bevel/>
          </w14:textOutline>
        </w:rPr>
      </w:pP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表</w:t>
      </w:r>
      <w:r>
        <w:rPr>
          <w:rFonts w:hint="eastAsia" w:ascii="Times New Roman" w:hAnsi="Times New Roman" w:eastAsia="宋体" w:cs="Times New Roman"/>
          <w:spacing w:val="4"/>
          <w:position w:val="1"/>
          <w:sz w:val="23"/>
          <w:szCs w:val="23"/>
          <w:highlight w:val="none"/>
          <w:lang w:val="en-US" w:eastAsia="zh-CN"/>
          <w14:textOutline w14:w="4358" w14:cap="sq" w14:cmpd="sng">
            <w14:solidFill>
              <w14:srgbClr w14:val="000000"/>
            </w14:solidFill>
            <w14:prstDash w14:val="solid"/>
            <w14:bevel/>
          </w14:textOutline>
        </w:rPr>
        <w:t>5.2</w:t>
      </w: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w:t>
      </w:r>
      <w:r>
        <w:rPr>
          <w:rFonts w:hint="eastAsia" w:ascii="Times New Roman" w:hAnsi="Times New Roman" w:eastAsia="宋体" w:cs="Times New Roman"/>
          <w:spacing w:val="4"/>
          <w:position w:val="1"/>
          <w:sz w:val="23"/>
          <w:szCs w:val="23"/>
          <w:highlight w:val="none"/>
          <w:lang w:val="en-US" w:eastAsia="zh-CN"/>
          <w14:textOutline w14:w="4358" w14:cap="sq" w14:cmpd="sng">
            <w14:solidFill>
              <w14:srgbClr w14:val="000000"/>
            </w14:solidFill>
            <w14:prstDash w14:val="solid"/>
            <w14:bevel/>
          </w14:textOutline>
        </w:rPr>
        <w:t>15 噪声源强一览表</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690"/>
        <w:gridCol w:w="690"/>
        <w:gridCol w:w="753"/>
        <w:gridCol w:w="690"/>
        <w:gridCol w:w="690"/>
        <w:gridCol w:w="690"/>
        <w:gridCol w:w="796"/>
        <w:gridCol w:w="796"/>
        <w:gridCol w:w="652"/>
        <w:gridCol w:w="707"/>
        <w:gridCol w:w="7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403" w:type="pct"/>
            <w:vMerge w:val="restart"/>
            <w:vAlign w:val="center"/>
          </w:tcPr>
          <w:p>
            <w:pPr>
              <w:spacing w:line="240" w:lineRule="auto"/>
              <w:ind w:left="-53" w:leftChars="-25" w:right="-53" w:rightChars="-25" w:firstLine="0" w:firstLineChars="0"/>
              <w:jc w:val="center"/>
              <w:rPr>
                <w:sz w:val="21"/>
                <w:szCs w:val="21"/>
                <w:highlight w:val="none"/>
              </w:rPr>
            </w:pPr>
            <w:r>
              <w:rPr>
                <w:sz w:val="21"/>
                <w:szCs w:val="21"/>
                <w:highlight w:val="none"/>
              </w:rPr>
              <w:t>序号</w:t>
            </w:r>
          </w:p>
        </w:tc>
        <w:tc>
          <w:tcPr>
            <w:tcW w:w="806" w:type="pct"/>
            <w:gridSpan w:val="2"/>
            <w:vMerge w:val="restart"/>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声源</w:t>
            </w:r>
            <w:r>
              <w:rPr>
                <w:sz w:val="21"/>
                <w:szCs w:val="21"/>
                <w:highlight w:val="none"/>
              </w:rPr>
              <w:t>名称</w:t>
            </w:r>
          </w:p>
        </w:tc>
        <w:tc>
          <w:tcPr>
            <w:tcW w:w="440" w:type="pct"/>
            <w:vMerge w:val="restart"/>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声源源强</w:t>
            </w:r>
            <w:r>
              <w:rPr>
                <w:sz w:val="21"/>
                <w:szCs w:val="21"/>
                <w:highlight w:val="none"/>
              </w:rPr>
              <w:t>/dB(A)</w:t>
            </w:r>
          </w:p>
        </w:tc>
        <w:tc>
          <w:tcPr>
            <w:tcW w:w="403" w:type="pct"/>
            <w:vMerge w:val="restart"/>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距室内边界距离/m</w:t>
            </w:r>
          </w:p>
        </w:tc>
        <w:tc>
          <w:tcPr>
            <w:tcW w:w="403" w:type="pct"/>
            <w:vMerge w:val="restart"/>
            <w:vAlign w:val="center"/>
          </w:tcPr>
          <w:p>
            <w:pPr>
              <w:spacing w:line="240" w:lineRule="auto"/>
              <w:ind w:left="-53" w:leftChars="-25" w:right="-53" w:rightChars="-25" w:firstLine="0" w:firstLineChars="0"/>
              <w:jc w:val="center"/>
              <w:rPr>
                <w:sz w:val="21"/>
                <w:szCs w:val="21"/>
                <w:highlight w:val="none"/>
              </w:rPr>
            </w:pPr>
            <w:r>
              <w:rPr>
                <w:sz w:val="21"/>
                <w:szCs w:val="21"/>
                <w:highlight w:val="none"/>
              </w:rPr>
              <w:t>运行</w:t>
            </w:r>
            <w:r>
              <w:rPr>
                <w:rFonts w:hint="eastAsia"/>
                <w:sz w:val="21"/>
                <w:szCs w:val="21"/>
                <w:highlight w:val="none"/>
              </w:rPr>
              <w:t>时段</w:t>
            </w:r>
          </w:p>
        </w:tc>
        <w:tc>
          <w:tcPr>
            <w:tcW w:w="403" w:type="pct"/>
            <w:vMerge w:val="restart"/>
            <w:tcBorders>
              <w:righ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声源控制</w:t>
            </w:r>
            <w:r>
              <w:rPr>
                <w:sz w:val="21"/>
                <w:szCs w:val="21"/>
                <w:highlight w:val="none"/>
              </w:rPr>
              <w:t>措施</w:t>
            </w:r>
          </w:p>
        </w:tc>
        <w:tc>
          <w:tcPr>
            <w:tcW w:w="1311" w:type="pct"/>
            <w:gridSpan w:val="3"/>
            <w:tcBorders>
              <w:left w:val="single" w:color="auto" w:sz="4" w:space="0"/>
              <w:bottom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空间相对位置</w:t>
            </w:r>
          </w:p>
        </w:tc>
        <w:tc>
          <w:tcPr>
            <w:tcW w:w="413" w:type="pct"/>
            <w:vMerge w:val="restart"/>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建筑物插入损失</w:t>
            </w:r>
            <w:r>
              <w:rPr>
                <w:sz w:val="21"/>
                <w:szCs w:val="21"/>
                <w:highlight w:val="none"/>
              </w:rPr>
              <w:t>/dB(A)</w:t>
            </w:r>
          </w:p>
        </w:tc>
        <w:tc>
          <w:tcPr>
            <w:tcW w:w="413" w:type="pct"/>
            <w:vMerge w:val="restart"/>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建筑物外1m声压级</w:t>
            </w:r>
            <w:r>
              <w:rPr>
                <w:sz w:val="21"/>
                <w:szCs w:val="21"/>
                <w:highlight w:val="none"/>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806" w:type="pct"/>
            <w:gridSpan w:val="2"/>
            <w:vMerge w:val="continue"/>
            <w:vAlign w:val="center"/>
          </w:tcPr>
          <w:p>
            <w:pPr>
              <w:spacing w:line="240" w:lineRule="auto"/>
              <w:ind w:left="-53" w:leftChars="-25" w:right="-53" w:rightChars="-25" w:firstLine="0" w:firstLineChars="0"/>
              <w:jc w:val="center"/>
              <w:rPr>
                <w:sz w:val="21"/>
                <w:szCs w:val="21"/>
                <w:highlight w:val="none"/>
              </w:rPr>
            </w:pPr>
          </w:p>
        </w:tc>
        <w:tc>
          <w:tcPr>
            <w:tcW w:w="440"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Merge w:val="continue"/>
            <w:tcBorders>
              <w:right w:val="single" w:color="auto" w:sz="4" w:space="0"/>
            </w:tcBorders>
            <w:vAlign w:val="center"/>
          </w:tcPr>
          <w:p>
            <w:pPr>
              <w:spacing w:line="240" w:lineRule="auto"/>
              <w:ind w:left="-53" w:leftChars="-25" w:right="-53" w:rightChars="-25" w:firstLine="0" w:firstLineChars="0"/>
              <w:jc w:val="center"/>
              <w:rPr>
                <w:sz w:val="21"/>
                <w:szCs w:val="21"/>
                <w:highlight w:val="none"/>
              </w:rPr>
            </w:pPr>
          </w:p>
        </w:tc>
        <w:tc>
          <w:tcPr>
            <w:tcW w:w="465" w:type="pct"/>
            <w:tcBorders>
              <w:top w:val="single" w:color="auto" w:sz="4" w:space="0"/>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X</w:t>
            </w:r>
          </w:p>
        </w:tc>
        <w:tc>
          <w:tcPr>
            <w:tcW w:w="465" w:type="pct"/>
            <w:tcBorders>
              <w:top w:val="single" w:color="auto" w:sz="4" w:space="0"/>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Y</w:t>
            </w:r>
          </w:p>
        </w:tc>
        <w:tc>
          <w:tcPr>
            <w:tcW w:w="380" w:type="pct"/>
            <w:tcBorders>
              <w:top w:val="single" w:color="auto" w:sz="4" w:space="0"/>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Z</w:t>
            </w:r>
          </w:p>
        </w:tc>
        <w:tc>
          <w:tcPr>
            <w:tcW w:w="413" w:type="pct"/>
            <w:vMerge w:val="continue"/>
            <w:vAlign w:val="center"/>
          </w:tcPr>
          <w:p>
            <w:pPr>
              <w:spacing w:line="240" w:lineRule="auto"/>
              <w:ind w:left="-53" w:leftChars="-25" w:right="-53" w:rightChars="-25" w:firstLine="0" w:firstLineChars="0"/>
              <w:jc w:val="center"/>
              <w:rPr>
                <w:sz w:val="21"/>
                <w:szCs w:val="21"/>
                <w:highlight w:val="none"/>
              </w:rPr>
            </w:pPr>
          </w:p>
        </w:tc>
        <w:tc>
          <w:tcPr>
            <w:tcW w:w="413" w:type="pct"/>
            <w:vMerge w:val="continue"/>
            <w:vAlign w:val="center"/>
          </w:tcPr>
          <w:p>
            <w:pPr>
              <w:spacing w:line="240" w:lineRule="auto"/>
              <w:ind w:left="-53" w:leftChars="-25" w:right="-53" w:rightChars="-25" w:firstLine="0" w:firstLineChars="0"/>
              <w:jc w:val="center"/>
              <w:rPr>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3" w:type="pct"/>
            <w:vMerge w:val="restart"/>
            <w:vAlign w:val="center"/>
          </w:tcPr>
          <w:p>
            <w:pPr>
              <w:spacing w:line="240" w:lineRule="auto"/>
              <w:ind w:left="-53" w:leftChars="-25" w:right="-53" w:rightChars="-25" w:firstLine="0" w:firstLineChars="0"/>
              <w:jc w:val="center"/>
              <w:rPr>
                <w:sz w:val="21"/>
                <w:szCs w:val="21"/>
                <w:highlight w:val="none"/>
              </w:rPr>
            </w:pPr>
            <w:r>
              <w:rPr>
                <w:sz w:val="21"/>
                <w:szCs w:val="21"/>
                <w:highlight w:val="none"/>
              </w:rPr>
              <w:t>1</w:t>
            </w:r>
          </w:p>
        </w:tc>
        <w:tc>
          <w:tcPr>
            <w:tcW w:w="403" w:type="pct"/>
            <w:vMerge w:val="restart"/>
            <w:vAlign w:val="center"/>
          </w:tcPr>
          <w:p>
            <w:pPr>
              <w:spacing w:line="240" w:lineRule="auto"/>
              <w:ind w:left="-53" w:leftChars="-25" w:right="-53" w:rightChars="-25" w:firstLine="0" w:firstLineChars="0"/>
              <w:jc w:val="center"/>
              <w:rPr>
                <w:sz w:val="21"/>
                <w:szCs w:val="21"/>
                <w:highlight w:val="none"/>
              </w:rPr>
            </w:pPr>
            <w:r>
              <w:rPr>
                <w:rFonts w:hint="eastAsia" w:eastAsia="宋体"/>
                <w:sz w:val="21"/>
                <w:szCs w:val="21"/>
                <w:highlight w:val="none"/>
                <w:lang w:val="en-US" w:eastAsia="zh-CN"/>
              </w:rPr>
              <w:t>5#</w:t>
            </w:r>
            <w:r>
              <w:rPr>
                <w:sz w:val="21"/>
                <w:szCs w:val="21"/>
                <w:highlight w:val="none"/>
              </w:rPr>
              <w:t>破碎车间</w:t>
            </w: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颚式破碎机</w:t>
            </w:r>
          </w:p>
        </w:tc>
        <w:tc>
          <w:tcPr>
            <w:tcW w:w="440"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100</w:t>
            </w:r>
          </w:p>
        </w:tc>
        <w:tc>
          <w:tcPr>
            <w:tcW w:w="403" w:type="pct"/>
            <w:vAlign w:val="center"/>
          </w:tcPr>
          <w:p>
            <w:pPr>
              <w:spacing w:line="240" w:lineRule="auto"/>
              <w:ind w:left="-53" w:leftChars="-25" w:right="-53" w:rightChars="-25" w:firstLine="0" w:firstLineChars="0"/>
              <w:jc w:val="center"/>
              <w:rPr>
                <w:rFonts w:hint="eastAsia" w:eastAsia="宋体"/>
                <w:sz w:val="21"/>
                <w:szCs w:val="21"/>
                <w:highlight w:val="none"/>
                <w:lang w:eastAsia="zh-CN"/>
              </w:rPr>
            </w:pPr>
            <w:r>
              <w:rPr>
                <w:rFonts w:hint="eastAsia" w:eastAsia="宋体"/>
                <w:sz w:val="21"/>
                <w:szCs w:val="21"/>
                <w:highlight w:val="none"/>
                <w:lang w:val="en-US" w:eastAsia="zh-CN"/>
              </w:rPr>
              <w:t>2</w:t>
            </w: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全运行</w:t>
            </w:r>
          </w:p>
        </w:tc>
        <w:tc>
          <w:tcPr>
            <w:tcW w:w="403" w:type="pct"/>
            <w:vMerge w:val="restart"/>
            <w:tcBorders>
              <w:right w:val="single" w:color="auto" w:sz="4" w:space="0"/>
            </w:tcBorders>
            <w:vAlign w:val="center"/>
          </w:tcPr>
          <w:p>
            <w:pPr>
              <w:spacing w:line="240" w:lineRule="auto"/>
              <w:ind w:left="-53" w:leftChars="-25" w:right="-53" w:rightChars="-25" w:firstLine="0" w:firstLineChars="0"/>
              <w:jc w:val="center"/>
              <w:rPr>
                <w:sz w:val="21"/>
                <w:szCs w:val="21"/>
                <w:highlight w:val="none"/>
              </w:rPr>
            </w:pPr>
            <w:r>
              <w:rPr>
                <w:sz w:val="21"/>
                <w:szCs w:val="21"/>
                <w:highlight w:val="none"/>
              </w:rPr>
              <w:t>置于封闭车间内，车间墙体采用单层彩钢，各设备基础加装减震垫</w:t>
            </w:r>
          </w:p>
        </w:tc>
        <w:tc>
          <w:tcPr>
            <w:tcW w:w="465" w:type="pct"/>
            <w:tcBorders>
              <w:left w:val="single" w:color="auto" w:sz="4" w:space="0"/>
            </w:tcBorders>
            <w:vAlign w:val="center"/>
          </w:tcPr>
          <w:p>
            <w:pPr>
              <w:spacing w:line="240" w:lineRule="auto"/>
              <w:ind w:left="-53" w:leftChars="-25" w:right="-53" w:rightChars="-25" w:firstLine="0" w:firstLineChars="0"/>
              <w:jc w:val="center"/>
              <w:rPr>
                <w:rFonts w:hint="default" w:eastAsia="宋体"/>
                <w:sz w:val="21"/>
                <w:szCs w:val="21"/>
                <w:highlight w:val="none"/>
                <w:lang w:val="en-US" w:eastAsia="zh-CN"/>
              </w:rPr>
            </w:pPr>
            <w:r>
              <w:rPr>
                <w:rFonts w:hint="eastAsia"/>
                <w:sz w:val="21"/>
                <w:szCs w:val="21"/>
                <w:highlight w:val="none"/>
              </w:rPr>
              <w:t>-</w:t>
            </w:r>
            <w:r>
              <w:rPr>
                <w:rFonts w:hint="eastAsia" w:eastAsia="宋体"/>
                <w:sz w:val="21"/>
                <w:szCs w:val="21"/>
                <w:highlight w:val="none"/>
                <w:lang w:val="en-US" w:eastAsia="zh-CN"/>
              </w:rPr>
              <w:t>30</w:t>
            </w:r>
          </w:p>
        </w:tc>
        <w:tc>
          <w:tcPr>
            <w:tcW w:w="465" w:type="pct"/>
            <w:tcBorders>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14</w:t>
            </w:r>
          </w:p>
        </w:tc>
        <w:tc>
          <w:tcPr>
            <w:tcW w:w="380" w:type="pct"/>
            <w:tcBorders>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20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Align w:val="center"/>
          </w:tcPr>
          <w:p>
            <w:pPr>
              <w:spacing w:line="240" w:lineRule="auto"/>
              <w:ind w:left="-53" w:leftChars="-25" w:right="-53" w:rightChars="-25" w:firstLine="0" w:firstLineChars="0"/>
              <w:jc w:val="center"/>
              <w:rPr>
                <w:sz w:val="21"/>
                <w:szCs w:val="21"/>
                <w:highlight w:val="none"/>
              </w:rPr>
            </w:pPr>
            <w:r>
              <w:rPr>
                <w:rFonts w:hint="eastAsia" w:eastAsia="宋体"/>
                <w:sz w:val="21"/>
                <w:szCs w:val="21"/>
                <w:highlight w:val="none"/>
                <w:lang w:val="en-US" w:eastAsia="zh-CN"/>
              </w:rPr>
              <w:t>圆锥</w:t>
            </w:r>
            <w:r>
              <w:rPr>
                <w:sz w:val="21"/>
                <w:szCs w:val="21"/>
                <w:highlight w:val="none"/>
              </w:rPr>
              <w:t>破碎机</w:t>
            </w:r>
          </w:p>
        </w:tc>
        <w:tc>
          <w:tcPr>
            <w:tcW w:w="440"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100</w:t>
            </w:r>
          </w:p>
        </w:tc>
        <w:tc>
          <w:tcPr>
            <w:tcW w:w="403" w:type="pct"/>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2</w:t>
            </w: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全运行</w:t>
            </w:r>
          </w:p>
        </w:tc>
        <w:tc>
          <w:tcPr>
            <w:tcW w:w="403" w:type="pct"/>
            <w:vMerge w:val="continue"/>
            <w:tcBorders>
              <w:right w:val="single" w:color="auto" w:sz="4" w:space="0"/>
            </w:tcBorders>
            <w:vAlign w:val="center"/>
          </w:tcPr>
          <w:p>
            <w:pPr>
              <w:spacing w:line="240" w:lineRule="auto"/>
              <w:ind w:left="-53" w:leftChars="-25" w:right="-53" w:rightChars="-25" w:firstLine="0" w:firstLineChars="0"/>
              <w:jc w:val="center"/>
              <w:rPr>
                <w:sz w:val="21"/>
                <w:szCs w:val="21"/>
                <w:highlight w:val="none"/>
              </w:rPr>
            </w:pPr>
          </w:p>
        </w:tc>
        <w:tc>
          <w:tcPr>
            <w:tcW w:w="465" w:type="pct"/>
            <w:tcBorders>
              <w:left w:val="single" w:color="auto" w:sz="4" w:space="0"/>
            </w:tcBorders>
            <w:vAlign w:val="center"/>
          </w:tcPr>
          <w:p>
            <w:pPr>
              <w:spacing w:line="240" w:lineRule="auto"/>
              <w:ind w:left="-53" w:leftChars="-25" w:right="-53" w:rightChars="-25" w:firstLine="0" w:firstLineChars="0"/>
              <w:jc w:val="center"/>
              <w:rPr>
                <w:rFonts w:hint="default" w:eastAsia="宋体"/>
                <w:sz w:val="21"/>
                <w:szCs w:val="21"/>
                <w:highlight w:val="none"/>
                <w:lang w:val="en-US" w:eastAsia="zh-CN"/>
              </w:rPr>
            </w:pPr>
            <w:r>
              <w:rPr>
                <w:rFonts w:hint="eastAsia"/>
                <w:sz w:val="21"/>
                <w:szCs w:val="21"/>
                <w:highlight w:val="none"/>
              </w:rPr>
              <w:t>-</w:t>
            </w:r>
            <w:r>
              <w:rPr>
                <w:rFonts w:hint="eastAsia" w:eastAsia="宋体"/>
                <w:sz w:val="21"/>
                <w:szCs w:val="21"/>
                <w:highlight w:val="none"/>
                <w:lang w:val="en-US" w:eastAsia="zh-CN"/>
              </w:rPr>
              <w:t>60</w:t>
            </w:r>
          </w:p>
        </w:tc>
        <w:tc>
          <w:tcPr>
            <w:tcW w:w="465" w:type="pct"/>
            <w:tcBorders>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-5</w:t>
            </w:r>
          </w:p>
        </w:tc>
        <w:tc>
          <w:tcPr>
            <w:tcW w:w="380" w:type="pct"/>
            <w:tcBorders>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20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Align w:val="center"/>
          </w:tcPr>
          <w:p>
            <w:pPr>
              <w:spacing w:line="240" w:lineRule="auto"/>
              <w:ind w:left="-53" w:leftChars="-25" w:right="-53" w:rightChars="-25" w:firstLine="0" w:firstLineChars="0"/>
              <w:jc w:val="center"/>
              <w:rPr>
                <w:sz w:val="21"/>
                <w:szCs w:val="21"/>
                <w:highlight w:val="none"/>
                <w:lang w:val="zh-CN"/>
              </w:rPr>
            </w:pPr>
            <w:r>
              <w:rPr>
                <w:sz w:val="21"/>
                <w:szCs w:val="21"/>
                <w:highlight w:val="none"/>
                <w:lang w:val="zh-CN"/>
              </w:rPr>
              <w:t>振动筛</w:t>
            </w:r>
          </w:p>
        </w:tc>
        <w:tc>
          <w:tcPr>
            <w:tcW w:w="440"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90</w:t>
            </w:r>
          </w:p>
        </w:tc>
        <w:tc>
          <w:tcPr>
            <w:tcW w:w="403" w:type="pct"/>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2</w:t>
            </w: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全运行</w:t>
            </w:r>
          </w:p>
        </w:tc>
        <w:tc>
          <w:tcPr>
            <w:tcW w:w="403" w:type="pct"/>
            <w:vMerge w:val="continue"/>
            <w:tcBorders>
              <w:right w:val="single" w:color="auto" w:sz="4" w:space="0"/>
            </w:tcBorders>
            <w:vAlign w:val="center"/>
          </w:tcPr>
          <w:p>
            <w:pPr>
              <w:spacing w:line="240" w:lineRule="auto"/>
              <w:ind w:left="-53" w:leftChars="-25" w:right="-53" w:rightChars="-25" w:firstLine="0" w:firstLineChars="0"/>
              <w:jc w:val="center"/>
              <w:rPr>
                <w:sz w:val="21"/>
                <w:szCs w:val="21"/>
                <w:highlight w:val="none"/>
              </w:rPr>
            </w:pPr>
          </w:p>
        </w:tc>
        <w:tc>
          <w:tcPr>
            <w:tcW w:w="465" w:type="pct"/>
            <w:tcBorders>
              <w:left w:val="single" w:color="auto" w:sz="4" w:space="0"/>
            </w:tcBorders>
            <w:vAlign w:val="center"/>
          </w:tcPr>
          <w:p>
            <w:pPr>
              <w:spacing w:line="240" w:lineRule="auto"/>
              <w:ind w:left="-53" w:leftChars="-25" w:right="-53" w:rightChars="-25" w:firstLine="0" w:firstLineChars="0"/>
              <w:jc w:val="center"/>
              <w:rPr>
                <w:rFonts w:hint="eastAsia" w:eastAsia="宋体"/>
                <w:sz w:val="21"/>
                <w:szCs w:val="21"/>
                <w:highlight w:val="none"/>
                <w:lang w:eastAsia="zh-CN"/>
              </w:rPr>
            </w:pPr>
            <w:r>
              <w:rPr>
                <w:rFonts w:hint="eastAsia"/>
                <w:sz w:val="21"/>
                <w:szCs w:val="21"/>
                <w:highlight w:val="none"/>
              </w:rPr>
              <w:t>-5</w:t>
            </w:r>
            <w:r>
              <w:rPr>
                <w:rFonts w:hint="eastAsia" w:eastAsia="宋体"/>
                <w:sz w:val="21"/>
                <w:szCs w:val="21"/>
                <w:highlight w:val="none"/>
                <w:lang w:val="en-US" w:eastAsia="zh-CN"/>
              </w:rPr>
              <w:t>5</w:t>
            </w:r>
          </w:p>
        </w:tc>
        <w:tc>
          <w:tcPr>
            <w:tcW w:w="465" w:type="pct"/>
            <w:tcBorders>
              <w:left w:val="single" w:color="auto" w:sz="4" w:space="0"/>
            </w:tcBorders>
            <w:vAlign w:val="center"/>
          </w:tcPr>
          <w:p>
            <w:pPr>
              <w:spacing w:line="240" w:lineRule="auto"/>
              <w:ind w:left="-53" w:leftChars="-25" w:right="-53" w:rightChars="-25" w:firstLine="0" w:firstLineChars="0"/>
              <w:jc w:val="center"/>
              <w:rPr>
                <w:rFonts w:hint="default" w:eastAsia="宋体"/>
                <w:sz w:val="21"/>
                <w:szCs w:val="21"/>
                <w:highlight w:val="none"/>
                <w:lang w:val="en-US" w:eastAsia="zh-CN"/>
              </w:rPr>
            </w:pPr>
            <w:r>
              <w:rPr>
                <w:rFonts w:hint="eastAsia" w:eastAsia="宋体"/>
                <w:sz w:val="21"/>
                <w:szCs w:val="21"/>
                <w:highlight w:val="none"/>
                <w:lang w:val="en-US" w:eastAsia="zh-CN"/>
              </w:rPr>
              <w:t>-10</w:t>
            </w:r>
          </w:p>
        </w:tc>
        <w:tc>
          <w:tcPr>
            <w:tcW w:w="380" w:type="pct"/>
            <w:tcBorders>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20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皮带机</w:t>
            </w:r>
          </w:p>
        </w:tc>
        <w:tc>
          <w:tcPr>
            <w:tcW w:w="440"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70</w:t>
            </w:r>
          </w:p>
        </w:tc>
        <w:tc>
          <w:tcPr>
            <w:tcW w:w="403" w:type="pct"/>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2</w:t>
            </w: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全运行</w:t>
            </w:r>
          </w:p>
        </w:tc>
        <w:tc>
          <w:tcPr>
            <w:tcW w:w="403" w:type="pct"/>
            <w:vMerge w:val="continue"/>
            <w:tcBorders>
              <w:right w:val="single" w:color="auto" w:sz="4" w:space="0"/>
            </w:tcBorders>
            <w:vAlign w:val="center"/>
          </w:tcPr>
          <w:p>
            <w:pPr>
              <w:spacing w:line="240" w:lineRule="auto"/>
              <w:ind w:left="-53" w:leftChars="-25" w:right="-53" w:rightChars="-25" w:firstLine="0" w:firstLineChars="0"/>
              <w:jc w:val="center"/>
              <w:rPr>
                <w:sz w:val="21"/>
                <w:szCs w:val="21"/>
                <w:highlight w:val="none"/>
              </w:rPr>
            </w:pPr>
          </w:p>
        </w:tc>
        <w:tc>
          <w:tcPr>
            <w:tcW w:w="465" w:type="pct"/>
            <w:tcBorders>
              <w:left w:val="single" w:color="auto" w:sz="4" w:space="0"/>
            </w:tcBorders>
            <w:vAlign w:val="center"/>
          </w:tcPr>
          <w:p>
            <w:pPr>
              <w:spacing w:line="240" w:lineRule="auto"/>
              <w:ind w:left="-53" w:leftChars="-25" w:right="-53" w:rightChars="-25" w:firstLine="0" w:firstLineChars="0"/>
              <w:jc w:val="center"/>
              <w:rPr>
                <w:rFonts w:hint="default" w:eastAsia="宋体"/>
                <w:sz w:val="21"/>
                <w:szCs w:val="21"/>
                <w:highlight w:val="none"/>
                <w:lang w:val="en-US" w:eastAsia="zh-CN"/>
              </w:rPr>
            </w:pPr>
            <w:r>
              <w:rPr>
                <w:rFonts w:hint="eastAsia"/>
                <w:sz w:val="21"/>
                <w:szCs w:val="21"/>
                <w:highlight w:val="none"/>
              </w:rPr>
              <w:t>-</w:t>
            </w:r>
            <w:r>
              <w:rPr>
                <w:rFonts w:hint="eastAsia" w:eastAsia="宋体"/>
                <w:sz w:val="21"/>
                <w:szCs w:val="21"/>
                <w:highlight w:val="none"/>
                <w:lang w:val="en-US" w:eastAsia="zh-CN"/>
              </w:rPr>
              <w:t>20</w:t>
            </w:r>
          </w:p>
        </w:tc>
        <w:tc>
          <w:tcPr>
            <w:tcW w:w="465" w:type="pct"/>
            <w:tcBorders>
              <w:left w:val="single" w:color="auto" w:sz="4" w:space="0"/>
            </w:tcBorders>
            <w:vAlign w:val="center"/>
          </w:tcPr>
          <w:p>
            <w:pPr>
              <w:spacing w:line="240" w:lineRule="auto"/>
              <w:ind w:left="-53" w:leftChars="-25" w:right="-53" w:rightChars="-25" w:firstLine="0" w:firstLineChars="0"/>
              <w:jc w:val="center"/>
              <w:rPr>
                <w:rFonts w:hint="default" w:eastAsia="宋体"/>
                <w:sz w:val="21"/>
                <w:szCs w:val="21"/>
                <w:highlight w:val="none"/>
                <w:lang w:val="en-US" w:eastAsia="zh-CN"/>
              </w:rPr>
            </w:pPr>
            <w:r>
              <w:rPr>
                <w:rFonts w:hint="eastAsia" w:eastAsia="宋体"/>
                <w:sz w:val="21"/>
                <w:szCs w:val="21"/>
                <w:highlight w:val="none"/>
                <w:lang w:val="en-US" w:eastAsia="zh-CN"/>
              </w:rPr>
              <w:t>12</w:t>
            </w:r>
          </w:p>
        </w:tc>
        <w:tc>
          <w:tcPr>
            <w:tcW w:w="380" w:type="pct"/>
            <w:tcBorders>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20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空压机</w:t>
            </w:r>
          </w:p>
        </w:tc>
        <w:tc>
          <w:tcPr>
            <w:tcW w:w="440"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90</w:t>
            </w: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1</w:t>
            </w: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间断运行</w:t>
            </w:r>
          </w:p>
        </w:tc>
        <w:tc>
          <w:tcPr>
            <w:tcW w:w="403" w:type="pct"/>
            <w:vMerge w:val="continue"/>
            <w:tcBorders>
              <w:right w:val="single" w:color="auto" w:sz="4" w:space="0"/>
            </w:tcBorders>
            <w:vAlign w:val="center"/>
          </w:tcPr>
          <w:p>
            <w:pPr>
              <w:spacing w:line="240" w:lineRule="auto"/>
              <w:ind w:left="-53" w:leftChars="-25" w:right="-53" w:rightChars="-25" w:firstLine="0" w:firstLineChars="0"/>
              <w:jc w:val="center"/>
              <w:rPr>
                <w:sz w:val="21"/>
                <w:szCs w:val="21"/>
                <w:highlight w:val="none"/>
              </w:rPr>
            </w:pPr>
          </w:p>
        </w:tc>
        <w:tc>
          <w:tcPr>
            <w:tcW w:w="465" w:type="pct"/>
            <w:tcBorders>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-50</w:t>
            </w:r>
          </w:p>
        </w:tc>
        <w:tc>
          <w:tcPr>
            <w:tcW w:w="465" w:type="pct"/>
            <w:tcBorders>
              <w:left w:val="single" w:color="auto" w:sz="4" w:space="0"/>
            </w:tcBorders>
            <w:vAlign w:val="center"/>
          </w:tcPr>
          <w:p>
            <w:pPr>
              <w:spacing w:line="240" w:lineRule="auto"/>
              <w:ind w:left="-53" w:leftChars="-25" w:right="-53" w:rightChars="-25" w:firstLine="0" w:firstLineChars="0"/>
              <w:jc w:val="center"/>
              <w:rPr>
                <w:rFonts w:hint="eastAsia" w:eastAsia="宋体"/>
                <w:sz w:val="21"/>
                <w:szCs w:val="21"/>
                <w:highlight w:val="none"/>
                <w:lang w:eastAsia="zh-CN"/>
              </w:rPr>
            </w:pPr>
            <w:r>
              <w:rPr>
                <w:rFonts w:hint="eastAsia" w:eastAsia="宋体"/>
                <w:sz w:val="21"/>
                <w:szCs w:val="21"/>
                <w:highlight w:val="none"/>
                <w:lang w:val="en-US" w:eastAsia="zh-CN"/>
              </w:rPr>
              <w:t>5</w:t>
            </w:r>
          </w:p>
        </w:tc>
        <w:tc>
          <w:tcPr>
            <w:tcW w:w="380" w:type="pct"/>
            <w:tcBorders>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20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Merge w:val="continue"/>
            <w:vAlign w:val="center"/>
          </w:tcPr>
          <w:p>
            <w:pPr>
              <w:spacing w:line="240" w:lineRule="auto"/>
              <w:ind w:left="-53" w:leftChars="-25" w:right="-53" w:rightChars="-25" w:firstLine="0" w:firstLineChars="0"/>
              <w:jc w:val="center"/>
              <w:rPr>
                <w:sz w:val="21"/>
                <w:szCs w:val="21"/>
                <w:highlight w:val="none"/>
              </w:rPr>
            </w:pP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风机</w:t>
            </w:r>
          </w:p>
        </w:tc>
        <w:tc>
          <w:tcPr>
            <w:tcW w:w="440"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90</w:t>
            </w: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1</w:t>
            </w:r>
          </w:p>
        </w:tc>
        <w:tc>
          <w:tcPr>
            <w:tcW w:w="40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全运行</w:t>
            </w:r>
          </w:p>
        </w:tc>
        <w:tc>
          <w:tcPr>
            <w:tcW w:w="403" w:type="pct"/>
            <w:vMerge w:val="continue"/>
            <w:tcBorders>
              <w:bottom w:val="single" w:color="auto" w:sz="4" w:space="0"/>
              <w:right w:val="single" w:color="auto" w:sz="4" w:space="0"/>
            </w:tcBorders>
            <w:vAlign w:val="center"/>
          </w:tcPr>
          <w:p>
            <w:pPr>
              <w:spacing w:line="240" w:lineRule="auto"/>
              <w:ind w:left="-53" w:leftChars="-25" w:right="-53" w:rightChars="-25" w:firstLine="0" w:firstLineChars="0"/>
              <w:jc w:val="center"/>
              <w:rPr>
                <w:sz w:val="21"/>
                <w:szCs w:val="21"/>
                <w:highlight w:val="none"/>
              </w:rPr>
            </w:pPr>
          </w:p>
        </w:tc>
        <w:tc>
          <w:tcPr>
            <w:tcW w:w="465" w:type="pct"/>
            <w:tcBorders>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-51</w:t>
            </w:r>
          </w:p>
        </w:tc>
        <w:tc>
          <w:tcPr>
            <w:tcW w:w="465" w:type="pct"/>
            <w:tcBorders>
              <w:left w:val="single" w:color="auto" w:sz="4" w:space="0"/>
            </w:tcBorders>
            <w:vAlign w:val="center"/>
          </w:tcPr>
          <w:p>
            <w:pPr>
              <w:spacing w:line="240" w:lineRule="auto"/>
              <w:ind w:left="-53" w:leftChars="-25" w:right="-53" w:rightChars="-25" w:firstLine="0" w:firstLineChars="0"/>
              <w:jc w:val="center"/>
              <w:rPr>
                <w:rFonts w:hint="eastAsia" w:eastAsia="宋体"/>
                <w:sz w:val="21"/>
                <w:szCs w:val="21"/>
                <w:highlight w:val="none"/>
                <w:lang w:eastAsia="zh-CN"/>
              </w:rPr>
            </w:pPr>
            <w:r>
              <w:rPr>
                <w:rFonts w:hint="eastAsia" w:eastAsia="宋体"/>
                <w:sz w:val="21"/>
                <w:szCs w:val="21"/>
                <w:highlight w:val="none"/>
                <w:lang w:val="en-US" w:eastAsia="zh-CN"/>
              </w:rPr>
              <w:t>3</w:t>
            </w:r>
          </w:p>
        </w:tc>
        <w:tc>
          <w:tcPr>
            <w:tcW w:w="380" w:type="pct"/>
            <w:tcBorders>
              <w:left w:val="single" w:color="auto" w:sz="4" w:space="0"/>
            </w:tcBorders>
            <w:vAlign w:val="center"/>
          </w:tcPr>
          <w:p>
            <w:pPr>
              <w:spacing w:line="240" w:lineRule="auto"/>
              <w:ind w:left="-53" w:leftChars="-25" w:right="-53" w:rightChars="-25" w:firstLine="0" w:firstLineChars="0"/>
              <w:jc w:val="center"/>
              <w:rPr>
                <w:sz w:val="21"/>
                <w:szCs w:val="21"/>
                <w:highlight w:val="none"/>
              </w:rPr>
            </w:pPr>
            <w:r>
              <w:rPr>
                <w:rFonts w:hint="eastAsia"/>
                <w:sz w:val="21"/>
                <w:szCs w:val="21"/>
                <w:highlight w:val="none"/>
              </w:rPr>
              <w:t>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20</w:t>
            </w:r>
          </w:p>
        </w:tc>
        <w:tc>
          <w:tcPr>
            <w:tcW w:w="413" w:type="pct"/>
            <w:vAlign w:val="center"/>
          </w:tcPr>
          <w:p>
            <w:pPr>
              <w:spacing w:line="240" w:lineRule="auto"/>
              <w:ind w:left="-53" w:leftChars="-25" w:right="-53" w:rightChars="-25" w:firstLine="0" w:firstLineChars="0"/>
              <w:jc w:val="center"/>
              <w:rPr>
                <w:sz w:val="21"/>
                <w:szCs w:val="21"/>
                <w:highlight w:val="none"/>
              </w:rPr>
            </w:pPr>
            <w:r>
              <w:rPr>
                <w:sz w:val="21"/>
                <w:szCs w:val="21"/>
                <w:highlight w:val="none"/>
              </w:rPr>
              <w:t>70</w:t>
            </w:r>
          </w:p>
        </w:tc>
      </w:tr>
    </w:tbl>
    <w:p>
      <w:pPr>
        <w:pStyle w:val="2"/>
        <w:rPr>
          <w:rFonts w:hint="default"/>
          <w:highlight w:val="none"/>
          <w:lang w:val="en-US" w:eastAsia="zh-CN"/>
        </w:rPr>
      </w:pPr>
    </w:p>
    <w:p>
      <w:pPr>
        <w:numPr>
          <w:ilvl w:val="0"/>
          <w:numId w:val="0"/>
        </w:numPr>
        <w:spacing w:before="16" w:line="227" w:lineRule="auto"/>
        <w:ind w:firstLine="540" w:firstLineChars="200"/>
        <w:outlineLvl w:val="2"/>
        <w:rPr>
          <w:rFonts w:hint="default" w:ascii="Times New Roman" w:hAnsi="Times New Roman" w:eastAsia="宋体" w:cs="Times New Roman"/>
          <w:spacing w:val="19"/>
          <w:sz w:val="23"/>
          <w:szCs w:val="23"/>
          <w:highlight w:val="none"/>
        </w:rPr>
      </w:pPr>
      <w:bookmarkStart w:id="649" w:name="_Toc4443"/>
      <w:bookmarkStart w:id="650" w:name="_Toc4979"/>
      <w:bookmarkStart w:id="651" w:name="_Toc6640"/>
      <w:r>
        <w:rPr>
          <w:rFonts w:hint="eastAsia" w:ascii="Times New Roman" w:hAnsi="Times New Roman" w:eastAsia="宋体" w:cs="Times New Roman"/>
          <w:spacing w:val="20"/>
          <w:sz w:val="23"/>
          <w:szCs w:val="23"/>
          <w:highlight w:val="none"/>
          <w:lang w:val="en-US" w:eastAsia="zh-CN"/>
        </w:rPr>
        <w:t>5.2.4.1</w:t>
      </w:r>
      <w:r>
        <w:rPr>
          <w:rFonts w:hint="default" w:ascii="Times New Roman" w:hAnsi="Times New Roman" w:eastAsia="宋体" w:cs="Times New Roman"/>
          <w:spacing w:val="20"/>
          <w:sz w:val="23"/>
          <w:szCs w:val="23"/>
          <w:highlight w:val="none"/>
        </w:rPr>
        <w:t>预测模</w:t>
      </w:r>
      <w:r>
        <w:rPr>
          <w:rFonts w:hint="default" w:ascii="Times New Roman" w:hAnsi="Times New Roman" w:eastAsia="宋体" w:cs="Times New Roman"/>
          <w:spacing w:val="19"/>
          <w:sz w:val="23"/>
          <w:szCs w:val="23"/>
          <w:highlight w:val="none"/>
        </w:rPr>
        <w:t>式</w:t>
      </w:r>
      <w:bookmarkEnd w:id="649"/>
      <w:bookmarkEnd w:id="650"/>
      <w:bookmarkEnd w:id="651"/>
    </w:p>
    <w:p>
      <w:pPr>
        <w:keepNext w:val="0"/>
        <w:keepLines w:val="0"/>
        <w:pageBreakBefore w:val="0"/>
        <w:wordWrap/>
        <w:overflowPunct/>
        <w:topLinePunct w:val="0"/>
        <w:bidi w:val="0"/>
        <w:spacing w:beforeLines="0" w:afterLines="0" w:line="460" w:lineRule="exact"/>
        <w:ind w:firstLine="460" w:firstLineChars="200"/>
        <w:jc w:val="left"/>
        <w:rPr>
          <w:rFonts w:hint="eastAsia" w:ascii="宋体" w:hAnsi="宋体" w:eastAsia="宋体"/>
          <w:sz w:val="23"/>
          <w:szCs w:val="23"/>
          <w:highlight w:val="none"/>
        </w:rPr>
      </w:pPr>
      <w:r>
        <w:rPr>
          <w:rFonts w:hint="eastAsia" w:ascii="宋体" w:hAnsi="宋体" w:eastAsia="宋体"/>
          <w:sz w:val="23"/>
          <w:szCs w:val="23"/>
          <w:highlight w:val="none"/>
        </w:rPr>
        <w:t>根据本工程对噪声源所采取的隔声、</w:t>
      </w:r>
      <w:r>
        <w:rPr>
          <w:rFonts w:hint="eastAsia" w:ascii="宋体" w:hAnsi="宋体" w:eastAsia="宋体"/>
          <w:sz w:val="23"/>
          <w:szCs w:val="23"/>
          <w:highlight w:val="none"/>
          <w:lang w:val="en-US" w:eastAsia="zh-CN"/>
        </w:rPr>
        <w:t>基础减振</w:t>
      </w:r>
      <w:r>
        <w:rPr>
          <w:rFonts w:hint="eastAsia" w:ascii="宋体" w:hAnsi="宋体" w:eastAsia="宋体"/>
          <w:sz w:val="23"/>
          <w:szCs w:val="23"/>
          <w:highlight w:val="none"/>
        </w:rPr>
        <w:t>等措施及效果，按照《环境影响评价技术导则声环境》（</w:t>
      </w:r>
      <w:r>
        <w:rPr>
          <w:rFonts w:hint="eastAsia" w:ascii="TimesNewRomanPSMT" w:hAnsi="TimesNewRomanPSMT" w:eastAsia="TimesNewRomanPSMT"/>
          <w:sz w:val="23"/>
          <w:szCs w:val="23"/>
          <w:highlight w:val="none"/>
        </w:rPr>
        <w:t>HJ2.4-2021</w:t>
      </w:r>
      <w:r>
        <w:rPr>
          <w:rFonts w:hint="eastAsia" w:ascii="宋体" w:hAnsi="宋体" w:eastAsia="宋体"/>
          <w:sz w:val="23"/>
          <w:szCs w:val="23"/>
          <w:highlight w:val="none"/>
        </w:rPr>
        <w:t>）中的模式预测噪声源对各预测点的影响值并进行影响评价。</w:t>
      </w:r>
    </w:p>
    <w:p>
      <w:pPr>
        <w:keepNext w:val="0"/>
        <w:keepLines w:val="0"/>
        <w:pageBreakBefore w:val="0"/>
        <w:wordWrap/>
        <w:overflowPunct/>
        <w:topLinePunct w:val="0"/>
        <w:bidi w:val="0"/>
        <w:spacing w:beforeLines="0" w:afterLines="0" w:line="460" w:lineRule="exact"/>
        <w:ind w:firstLine="460" w:firstLineChars="200"/>
        <w:jc w:val="left"/>
        <w:rPr>
          <w:rFonts w:hint="eastAsia" w:ascii="宋体" w:hAnsi="宋体" w:eastAsia="宋体"/>
          <w:sz w:val="23"/>
          <w:szCs w:val="23"/>
          <w:highlight w:val="none"/>
        </w:rPr>
      </w:pPr>
      <w:r>
        <w:rPr>
          <w:rFonts w:hint="eastAsia" w:ascii="宋体" w:hAnsi="宋体" w:eastAsia="宋体"/>
          <w:sz w:val="23"/>
          <w:szCs w:val="23"/>
          <w:highlight w:val="none"/>
        </w:rPr>
        <w:t>（</w:t>
      </w:r>
      <w:r>
        <w:rPr>
          <w:rFonts w:hint="eastAsia" w:ascii="TimesNewRomanPSMT" w:hAnsi="TimesNewRomanPSMT" w:eastAsia="TimesNewRomanPSMT"/>
          <w:sz w:val="23"/>
          <w:szCs w:val="23"/>
          <w:highlight w:val="none"/>
        </w:rPr>
        <w:t>1</w:t>
      </w:r>
      <w:r>
        <w:rPr>
          <w:rFonts w:hint="eastAsia" w:ascii="宋体" w:hAnsi="宋体" w:eastAsia="宋体"/>
          <w:sz w:val="23"/>
          <w:szCs w:val="23"/>
          <w:highlight w:val="none"/>
        </w:rPr>
        <w:t>）室外点声源对厂界噪声预测点贡献值预测模式</w:t>
      </w:r>
    </w:p>
    <w:p>
      <w:pPr>
        <w:keepNext w:val="0"/>
        <w:keepLines w:val="0"/>
        <w:pageBreakBefore w:val="0"/>
        <w:wordWrap/>
        <w:overflowPunct/>
        <w:topLinePunct w:val="0"/>
        <w:bidi w:val="0"/>
        <w:spacing w:beforeLines="0" w:afterLines="0" w:line="460" w:lineRule="exact"/>
        <w:ind w:firstLine="460" w:firstLineChars="200"/>
        <w:jc w:val="left"/>
        <w:rPr>
          <w:rFonts w:hint="eastAsia" w:ascii="宋体" w:hAnsi="宋体" w:eastAsia="宋体"/>
          <w:sz w:val="23"/>
          <w:szCs w:val="23"/>
          <w:highlight w:val="none"/>
        </w:rPr>
      </w:pPr>
      <w:r>
        <w:rPr>
          <w:rFonts w:hint="eastAsia" w:ascii="宋体" w:hAnsi="宋体" w:eastAsia="宋体"/>
          <w:sz w:val="23"/>
          <w:szCs w:val="23"/>
          <w:highlight w:val="none"/>
        </w:rPr>
        <w:t>各声源对预测点的贡献值按下式计算：</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Lp</w:t>
      </w:r>
      <w:r>
        <w:rPr>
          <w:rFonts w:hint="eastAsia" w:ascii="宋体" w:hAnsi="宋体" w:eastAsia="宋体"/>
          <w:sz w:val="23"/>
          <w:szCs w:val="23"/>
          <w:highlight w:val="none"/>
        </w:rPr>
        <w:t>（</w:t>
      </w:r>
      <w:r>
        <w:rPr>
          <w:rFonts w:hint="eastAsia" w:ascii="TimesNewRomanPSMT" w:hAnsi="TimesNewRomanPSMT" w:eastAsia="TimesNewRomanPSMT"/>
          <w:sz w:val="23"/>
          <w:szCs w:val="23"/>
          <w:highlight w:val="none"/>
        </w:rPr>
        <w:t>r</w:t>
      </w:r>
      <w:r>
        <w:rPr>
          <w:rFonts w:hint="eastAsia" w:ascii="宋体" w:hAnsi="宋体" w:eastAsia="宋体"/>
          <w:sz w:val="23"/>
          <w:szCs w:val="23"/>
          <w:highlight w:val="none"/>
        </w:rPr>
        <w:t>）</w:t>
      </w:r>
      <w:r>
        <w:rPr>
          <w:rFonts w:hint="eastAsia" w:ascii="TimesNewRomanPSMT" w:hAnsi="TimesNewRomanPSMT" w:eastAsia="TimesNewRomanPSMT"/>
          <w:sz w:val="23"/>
          <w:szCs w:val="23"/>
          <w:highlight w:val="none"/>
        </w:rPr>
        <w:t>=Lw+Dc-</w:t>
      </w:r>
      <w:r>
        <w:rPr>
          <w:rFonts w:hint="eastAsia" w:ascii="宋体" w:hAnsi="宋体" w:eastAsia="宋体"/>
          <w:sz w:val="23"/>
          <w:szCs w:val="23"/>
          <w:highlight w:val="none"/>
        </w:rPr>
        <w:t>（</w:t>
      </w:r>
      <w:r>
        <w:rPr>
          <w:rFonts w:hint="eastAsia" w:ascii="TimesNewRomanPSMT" w:hAnsi="TimesNewRomanPSMT" w:eastAsia="TimesNewRomanPSMT"/>
          <w:sz w:val="23"/>
          <w:szCs w:val="23"/>
          <w:highlight w:val="none"/>
        </w:rPr>
        <w:t>Adiv+Aatm+Agr+Abar+Amisc</w:t>
      </w:r>
      <w:r>
        <w:rPr>
          <w:rFonts w:hint="eastAsia" w:ascii="宋体" w:hAnsi="宋体" w:eastAsia="宋体"/>
          <w:sz w:val="23"/>
          <w:szCs w:val="23"/>
          <w:highlight w:val="none"/>
        </w:rPr>
        <w:t>）</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宋体" w:hAnsi="宋体" w:eastAsia="宋体"/>
          <w:sz w:val="23"/>
          <w:szCs w:val="23"/>
          <w:highlight w:val="none"/>
        </w:rPr>
        <w:t>式中：</w:t>
      </w:r>
      <w:r>
        <w:rPr>
          <w:rFonts w:hint="eastAsia" w:ascii="TimesNewRomanPSMT" w:hAnsi="TimesNewRomanPSMT" w:eastAsia="TimesNewRomanPSMT"/>
          <w:sz w:val="23"/>
          <w:szCs w:val="23"/>
          <w:highlight w:val="none"/>
        </w:rPr>
        <w:t>L</w:t>
      </w:r>
      <w:r>
        <w:rPr>
          <w:rFonts w:hint="eastAsia" w:ascii="宋体" w:hAnsi="宋体" w:eastAsia="宋体"/>
          <w:sz w:val="23"/>
          <w:szCs w:val="23"/>
          <w:highlight w:val="none"/>
        </w:rPr>
        <w:t>（</w:t>
      </w:r>
      <w:r>
        <w:rPr>
          <w:rFonts w:hint="eastAsia" w:ascii="TimesNewRomanPSMT" w:hAnsi="TimesNewRomanPSMT" w:eastAsia="TimesNewRomanPSMT"/>
          <w:sz w:val="23"/>
          <w:szCs w:val="23"/>
          <w:highlight w:val="none"/>
        </w:rPr>
        <w:t>r</w:t>
      </w:r>
      <w:r>
        <w:rPr>
          <w:rFonts w:hint="eastAsia" w:ascii="宋体" w:hAnsi="宋体" w:eastAsia="宋体"/>
          <w:sz w:val="23"/>
          <w:szCs w:val="23"/>
          <w:highlight w:val="none"/>
        </w:rPr>
        <w:t>）</w:t>
      </w:r>
      <w:r>
        <w:rPr>
          <w:rFonts w:hint="eastAsia" w:ascii="TimesNewRomanPSMT" w:hAnsi="TimesNewRomanPSMT" w:eastAsia="TimesNewRomanPSMT"/>
          <w:sz w:val="23"/>
          <w:szCs w:val="23"/>
          <w:highlight w:val="none"/>
        </w:rPr>
        <w:t>p——</w:t>
      </w:r>
      <w:r>
        <w:rPr>
          <w:rFonts w:hint="eastAsia" w:ascii="宋体" w:hAnsi="宋体" w:eastAsia="宋体"/>
          <w:sz w:val="23"/>
          <w:szCs w:val="23"/>
          <w:highlight w:val="none"/>
        </w:rPr>
        <w:t>预测点处声压级，</w:t>
      </w:r>
      <w:r>
        <w:rPr>
          <w:rFonts w:hint="eastAsia" w:ascii="TimesNewRomanPSMT" w:hAnsi="TimesNewRomanPSMT" w:eastAsia="TimesNewRomanPSMT"/>
          <w:sz w:val="23"/>
          <w:szCs w:val="23"/>
          <w:highlight w:val="none"/>
        </w:rPr>
        <w:t>dB</w:t>
      </w:r>
      <w:r>
        <w:rPr>
          <w:rFonts w:hint="eastAsia" w:ascii="宋体" w:hAnsi="宋体" w:eastAsia="宋体"/>
          <w:sz w:val="23"/>
          <w:szCs w:val="23"/>
          <w:highlight w:val="none"/>
        </w:rPr>
        <w:t>；</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Lw——</w:t>
      </w:r>
      <w:r>
        <w:rPr>
          <w:rFonts w:hint="eastAsia" w:ascii="宋体" w:hAnsi="宋体" w:eastAsia="宋体"/>
          <w:sz w:val="23"/>
          <w:szCs w:val="23"/>
          <w:highlight w:val="none"/>
        </w:rPr>
        <w:t>由点声源产生的声功率级（</w:t>
      </w:r>
      <w:r>
        <w:rPr>
          <w:rFonts w:hint="eastAsia" w:ascii="TimesNewRomanPSMT" w:hAnsi="TimesNewRomanPSMT" w:eastAsia="TimesNewRomanPSMT"/>
          <w:sz w:val="23"/>
          <w:szCs w:val="23"/>
          <w:highlight w:val="none"/>
        </w:rPr>
        <w:t xml:space="preserve">A </w:t>
      </w:r>
      <w:r>
        <w:rPr>
          <w:rFonts w:hint="eastAsia" w:ascii="宋体" w:hAnsi="宋体" w:eastAsia="宋体"/>
          <w:sz w:val="23"/>
          <w:szCs w:val="23"/>
          <w:highlight w:val="none"/>
        </w:rPr>
        <w:t>计权或倍频带），</w:t>
      </w:r>
      <w:r>
        <w:rPr>
          <w:rFonts w:hint="eastAsia" w:ascii="TimesNewRomanPSMT" w:hAnsi="TimesNewRomanPSMT" w:eastAsia="TimesNewRomanPSMT"/>
          <w:sz w:val="23"/>
          <w:szCs w:val="23"/>
          <w:highlight w:val="none"/>
        </w:rPr>
        <w:t>dB</w:t>
      </w:r>
      <w:r>
        <w:rPr>
          <w:rFonts w:hint="eastAsia" w:ascii="宋体" w:hAnsi="宋体" w:eastAsia="宋体"/>
          <w:sz w:val="23"/>
          <w:szCs w:val="23"/>
          <w:highlight w:val="none"/>
        </w:rPr>
        <w:t>；</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Dc——</w:t>
      </w:r>
      <w:r>
        <w:rPr>
          <w:rFonts w:hint="eastAsia" w:ascii="宋体" w:hAnsi="宋体" w:eastAsia="宋体"/>
          <w:sz w:val="23"/>
          <w:szCs w:val="23"/>
          <w:highlight w:val="none"/>
        </w:rPr>
        <w:t>指向性校正，</w:t>
      </w:r>
      <w:r>
        <w:rPr>
          <w:rFonts w:hint="eastAsia" w:ascii="TimesNewRomanPSMT" w:hAnsi="TimesNewRomanPSMT" w:eastAsia="TimesNewRomanPSMT"/>
          <w:sz w:val="23"/>
          <w:szCs w:val="23"/>
          <w:highlight w:val="none"/>
        </w:rPr>
        <w:t>dB</w:t>
      </w:r>
      <w:r>
        <w:rPr>
          <w:rFonts w:hint="eastAsia" w:ascii="宋体" w:hAnsi="宋体" w:eastAsia="宋体"/>
          <w:sz w:val="23"/>
          <w:szCs w:val="23"/>
          <w:highlight w:val="none"/>
        </w:rPr>
        <w:t>；</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Adiv—</w:t>
      </w:r>
      <w:r>
        <w:rPr>
          <w:rFonts w:hint="eastAsia" w:ascii="宋体" w:hAnsi="宋体" w:eastAsia="宋体"/>
          <w:sz w:val="23"/>
          <w:szCs w:val="23"/>
          <w:highlight w:val="none"/>
        </w:rPr>
        <w:t>几何发散引起的倍频带衰减；</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Abar—</w:t>
      </w:r>
      <w:r>
        <w:rPr>
          <w:rFonts w:hint="eastAsia" w:ascii="宋体" w:hAnsi="宋体" w:eastAsia="宋体"/>
          <w:sz w:val="23"/>
          <w:szCs w:val="23"/>
          <w:highlight w:val="none"/>
        </w:rPr>
        <w:t>声屏障引起的倍频带衰减；</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Aatm—</w:t>
      </w:r>
      <w:r>
        <w:rPr>
          <w:rFonts w:hint="eastAsia" w:ascii="宋体" w:hAnsi="宋体" w:eastAsia="宋体"/>
          <w:sz w:val="23"/>
          <w:szCs w:val="23"/>
          <w:highlight w:val="none"/>
        </w:rPr>
        <w:t>大气吸收引起的倍频带衰减；</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Agr—</w:t>
      </w:r>
      <w:r>
        <w:rPr>
          <w:rFonts w:hint="eastAsia" w:ascii="宋体" w:hAnsi="宋体" w:eastAsia="宋体"/>
          <w:sz w:val="23"/>
          <w:szCs w:val="23"/>
          <w:highlight w:val="none"/>
        </w:rPr>
        <w:t>地面效应引起的倍频带衰减；</w:t>
      </w:r>
    </w:p>
    <w:p>
      <w:pPr>
        <w:pStyle w:val="2"/>
        <w:keepNext w:val="0"/>
        <w:keepLines w:val="0"/>
        <w:pageBreakBefore w:val="0"/>
        <w:kinsoku/>
        <w:wordWrap/>
        <w:overflowPunct/>
        <w:topLinePunct w:val="0"/>
        <w:autoSpaceDE/>
        <w:autoSpaceDN/>
        <w:bidi w:val="0"/>
        <w:adjustRightInd/>
        <w:snapToGrid/>
        <w:spacing w:line="460" w:lineRule="exact"/>
        <w:ind w:firstLine="460" w:firstLineChars="200"/>
        <w:textAlignment w:val="auto"/>
        <w:rPr>
          <w:rFonts w:hint="default"/>
          <w:sz w:val="23"/>
          <w:szCs w:val="23"/>
          <w:highlight w:val="none"/>
        </w:rPr>
      </w:pPr>
      <w:r>
        <w:rPr>
          <w:rFonts w:hint="eastAsia" w:ascii="TimesNewRomanPSMT" w:hAnsi="TimesNewRomanPSMT" w:eastAsia="TimesNewRomanPSMT"/>
          <w:sz w:val="23"/>
          <w:szCs w:val="23"/>
          <w:highlight w:val="none"/>
        </w:rPr>
        <w:t>Amisc—</w:t>
      </w:r>
      <w:r>
        <w:rPr>
          <w:rFonts w:hint="eastAsia" w:ascii="宋体" w:hAnsi="宋体" w:eastAsia="宋体"/>
          <w:sz w:val="23"/>
          <w:szCs w:val="23"/>
          <w:highlight w:val="none"/>
        </w:rPr>
        <w:t>其他多方面效应引起的倍频带衰减。</w:t>
      </w:r>
    </w:p>
    <w:p>
      <w:pPr>
        <w:keepNext w:val="0"/>
        <w:keepLines w:val="0"/>
        <w:pageBreakBefore w:val="0"/>
        <w:wordWrap/>
        <w:overflowPunct/>
        <w:topLinePunct w:val="0"/>
        <w:bidi w:val="0"/>
        <w:spacing w:beforeLines="0" w:afterLines="0" w:line="460" w:lineRule="exact"/>
        <w:ind w:firstLine="460" w:firstLineChars="200"/>
        <w:jc w:val="left"/>
        <w:rPr>
          <w:rFonts w:hint="eastAsia" w:ascii="宋体" w:hAnsi="宋体" w:eastAsia="宋体"/>
          <w:sz w:val="23"/>
          <w:szCs w:val="23"/>
          <w:highlight w:val="none"/>
          <w:lang w:val="en-US" w:eastAsia="zh-CN"/>
        </w:rPr>
      </w:pPr>
      <w:r>
        <w:rPr>
          <w:rFonts w:hint="eastAsia" w:ascii="宋体" w:hAnsi="宋体" w:eastAsia="宋体"/>
          <w:sz w:val="23"/>
          <w:szCs w:val="23"/>
          <w:highlight w:val="none"/>
          <w:lang w:eastAsia="zh-CN"/>
        </w:rPr>
        <w:t>（</w:t>
      </w:r>
      <w:r>
        <w:rPr>
          <w:rFonts w:hint="eastAsia" w:ascii="宋体" w:hAnsi="宋体" w:eastAsia="宋体"/>
          <w:sz w:val="23"/>
          <w:szCs w:val="23"/>
          <w:highlight w:val="none"/>
          <w:lang w:val="en-US" w:eastAsia="zh-CN"/>
        </w:rPr>
        <w:t>2</w:t>
      </w:r>
      <w:r>
        <w:rPr>
          <w:rFonts w:hint="eastAsia" w:ascii="宋体" w:hAnsi="宋体" w:eastAsia="宋体"/>
          <w:sz w:val="23"/>
          <w:szCs w:val="23"/>
          <w:highlight w:val="none"/>
          <w:lang w:eastAsia="zh-CN"/>
        </w:rPr>
        <w:t>）</w:t>
      </w:r>
      <w:r>
        <w:rPr>
          <w:rFonts w:hint="eastAsia" w:ascii="宋体" w:hAnsi="宋体" w:eastAsia="宋体"/>
          <w:sz w:val="23"/>
          <w:szCs w:val="23"/>
          <w:highlight w:val="none"/>
          <w:lang w:val="en-US" w:eastAsia="zh-CN"/>
        </w:rPr>
        <w:t>计算总声压级</w:t>
      </w:r>
    </w:p>
    <w:p>
      <w:pPr>
        <w:keepNext w:val="0"/>
        <w:keepLines w:val="0"/>
        <w:pageBreakBefore w:val="0"/>
        <w:wordWrap/>
        <w:overflowPunct/>
        <w:topLinePunct w:val="0"/>
        <w:bidi w:val="0"/>
        <w:spacing w:beforeLines="0" w:afterLines="0" w:line="460" w:lineRule="exact"/>
        <w:ind w:firstLine="460" w:firstLineChars="200"/>
        <w:jc w:val="left"/>
        <w:rPr>
          <w:rFonts w:hint="eastAsia" w:ascii="宋体" w:hAnsi="宋体" w:eastAsia="宋体"/>
          <w:sz w:val="23"/>
          <w:szCs w:val="23"/>
          <w:highlight w:val="none"/>
        </w:rPr>
      </w:pPr>
      <w:r>
        <w:rPr>
          <w:rFonts w:hint="eastAsia" w:ascii="宋体" w:hAnsi="宋体" w:eastAsia="宋体"/>
          <w:sz w:val="23"/>
          <w:szCs w:val="23"/>
          <w:highlight w:val="none"/>
        </w:rPr>
        <w:t>将第</w:t>
      </w:r>
      <w:r>
        <w:rPr>
          <w:rFonts w:hint="eastAsia" w:ascii="TimesNewRomanPSMT" w:hAnsi="TimesNewRomanPSMT" w:eastAsia="TimesNewRomanPSMT"/>
          <w:sz w:val="23"/>
          <w:szCs w:val="23"/>
          <w:highlight w:val="none"/>
        </w:rPr>
        <w:t xml:space="preserve">i </w:t>
      </w:r>
      <w:r>
        <w:rPr>
          <w:rFonts w:hint="eastAsia" w:ascii="宋体" w:hAnsi="宋体" w:eastAsia="宋体"/>
          <w:sz w:val="23"/>
          <w:szCs w:val="23"/>
          <w:highlight w:val="none"/>
        </w:rPr>
        <w:t>个等效室外声源在预测点产生的</w:t>
      </w:r>
      <w:r>
        <w:rPr>
          <w:rFonts w:hint="eastAsia" w:ascii="TimesNewRomanPSMT" w:hAnsi="TimesNewRomanPSMT" w:eastAsia="TimesNewRomanPSMT"/>
          <w:sz w:val="23"/>
          <w:szCs w:val="23"/>
          <w:highlight w:val="none"/>
        </w:rPr>
        <w:t xml:space="preserve">A </w:t>
      </w:r>
      <w:r>
        <w:rPr>
          <w:rFonts w:hint="eastAsia" w:ascii="宋体" w:hAnsi="宋体" w:eastAsia="宋体"/>
          <w:sz w:val="23"/>
          <w:szCs w:val="23"/>
          <w:highlight w:val="none"/>
        </w:rPr>
        <w:t>声级为</w:t>
      </w:r>
      <w:r>
        <w:rPr>
          <w:rFonts w:hint="eastAsia" w:ascii="TimesNewRomanPSMT" w:hAnsi="TimesNewRomanPSMT" w:eastAsia="TimesNewRomanPSMT"/>
          <w:sz w:val="23"/>
          <w:szCs w:val="23"/>
          <w:highlight w:val="none"/>
        </w:rPr>
        <w:t>LAi</w:t>
      </w:r>
      <w:r>
        <w:rPr>
          <w:rFonts w:hint="eastAsia" w:ascii="宋体" w:hAnsi="宋体" w:eastAsia="宋体"/>
          <w:sz w:val="23"/>
          <w:szCs w:val="23"/>
          <w:highlight w:val="none"/>
        </w:rPr>
        <w:t>，在</w:t>
      </w:r>
      <w:r>
        <w:rPr>
          <w:rFonts w:hint="eastAsia" w:ascii="TimesNewRomanPSMT" w:hAnsi="TimesNewRomanPSMT" w:eastAsia="TimesNewRomanPSMT"/>
          <w:sz w:val="23"/>
          <w:szCs w:val="23"/>
          <w:highlight w:val="none"/>
        </w:rPr>
        <w:t xml:space="preserve">T </w:t>
      </w:r>
      <w:r>
        <w:rPr>
          <w:rFonts w:hint="eastAsia" w:ascii="宋体" w:hAnsi="宋体" w:eastAsia="宋体"/>
          <w:sz w:val="23"/>
          <w:szCs w:val="23"/>
          <w:highlight w:val="none"/>
        </w:rPr>
        <w:t>时间内该声源工作时间为</w:t>
      </w:r>
      <w:r>
        <w:rPr>
          <w:rFonts w:hint="eastAsia" w:ascii="TimesNewRomanPSMT" w:hAnsi="TimesNewRomanPSMT" w:eastAsia="TimesNewRomanPSMT"/>
          <w:sz w:val="23"/>
          <w:szCs w:val="23"/>
          <w:highlight w:val="none"/>
        </w:rPr>
        <w:t>t i</w:t>
      </w:r>
      <w:r>
        <w:rPr>
          <w:rFonts w:hint="eastAsia" w:ascii="宋体" w:hAnsi="宋体" w:eastAsia="宋体"/>
          <w:sz w:val="23"/>
          <w:szCs w:val="23"/>
          <w:highlight w:val="none"/>
        </w:rPr>
        <w:t>，第</w:t>
      </w:r>
      <w:r>
        <w:rPr>
          <w:rFonts w:hint="eastAsia" w:ascii="TimesNewRomanPSMT" w:hAnsi="TimesNewRomanPSMT" w:eastAsia="TimesNewRomanPSMT"/>
          <w:sz w:val="23"/>
          <w:szCs w:val="23"/>
          <w:highlight w:val="none"/>
        </w:rPr>
        <w:t xml:space="preserve">j </w:t>
      </w:r>
      <w:r>
        <w:rPr>
          <w:rFonts w:hint="eastAsia" w:ascii="宋体" w:hAnsi="宋体" w:eastAsia="宋体"/>
          <w:sz w:val="23"/>
          <w:szCs w:val="23"/>
          <w:highlight w:val="none"/>
        </w:rPr>
        <w:t>个等效室外声源在预测点产生的</w:t>
      </w:r>
      <w:r>
        <w:rPr>
          <w:rFonts w:hint="eastAsia" w:ascii="TimesNewRomanPSMT" w:hAnsi="TimesNewRomanPSMT" w:eastAsia="TimesNewRomanPSMT"/>
          <w:sz w:val="23"/>
          <w:szCs w:val="23"/>
          <w:highlight w:val="none"/>
        </w:rPr>
        <w:t xml:space="preserve">A </w:t>
      </w:r>
      <w:r>
        <w:rPr>
          <w:rFonts w:hint="eastAsia" w:ascii="宋体" w:hAnsi="宋体" w:eastAsia="宋体"/>
          <w:sz w:val="23"/>
          <w:szCs w:val="23"/>
          <w:highlight w:val="none"/>
        </w:rPr>
        <w:t>声级为</w:t>
      </w:r>
      <w:r>
        <w:rPr>
          <w:rFonts w:hint="eastAsia" w:ascii="TimesNewRomanPSMT" w:hAnsi="TimesNewRomanPSMT" w:eastAsia="TimesNewRomanPSMT"/>
          <w:sz w:val="23"/>
          <w:szCs w:val="23"/>
          <w:highlight w:val="none"/>
        </w:rPr>
        <w:t>LAj</w:t>
      </w:r>
      <w:r>
        <w:rPr>
          <w:rFonts w:hint="eastAsia" w:ascii="宋体" w:hAnsi="宋体" w:eastAsia="宋体"/>
          <w:sz w:val="23"/>
          <w:szCs w:val="23"/>
          <w:highlight w:val="none"/>
        </w:rPr>
        <w:t>，在</w:t>
      </w:r>
      <w:r>
        <w:rPr>
          <w:rFonts w:hint="eastAsia" w:ascii="TimesNewRomanPSMT" w:hAnsi="TimesNewRomanPSMT" w:eastAsia="TimesNewRomanPSMT"/>
          <w:sz w:val="23"/>
          <w:szCs w:val="23"/>
          <w:highlight w:val="none"/>
        </w:rPr>
        <w:t xml:space="preserve">T </w:t>
      </w:r>
      <w:r>
        <w:rPr>
          <w:rFonts w:hint="eastAsia" w:ascii="宋体" w:hAnsi="宋体" w:eastAsia="宋体"/>
          <w:sz w:val="23"/>
          <w:szCs w:val="23"/>
          <w:highlight w:val="none"/>
        </w:rPr>
        <w:t>时间内该声源工作时间为</w:t>
      </w:r>
      <w:r>
        <w:rPr>
          <w:rFonts w:hint="eastAsia" w:ascii="TimesNewRomanPSMT" w:hAnsi="TimesNewRomanPSMT" w:eastAsia="TimesNewRomanPSMT"/>
          <w:sz w:val="23"/>
          <w:szCs w:val="23"/>
          <w:highlight w:val="none"/>
        </w:rPr>
        <w:t>t j</w:t>
      </w:r>
      <w:r>
        <w:rPr>
          <w:rFonts w:hint="eastAsia" w:ascii="宋体" w:hAnsi="宋体" w:eastAsia="宋体"/>
          <w:sz w:val="23"/>
          <w:szCs w:val="23"/>
          <w:highlight w:val="none"/>
        </w:rPr>
        <w:t>，则建设工程声源对预测点产生的贡献值（</w:t>
      </w:r>
      <w:r>
        <w:rPr>
          <w:rFonts w:hint="eastAsia" w:ascii="TimesNewRomanPSMT" w:hAnsi="TimesNewRomanPSMT" w:eastAsia="TimesNewRomanPSMT"/>
          <w:sz w:val="23"/>
          <w:szCs w:val="23"/>
          <w:highlight w:val="none"/>
        </w:rPr>
        <w:t>Leqg</w:t>
      </w:r>
      <w:r>
        <w:rPr>
          <w:rFonts w:hint="eastAsia" w:ascii="宋体" w:hAnsi="宋体" w:eastAsia="宋体"/>
          <w:sz w:val="23"/>
          <w:szCs w:val="23"/>
          <w:highlight w:val="none"/>
        </w:rPr>
        <w:t>）为：</w:t>
      </w:r>
    </w:p>
    <w:p>
      <w:pPr>
        <w:keepNext w:val="0"/>
        <w:keepLines w:val="0"/>
        <w:pageBreakBefore w:val="0"/>
        <w:wordWrap/>
        <w:overflowPunct/>
        <w:topLinePunct w:val="0"/>
        <w:bidi w:val="0"/>
        <w:spacing w:beforeLines="0" w:afterLines="0" w:line="460" w:lineRule="exact"/>
        <w:ind w:firstLine="460" w:firstLineChars="200"/>
        <w:jc w:val="left"/>
        <w:rPr>
          <w:rFonts w:hint="eastAsia" w:ascii="宋体" w:hAnsi="宋体" w:eastAsia="宋体"/>
          <w:sz w:val="23"/>
          <w:szCs w:val="23"/>
          <w:highlight w:val="none"/>
        </w:rPr>
      </w:pPr>
      <w:r>
        <w:rPr>
          <w:sz w:val="23"/>
          <w:szCs w:val="23"/>
          <w:highlight w:val="none"/>
        </w:rPr>
        <w:drawing>
          <wp:anchor distT="0" distB="0" distL="114300" distR="114300" simplePos="0" relativeHeight="251883520" behindDoc="0" locked="0" layoutInCell="1" allowOverlap="1">
            <wp:simplePos x="0" y="0"/>
            <wp:positionH relativeFrom="column">
              <wp:posOffset>875665</wp:posOffset>
            </wp:positionH>
            <wp:positionV relativeFrom="paragraph">
              <wp:posOffset>30480</wp:posOffset>
            </wp:positionV>
            <wp:extent cx="2762250" cy="561975"/>
            <wp:effectExtent l="0" t="0" r="0" b="952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7"/>
                    <a:stretch>
                      <a:fillRect/>
                    </a:stretch>
                  </pic:blipFill>
                  <pic:spPr>
                    <a:xfrm>
                      <a:off x="0" y="0"/>
                      <a:ext cx="2762250" cy="561975"/>
                    </a:xfrm>
                    <a:prstGeom prst="rect">
                      <a:avLst/>
                    </a:prstGeom>
                    <a:noFill/>
                    <a:ln>
                      <a:noFill/>
                    </a:ln>
                  </pic:spPr>
                </pic:pic>
              </a:graphicData>
            </a:graphic>
          </wp:anchor>
        </w:drawing>
      </w:r>
    </w:p>
    <w:p>
      <w:pPr>
        <w:keepNext w:val="0"/>
        <w:keepLines w:val="0"/>
        <w:pageBreakBefore w:val="0"/>
        <w:wordWrap/>
        <w:overflowPunct/>
        <w:topLinePunct w:val="0"/>
        <w:bidi w:val="0"/>
        <w:spacing w:beforeLines="0" w:afterLines="0" w:line="460" w:lineRule="exact"/>
        <w:ind w:firstLine="460" w:firstLineChars="200"/>
        <w:jc w:val="left"/>
        <w:rPr>
          <w:rFonts w:hint="eastAsia" w:ascii="宋体" w:hAnsi="宋体" w:eastAsia="宋体"/>
          <w:sz w:val="23"/>
          <w:szCs w:val="23"/>
          <w:highlight w:val="none"/>
        </w:rPr>
      </w:pP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宋体" w:hAnsi="宋体" w:eastAsia="宋体"/>
          <w:sz w:val="23"/>
          <w:szCs w:val="23"/>
          <w:highlight w:val="none"/>
        </w:rPr>
        <w:t xml:space="preserve">式中： </w:t>
      </w:r>
      <w:r>
        <w:rPr>
          <w:rFonts w:hint="eastAsia" w:ascii="TimesNewRomanPSMT" w:hAnsi="TimesNewRomanPSMT" w:eastAsia="TimesNewRomanPSMT"/>
          <w:sz w:val="23"/>
          <w:szCs w:val="23"/>
          <w:highlight w:val="none"/>
        </w:rPr>
        <w:t>Leqg——</w:t>
      </w:r>
      <w:r>
        <w:rPr>
          <w:rFonts w:hint="eastAsia" w:ascii="宋体" w:hAnsi="宋体" w:eastAsia="宋体"/>
          <w:sz w:val="23"/>
          <w:szCs w:val="23"/>
          <w:highlight w:val="none"/>
        </w:rPr>
        <w:t>建设项目声源在预测点的噪声贡献值，</w:t>
      </w:r>
      <w:r>
        <w:rPr>
          <w:rFonts w:hint="eastAsia" w:ascii="TimesNewRomanPSMT" w:hAnsi="TimesNewRomanPSMT" w:eastAsia="TimesNewRomanPSMT"/>
          <w:sz w:val="23"/>
          <w:szCs w:val="23"/>
          <w:highlight w:val="none"/>
        </w:rPr>
        <w:t>dB</w:t>
      </w:r>
      <w:r>
        <w:rPr>
          <w:rFonts w:hint="eastAsia" w:ascii="宋体" w:hAnsi="宋体" w:eastAsia="宋体"/>
          <w:sz w:val="23"/>
          <w:szCs w:val="23"/>
          <w:highlight w:val="none"/>
        </w:rPr>
        <w:t>；</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T——</w:t>
      </w:r>
      <w:r>
        <w:rPr>
          <w:rFonts w:hint="eastAsia" w:ascii="宋体" w:hAnsi="宋体" w:eastAsia="宋体"/>
          <w:sz w:val="23"/>
          <w:szCs w:val="23"/>
          <w:highlight w:val="none"/>
        </w:rPr>
        <w:t>用于计算等效声级的时间，</w:t>
      </w:r>
      <w:r>
        <w:rPr>
          <w:rFonts w:hint="eastAsia" w:ascii="TimesNewRomanPSMT" w:hAnsi="TimesNewRomanPSMT" w:eastAsia="TimesNewRomanPSMT"/>
          <w:sz w:val="23"/>
          <w:szCs w:val="23"/>
          <w:highlight w:val="none"/>
        </w:rPr>
        <w:t>s</w:t>
      </w:r>
      <w:r>
        <w:rPr>
          <w:rFonts w:hint="eastAsia" w:ascii="宋体" w:hAnsi="宋体" w:eastAsia="宋体"/>
          <w:sz w:val="23"/>
          <w:szCs w:val="23"/>
          <w:highlight w:val="none"/>
        </w:rPr>
        <w:t>；</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N——</w:t>
      </w:r>
      <w:r>
        <w:rPr>
          <w:rFonts w:hint="eastAsia" w:ascii="宋体" w:hAnsi="宋体" w:eastAsia="宋体"/>
          <w:sz w:val="23"/>
          <w:szCs w:val="23"/>
          <w:highlight w:val="none"/>
        </w:rPr>
        <w:t>室外声源个数；</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ti——</w:t>
      </w:r>
      <w:r>
        <w:rPr>
          <w:rFonts w:hint="eastAsia" w:ascii="宋体" w:hAnsi="宋体" w:eastAsia="宋体"/>
          <w:sz w:val="23"/>
          <w:szCs w:val="23"/>
          <w:highlight w:val="none"/>
        </w:rPr>
        <w:t>在</w:t>
      </w:r>
      <w:r>
        <w:rPr>
          <w:rFonts w:hint="eastAsia" w:ascii="TimesNewRomanPSMT" w:hAnsi="TimesNewRomanPSMT" w:eastAsia="TimesNewRomanPSMT"/>
          <w:sz w:val="23"/>
          <w:szCs w:val="23"/>
          <w:highlight w:val="none"/>
        </w:rPr>
        <w:t xml:space="preserve">T </w:t>
      </w:r>
      <w:r>
        <w:rPr>
          <w:rFonts w:hint="eastAsia" w:ascii="宋体" w:hAnsi="宋体" w:eastAsia="宋体"/>
          <w:sz w:val="23"/>
          <w:szCs w:val="23"/>
          <w:highlight w:val="none"/>
        </w:rPr>
        <w:t>时间内</w:t>
      </w:r>
      <w:r>
        <w:rPr>
          <w:rFonts w:hint="eastAsia" w:ascii="TimesNewRomanPSMT" w:hAnsi="TimesNewRomanPSMT" w:eastAsia="TimesNewRomanPSMT"/>
          <w:sz w:val="23"/>
          <w:szCs w:val="23"/>
          <w:highlight w:val="none"/>
        </w:rPr>
        <w:t xml:space="preserve">i </w:t>
      </w:r>
      <w:r>
        <w:rPr>
          <w:rFonts w:hint="eastAsia" w:ascii="宋体" w:hAnsi="宋体" w:eastAsia="宋体"/>
          <w:sz w:val="23"/>
          <w:szCs w:val="23"/>
          <w:highlight w:val="none"/>
        </w:rPr>
        <w:t>声源工作时间，</w:t>
      </w:r>
      <w:r>
        <w:rPr>
          <w:rFonts w:hint="eastAsia" w:ascii="TimesNewRomanPSMT" w:hAnsi="TimesNewRomanPSMT" w:eastAsia="TimesNewRomanPSMT"/>
          <w:sz w:val="23"/>
          <w:szCs w:val="23"/>
          <w:highlight w:val="none"/>
        </w:rPr>
        <w:t>s</w:t>
      </w:r>
      <w:r>
        <w:rPr>
          <w:rFonts w:hint="eastAsia" w:ascii="宋体" w:hAnsi="宋体" w:eastAsia="宋体"/>
          <w:sz w:val="23"/>
          <w:szCs w:val="23"/>
          <w:highlight w:val="none"/>
        </w:rPr>
        <w:t>；</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M——</w:t>
      </w:r>
      <w:r>
        <w:rPr>
          <w:rFonts w:hint="eastAsia" w:ascii="宋体" w:hAnsi="宋体" w:eastAsia="宋体"/>
          <w:sz w:val="23"/>
          <w:szCs w:val="23"/>
          <w:highlight w:val="none"/>
        </w:rPr>
        <w:t>等效室外声源个数；</w:t>
      </w:r>
    </w:p>
    <w:p>
      <w:pPr>
        <w:pStyle w:val="25"/>
        <w:keepNext w:val="0"/>
        <w:keepLines w:val="0"/>
        <w:pageBreakBefore w:val="0"/>
        <w:kinsoku/>
        <w:wordWrap/>
        <w:overflowPunct/>
        <w:topLinePunct w:val="0"/>
        <w:autoSpaceDE/>
        <w:autoSpaceDN/>
        <w:bidi w:val="0"/>
        <w:adjustRightInd/>
        <w:snapToGrid/>
        <w:spacing w:before="60" w:after="60" w:line="460" w:lineRule="exact"/>
        <w:ind w:firstLine="460" w:firstLineChars="200"/>
        <w:textAlignment w:val="auto"/>
        <w:rPr>
          <w:rFonts w:hint="eastAsia" w:ascii="TimesNewRomanPSMT" w:hAnsi="TimesNewRomanPSMT" w:eastAsia="TimesNewRomanPSMT"/>
          <w:sz w:val="23"/>
          <w:szCs w:val="23"/>
          <w:highlight w:val="none"/>
        </w:rPr>
      </w:pPr>
      <w:r>
        <w:rPr>
          <w:rFonts w:hint="eastAsia" w:ascii="TimesNewRomanPSMT" w:hAnsi="TimesNewRomanPSMT" w:eastAsia="TimesNewRomanPSMT"/>
          <w:sz w:val="23"/>
          <w:szCs w:val="23"/>
          <w:highlight w:val="none"/>
        </w:rPr>
        <w:t>tj——</w:t>
      </w:r>
      <w:r>
        <w:rPr>
          <w:rFonts w:hint="eastAsia" w:ascii="宋体" w:hAnsi="宋体" w:eastAsia="宋体"/>
          <w:sz w:val="23"/>
          <w:szCs w:val="23"/>
          <w:highlight w:val="none"/>
        </w:rPr>
        <w:t>在</w:t>
      </w:r>
      <w:r>
        <w:rPr>
          <w:rFonts w:hint="eastAsia" w:ascii="TimesNewRomanPSMT" w:hAnsi="TimesNewRomanPSMT" w:eastAsia="TimesNewRomanPSMT"/>
          <w:sz w:val="23"/>
          <w:szCs w:val="23"/>
          <w:highlight w:val="none"/>
        </w:rPr>
        <w:t xml:space="preserve">T </w:t>
      </w:r>
      <w:r>
        <w:rPr>
          <w:rFonts w:hint="eastAsia" w:ascii="宋体" w:hAnsi="宋体" w:eastAsia="宋体"/>
          <w:sz w:val="23"/>
          <w:szCs w:val="23"/>
          <w:highlight w:val="none"/>
        </w:rPr>
        <w:t>时间内</w:t>
      </w:r>
      <w:r>
        <w:rPr>
          <w:rFonts w:hint="eastAsia" w:ascii="TimesNewRomanPSMT" w:hAnsi="TimesNewRomanPSMT" w:eastAsia="TimesNewRomanPSMT"/>
          <w:sz w:val="23"/>
          <w:szCs w:val="23"/>
          <w:highlight w:val="none"/>
        </w:rPr>
        <w:t xml:space="preserve">j </w:t>
      </w:r>
      <w:r>
        <w:rPr>
          <w:rFonts w:hint="eastAsia" w:ascii="宋体" w:hAnsi="宋体" w:eastAsia="宋体"/>
          <w:sz w:val="23"/>
          <w:szCs w:val="23"/>
          <w:highlight w:val="none"/>
        </w:rPr>
        <w:t>声源工作时间，</w:t>
      </w:r>
      <w:r>
        <w:rPr>
          <w:rFonts w:hint="eastAsia" w:ascii="TimesNewRomanPSMT" w:hAnsi="TimesNewRomanPSMT" w:eastAsia="TimesNewRomanPSMT"/>
          <w:sz w:val="23"/>
          <w:szCs w:val="23"/>
          <w:highlight w:val="none"/>
        </w:rPr>
        <w:t>s</w:t>
      </w:r>
    </w:p>
    <w:p>
      <w:pPr>
        <w:pStyle w:val="25"/>
        <w:keepNext w:val="0"/>
        <w:keepLines w:val="0"/>
        <w:pageBreakBefore w:val="0"/>
        <w:numPr>
          <w:ilvl w:val="0"/>
          <w:numId w:val="0"/>
        </w:numPr>
        <w:wordWrap/>
        <w:overflowPunct/>
        <w:topLinePunct w:val="0"/>
        <w:bidi w:val="0"/>
        <w:spacing w:before="60" w:after="60" w:line="460" w:lineRule="exact"/>
        <w:ind w:leftChars="200"/>
        <w:rPr>
          <w:rFonts w:hint="eastAsia" w:ascii="宋体" w:hAnsi="宋体" w:eastAsia="宋体"/>
          <w:sz w:val="23"/>
          <w:szCs w:val="23"/>
          <w:highlight w:val="none"/>
          <w:lang w:val="en-US" w:eastAsia="zh-CN"/>
        </w:rPr>
      </w:pPr>
      <w:r>
        <w:rPr>
          <w:rFonts w:hint="eastAsia" w:ascii="宋体" w:hAnsi="宋体" w:eastAsia="宋体"/>
          <w:sz w:val="23"/>
          <w:szCs w:val="23"/>
          <w:highlight w:val="none"/>
          <w:lang w:eastAsia="zh-CN"/>
        </w:rPr>
        <w:t>（</w:t>
      </w:r>
      <w:r>
        <w:rPr>
          <w:rFonts w:hint="eastAsia" w:ascii="宋体" w:hAnsi="宋体" w:eastAsia="宋体"/>
          <w:sz w:val="23"/>
          <w:szCs w:val="23"/>
          <w:highlight w:val="none"/>
          <w:lang w:val="en-US" w:eastAsia="zh-CN"/>
        </w:rPr>
        <w:t>3</w:t>
      </w:r>
      <w:r>
        <w:rPr>
          <w:rFonts w:hint="eastAsia" w:ascii="宋体" w:hAnsi="宋体" w:eastAsia="宋体"/>
          <w:sz w:val="23"/>
          <w:szCs w:val="23"/>
          <w:highlight w:val="none"/>
          <w:lang w:eastAsia="zh-CN"/>
        </w:rPr>
        <w:t>）</w:t>
      </w:r>
      <w:r>
        <w:rPr>
          <w:rFonts w:hint="eastAsia" w:ascii="宋体" w:hAnsi="宋体" w:eastAsia="宋体"/>
          <w:sz w:val="23"/>
          <w:szCs w:val="23"/>
          <w:highlight w:val="none"/>
        </w:rPr>
        <w:t>预测点的噪声预测值</w:t>
      </w:r>
    </w:p>
    <w:p>
      <w:pPr>
        <w:pStyle w:val="25"/>
        <w:keepNext w:val="0"/>
        <w:keepLines w:val="0"/>
        <w:pageBreakBefore w:val="0"/>
        <w:numPr>
          <w:ilvl w:val="0"/>
          <w:numId w:val="0"/>
        </w:numPr>
        <w:wordWrap/>
        <w:overflowPunct/>
        <w:topLinePunct w:val="0"/>
        <w:bidi w:val="0"/>
        <w:spacing w:before="60" w:after="60" w:line="460" w:lineRule="exact"/>
        <w:ind w:leftChars="200"/>
        <w:rPr>
          <w:rFonts w:hint="eastAsia" w:ascii="宋体" w:hAnsi="宋体" w:eastAsia="宋体"/>
          <w:sz w:val="23"/>
          <w:szCs w:val="23"/>
          <w:highlight w:val="none"/>
          <w:lang w:val="en-US" w:eastAsia="zh-CN"/>
        </w:rPr>
      </w:pPr>
      <w:r>
        <w:rPr>
          <w:rFonts w:hint="eastAsia" w:ascii="宋体" w:hAnsi="宋体" w:eastAsia="宋体"/>
          <w:sz w:val="23"/>
          <w:szCs w:val="23"/>
          <w:highlight w:val="none"/>
          <w:lang w:val="en-US" w:eastAsia="zh-CN"/>
        </w:rPr>
        <w:drawing>
          <wp:anchor distT="0" distB="0" distL="114300" distR="114300" simplePos="0" relativeHeight="251884544" behindDoc="0" locked="0" layoutInCell="1" allowOverlap="1">
            <wp:simplePos x="0" y="0"/>
            <wp:positionH relativeFrom="column">
              <wp:posOffset>601345</wp:posOffset>
            </wp:positionH>
            <wp:positionV relativeFrom="paragraph">
              <wp:posOffset>9525</wp:posOffset>
            </wp:positionV>
            <wp:extent cx="2667000" cy="552450"/>
            <wp:effectExtent l="0" t="0" r="0" b="0"/>
            <wp:wrapNone/>
            <wp:docPr id="9" name="图片 4" descr="168508230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1685082308307"/>
                    <pic:cNvPicPr>
                      <a:picLocks noChangeAspect="1"/>
                    </pic:cNvPicPr>
                  </pic:nvPicPr>
                  <pic:blipFill>
                    <a:blip r:embed="rId198"/>
                    <a:stretch>
                      <a:fillRect/>
                    </a:stretch>
                  </pic:blipFill>
                  <pic:spPr>
                    <a:xfrm>
                      <a:off x="0" y="0"/>
                      <a:ext cx="2667000" cy="552450"/>
                    </a:xfrm>
                    <a:prstGeom prst="rect">
                      <a:avLst/>
                    </a:prstGeom>
                    <a:noFill/>
                    <a:ln>
                      <a:noFill/>
                    </a:ln>
                  </pic:spPr>
                </pic:pic>
              </a:graphicData>
            </a:graphic>
          </wp:anchor>
        </w:drawing>
      </w:r>
    </w:p>
    <w:p>
      <w:pPr>
        <w:pStyle w:val="25"/>
        <w:keepNext w:val="0"/>
        <w:keepLines w:val="0"/>
        <w:pageBreakBefore w:val="0"/>
        <w:numPr>
          <w:ilvl w:val="0"/>
          <w:numId w:val="0"/>
        </w:numPr>
        <w:wordWrap/>
        <w:overflowPunct/>
        <w:topLinePunct w:val="0"/>
        <w:bidi w:val="0"/>
        <w:spacing w:before="60" w:after="60" w:line="460" w:lineRule="exact"/>
        <w:ind w:leftChars="200"/>
        <w:rPr>
          <w:rFonts w:hint="eastAsia" w:ascii="宋体" w:hAnsi="宋体" w:eastAsia="宋体"/>
          <w:sz w:val="23"/>
          <w:szCs w:val="23"/>
          <w:highlight w:val="none"/>
          <w:lang w:val="en-US" w:eastAsia="zh-CN"/>
        </w:rPr>
      </w:pP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宋体" w:hAnsi="宋体" w:eastAsia="宋体"/>
          <w:sz w:val="23"/>
          <w:szCs w:val="23"/>
          <w:highlight w:val="none"/>
        </w:rPr>
        <w:t>式中：</w:t>
      </w:r>
      <w:r>
        <w:rPr>
          <w:rFonts w:hint="eastAsia" w:ascii="TimesNewRomanPSMT" w:hAnsi="TimesNewRomanPSMT" w:eastAsia="TimesNewRomanPSMT"/>
          <w:sz w:val="23"/>
          <w:szCs w:val="23"/>
          <w:highlight w:val="none"/>
        </w:rPr>
        <w:t>Leq——</w:t>
      </w:r>
      <w:r>
        <w:rPr>
          <w:rFonts w:hint="eastAsia" w:ascii="宋体" w:hAnsi="宋体" w:eastAsia="宋体"/>
          <w:sz w:val="23"/>
          <w:szCs w:val="23"/>
          <w:highlight w:val="none"/>
        </w:rPr>
        <w:t>预测点的噪声预测值，</w:t>
      </w:r>
      <w:r>
        <w:rPr>
          <w:rFonts w:hint="eastAsia" w:ascii="TimesNewRomanPSMT" w:hAnsi="TimesNewRomanPSMT" w:eastAsia="TimesNewRomanPSMT"/>
          <w:sz w:val="23"/>
          <w:szCs w:val="23"/>
          <w:highlight w:val="none"/>
        </w:rPr>
        <w:t>dB</w:t>
      </w:r>
      <w:r>
        <w:rPr>
          <w:rFonts w:hint="eastAsia" w:ascii="宋体" w:hAnsi="宋体" w:eastAsia="宋体"/>
          <w:sz w:val="23"/>
          <w:szCs w:val="23"/>
          <w:highlight w:val="none"/>
        </w:rPr>
        <w:t>；</w:t>
      </w:r>
    </w:p>
    <w:p>
      <w:pPr>
        <w:keepNext w:val="0"/>
        <w:keepLines w:val="0"/>
        <w:pageBreakBefore w:val="0"/>
        <w:kinsoku/>
        <w:wordWrap/>
        <w:overflowPunct/>
        <w:topLinePunct w:val="0"/>
        <w:autoSpaceDE/>
        <w:autoSpaceDN/>
        <w:bidi w:val="0"/>
        <w:adjustRightInd/>
        <w:snapToGrid/>
        <w:spacing w:beforeLines="0" w:afterLines="0" w:line="460" w:lineRule="exact"/>
        <w:ind w:firstLine="460" w:firstLineChars="200"/>
        <w:jc w:val="left"/>
        <w:textAlignment w:val="auto"/>
        <w:rPr>
          <w:rFonts w:hint="eastAsia" w:ascii="宋体" w:hAnsi="宋体" w:eastAsia="宋体"/>
          <w:sz w:val="23"/>
          <w:szCs w:val="23"/>
          <w:highlight w:val="none"/>
        </w:rPr>
      </w:pPr>
      <w:r>
        <w:rPr>
          <w:rFonts w:hint="eastAsia" w:ascii="TimesNewRomanPSMT" w:hAnsi="TimesNewRomanPSMT" w:eastAsia="TimesNewRomanPSMT"/>
          <w:sz w:val="23"/>
          <w:szCs w:val="23"/>
          <w:highlight w:val="none"/>
        </w:rPr>
        <w:t>Leqg ——</w:t>
      </w:r>
      <w:r>
        <w:rPr>
          <w:rFonts w:hint="eastAsia" w:ascii="宋体" w:hAnsi="宋体" w:eastAsia="宋体"/>
          <w:sz w:val="23"/>
          <w:szCs w:val="23"/>
          <w:highlight w:val="none"/>
        </w:rPr>
        <w:t>建设项目声源在预测点的噪声贡献值，</w:t>
      </w:r>
      <w:r>
        <w:rPr>
          <w:rFonts w:hint="eastAsia" w:ascii="TimesNewRomanPSMT" w:hAnsi="TimesNewRomanPSMT" w:eastAsia="TimesNewRomanPSMT"/>
          <w:sz w:val="23"/>
          <w:szCs w:val="23"/>
          <w:highlight w:val="none"/>
        </w:rPr>
        <w:t>dB</w:t>
      </w:r>
      <w:r>
        <w:rPr>
          <w:rFonts w:hint="eastAsia" w:ascii="宋体" w:hAnsi="宋体" w:eastAsia="宋体"/>
          <w:sz w:val="23"/>
          <w:szCs w:val="23"/>
          <w:highlight w:val="none"/>
        </w:rPr>
        <w:t>；</w:t>
      </w:r>
    </w:p>
    <w:p>
      <w:pPr>
        <w:pStyle w:val="25"/>
        <w:keepNext w:val="0"/>
        <w:keepLines w:val="0"/>
        <w:pageBreakBefore w:val="0"/>
        <w:numPr>
          <w:ilvl w:val="0"/>
          <w:numId w:val="0"/>
        </w:numPr>
        <w:kinsoku/>
        <w:wordWrap/>
        <w:overflowPunct/>
        <w:topLinePunct w:val="0"/>
        <w:autoSpaceDE/>
        <w:autoSpaceDN/>
        <w:bidi w:val="0"/>
        <w:adjustRightInd/>
        <w:snapToGrid/>
        <w:spacing w:before="60" w:after="60" w:line="460" w:lineRule="exact"/>
        <w:ind w:firstLine="460" w:firstLineChars="200"/>
        <w:textAlignment w:val="auto"/>
        <w:rPr>
          <w:rFonts w:hint="eastAsia" w:ascii="宋体" w:hAnsi="宋体" w:eastAsia="宋体"/>
          <w:sz w:val="23"/>
          <w:szCs w:val="23"/>
          <w:highlight w:val="none"/>
          <w:lang w:val="en-US" w:eastAsia="zh-CN"/>
        </w:rPr>
      </w:pPr>
      <w:r>
        <w:rPr>
          <w:rFonts w:hint="eastAsia" w:ascii="TimesNewRomanPSMT" w:hAnsi="TimesNewRomanPSMT" w:eastAsia="TimesNewRomanPSMT"/>
          <w:sz w:val="23"/>
          <w:szCs w:val="23"/>
          <w:highlight w:val="none"/>
        </w:rPr>
        <w:t>Leqb ——</w:t>
      </w:r>
      <w:r>
        <w:rPr>
          <w:rFonts w:hint="eastAsia" w:ascii="宋体" w:hAnsi="宋体" w:eastAsia="宋体"/>
          <w:sz w:val="23"/>
          <w:szCs w:val="23"/>
          <w:highlight w:val="none"/>
        </w:rPr>
        <w:t>预测点的背景噪声值，</w:t>
      </w:r>
      <w:r>
        <w:rPr>
          <w:rFonts w:hint="eastAsia" w:ascii="TimesNewRomanPSMT" w:hAnsi="TimesNewRomanPSMT" w:eastAsia="TimesNewRomanPSMT"/>
          <w:sz w:val="23"/>
          <w:szCs w:val="23"/>
          <w:highlight w:val="none"/>
        </w:rPr>
        <w:t>dB</w:t>
      </w:r>
      <w:r>
        <w:rPr>
          <w:rFonts w:hint="eastAsia" w:ascii="宋体" w:hAnsi="宋体" w:eastAsia="宋体"/>
          <w:sz w:val="23"/>
          <w:szCs w:val="23"/>
          <w:highlight w:val="none"/>
        </w:rPr>
        <w:t>。</w:t>
      </w:r>
    </w:p>
    <w:p>
      <w:pPr>
        <w:spacing w:before="119" w:line="228" w:lineRule="auto"/>
        <w:ind w:left="614"/>
        <w:outlineLvl w:val="2"/>
        <w:rPr>
          <w:rFonts w:hint="default" w:ascii="Times New Roman" w:hAnsi="Times New Roman" w:eastAsia="宋体" w:cs="Times New Roman"/>
          <w:sz w:val="23"/>
          <w:szCs w:val="23"/>
          <w:highlight w:val="none"/>
        </w:rPr>
      </w:pPr>
      <w:bookmarkStart w:id="652" w:name="_Toc4930"/>
      <w:bookmarkStart w:id="653" w:name="_Toc25360"/>
      <w:bookmarkStart w:id="654" w:name="_Toc21404"/>
      <w:r>
        <w:rPr>
          <w:rFonts w:hint="eastAsia" w:ascii="Times New Roman" w:hAnsi="Times New Roman" w:eastAsia="宋体" w:cs="Times New Roman"/>
          <w:spacing w:val="20"/>
          <w:sz w:val="23"/>
          <w:szCs w:val="23"/>
          <w:highlight w:val="none"/>
          <w:lang w:val="en-US" w:eastAsia="zh-CN"/>
        </w:rPr>
        <w:t>5.2.4.2</w:t>
      </w:r>
      <w:r>
        <w:rPr>
          <w:rFonts w:hint="default" w:ascii="Times New Roman" w:hAnsi="Times New Roman" w:eastAsia="宋体" w:cs="Times New Roman"/>
          <w:spacing w:val="16"/>
          <w:sz w:val="23"/>
          <w:szCs w:val="23"/>
          <w:highlight w:val="none"/>
        </w:rPr>
        <w:t>声环境影响预测步骤</w:t>
      </w:r>
      <w:bookmarkEnd w:id="652"/>
      <w:bookmarkEnd w:id="653"/>
      <w:bookmarkEnd w:id="654"/>
    </w:p>
    <w:p>
      <w:pPr>
        <w:spacing w:before="263" w:line="424" w:lineRule="auto"/>
        <w:ind w:left="127" w:right="112" w:firstLine="47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①</w:t>
      </w:r>
      <w:r>
        <w:rPr>
          <w:rFonts w:hint="default" w:ascii="Times New Roman" w:hAnsi="Times New Roman" w:eastAsia="宋体" w:cs="Times New Roman"/>
          <w:spacing w:val="7"/>
          <w:sz w:val="23"/>
          <w:szCs w:val="23"/>
          <w:highlight w:val="none"/>
        </w:rPr>
        <w:t>建立坐标系，确定各声源坐标和预测点坐标，并根据声源性质以及预测点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与</w:t>
      </w:r>
      <w:r>
        <w:rPr>
          <w:rFonts w:hint="default" w:ascii="Times New Roman" w:hAnsi="Times New Roman" w:eastAsia="宋体" w:cs="Times New Roman"/>
          <w:spacing w:val="9"/>
          <w:sz w:val="23"/>
          <w:szCs w:val="23"/>
          <w:highlight w:val="none"/>
        </w:rPr>
        <w:t>声源之间的距离等情况，把声源简化成点声源，或线声源，或面声源。</w:t>
      </w:r>
    </w:p>
    <w:p>
      <w:pPr>
        <w:spacing w:before="42" w:line="430" w:lineRule="auto"/>
        <w:ind w:left="124" w:right="112" w:firstLine="47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②</w:t>
      </w:r>
      <w:r>
        <w:rPr>
          <w:rFonts w:hint="default" w:ascii="Times New Roman" w:hAnsi="Times New Roman" w:eastAsia="宋体" w:cs="Times New Roman"/>
          <w:spacing w:val="7"/>
          <w:sz w:val="23"/>
          <w:szCs w:val="23"/>
          <w:highlight w:val="none"/>
        </w:rPr>
        <w:t>根据已获得的声源源强的数据和各声源到预测点的声波传播条件资料，计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算</w:t>
      </w:r>
      <w:r>
        <w:rPr>
          <w:rFonts w:hint="default" w:ascii="Times New Roman" w:hAnsi="Times New Roman" w:eastAsia="宋体" w:cs="Times New Roman"/>
          <w:spacing w:val="7"/>
          <w:sz w:val="23"/>
          <w:szCs w:val="23"/>
          <w:highlight w:val="none"/>
        </w:rPr>
        <w:t>出噪声从各声源传播到预测点的声衰减量，由此计算出各声源单独作用在预测</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5"/>
          <w:sz w:val="23"/>
          <w:szCs w:val="23"/>
          <w:highlight w:val="none"/>
        </w:rPr>
        <w:t xml:space="preserve">点时产生的 </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声级 (</w:t>
      </w:r>
      <w:r>
        <w:rPr>
          <w:rFonts w:hint="default" w:ascii="Times New Roman" w:hAnsi="Times New Roman" w:eastAsia="Times New Roman" w:cs="Times New Roman"/>
          <w:sz w:val="23"/>
          <w:szCs w:val="23"/>
          <w:highlight w:val="none"/>
        </w:rPr>
        <w:t>L</w:t>
      </w:r>
      <w:r>
        <w:rPr>
          <w:rFonts w:hint="default" w:ascii="Times New Roman" w:hAnsi="Times New Roman" w:eastAsia="Times New Roman" w:cs="Times New Roman"/>
          <w:position w:val="-1"/>
          <w:sz w:val="15"/>
          <w:szCs w:val="15"/>
          <w:highlight w:val="none"/>
        </w:rPr>
        <w:t>Ai</w:t>
      </w:r>
      <w:r>
        <w:rPr>
          <w:rFonts w:hint="default" w:ascii="Times New Roman" w:hAnsi="Times New Roman" w:eastAsia="Times New Roman" w:cs="Times New Roman"/>
          <w:spacing w:val="5"/>
          <w:position w:val="-1"/>
          <w:sz w:val="15"/>
          <w:szCs w:val="15"/>
          <w:highlight w:val="none"/>
        </w:rPr>
        <w:t xml:space="preserve"> </w:t>
      </w:r>
      <w:r>
        <w:rPr>
          <w:rFonts w:hint="default" w:ascii="Times New Roman" w:hAnsi="Times New Roman" w:eastAsia="宋体" w:cs="Times New Roman"/>
          <w:spacing w:val="5"/>
          <w:sz w:val="23"/>
          <w:szCs w:val="23"/>
          <w:highlight w:val="none"/>
        </w:rPr>
        <w:t>) 或等效感觉噪声级 (</w:t>
      </w:r>
      <w:r>
        <w:rPr>
          <w:rFonts w:hint="default" w:ascii="Times New Roman" w:hAnsi="Times New Roman" w:eastAsia="Times New Roman" w:cs="Times New Roman"/>
          <w:i/>
          <w:iCs/>
          <w:sz w:val="23"/>
          <w:szCs w:val="23"/>
          <w:highlight w:val="none"/>
        </w:rPr>
        <w:t>LEPN</w:t>
      </w:r>
      <w:r>
        <w:rPr>
          <w:rFonts w:hint="default" w:ascii="Times New Roman" w:hAnsi="Times New Roman" w:eastAsia="宋体" w:cs="Times New Roman"/>
          <w:spacing w:val="5"/>
          <w:sz w:val="23"/>
          <w:szCs w:val="23"/>
          <w:highlight w:val="none"/>
        </w:rPr>
        <w:t>)</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宋体" w:cs="Times New Roman"/>
          <w:sz w:val="23"/>
          <w:szCs w:val="23"/>
          <w:highlight w:val="none"/>
        </w:rPr>
        <w:t>。</w:t>
      </w:r>
    </w:p>
    <w:p>
      <w:pPr>
        <w:spacing w:before="13" w:line="228" w:lineRule="auto"/>
        <w:ind w:left="614"/>
        <w:outlineLvl w:val="2"/>
        <w:rPr>
          <w:rFonts w:hint="default" w:ascii="Times New Roman" w:hAnsi="Times New Roman" w:eastAsia="宋体" w:cs="Times New Roman"/>
          <w:sz w:val="23"/>
          <w:szCs w:val="23"/>
          <w:highlight w:val="none"/>
        </w:rPr>
      </w:pPr>
      <w:bookmarkStart w:id="655" w:name="_Toc20497"/>
      <w:bookmarkStart w:id="656" w:name="_Toc26803"/>
      <w:bookmarkStart w:id="657" w:name="_Toc18876"/>
      <w:r>
        <w:rPr>
          <w:rFonts w:hint="eastAsia" w:ascii="Times New Roman" w:hAnsi="Times New Roman" w:eastAsia="宋体" w:cs="Times New Roman"/>
          <w:spacing w:val="20"/>
          <w:sz w:val="23"/>
          <w:szCs w:val="23"/>
          <w:highlight w:val="none"/>
          <w:lang w:val="en-US" w:eastAsia="zh-CN"/>
        </w:rPr>
        <w:t>5.2.4.3</w:t>
      </w:r>
      <w:r>
        <w:rPr>
          <w:rFonts w:hint="default" w:ascii="Times New Roman" w:hAnsi="Times New Roman" w:eastAsia="宋体" w:cs="Times New Roman"/>
          <w:spacing w:val="20"/>
          <w:sz w:val="23"/>
          <w:szCs w:val="23"/>
          <w:highlight w:val="none"/>
        </w:rPr>
        <w:t>预测结</w:t>
      </w:r>
      <w:r>
        <w:rPr>
          <w:rFonts w:hint="default" w:ascii="Times New Roman" w:hAnsi="Times New Roman" w:eastAsia="宋体" w:cs="Times New Roman"/>
          <w:spacing w:val="19"/>
          <w:sz w:val="23"/>
          <w:szCs w:val="23"/>
          <w:highlight w:val="none"/>
        </w:rPr>
        <w:t>果</w:t>
      </w:r>
      <w:bookmarkEnd w:id="655"/>
      <w:bookmarkEnd w:id="656"/>
      <w:bookmarkEnd w:id="657"/>
    </w:p>
    <w:p>
      <w:pPr>
        <w:spacing w:before="296" w:line="434" w:lineRule="auto"/>
        <w:ind w:left="124" w:right="32" w:firstLine="489"/>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rPr>
        <w:t>影响预测结果见</w:t>
      </w:r>
      <w:r>
        <w:rPr>
          <w:rFonts w:hint="eastAsia" w:ascii="Times New Roman" w:hAnsi="Times New Roman" w:eastAsia="宋体" w:cs="Times New Roman"/>
          <w:sz w:val="23"/>
          <w:szCs w:val="23"/>
          <w:highlight w:val="none"/>
          <w:lang w:val="en-US" w:eastAsia="zh-CN"/>
        </w:rPr>
        <w:t>表</w:t>
      </w:r>
      <w:r>
        <w:rPr>
          <w:rFonts w:hint="default" w:ascii="Times New Roman" w:hAnsi="Times New Roman" w:eastAsia="Times New Roman" w:cs="Times New Roman"/>
          <w:sz w:val="23"/>
          <w:szCs w:val="23"/>
          <w:highlight w:val="none"/>
        </w:rPr>
        <w:t>5.2-</w:t>
      </w:r>
      <w:r>
        <w:rPr>
          <w:rFonts w:hint="eastAsia" w:ascii="Times New Roman" w:hAnsi="Times New Roman" w:eastAsia="宋体" w:cs="Times New Roman"/>
          <w:sz w:val="23"/>
          <w:szCs w:val="23"/>
          <w:highlight w:val="none"/>
          <w:lang w:val="en-US" w:eastAsia="zh-CN"/>
        </w:rPr>
        <w:t>16</w:t>
      </w:r>
      <w:r>
        <w:rPr>
          <w:rFonts w:hint="default" w:ascii="Times New Roman" w:hAnsi="Times New Roman" w:eastAsia="Times New Roman" w:cs="Times New Roman"/>
          <w:sz w:val="23"/>
          <w:szCs w:val="23"/>
          <w:highlight w:val="none"/>
        </w:rPr>
        <w:t xml:space="preserve"> </w:t>
      </w:r>
      <w:r>
        <w:rPr>
          <w:rFonts w:hint="default" w:ascii="Times New Roman" w:hAnsi="Times New Roman" w:eastAsia="宋体" w:cs="Times New Roman"/>
          <w:spacing w:val="-1"/>
          <w:sz w:val="23"/>
          <w:szCs w:val="23"/>
          <w:highlight w:val="none"/>
        </w:rPr>
        <w:t>。</w:t>
      </w:r>
    </w:p>
    <w:p>
      <w:pPr>
        <w:spacing w:before="155" w:line="319" w:lineRule="exact"/>
        <w:ind w:left="143"/>
        <w:rPr>
          <w:rFonts w:hint="default" w:ascii="Times New Roman" w:hAnsi="Times New Roman" w:eastAsia="Times New Roman" w:cs="Times New Roman"/>
          <w:sz w:val="23"/>
          <w:szCs w:val="23"/>
          <w:highlight w:val="none"/>
        </w:rPr>
      </w:pPr>
      <w:r>
        <w:rPr>
          <w:rFonts w:hint="default" w:ascii="Times New Roman" w:hAnsi="Times New Roman" w:eastAsia="宋体" w:cs="Times New Roman"/>
          <w:spacing w:val="8"/>
          <w:position w:val="1"/>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8"/>
          <w:position w:val="1"/>
          <w:sz w:val="23"/>
          <w:szCs w:val="23"/>
          <w:highlight w:val="none"/>
        </w:rPr>
        <w:t xml:space="preserve"> </w:t>
      </w:r>
      <w:r>
        <w:rPr>
          <w:rFonts w:hint="default" w:ascii="Times New Roman" w:hAnsi="Times New Roman" w:eastAsia="Times New Roman" w:cs="Times New Roman"/>
          <w:b/>
          <w:bCs/>
          <w:spacing w:val="8"/>
          <w:position w:val="1"/>
          <w:sz w:val="23"/>
          <w:szCs w:val="23"/>
          <w:highlight w:val="none"/>
        </w:rPr>
        <w:t>5</w:t>
      </w:r>
      <w:r>
        <w:rPr>
          <w:rFonts w:hint="default" w:ascii="Times New Roman" w:hAnsi="Times New Roman" w:eastAsia="Times New Roman" w:cs="Times New Roman"/>
          <w:b/>
          <w:bCs/>
          <w:spacing w:val="4"/>
          <w:position w:val="1"/>
          <w:sz w:val="23"/>
          <w:szCs w:val="23"/>
          <w:highlight w:val="none"/>
        </w:rPr>
        <w:t>.2-</w:t>
      </w:r>
      <w:r>
        <w:rPr>
          <w:rFonts w:hint="eastAsia" w:ascii="Times New Roman" w:hAnsi="Times New Roman" w:eastAsia="宋体" w:cs="Times New Roman"/>
          <w:b/>
          <w:bCs/>
          <w:spacing w:val="4"/>
          <w:position w:val="1"/>
          <w:sz w:val="23"/>
          <w:szCs w:val="23"/>
          <w:highlight w:val="none"/>
          <w:lang w:val="en-US" w:eastAsia="zh-CN"/>
        </w:rPr>
        <w:t>16</w:t>
      </w:r>
      <w:r>
        <w:rPr>
          <w:rFonts w:hint="default" w:ascii="Times New Roman" w:hAnsi="Times New Roman" w:eastAsia="Times New Roman" w:cs="Times New Roman"/>
          <w:spacing w:val="4"/>
          <w:position w:val="1"/>
          <w:sz w:val="23"/>
          <w:szCs w:val="23"/>
          <w:highlight w:val="none"/>
        </w:rPr>
        <w:t xml:space="preserve">           </w:t>
      </w: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项目噪声源到各侧厂界的噪声贡献值预测结果表</w:t>
      </w:r>
      <w:r>
        <w:rPr>
          <w:rFonts w:hint="default" w:ascii="Times New Roman" w:hAnsi="Times New Roman" w:eastAsia="宋体" w:cs="Times New Roman"/>
          <w:spacing w:val="4"/>
          <w:position w:val="1"/>
          <w:sz w:val="23"/>
          <w:szCs w:val="23"/>
          <w:highlight w:val="none"/>
        </w:rPr>
        <w:t xml:space="preserve">   </w:t>
      </w: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单位：</w:t>
      </w:r>
      <w:r>
        <w:rPr>
          <w:rFonts w:hint="default" w:ascii="Times New Roman" w:hAnsi="Times New Roman" w:eastAsia="Times New Roman" w:cs="Times New Roman"/>
          <w:b/>
          <w:bCs/>
          <w:position w:val="1"/>
          <w:sz w:val="23"/>
          <w:szCs w:val="23"/>
          <w:highlight w:val="none"/>
        </w:rPr>
        <w:t>dB</w:t>
      </w:r>
      <w:r>
        <w:rPr>
          <w:rFonts w:hint="default" w:ascii="Times New Roman" w:hAnsi="Times New Roman" w:eastAsia="Times New Roman" w:cs="Times New Roman"/>
          <w:b/>
          <w:bCs/>
          <w:spacing w:val="4"/>
          <w:position w:val="1"/>
          <w:sz w:val="23"/>
          <w:szCs w:val="23"/>
          <w:highlight w:val="none"/>
        </w:rPr>
        <w:t>(</w:t>
      </w:r>
      <w:r>
        <w:rPr>
          <w:rFonts w:hint="default" w:ascii="Times New Roman" w:hAnsi="Times New Roman" w:eastAsia="Times New Roman" w:cs="Times New Roman"/>
          <w:b/>
          <w:bCs/>
          <w:position w:val="1"/>
          <w:sz w:val="23"/>
          <w:szCs w:val="23"/>
          <w:highlight w:val="none"/>
        </w:rPr>
        <w:t>A</w:t>
      </w:r>
      <w:r>
        <w:rPr>
          <w:rFonts w:hint="default" w:ascii="Times New Roman" w:hAnsi="Times New Roman" w:eastAsia="Times New Roman" w:cs="Times New Roman"/>
          <w:b/>
          <w:bCs/>
          <w:spacing w:val="4"/>
          <w:position w:val="1"/>
          <w:sz w:val="23"/>
          <w:szCs w:val="23"/>
          <w:highlight w:val="none"/>
        </w:rPr>
        <w:t>)</w:t>
      </w:r>
    </w:p>
    <w:p>
      <w:pPr>
        <w:spacing w:line="25" w:lineRule="exact"/>
        <w:rPr>
          <w:rFonts w:hint="default" w:ascii="Times New Roman" w:hAnsi="Times New Roman" w:cs="Times New Roman"/>
          <w:highlight w:val="none"/>
        </w:rPr>
      </w:pPr>
    </w:p>
    <w:tbl>
      <w:tblPr>
        <w:tblStyle w:val="19"/>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462"/>
        <w:gridCol w:w="1063"/>
        <w:gridCol w:w="1063"/>
        <w:gridCol w:w="1062"/>
        <w:gridCol w:w="1063"/>
        <w:gridCol w:w="1063"/>
        <w:gridCol w:w="10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78" w:type="dxa"/>
            <w:vMerge w:val="restart"/>
            <w:tcBorders>
              <w:left w:val="single" w:color="000000" w:sz="10" w:space="0"/>
              <w:bottom w:val="nil"/>
            </w:tcBorders>
            <w:vAlign w:val="top"/>
          </w:tcPr>
          <w:p>
            <w:pPr>
              <w:spacing w:line="297" w:lineRule="auto"/>
              <w:rPr>
                <w:rFonts w:hint="default" w:ascii="Times New Roman" w:hAnsi="Times New Roman" w:cs="Times New Roman"/>
                <w:sz w:val="21"/>
                <w:highlight w:val="none"/>
              </w:rPr>
            </w:pPr>
          </w:p>
          <w:p>
            <w:pPr>
              <w:spacing w:before="65" w:line="230" w:lineRule="auto"/>
              <w:ind w:left="1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序号</w:t>
            </w:r>
          </w:p>
        </w:tc>
        <w:tc>
          <w:tcPr>
            <w:tcW w:w="1462" w:type="dxa"/>
            <w:vMerge w:val="restart"/>
            <w:tcBorders>
              <w:bottom w:val="nil"/>
            </w:tcBorders>
            <w:vAlign w:val="top"/>
          </w:tcPr>
          <w:p>
            <w:pPr>
              <w:spacing w:line="297" w:lineRule="auto"/>
              <w:rPr>
                <w:rFonts w:hint="default" w:ascii="Times New Roman" w:hAnsi="Times New Roman" w:cs="Times New Roman"/>
                <w:sz w:val="21"/>
                <w:highlight w:val="none"/>
              </w:rPr>
            </w:pPr>
          </w:p>
          <w:p>
            <w:pPr>
              <w:spacing w:before="65" w:line="228" w:lineRule="auto"/>
              <w:ind w:left="41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预</w:t>
            </w:r>
            <w:r>
              <w:rPr>
                <w:rFonts w:hint="default" w:ascii="Times New Roman" w:hAnsi="Times New Roman" w:eastAsia="宋体" w:cs="Times New Roman"/>
                <w:spacing w:val="6"/>
                <w:sz w:val="20"/>
                <w:szCs w:val="20"/>
                <w:highlight w:val="none"/>
              </w:rPr>
              <w:t>测点</w:t>
            </w:r>
          </w:p>
        </w:tc>
        <w:tc>
          <w:tcPr>
            <w:tcW w:w="3188" w:type="dxa"/>
            <w:gridSpan w:val="3"/>
            <w:vAlign w:val="top"/>
          </w:tcPr>
          <w:p>
            <w:pPr>
              <w:spacing w:before="129" w:line="274" w:lineRule="exact"/>
              <w:ind w:left="1052"/>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7"/>
                <w:position w:val="2"/>
                <w:sz w:val="20"/>
                <w:szCs w:val="20"/>
                <w:highlight w:val="none"/>
              </w:rPr>
              <w:t>昼间</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dB</w:t>
            </w:r>
            <w:r>
              <w:rPr>
                <w:rFonts w:hint="default" w:ascii="Times New Roman" w:hAnsi="Times New Roman" w:eastAsia="Times New Roman" w:cs="Times New Roman"/>
                <w:spacing w:val="7"/>
                <w:position w:val="2"/>
                <w:sz w:val="20"/>
                <w:szCs w:val="20"/>
                <w:highlight w:val="none"/>
              </w:rPr>
              <w:t>(</w:t>
            </w:r>
            <w:r>
              <w:rPr>
                <w:rFonts w:hint="default" w:ascii="Times New Roman" w:hAnsi="Times New Roman" w:eastAsia="Times New Roman" w:cs="Times New Roman"/>
                <w:position w:val="2"/>
                <w:sz w:val="20"/>
                <w:szCs w:val="20"/>
                <w:highlight w:val="none"/>
              </w:rPr>
              <w:t>A</w:t>
            </w:r>
            <w:r>
              <w:rPr>
                <w:rFonts w:hint="default" w:ascii="Times New Roman" w:hAnsi="Times New Roman" w:eastAsia="Times New Roman" w:cs="Times New Roman"/>
                <w:spacing w:val="7"/>
                <w:position w:val="2"/>
                <w:sz w:val="20"/>
                <w:szCs w:val="20"/>
                <w:highlight w:val="none"/>
              </w:rPr>
              <w:t>))</w:t>
            </w:r>
          </w:p>
        </w:tc>
        <w:tc>
          <w:tcPr>
            <w:tcW w:w="3203" w:type="dxa"/>
            <w:gridSpan w:val="3"/>
            <w:tcBorders>
              <w:right w:val="single" w:color="000000" w:sz="10" w:space="0"/>
            </w:tcBorders>
            <w:vAlign w:val="top"/>
          </w:tcPr>
          <w:p>
            <w:pPr>
              <w:spacing w:before="129" w:line="274" w:lineRule="exact"/>
              <w:ind w:left="1065"/>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8"/>
                <w:position w:val="2"/>
                <w:sz w:val="20"/>
                <w:szCs w:val="20"/>
                <w:highlight w:val="none"/>
              </w:rPr>
              <w:t>夜</w:t>
            </w:r>
            <w:r>
              <w:rPr>
                <w:rFonts w:hint="default" w:ascii="Times New Roman" w:hAnsi="Times New Roman" w:eastAsia="宋体" w:cs="Times New Roman"/>
                <w:spacing w:val="6"/>
                <w:position w:val="2"/>
                <w:sz w:val="20"/>
                <w:szCs w:val="20"/>
                <w:highlight w:val="none"/>
              </w:rPr>
              <w:t>间</w:t>
            </w:r>
            <w:r>
              <w:rPr>
                <w:rFonts w:hint="default" w:ascii="Times New Roman" w:hAnsi="Times New Roman" w:eastAsia="Times New Roman" w:cs="Times New Roman"/>
                <w:spacing w:val="6"/>
                <w:position w:val="2"/>
                <w:sz w:val="20"/>
                <w:szCs w:val="20"/>
                <w:highlight w:val="none"/>
              </w:rPr>
              <w:t>(</w:t>
            </w:r>
            <w:r>
              <w:rPr>
                <w:rFonts w:hint="default" w:ascii="Times New Roman" w:hAnsi="Times New Roman" w:eastAsia="Times New Roman" w:cs="Times New Roman"/>
                <w:position w:val="2"/>
                <w:sz w:val="20"/>
                <w:szCs w:val="20"/>
                <w:highlight w:val="none"/>
              </w:rPr>
              <w:t>dB</w:t>
            </w:r>
            <w:r>
              <w:rPr>
                <w:rFonts w:hint="default" w:ascii="Times New Roman" w:hAnsi="Times New Roman" w:eastAsia="Times New Roman" w:cs="Times New Roman"/>
                <w:spacing w:val="6"/>
                <w:position w:val="2"/>
                <w:sz w:val="20"/>
                <w:szCs w:val="20"/>
                <w:highlight w:val="none"/>
              </w:rPr>
              <w:t>(</w:t>
            </w:r>
            <w:r>
              <w:rPr>
                <w:rFonts w:hint="default" w:ascii="Times New Roman" w:hAnsi="Times New Roman" w:eastAsia="Times New Roman" w:cs="Times New Roman"/>
                <w:position w:val="2"/>
                <w:sz w:val="20"/>
                <w:szCs w:val="20"/>
                <w:highlight w:val="none"/>
              </w:rPr>
              <w:t>A</w:t>
            </w:r>
            <w:r>
              <w:rPr>
                <w:rFonts w:hint="default" w:ascii="Times New Roman" w:hAnsi="Times New Roman" w:eastAsia="Times New Roman" w:cs="Times New Roman"/>
                <w:spacing w:val="6"/>
                <w:position w:val="2"/>
                <w:sz w:val="20"/>
                <w:szCs w:val="20"/>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78" w:type="dxa"/>
            <w:vMerge w:val="continue"/>
            <w:tcBorders>
              <w:top w:val="nil"/>
              <w:left w:val="single" w:color="000000" w:sz="10" w:space="0"/>
            </w:tcBorders>
            <w:vAlign w:val="top"/>
          </w:tcPr>
          <w:p>
            <w:pPr>
              <w:rPr>
                <w:rFonts w:hint="default" w:ascii="Times New Roman" w:hAnsi="Times New Roman" w:cs="Times New Roman"/>
                <w:sz w:val="21"/>
                <w:highlight w:val="none"/>
              </w:rPr>
            </w:pPr>
          </w:p>
        </w:tc>
        <w:tc>
          <w:tcPr>
            <w:tcW w:w="1462" w:type="dxa"/>
            <w:vMerge w:val="continue"/>
            <w:tcBorders>
              <w:top w:val="nil"/>
            </w:tcBorders>
            <w:vAlign w:val="top"/>
          </w:tcPr>
          <w:p>
            <w:pPr>
              <w:rPr>
                <w:rFonts w:hint="default" w:ascii="Times New Roman" w:hAnsi="Times New Roman" w:cs="Times New Roman"/>
                <w:sz w:val="21"/>
                <w:highlight w:val="none"/>
              </w:rPr>
            </w:pPr>
          </w:p>
        </w:tc>
        <w:tc>
          <w:tcPr>
            <w:tcW w:w="1063" w:type="dxa"/>
            <w:vAlign w:val="top"/>
          </w:tcPr>
          <w:p>
            <w:pPr>
              <w:spacing w:before="115" w:line="228" w:lineRule="auto"/>
              <w:ind w:left="2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贡献值</w:t>
            </w:r>
          </w:p>
        </w:tc>
        <w:tc>
          <w:tcPr>
            <w:tcW w:w="1063" w:type="dxa"/>
            <w:vAlign w:val="top"/>
          </w:tcPr>
          <w:p>
            <w:pPr>
              <w:spacing w:before="116" w:line="228" w:lineRule="auto"/>
              <w:ind w:left="22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背景</w:t>
            </w:r>
            <w:r>
              <w:rPr>
                <w:rFonts w:hint="default" w:ascii="Times New Roman" w:hAnsi="Times New Roman" w:eastAsia="宋体" w:cs="Times New Roman"/>
                <w:spacing w:val="5"/>
                <w:sz w:val="20"/>
                <w:szCs w:val="20"/>
                <w:highlight w:val="none"/>
              </w:rPr>
              <w:t>值</w:t>
            </w:r>
          </w:p>
        </w:tc>
        <w:tc>
          <w:tcPr>
            <w:tcW w:w="1062" w:type="dxa"/>
            <w:vAlign w:val="top"/>
          </w:tcPr>
          <w:p>
            <w:pPr>
              <w:spacing w:before="116" w:line="228" w:lineRule="auto"/>
              <w:ind w:left="22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预</w:t>
            </w:r>
            <w:r>
              <w:rPr>
                <w:rFonts w:hint="default" w:ascii="Times New Roman" w:hAnsi="Times New Roman" w:eastAsia="宋体" w:cs="Times New Roman"/>
                <w:spacing w:val="6"/>
                <w:sz w:val="20"/>
                <w:szCs w:val="20"/>
                <w:highlight w:val="none"/>
              </w:rPr>
              <w:t>测值</w:t>
            </w:r>
          </w:p>
        </w:tc>
        <w:tc>
          <w:tcPr>
            <w:tcW w:w="1063" w:type="dxa"/>
            <w:vAlign w:val="top"/>
          </w:tcPr>
          <w:p>
            <w:pPr>
              <w:spacing w:before="115" w:line="228" w:lineRule="auto"/>
              <w:ind w:left="22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贡献值</w:t>
            </w:r>
          </w:p>
        </w:tc>
        <w:tc>
          <w:tcPr>
            <w:tcW w:w="1063" w:type="dxa"/>
            <w:vAlign w:val="top"/>
          </w:tcPr>
          <w:p>
            <w:pPr>
              <w:spacing w:before="116" w:line="228" w:lineRule="auto"/>
              <w:ind w:left="23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背景</w:t>
            </w:r>
            <w:r>
              <w:rPr>
                <w:rFonts w:hint="default" w:ascii="Times New Roman" w:hAnsi="Times New Roman" w:eastAsia="宋体" w:cs="Times New Roman"/>
                <w:spacing w:val="5"/>
                <w:sz w:val="20"/>
                <w:szCs w:val="20"/>
                <w:highlight w:val="none"/>
              </w:rPr>
              <w:t>值</w:t>
            </w:r>
          </w:p>
        </w:tc>
        <w:tc>
          <w:tcPr>
            <w:tcW w:w="1077" w:type="dxa"/>
            <w:tcBorders>
              <w:right w:val="single" w:color="000000" w:sz="10" w:space="0"/>
            </w:tcBorders>
            <w:vAlign w:val="top"/>
          </w:tcPr>
          <w:p>
            <w:pPr>
              <w:spacing w:before="116" w:line="228" w:lineRule="auto"/>
              <w:ind w:left="23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预</w:t>
            </w:r>
            <w:r>
              <w:rPr>
                <w:rFonts w:hint="default" w:ascii="Times New Roman" w:hAnsi="Times New Roman" w:eastAsia="宋体" w:cs="Times New Roman"/>
                <w:spacing w:val="6"/>
                <w:sz w:val="20"/>
                <w:szCs w:val="20"/>
                <w:highlight w:val="none"/>
              </w:rPr>
              <w:t>测值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78" w:type="dxa"/>
            <w:tcBorders>
              <w:left w:val="single" w:color="000000" w:sz="10" w:space="0"/>
            </w:tcBorders>
            <w:vAlign w:val="top"/>
          </w:tcPr>
          <w:p>
            <w:pPr>
              <w:spacing w:before="151" w:line="195" w:lineRule="auto"/>
              <w:ind w:left="2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462" w:type="dxa"/>
            <w:vAlign w:val="top"/>
          </w:tcPr>
          <w:p>
            <w:pPr>
              <w:spacing w:before="116" w:line="228" w:lineRule="auto"/>
              <w:ind w:left="4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东</w:t>
            </w:r>
            <w:r>
              <w:rPr>
                <w:rFonts w:hint="default" w:ascii="Times New Roman" w:hAnsi="Times New Roman" w:eastAsia="宋体" w:cs="Times New Roman"/>
                <w:spacing w:val="4"/>
                <w:sz w:val="20"/>
                <w:szCs w:val="20"/>
                <w:highlight w:val="none"/>
              </w:rPr>
              <w:t>厂界</w:t>
            </w:r>
          </w:p>
        </w:tc>
        <w:tc>
          <w:tcPr>
            <w:tcW w:w="1063" w:type="dxa"/>
            <w:vAlign w:val="top"/>
          </w:tcPr>
          <w:p>
            <w:pPr>
              <w:spacing w:before="152" w:line="195" w:lineRule="auto"/>
              <w:ind w:left="35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3</w:t>
            </w:r>
            <w:r>
              <w:rPr>
                <w:rFonts w:hint="default" w:ascii="Times New Roman" w:hAnsi="Times New Roman" w:eastAsia="Times New Roman" w:cs="Times New Roman"/>
                <w:spacing w:val="3"/>
                <w:sz w:val="20"/>
                <w:szCs w:val="20"/>
                <w:highlight w:val="none"/>
              </w:rPr>
              <w:t>6.3</w:t>
            </w:r>
          </w:p>
        </w:tc>
        <w:tc>
          <w:tcPr>
            <w:tcW w:w="1063" w:type="dxa"/>
            <w:vAlign w:val="top"/>
          </w:tcPr>
          <w:p>
            <w:pPr>
              <w:spacing w:before="152" w:line="195" w:lineRule="auto"/>
              <w:ind w:left="35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56.6</w:t>
            </w:r>
          </w:p>
        </w:tc>
        <w:tc>
          <w:tcPr>
            <w:tcW w:w="1062" w:type="dxa"/>
            <w:vAlign w:val="top"/>
          </w:tcPr>
          <w:p>
            <w:pPr>
              <w:spacing w:before="152" w:line="195" w:lineRule="auto"/>
              <w:ind w:left="35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56.6</w:t>
            </w:r>
          </w:p>
        </w:tc>
        <w:tc>
          <w:tcPr>
            <w:tcW w:w="1063" w:type="dxa"/>
            <w:vAlign w:val="top"/>
          </w:tcPr>
          <w:p>
            <w:pPr>
              <w:spacing w:before="151" w:line="198" w:lineRule="auto"/>
              <w:ind w:left="35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1.4</w:t>
            </w:r>
          </w:p>
        </w:tc>
        <w:tc>
          <w:tcPr>
            <w:tcW w:w="1063" w:type="dxa"/>
            <w:vAlign w:val="top"/>
          </w:tcPr>
          <w:p>
            <w:pPr>
              <w:spacing w:before="152" w:line="195" w:lineRule="auto"/>
              <w:ind w:left="35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48.5</w:t>
            </w:r>
          </w:p>
        </w:tc>
        <w:tc>
          <w:tcPr>
            <w:tcW w:w="1077" w:type="dxa"/>
            <w:tcBorders>
              <w:right w:val="single" w:color="000000" w:sz="10" w:space="0"/>
            </w:tcBorders>
            <w:vAlign w:val="top"/>
          </w:tcPr>
          <w:p>
            <w:pPr>
              <w:spacing w:before="152" w:line="195" w:lineRule="auto"/>
              <w:ind w:left="35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48.5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78" w:type="dxa"/>
            <w:tcBorders>
              <w:left w:val="single" w:color="000000" w:sz="10" w:space="0"/>
            </w:tcBorders>
            <w:vAlign w:val="top"/>
          </w:tcPr>
          <w:p>
            <w:pPr>
              <w:spacing w:before="153" w:line="195" w:lineRule="auto"/>
              <w:ind w:left="27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462" w:type="dxa"/>
            <w:vAlign w:val="top"/>
          </w:tcPr>
          <w:p>
            <w:pPr>
              <w:spacing w:before="117" w:line="229" w:lineRule="auto"/>
              <w:ind w:left="41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南厂界</w:t>
            </w:r>
          </w:p>
        </w:tc>
        <w:tc>
          <w:tcPr>
            <w:tcW w:w="1063" w:type="dxa"/>
            <w:vAlign w:val="top"/>
          </w:tcPr>
          <w:p>
            <w:pPr>
              <w:spacing w:before="154" w:line="195" w:lineRule="auto"/>
              <w:ind w:left="35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3</w:t>
            </w:r>
            <w:r>
              <w:rPr>
                <w:rFonts w:hint="default" w:ascii="Times New Roman" w:hAnsi="Times New Roman" w:eastAsia="Times New Roman" w:cs="Times New Roman"/>
                <w:spacing w:val="-4"/>
                <w:sz w:val="20"/>
                <w:szCs w:val="20"/>
                <w:highlight w:val="none"/>
              </w:rPr>
              <w:t>1. 1</w:t>
            </w:r>
          </w:p>
        </w:tc>
        <w:tc>
          <w:tcPr>
            <w:tcW w:w="1063" w:type="dxa"/>
            <w:vAlign w:val="top"/>
          </w:tcPr>
          <w:p>
            <w:pPr>
              <w:spacing w:before="154" w:line="195" w:lineRule="auto"/>
              <w:ind w:left="35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56.4</w:t>
            </w:r>
          </w:p>
        </w:tc>
        <w:tc>
          <w:tcPr>
            <w:tcW w:w="1062" w:type="dxa"/>
            <w:vAlign w:val="top"/>
          </w:tcPr>
          <w:p>
            <w:pPr>
              <w:spacing w:before="154" w:line="195" w:lineRule="auto"/>
              <w:ind w:left="35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56.4</w:t>
            </w:r>
          </w:p>
        </w:tc>
        <w:tc>
          <w:tcPr>
            <w:tcW w:w="1063" w:type="dxa"/>
            <w:vAlign w:val="top"/>
          </w:tcPr>
          <w:p>
            <w:pPr>
              <w:spacing w:before="154" w:line="195" w:lineRule="auto"/>
              <w:ind w:left="35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2</w:t>
            </w:r>
            <w:r>
              <w:rPr>
                <w:rFonts w:hint="default" w:ascii="Times New Roman" w:hAnsi="Times New Roman" w:eastAsia="Times New Roman" w:cs="Times New Roman"/>
                <w:spacing w:val="3"/>
                <w:sz w:val="20"/>
                <w:szCs w:val="20"/>
                <w:highlight w:val="none"/>
              </w:rPr>
              <w:t>8.4</w:t>
            </w:r>
          </w:p>
        </w:tc>
        <w:tc>
          <w:tcPr>
            <w:tcW w:w="1063" w:type="dxa"/>
            <w:vAlign w:val="top"/>
          </w:tcPr>
          <w:p>
            <w:pPr>
              <w:spacing w:before="154" w:line="195" w:lineRule="auto"/>
              <w:ind w:left="35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46.</w:t>
            </w:r>
            <w:r>
              <w:rPr>
                <w:rFonts w:hint="default" w:ascii="Times New Roman" w:hAnsi="Times New Roman" w:eastAsia="Times New Roman" w:cs="Times New Roman"/>
                <w:spacing w:val="4"/>
                <w:sz w:val="20"/>
                <w:szCs w:val="20"/>
                <w:highlight w:val="none"/>
              </w:rPr>
              <w:t>6</w:t>
            </w:r>
          </w:p>
        </w:tc>
        <w:tc>
          <w:tcPr>
            <w:tcW w:w="1077" w:type="dxa"/>
            <w:tcBorders>
              <w:right w:val="single" w:color="000000" w:sz="10" w:space="0"/>
            </w:tcBorders>
            <w:vAlign w:val="top"/>
          </w:tcPr>
          <w:p>
            <w:pPr>
              <w:spacing w:before="154" w:line="195" w:lineRule="auto"/>
              <w:ind w:left="35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4</w:t>
            </w:r>
            <w:r>
              <w:rPr>
                <w:rFonts w:hint="default" w:ascii="Times New Roman" w:hAnsi="Times New Roman" w:eastAsia="Times New Roman" w:cs="Times New Roman"/>
                <w:spacing w:val="4"/>
                <w:sz w:val="20"/>
                <w:szCs w:val="20"/>
                <w:highlight w:val="none"/>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78" w:type="dxa"/>
            <w:tcBorders>
              <w:left w:val="single" w:color="000000" w:sz="10" w:space="0"/>
            </w:tcBorders>
            <w:vAlign w:val="top"/>
          </w:tcPr>
          <w:p>
            <w:pPr>
              <w:spacing w:before="152" w:line="195" w:lineRule="auto"/>
              <w:ind w:left="27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1462" w:type="dxa"/>
            <w:vAlign w:val="top"/>
          </w:tcPr>
          <w:p>
            <w:pPr>
              <w:spacing w:before="116" w:line="229" w:lineRule="auto"/>
              <w:ind w:left="41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西厂界</w:t>
            </w:r>
          </w:p>
        </w:tc>
        <w:tc>
          <w:tcPr>
            <w:tcW w:w="1063" w:type="dxa"/>
            <w:vAlign w:val="top"/>
          </w:tcPr>
          <w:p>
            <w:pPr>
              <w:spacing w:before="152" w:line="195" w:lineRule="auto"/>
              <w:ind w:left="35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3</w:t>
            </w:r>
            <w:r>
              <w:rPr>
                <w:rFonts w:hint="default" w:ascii="Times New Roman" w:hAnsi="Times New Roman" w:eastAsia="Times New Roman" w:cs="Times New Roman"/>
                <w:spacing w:val="4"/>
                <w:sz w:val="20"/>
                <w:szCs w:val="20"/>
                <w:highlight w:val="none"/>
              </w:rPr>
              <w:t>5.8</w:t>
            </w:r>
          </w:p>
        </w:tc>
        <w:tc>
          <w:tcPr>
            <w:tcW w:w="1063" w:type="dxa"/>
            <w:vAlign w:val="top"/>
          </w:tcPr>
          <w:p>
            <w:pPr>
              <w:spacing w:before="152" w:line="195" w:lineRule="auto"/>
              <w:ind w:left="35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55.</w:t>
            </w:r>
            <w:r>
              <w:rPr>
                <w:rFonts w:hint="default" w:ascii="Times New Roman" w:hAnsi="Times New Roman" w:eastAsia="Times New Roman" w:cs="Times New Roman"/>
                <w:spacing w:val="2"/>
                <w:sz w:val="20"/>
                <w:szCs w:val="20"/>
                <w:highlight w:val="none"/>
              </w:rPr>
              <w:t>0</w:t>
            </w:r>
          </w:p>
        </w:tc>
        <w:tc>
          <w:tcPr>
            <w:tcW w:w="1062" w:type="dxa"/>
            <w:vAlign w:val="top"/>
          </w:tcPr>
          <w:p>
            <w:pPr>
              <w:spacing w:before="152" w:line="195" w:lineRule="auto"/>
              <w:ind w:left="35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5</w:t>
            </w:r>
            <w:r>
              <w:rPr>
                <w:rFonts w:hint="default" w:ascii="Times New Roman" w:hAnsi="Times New Roman" w:eastAsia="Times New Roman" w:cs="Times New Roman"/>
                <w:spacing w:val="-4"/>
                <w:sz w:val="20"/>
                <w:szCs w:val="20"/>
                <w:highlight w:val="none"/>
              </w:rPr>
              <w:t>5. 1</w:t>
            </w:r>
          </w:p>
        </w:tc>
        <w:tc>
          <w:tcPr>
            <w:tcW w:w="1063" w:type="dxa"/>
            <w:vAlign w:val="top"/>
          </w:tcPr>
          <w:p>
            <w:pPr>
              <w:spacing w:before="152" w:line="195" w:lineRule="auto"/>
              <w:ind w:left="35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3</w:t>
            </w:r>
            <w:r>
              <w:rPr>
                <w:rFonts w:hint="default" w:ascii="Times New Roman" w:hAnsi="Times New Roman" w:eastAsia="Times New Roman" w:cs="Times New Roman"/>
                <w:spacing w:val="3"/>
                <w:sz w:val="20"/>
                <w:szCs w:val="20"/>
                <w:highlight w:val="none"/>
              </w:rPr>
              <w:t>5.7</w:t>
            </w:r>
          </w:p>
        </w:tc>
        <w:tc>
          <w:tcPr>
            <w:tcW w:w="1063" w:type="dxa"/>
            <w:vAlign w:val="top"/>
          </w:tcPr>
          <w:p>
            <w:pPr>
              <w:spacing w:before="152" w:line="195" w:lineRule="auto"/>
              <w:ind w:left="35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4</w:t>
            </w:r>
            <w:r>
              <w:rPr>
                <w:rFonts w:hint="default" w:ascii="Times New Roman" w:hAnsi="Times New Roman" w:eastAsia="Times New Roman" w:cs="Times New Roman"/>
                <w:spacing w:val="3"/>
                <w:sz w:val="20"/>
                <w:szCs w:val="20"/>
                <w:highlight w:val="none"/>
              </w:rPr>
              <w:t>6.2</w:t>
            </w:r>
          </w:p>
        </w:tc>
        <w:tc>
          <w:tcPr>
            <w:tcW w:w="1077" w:type="dxa"/>
            <w:tcBorders>
              <w:right w:val="single" w:color="000000" w:sz="10" w:space="0"/>
            </w:tcBorders>
            <w:vAlign w:val="top"/>
          </w:tcPr>
          <w:p>
            <w:pPr>
              <w:spacing w:before="152" w:line="195" w:lineRule="auto"/>
              <w:ind w:left="35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46.</w:t>
            </w:r>
            <w:r>
              <w:rPr>
                <w:rFonts w:hint="default" w:ascii="Times New Roman" w:hAnsi="Times New Roman" w:eastAsia="Times New Roman" w:cs="Times New Roman"/>
                <w:spacing w:val="4"/>
                <w:sz w:val="20"/>
                <w:szCs w:val="20"/>
                <w:highlight w:val="none"/>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78" w:type="dxa"/>
            <w:tcBorders>
              <w:left w:val="single" w:color="000000" w:sz="10" w:space="0"/>
            </w:tcBorders>
            <w:vAlign w:val="top"/>
          </w:tcPr>
          <w:p>
            <w:pPr>
              <w:spacing w:before="153" w:line="195" w:lineRule="auto"/>
              <w:ind w:left="27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4</w:t>
            </w:r>
          </w:p>
        </w:tc>
        <w:tc>
          <w:tcPr>
            <w:tcW w:w="1462" w:type="dxa"/>
            <w:vAlign w:val="top"/>
          </w:tcPr>
          <w:p>
            <w:pPr>
              <w:spacing w:before="117" w:line="229" w:lineRule="auto"/>
              <w:ind w:left="41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北厂</w:t>
            </w:r>
            <w:r>
              <w:rPr>
                <w:rFonts w:hint="default" w:ascii="Times New Roman" w:hAnsi="Times New Roman" w:eastAsia="宋体" w:cs="Times New Roman"/>
                <w:spacing w:val="5"/>
                <w:sz w:val="20"/>
                <w:szCs w:val="20"/>
                <w:highlight w:val="none"/>
              </w:rPr>
              <w:t>界</w:t>
            </w:r>
          </w:p>
        </w:tc>
        <w:tc>
          <w:tcPr>
            <w:tcW w:w="1063" w:type="dxa"/>
            <w:vAlign w:val="top"/>
          </w:tcPr>
          <w:p>
            <w:pPr>
              <w:spacing w:before="153" w:line="195" w:lineRule="auto"/>
              <w:ind w:left="35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3</w:t>
            </w:r>
            <w:r>
              <w:rPr>
                <w:rFonts w:hint="default" w:ascii="Times New Roman" w:hAnsi="Times New Roman" w:eastAsia="Times New Roman" w:cs="Times New Roman"/>
                <w:spacing w:val="2"/>
                <w:sz w:val="20"/>
                <w:szCs w:val="20"/>
                <w:highlight w:val="none"/>
              </w:rPr>
              <w:t>0.4</w:t>
            </w:r>
          </w:p>
        </w:tc>
        <w:tc>
          <w:tcPr>
            <w:tcW w:w="1063" w:type="dxa"/>
            <w:vAlign w:val="top"/>
          </w:tcPr>
          <w:p>
            <w:pPr>
              <w:spacing w:before="153" w:line="195" w:lineRule="auto"/>
              <w:ind w:left="35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54.8</w:t>
            </w:r>
          </w:p>
        </w:tc>
        <w:tc>
          <w:tcPr>
            <w:tcW w:w="1062" w:type="dxa"/>
            <w:vAlign w:val="top"/>
          </w:tcPr>
          <w:p>
            <w:pPr>
              <w:spacing w:before="153" w:line="195" w:lineRule="auto"/>
              <w:ind w:left="35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54.8</w:t>
            </w:r>
          </w:p>
        </w:tc>
        <w:tc>
          <w:tcPr>
            <w:tcW w:w="1063" w:type="dxa"/>
            <w:vAlign w:val="top"/>
          </w:tcPr>
          <w:p>
            <w:pPr>
              <w:spacing w:before="153" w:line="195" w:lineRule="auto"/>
              <w:ind w:left="35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7"/>
                <w:sz w:val="20"/>
                <w:szCs w:val="20"/>
                <w:highlight w:val="none"/>
              </w:rPr>
              <w:t>2</w:t>
            </w:r>
            <w:r>
              <w:rPr>
                <w:rFonts w:hint="default" w:ascii="Times New Roman" w:hAnsi="Times New Roman" w:eastAsia="Times New Roman" w:cs="Times New Roman"/>
                <w:spacing w:val="5"/>
                <w:sz w:val="20"/>
                <w:szCs w:val="20"/>
                <w:highlight w:val="none"/>
              </w:rPr>
              <w:t>3.8</w:t>
            </w:r>
          </w:p>
        </w:tc>
        <w:tc>
          <w:tcPr>
            <w:tcW w:w="1063" w:type="dxa"/>
            <w:vAlign w:val="top"/>
          </w:tcPr>
          <w:p>
            <w:pPr>
              <w:spacing w:before="153" w:line="195" w:lineRule="auto"/>
              <w:ind w:left="35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4</w:t>
            </w:r>
            <w:r>
              <w:rPr>
                <w:rFonts w:hint="default" w:ascii="Times New Roman" w:hAnsi="Times New Roman" w:eastAsia="Times New Roman" w:cs="Times New Roman"/>
                <w:spacing w:val="3"/>
                <w:sz w:val="20"/>
                <w:szCs w:val="20"/>
                <w:highlight w:val="none"/>
              </w:rPr>
              <w:t>5.4</w:t>
            </w:r>
          </w:p>
        </w:tc>
        <w:tc>
          <w:tcPr>
            <w:tcW w:w="1077" w:type="dxa"/>
            <w:tcBorders>
              <w:right w:val="single" w:color="000000" w:sz="10" w:space="0"/>
            </w:tcBorders>
            <w:vAlign w:val="top"/>
          </w:tcPr>
          <w:p>
            <w:pPr>
              <w:spacing w:before="153" w:line="195" w:lineRule="auto"/>
              <w:ind w:left="358"/>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4</w:t>
            </w:r>
            <w:r>
              <w:rPr>
                <w:rFonts w:hint="default" w:ascii="Times New Roman" w:hAnsi="Times New Roman" w:eastAsia="Times New Roman" w:cs="Times New Roman"/>
                <w:spacing w:val="3"/>
                <w:sz w:val="20"/>
                <w:szCs w:val="20"/>
                <w:highlight w:val="none"/>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78" w:type="dxa"/>
            <w:tcBorders>
              <w:left w:val="single" w:color="000000" w:sz="10" w:space="0"/>
            </w:tcBorders>
            <w:vAlign w:val="top"/>
          </w:tcPr>
          <w:p>
            <w:pPr>
              <w:spacing w:before="276" w:line="195" w:lineRule="auto"/>
              <w:ind w:left="277"/>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5</w:t>
            </w:r>
          </w:p>
        </w:tc>
        <w:tc>
          <w:tcPr>
            <w:tcW w:w="1462" w:type="dxa"/>
            <w:vAlign w:val="center"/>
          </w:tcPr>
          <w:p>
            <w:pPr>
              <w:spacing w:before="80" w:line="260" w:lineRule="auto"/>
              <w:ind w:left="640" w:right="212" w:hanging="433"/>
              <w:jc w:val="center"/>
              <w:rPr>
                <w:rFonts w:hint="default" w:ascii="Times New Roman" w:hAnsi="Times New Roman" w:eastAsia="宋体" w:cs="Times New Roman"/>
                <w:spacing w:val="9"/>
                <w:sz w:val="20"/>
                <w:szCs w:val="20"/>
                <w:highlight w:val="none"/>
              </w:rPr>
            </w:pPr>
            <w:r>
              <w:rPr>
                <w:rFonts w:hint="default" w:ascii="Times New Roman" w:hAnsi="Times New Roman" w:eastAsia="宋体" w:cs="Times New Roman"/>
                <w:spacing w:val="6"/>
                <w:sz w:val="20"/>
                <w:szCs w:val="20"/>
                <w:highlight w:val="none"/>
              </w:rPr>
              <w:t>张家坟村</w:t>
            </w:r>
          </w:p>
        </w:tc>
        <w:tc>
          <w:tcPr>
            <w:tcW w:w="10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0" w:line="240" w:lineRule="exact"/>
              <w:ind w:left="0"/>
              <w:jc w:val="center"/>
              <w:textAlignment w:val="baseline"/>
              <w:rPr>
                <w:rFonts w:hint="default" w:ascii="Times New Roman" w:hAnsi="Times New Roman" w:eastAsia="Times New Roman" w:cs="Times New Roman"/>
                <w:spacing w:val="3"/>
                <w:sz w:val="20"/>
                <w:szCs w:val="20"/>
                <w:highlight w:val="none"/>
                <w:lang w:val="en-US" w:eastAsia="zh-CN"/>
              </w:rPr>
            </w:pPr>
            <w:r>
              <w:rPr>
                <w:rFonts w:hint="eastAsia" w:ascii="Times New Roman" w:hAnsi="Times New Roman" w:eastAsia="Times New Roman" w:cs="Times New Roman"/>
                <w:spacing w:val="3"/>
                <w:sz w:val="20"/>
                <w:szCs w:val="20"/>
                <w:highlight w:val="none"/>
                <w:lang w:val="en-US" w:eastAsia="zh-CN"/>
              </w:rPr>
              <w:t>25.4</w:t>
            </w:r>
          </w:p>
        </w:tc>
        <w:tc>
          <w:tcPr>
            <w:tcW w:w="10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0" w:line="240" w:lineRule="exact"/>
              <w:ind w:left="0"/>
              <w:jc w:val="center"/>
              <w:textAlignment w:val="baseline"/>
              <w:rPr>
                <w:rFonts w:hint="default" w:ascii="Times New Roman" w:hAnsi="Times New Roman" w:eastAsia="宋体" w:cs="Times New Roman"/>
                <w:spacing w:val="3"/>
                <w:sz w:val="20"/>
                <w:szCs w:val="20"/>
                <w:highlight w:val="none"/>
                <w:lang w:val="en-US" w:eastAsia="zh-CN"/>
              </w:rPr>
            </w:pPr>
            <w:r>
              <w:rPr>
                <w:rFonts w:hint="default" w:ascii="Times New Roman" w:hAnsi="Times New Roman" w:eastAsia="Times New Roman" w:cs="Times New Roman"/>
                <w:spacing w:val="3"/>
                <w:sz w:val="20"/>
                <w:szCs w:val="20"/>
                <w:highlight w:val="none"/>
              </w:rPr>
              <w:t>53</w:t>
            </w:r>
            <w:r>
              <w:rPr>
                <w:rFonts w:hint="eastAsia" w:ascii="Times New Roman" w:hAnsi="Times New Roman" w:eastAsia="宋体" w:cs="Times New Roman"/>
                <w:spacing w:val="3"/>
                <w:sz w:val="20"/>
                <w:szCs w:val="20"/>
                <w:highlight w:val="none"/>
                <w:lang w:val="en-US" w:eastAsia="zh-CN"/>
              </w:rPr>
              <w:t>.0</w:t>
            </w:r>
          </w:p>
        </w:tc>
        <w:tc>
          <w:tcPr>
            <w:tcW w:w="106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0" w:line="240" w:lineRule="exact"/>
              <w:ind w:left="0"/>
              <w:jc w:val="center"/>
              <w:textAlignment w:val="baseline"/>
              <w:rPr>
                <w:rFonts w:hint="default" w:ascii="Times New Roman" w:hAnsi="Times New Roman" w:eastAsia="宋体" w:cs="Times New Roman"/>
                <w:spacing w:val="3"/>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50.0</w:t>
            </w:r>
          </w:p>
        </w:tc>
        <w:tc>
          <w:tcPr>
            <w:tcW w:w="10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0" w:line="240" w:lineRule="exact"/>
              <w:ind w:left="0"/>
              <w:jc w:val="center"/>
              <w:textAlignment w:val="baseline"/>
              <w:rPr>
                <w:rFonts w:hint="default" w:ascii="Times New Roman" w:hAnsi="Times New Roman" w:eastAsia="宋体" w:cs="Times New Roman"/>
                <w:spacing w:val="3"/>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18.7</w:t>
            </w:r>
          </w:p>
        </w:tc>
        <w:tc>
          <w:tcPr>
            <w:tcW w:w="106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100" w:line="240" w:lineRule="exact"/>
              <w:ind w:left="0"/>
              <w:jc w:val="center"/>
              <w:textAlignment w:val="baseline"/>
              <w:rPr>
                <w:rFonts w:hint="default" w:ascii="Times New Roman" w:hAnsi="Times New Roman" w:eastAsia="Times New Roman" w:cs="Times New Roman"/>
                <w:spacing w:val="3"/>
                <w:sz w:val="20"/>
                <w:szCs w:val="20"/>
                <w:highlight w:val="none"/>
              </w:rPr>
            </w:pPr>
            <w:r>
              <w:rPr>
                <w:rFonts w:hint="default"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3</w:t>
            </w:r>
            <w:r>
              <w:rPr>
                <w:rFonts w:hint="default" w:ascii="Times New Roman" w:hAnsi="Times New Roman" w:eastAsia="Times New Roman" w:cs="Times New Roman"/>
                <w:spacing w:val="3"/>
                <w:sz w:val="20"/>
                <w:szCs w:val="20"/>
                <w:highlight w:val="none"/>
              </w:rPr>
              <w:t>.0</w:t>
            </w:r>
          </w:p>
        </w:tc>
        <w:tc>
          <w:tcPr>
            <w:tcW w:w="1077" w:type="dxa"/>
            <w:tcBorders>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100" w:line="195" w:lineRule="auto"/>
              <w:ind w:left="0"/>
              <w:jc w:val="center"/>
              <w:textAlignment w:val="baseline"/>
              <w:rPr>
                <w:rFonts w:hint="default" w:ascii="Times New Roman" w:hAnsi="Times New Roman" w:eastAsia="Times New Roman" w:cs="Times New Roman"/>
                <w:spacing w:val="3"/>
                <w:sz w:val="20"/>
                <w:szCs w:val="20"/>
                <w:highlight w:val="none"/>
              </w:rPr>
            </w:pPr>
            <w:r>
              <w:rPr>
                <w:rFonts w:hint="default"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3</w:t>
            </w:r>
            <w:r>
              <w:rPr>
                <w:rFonts w:hint="default" w:ascii="Times New Roman" w:hAnsi="Times New Roman" w:eastAsia="Times New Roman" w:cs="Times New Roman"/>
                <w:spacing w:val="3"/>
                <w:sz w:val="20"/>
                <w:szCs w:val="20"/>
                <w:highlight w:val="none"/>
              </w:rPr>
              <w:t>.0</w:t>
            </w:r>
          </w:p>
        </w:tc>
      </w:tr>
    </w:tbl>
    <w:p>
      <w:pPr>
        <w:tabs>
          <w:tab w:val="left" w:pos="146"/>
        </w:tabs>
        <w:spacing w:before="219" w:line="400" w:lineRule="auto"/>
        <w:ind w:left="21" w:firstLine="50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
          <w:sz w:val="23"/>
          <w:szCs w:val="23"/>
          <w:highlight w:val="none"/>
        </w:rPr>
        <w:t xml:space="preserve">由表 </w:t>
      </w:r>
      <w:r>
        <w:rPr>
          <w:rFonts w:hint="default" w:ascii="Times New Roman" w:hAnsi="Times New Roman" w:eastAsia="Times New Roman" w:cs="Times New Roman"/>
          <w:spacing w:val="-1"/>
          <w:sz w:val="23"/>
          <w:szCs w:val="23"/>
          <w:highlight w:val="none"/>
        </w:rPr>
        <w:t>5.2-</w:t>
      </w:r>
      <w:r>
        <w:rPr>
          <w:rFonts w:hint="eastAsia" w:ascii="Times New Roman" w:hAnsi="Times New Roman" w:eastAsia="宋体" w:cs="Times New Roman"/>
          <w:spacing w:val="-1"/>
          <w:sz w:val="23"/>
          <w:szCs w:val="23"/>
          <w:highlight w:val="none"/>
          <w:lang w:val="en-US" w:eastAsia="zh-CN"/>
        </w:rPr>
        <w:t>16</w:t>
      </w:r>
      <w:r>
        <w:rPr>
          <w:rFonts w:hint="default" w:ascii="Times New Roman" w:hAnsi="Times New Roman" w:eastAsia="宋体" w:cs="Times New Roman"/>
          <w:spacing w:val="-1"/>
          <w:sz w:val="23"/>
          <w:szCs w:val="23"/>
          <w:highlight w:val="none"/>
        </w:rPr>
        <w:t>知，采取相应降噪措施后，</w:t>
      </w:r>
      <w:r>
        <w:rPr>
          <w:rFonts w:hint="default" w:ascii="Times New Roman" w:hAnsi="Times New Roman" w:eastAsia="宋体" w:cs="Times New Roman"/>
          <w:sz w:val="23"/>
          <w:szCs w:val="23"/>
          <w:highlight w:val="none"/>
        </w:rPr>
        <w:t xml:space="preserve">再经过距离衰减，东侧、南侧、西侧、 </w:t>
      </w:r>
      <w:r>
        <w:rPr>
          <w:rFonts w:hint="default" w:ascii="Times New Roman" w:hAnsi="Times New Roman" w:eastAsia="宋体" w:cs="Times New Roman"/>
          <w:spacing w:val="2"/>
          <w:sz w:val="23"/>
          <w:szCs w:val="23"/>
          <w:highlight w:val="none"/>
        </w:rPr>
        <w:t xml:space="preserve">北侧厂界外 </w:t>
      </w:r>
      <w:r>
        <w:rPr>
          <w:rFonts w:hint="default" w:ascii="Times New Roman" w:hAnsi="Times New Roman" w:eastAsia="Times New Roman" w:cs="Times New Roman"/>
          <w:spacing w:val="2"/>
          <w:sz w:val="23"/>
          <w:szCs w:val="23"/>
          <w:highlight w:val="none"/>
        </w:rPr>
        <w:t xml:space="preserve">1 </w:t>
      </w:r>
      <w:r>
        <w:rPr>
          <w:rFonts w:hint="default" w:ascii="Times New Roman" w:hAnsi="Times New Roman" w:eastAsia="宋体" w:cs="Times New Roman"/>
          <w:spacing w:val="2"/>
          <w:sz w:val="23"/>
          <w:szCs w:val="23"/>
          <w:highlight w:val="none"/>
        </w:rPr>
        <w:t xml:space="preserve">米处噪声贡献值为：昼间 </w:t>
      </w:r>
      <w:r>
        <w:rPr>
          <w:rFonts w:hint="default" w:ascii="Times New Roman" w:hAnsi="Times New Roman" w:eastAsia="Times New Roman" w:cs="Times New Roman"/>
          <w:spacing w:val="2"/>
          <w:sz w:val="23"/>
          <w:szCs w:val="23"/>
          <w:highlight w:val="none"/>
        </w:rPr>
        <w:t>30.</w:t>
      </w:r>
      <w:r>
        <w:rPr>
          <w:rFonts w:hint="default" w:ascii="Times New Roman" w:hAnsi="Times New Roman" w:eastAsia="Times New Roman" w:cs="Times New Roman"/>
          <w:spacing w:val="1"/>
          <w:sz w:val="23"/>
          <w:szCs w:val="23"/>
          <w:highlight w:val="none"/>
        </w:rPr>
        <w:t>4~36.3</w:t>
      </w:r>
      <w:r>
        <w:rPr>
          <w:rFonts w:hint="default" w:ascii="Times New Roman" w:hAnsi="Times New Roman" w:eastAsia="Times New Roman" w:cs="Times New Roman"/>
          <w:sz w:val="23"/>
          <w:szCs w:val="23"/>
          <w:highlight w:val="none"/>
        </w:rPr>
        <w:t>dB</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 xml:space="preserve">、夜间 </w:t>
      </w:r>
      <w:r>
        <w:rPr>
          <w:rFonts w:hint="default" w:ascii="Times New Roman" w:hAnsi="Times New Roman" w:eastAsia="Times New Roman" w:cs="Times New Roman"/>
          <w:spacing w:val="1"/>
          <w:sz w:val="23"/>
          <w:szCs w:val="23"/>
          <w:highlight w:val="none"/>
        </w:rPr>
        <w:t>21.4~35.7</w:t>
      </w:r>
      <w:r>
        <w:rPr>
          <w:rFonts w:hint="default" w:ascii="Times New Roman" w:hAnsi="Times New Roman" w:eastAsia="Times New Roman" w:cs="Times New Roman"/>
          <w:sz w:val="23"/>
          <w:szCs w:val="23"/>
          <w:highlight w:val="none"/>
        </w:rPr>
        <w:t>dB</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5"/>
          <w:sz w:val="23"/>
          <w:szCs w:val="23"/>
          <w:highlight w:val="none"/>
        </w:rPr>
        <w:t>项目厂界的噪声贡献值满足《工业企业厂界噪声排放标准》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5"/>
          <w:sz w:val="23"/>
          <w:szCs w:val="23"/>
          <w:highlight w:val="none"/>
        </w:rPr>
        <w:t>12348-2008</w:t>
      </w:r>
      <w:r>
        <w:rPr>
          <w:rFonts w:hint="default" w:ascii="Times New Roman" w:hAnsi="Times New Roman" w:eastAsia="宋体" w:cs="Times New Roman"/>
          <w:spacing w:val="5"/>
          <w:sz w:val="23"/>
          <w:szCs w:val="23"/>
          <w:highlight w:val="none"/>
        </w:rPr>
        <w:t>)</w:t>
      </w:r>
      <w:r>
        <w:rPr>
          <w:rFonts w:hint="default" w:ascii="Times New Roman" w:hAnsi="Times New Roman" w:eastAsia="宋体" w:cs="Times New Roman"/>
          <w:spacing w:val="3"/>
          <w:sz w:val="23"/>
          <w:szCs w:val="23"/>
          <w:highlight w:val="none"/>
        </w:rPr>
        <w:t xml:space="preserve"> </w:t>
      </w:r>
      <w:r>
        <w:rPr>
          <w:rFonts w:hint="default" w:ascii="Times New Roman" w:hAnsi="Times New Roman" w:eastAsia="Times New Roman" w:cs="Times New Roman"/>
          <w:sz w:val="23"/>
          <w:szCs w:val="23"/>
          <w:highlight w:val="none"/>
        </w:rPr>
        <w:t xml:space="preserve">2 </w:t>
      </w:r>
      <w:r>
        <w:rPr>
          <w:rFonts w:hint="default" w:ascii="Times New Roman" w:hAnsi="Times New Roman" w:eastAsia="宋体" w:cs="Times New Roman"/>
          <w:spacing w:val="2"/>
          <w:sz w:val="23"/>
          <w:szCs w:val="23"/>
          <w:highlight w:val="none"/>
        </w:rPr>
        <w:t xml:space="preserve">类标准限值要求：昼间 </w:t>
      </w:r>
      <w:r>
        <w:rPr>
          <w:rFonts w:hint="default" w:ascii="Times New Roman" w:hAnsi="Times New Roman" w:eastAsia="Times New Roman" w:cs="Times New Roman"/>
          <w:spacing w:val="2"/>
          <w:sz w:val="23"/>
          <w:szCs w:val="23"/>
          <w:highlight w:val="none"/>
        </w:rPr>
        <w:t xml:space="preserve">60 </w:t>
      </w:r>
      <w:r>
        <w:rPr>
          <w:rFonts w:hint="default" w:ascii="Times New Roman" w:hAnsi="Times New Roman" w:eastAsia="Times New Roman" w:cs="Times New Roman"/>
          <w:sz w:val="23"/>
          <w:szCs w:val="23"/>
          <w:highlight w:val="none"/>
        </w:rPr>
        <w:t>dB</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 xml:space="preserve">、夜间 </w:t>
      </w:r>
      <w:r>
        <w:rPr>
          <w:rFonts w:hint="default" w:ascii="Times New Roman" w:hAnsi="Times New Roman" w:eastAsia="Times New Roman" w:cs="Times New Roman"/>
          <w:spacing w:val="1"/>
          <w:sz w:val="23"/>
          <w:szCs w:val="23"/>
          <w:highlight w:val="none"/>
        </w:rPr>
        <w:t xml:space="preserve">50 </w:t>
      </w:r>
      <w:r>
        <w:rPr>
          <w:rFonts w:hint="default" w:ascii="Times New Roman" w:hAnsi="Times New Roman" w:eastAsia="Times New Roman" w:cs="Times New Roman"/>
          <w:sz w:val="23"/>
          <w:szCs w:val="23"/>
          <w:highlight w:val="none"/>
        </w:rPr>
        <w:t>dB</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
          <w:sz w:val="23"/>
          <w:szCs w:val="23"/>
          <w:highlight w:val="none"/>
        </w:rPr>
        <w:t>)</w:t>
      </w:r>
      <w:r>
        <w:rPr>
          <w:rFonts w:hint="default" w:ascii="Times New Roman" w:hAnsi="Times New Roman" w:eastAsia="宋体" w:cs="Times New Roman"/>
          <w:spacing w:val="1"/>
          <w:sz w:val="23"/>
          <w:szCs w:val="23"/>
          <w:highlight w:val="none"/>
        </w:rPr>
        <w:t>；敏感点处噪声预测值为：昼</w:t>
      </w:r>
      <w:r>
        <w:rPr>
          <w:rFonts w:hint="default" w:ascii="Times New Roman" w:hAnsi="Times New Roman" w:eastAsia="宋体" w:cs="Times New Roman"/>
          <w:spacing w:val="-22"/>
          <w:sz w:val="23"/>
          <w:szCs w:val="23"/>
          <w:highlight w:val="none"/>
        </w:rPr>
        <w:t xml:space="preserve">间 </w:t>
      </w:r>
      <w:r>
        <w:rPr>
          <w:rFonts w:hint="eastAsia" w:ascii="Times New Roman" w:hAnsi="Times New Roman" w:eastAsia="宋体" w:cs="Times New Roman"/>
          <w:spacing w:val="-22"/>
          <w:sz w:val="23"/>
          <w:szCs w:val="23"/>
          <w:highlight w:val="none"/>
          <w:lang w:val="en-US" w:eastAsia="zh-CN"/>
        </w:rPr>
        <w:t>53</w:t>
      </w:r>
      <w:r>
        <w:rPr>
          <w:rFonts w:hint="default" w:ascii="Times New Roman" w:hAnsi="Times New Roman" w:eastAsia="Times New Roman" w:cs="Times New Roman"/>
          <w:spacing w:val="-11"/>
          <w:sz w:val="23"/>
          <w:szCs w:val="23"/>
          <w:highlight w:val="none"/>
        </w:rPr>
        <w:t xml:space="preserve">.5dB(A) </w:t>
      </w:r>
      <w:r>
        <w:rPr>
          <w:rFonts w:hint="default" w:ascii="Times New Roman" w:hAnsi="Times New Roman" w:eastAsia="宋体" w:cs="Times New Roman"/>
          <w:spacing w:val="-11"/>
          <w:sz w:val="23"/>
          <w:szCs w:val="23"/>
          <w:highlight w:val="none"/>
        </w:rPr>
        <w:t>， 夜 间</w:t>
      </w:r>
      <w:r>
        <w:rPr>
          <w:rFonts w:hint="eastAsia" w:ascii="Times New Roman" w:hAnsi="Times New Roman" w:eastAsia="宋体" w:cs="Times New Roman"/>
          <w:spacing w:val="-11"/>
          <w:sz w:val="23"/>
          <w:szCs w:val="23"/>
          <w:highlight w:val="none"/>
          <w:lang w:val="en-US" w:eastAsia="zh-CN"/>
        </w:rPr>
        <w:t>44.0</w:t>
      </w:r>
      <w:r>
        <w:rPr>
          <w:rFonts w:hint="default" w:ascii="Times New Roman" w:hAnsi="Times New Roman" w:eastAsia="Times New Roman" w:cs="Times New Roman"/>
          <w:spacing w:val="-11"/>
          <w:sz w:val="23"/>
          <w:szCs w:val="23"/>
          <w:highlight w:val="none"/>
        </w:rPr>
        <w:t xml:space="preserve">dB(A) </w:t>
      </w:r>
      <w:r>
        <w:rPr>
          <w:rFonts w:hint="default" w:ascii="Times New Roman" w:hAnsi="Times New Roman" w:eastAsia="宋体" w:cs="Times New Roman"/>
          <w:spacing w:val="-11"/>
          <w:sz w:val="23"/>
          <w:szCs w:val="23"/>
          <w:highlight w:val="none"/>
        </w:rPr>
        <w:t>， 可 以满 足《 声环境质量标准 》</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z w:val="23"/>
          <w:szCs w:val="23"/>
          <w:highlight w:val="none"/>
        </w:rPr>
        <w:tab/>
      </w:r>
      <w:r>
        <w:rPr>
          <w:rFonts w:hint="default" w:ascii="Times New Roman" w:hAnsi="Times New Roman" w:eastAsia="宋体" w:cs="Times New Roman"/>
          <w:spacing w:val="1"/>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1"/>
          <w:sz w:val="23"/>
          <w:szCs w:val="23"/>
          <w:highlight w:val="none"/>
        </w:rPr>
        <w:t>3096-2008</w:t>
      </w:r>
      <w:r>
        <w:rPr>
          <w:rFonts w:hint="default" w:ascii="Times New Roman" w:hAnsi="Times New Roman" w:eastAsia="宋体" w:cs="Times New Roman"/>
          <w:spacing w:val="1"/>
          <w:sz w:val="23"/>
          <w:szCs w:val="23"/>
          <w:highlight w:val="none"/>
        </w:rPr>
        <w:t xml:space="preserve">) 中 </w:t>
      </w:r>
      <w:r>
        <w:rPr>
          <w:rFonts w:hint="default" w:ascii="Times New Roman" w:hAnsi="Times New Roman" w:eastAsia="Times New Roman" w:cs="Times New Roman"/>
          <w:spacing w:val="1"/>
          <w:sz w:val="23"/>
          <w:szCs w:val="23"/>
          <w:highlight w:val="none"/>
        </w:rPr>
        <w:t xml:space="preserve">2 </w:t>
      </w:r>
      <w:r>
        <w:rPr>
          <w:rFonts w:hint="default" w:ascii="Times New Roman" w:hAnsi="Times New Roman" w:eastAsia="宋体" w:cs="Times New Roman"/>
          <w:spacing w:val="1"/>
          <w:sz w:val="23"/>
          <w:szCs w:val="23"/>
          <w:highlight w:val="none"/>
        </w:rPr>
        <w:t>类标准</w:t>
      </w:r>
      <w:r>
        <w:rPr>
          <w:rFonts w:hint="default" w:ascii="Times New Roman" w:hAnsi="Times New Roman" w:eastAsia="宋体" w:cs="Times New Roman"/>
          <w:sz w:val="23"/>
          <w:szCs w:val="23"/>
          <w:highlight w:val="none"/>
        </w:rPr>
        <w:t>限值要求</w:t>
      </w:r>
      <w:r>
        <w:rPr>
          <w:rFonts w:hint="default" w:ascii="Times New Roman" w:hAnsi="Times New Roman" w:eastAsia="宋体" w:cs="Times New Roman"/>
          <w:spacing w:val="7"/>
          <w:sz w:val="23"/>
          <w:szCs w:val="23"/>
          <w:highlight w:val="none"/>
        </w:rPr>
        <w:t xml:space="preserve"> 。</w:t>
      </w:r>
    </w:p>
    <w:p>
      <w:pPr>
        <w:tabs>
          <w:tab w:val="left" w:pos="369"/>
        </w:tabs>
        <w:bidi w:val="0"/>
        <w:jc w:val="left"/>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shape id="_x0000_s1366" o:spid="_x0000_s1366" style="position:absolute;left:0pt;margin-left:89.85pt;margin-top:59.05pt;height:0.75pt;width:415.65pt;mso-position-horizontal-relative:page;mso-position-vertical-relative:page;z-index:251817984;mso-width-relative:page;mso-height-relative:page;" fillcolor="#000000" filled="t" stroked="f" coordsize="8312,15" o:allowincell="f" path="m0,0l8312,0,8312,14,0,14,0,0xe">
            <v:path/>
            <v:fill on="t" focussize="0,0"/>
            <v:stroke on="f"/>
            <v:imagedata o:title=""/>
            <o:lock v:ext="edit"/>
          </v:shape>
        </w:pict>
      </w:r>
      <w:bookmarkStart w:id="658" w:name="_Toc11974"/>
      <w:bookmarkStart w:id="659" w:name="_Toc29070"/>
      <w:bookmarkStart w:id="660" w:name="_Toc25875"/>
      <w:r>
        <w:rPr>
          <w:rFonts w:hint="default" w:ascii="Times New Roman" w:hAnsi="Times New Roman" w:eastAsia="Times New Roman" w:cs="Times New Roman"/>
          <w:b/>
          <w:bCs/>
          <w:spacing w:val="14"/>
          <w:sz w:val="23"/>
          <w:szCs w:val="23"/>
          <w:highlight w:val="none"/>
        </w:rPr>
        <w:t>5</w:t>
      </w:r>
      <w:r>
        <w:rPr>
          <w:rFonts w:hint="default" w:ascii="Times New Roman" w:hAnsi="Times New Roman" w:eastAsia="Times New Roman" w:cs="Times New Roman"/>
          <w:b/>
          <w:bCs/>
          <w:spacing w:val="7"/>
          <w:sz w:val="23"/>
          <w:szCs w:val="23"/>
          <w:highlight w:val="none"/>
        </w:rPr>
        <w:t>.2.5</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固体废物环境影响分析</w:t>
      </w:r>
      <w:bookmarkEnd w:id="658"/>
      <w:bookmarkEnd w:id="659"/>
      <w:bookmarkEnd w:id="660"/>
    </w:p>
    <w:p>
      <w:pPr>
        <w:spacing w:line="256" w:lineRule="auto"/>
        <w:rPr>
          <w:rFonts w:hint="default" w:ascii="Times New Roman" w:hAnsi="Times New Roman" w:cs="Times New Roman"/>
          <w:sz w:val="21"/>
          <w:highlight w:val="none"/>
        </w:rPr>
      </w:pPr>
    </w:p>
    <w:p>
      <w:pPr>
        <w:spacing w:before="75" w:line="402" w:lineRule="auto"/>
        <w:ind w:left="24" w:right="37" w:firstLine="47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本项目产生的一般固体废物主要包括</w:t>
      </w:r>
      <w:r>
        <w:rPr>
          <w:rFonts w:hint="eastAsia" w:ascii="Times New Roman" w:hAnsi="Times New Roman" w:eastAsia="宋体" w:cs="Times New Roman"/>
          <w:spacing w:val="7"/>
          <w:sz w:val="23"/>
          <w:szCs w:val="23"/>
          <w:highlight w:val="none"/>
          <w:lang w:val="en-US" w:eastAsia="zh-CN"/>
        </w:rPr>
        <w:t>尾矿砂（包括细砂和泥饼）</w:t>
      </w:r>
      <w:r>
        <w:rPr>
          <w:rFonts w:hint="default" w:ascii="Times New Roman" w:hAnsi="Times New Roman" w:eastAsia="宋体" w:cs="Times New Roman"/>
          <w:spacing w:val="7"/>
          <w:sz w:val="23"/>
          <w:szCs w:val="23"/>
          <w:highlight w:val="none"/>
        </w:rPr>
        <w:t>、除尘器收集的除尘灰</w:t>
      </w:r>
      <w:r>
        <w:rPr>
          <w:rFonts w:hint="eastAsia" w:ascii="Times New Roman" w:hAnsi="Times New Roman" w:eastAsia="宋体" w:cs="Times New Roman"/>
          <w:spacing w:val="7"/>
          <w:sz w:val="23"/>
          <w:szCs w:val="23"/>
          <w:highlight w:val="none"/>
          <w:lang w:eastAsia="zh-CN"/>
        </w:rPr>
        <w:t>、</w:t>
      </w:r>
      <w:r>
        <w:rPr>
          <w:rFonts w:hint="eastAsia" w:ascii="Times New Roman" w:hAnsi="Times New Roman" w:eastAsia="宋体" w:cs="Times New Roman"/>
          <w:spacing w:val="7"/>
          <w:sz w:val="23"/>
          <w:szCs w:val="23"/>
          <w:highlight w:val="none"/>
          <w:lang w:val="en-US" w:eastAsia="zh-CN"/>
        </w:rPr>
        <w:t>球磨机产生的废钢球</w:t>
      </w:r>
      <w:r>
        <w:rPr>
          <w:rFonts w:hint="default" w:ascii="Times New Roman" w:hAnsi="Times New Roman" w:eastAsia="宋体" w:cs="Times New Roman"/>
          <w:spacing w:val="9"/>
          <w:sz w:val="23"/>
          <w:szCs w:val="23"/>
          <w:highlight w:val="none"/>
        </w:rPr>
        <w:t>；危险废物主要为生产设备使用过程产生的废矿物油</w:t>
      </w:r>
      <w:r>
        <w:rPr>
          <w:rFonts w:hint="eastAsia" w:ascii="Times New Roman" w:hAnsi="Times New Roman" w:eastAsia="宋体" w:cs="Times New Roman"/>
          <w:spacing w:val="9"/>
          <w:sz w:val="23"/>
          <w:szCs w:val="23"/>
          <w:highlight w:val="none"/>
          <w:lang w:eastAsia="zh-CN"/>
        </w:rPr>
        <w:t>、</w:t>
      </w:r>
      <w:r>
        <w:rPr>
          <w:rFonts w:hint="eastAsia" w:ascii="Times New Roman" w:hAnsi="Times New Roman" w:eastAsia="宋体" w:cs="Times New Roman"/>
          <w:spacing w:val="9"/>
          <w:sz w:val="23"/>
          <w:szCs w:val="23"/>
          <w:highlight w:val="none"/>
          <w:lang w:val="en-US" w:eastAsia="zh-CN"/>
        </w:rPr>
        <w:t>油桶</w:t>
      </w:r>
      <w:r>
        <w:rPr>
          <w:rFonts w:hint="default" w:ascii="Times New Roman" w:hAnsi="Times New Roman" w:eastAsia="宋体" w:cs="Times New Roman"/>
          <w:spacing w:val="9"/>
          <w:sz w:val="23"/>
          <w:szCs w:val="23"/>
          <w:highlight w:val="none"/>
        </w:rPr>
        <w:t>。</w:t>
      </w:r>
    </w:p>
    <w:p>
      <w:pPr>
        <w:spacing w:line="228" w:lineRule="auto"/>
        <w:ind w:left="512"/>
        <w:outlineLvl w:val="2"/>
        <w:rPr>
          <w:rFonts w:hint="default" w:ascii="Times New Roman" w:hAnsi="Times New Roman" w:eastAsia="宋体" w:cs="Times New Roman"/>
          <w:sz w:val="23"/>
          <w:szCs w:val="23"/>
          <w:highlight w:val="none"/>
        </w:rPr>
      </w:pPr>
      <w:bookmarkStart w:id="661" w:name="_Toc11979"/>
      <w:bookmarkStart w:id="662" w:name="_Toc1484"/>
      <w:bookmarkStart w:id="663" w:name="_Toc32278"/>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7"/>
          <w:sz w:val="23"/>
          <w:szCs w:val="23"/>
          <w:highlight w:val="none"/>
        </w:rPr>
        <w:t>1</w:t>
      </w:r>
      <w:r>
        <w:rPr>
          <w:rFonts w:hint="default" w:ascii="Times New Roman" w:hAnsi="Times New Roman" w:eastAsia="宋体" w:cs="Times New Roman"/>
          <w:spacing w:val="17"/>
          <w:sz w:val="23"/>
          <w:szCs w:val="23"/>
          <w:highlight w:val="none"/>
        </w:rPr>
        <w:t>) 一般固体废弃物</w:t>
      </w:r>
      <w:bookmarkEnd w:id="661"/>
      <w:bookmarkEnd w:id="662"/>
      <w:bookmarkEnd w:id="663"/>
    </w:p>
    <w:p>
      <w:pPr>
        <w:keepNext w:val="0"/>
        <w:keepLines w:val="0"/>
        <w:pageBreakBefore w:val="0"/>
        <w:widowControl/>
        <w:kinsoku w:val="0"/>
        <w:wordWrap/>
        <w:overflowPunct/>
        <w:topLinePunct w:val="0"/>
        <w:autoSpaceDE w:val="0"/>
        <w:autoSpaceDN w:val="0"/>
        <w:bidi w:val="0"/>
        <w:adjustRightInd w:val="0"/>
        <w:snapToGrid w:val="0"/>
        <w:spacing w:line="460" w:lineRule="exact"/>
        <w:ind w:left="130" w:right="116" w:firstLine="508"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根据</w:t>
      </w:r>
      <w:r>
        <w:rPr>
          <w:rFonts w:hint="default" w:ascii="Times New Roman" w:hAnsi="Times New Roman" w:eastAsia="宋体" w:cs="Times New Roman"/>
          <w:spacing w:val="6"/>
          <w:sz w:val="23"/>
          <w:szCs w:val="23"/>
          <w:highlight w:val="none"/>
        </w:rPr>
        <w:t>浸出毒性鉴别结果表明：尾矿砂浸出液中总汞、总镉、总砷、</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7"/>
          <w:sz w:val="23"/>
          <w:szCs w:val="23"/>
          <w:highlight w:val="none"/>
        </w:rPr>
        <w:t>六</w:t>
      </w:r>
      <w:r>
        <w:rPr>
          <w:rFonts w:hint="default" w:ascii="Times New Roman" w:hAnsi="Times New Roman" w:eastAsia="宋体" w:cs="Times New Roman"/>
          <w:spacing w:val="13"/>
          <w:sz w:val="23"/>
          <w:szCs w:val="23"/>
          <w:highlight w:val="none"/>
        </w:rPr>
        <w:t>价铬、总铜、总锌、总镍、总铅、总铬、总铍、总钡、总银、总硒的浓度均</w:t>
      </w:r>
      <w:r>
        <w:rPr>
          <w:rFonts w:hint="default" w:ascii="Times New Roman" w:hAnsi="Times New Roman" w:eastAsia="宋体" w:cs="Times New Roman"/>
          <w:spacing w:val="10"/>
          <w:sz w:val="23"/>
          <w:szCs w:val="23"/>
          <w:highlight w:val="none"/>
        </w:rPr>
        <w:t>低于《</w:t>
      </w:r>
      <w:r>
        <w:rPr>
          <w:rFonts w:hint="default" w:ascii="Times New Roman" w:hAnsi="Times New Roman" w:eastAsia="宋体" w:cs="Times New Roman"/>
          <w:spacing w:val="7"/>
          <w:sz w:val="23"/>
          <w:szCs w:val="23"/>
          <w:highlight w:val="none"/>
        </w:rPr>
        <w:t>危</w:t>
      </w:r>
      <w:r>
        <w:rPr>
          <w:rFonts w:hint="default" w:ascii="Times New Roman" w:hAnsi="Times New Roman" w:eastAsia="宋体" w:cs="Times New Roman"/>
          <w:spacing w:val="5"/>
          <w:sz w:val="23"/>
          <w:szCs w:val="23"/>
          <w:highlight w:val="none"/>
        </w:rPr>
        <w:t>险废物鉴别标准浸出毒性鉴别》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5"/>
          <w:sz w:val="23"/>
          <w:szCs w:val="23"/>
          <w:highlight w:val="none"/>
        </w:rPr>
        <w:t>5085.3-2007</w:t>
      </w:r>
      <w:r>
        <w:rPr>
          <w:rFonts w:hint="default" w:ascii="Times New Roman" w:hAnsi="Times New Roman" w:eastAsia="宋体" w:cs="Times New Roman"/>
          <w:spacing w:val="5"/>
          <w:sz w:val="23"/>
          <w:szCs w:val="23"/>
          <w:highlight w:val="none"/>
        </w:rPr>
        <w:t>) 中规定的浸出液体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最</w:t>
      </w:r>
      <w:r>
        <w:rPr>
          <w:rFonts w:hint="default" w:ascii="Times New Roman" w:hAnsi="Times New Roman" w:eastAsia="宋体" w:cs="Times New Roman"/>
          <w:spacing w:val="11"/>
          <w:sz w:val="23"/>
          <w:szCs w:val="23"/>
          <w:highlight w:val="none"/>
        </w:rPr>
        <w:t>高</w:t>
      </w:r>
      <w:r>
        <w:rPr>
          <w:rFonts w:hint="default" w:ascii="Times New Roman" w:hAnsi="Times New Roman" w:eastAsia="宋体" w:cs="Times New Roman"/>
          <w:spacing w:val="9"/>
          <w:sz w:val="23"/>
          <w:szCs w:val="23"/>
          <w:highlight w:val="none"/>
        </w:rPr>
        <w:t>允许浓度，因此本项目尾矿砂不属于具有浸出毒性的危险废物。</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42" w:right="118" w:firstLine="588" w:firstLineChars="200"/>
        <w:jc w:val="both"/>
        <w:textAlignment w:val="baseline"/>
        <w:rPr>
          <w:rFonts w:hint="default" w:ascii="Times New Roman" w:hAnsi="Times New Roman" w:eastAsia="宋体" w:cs="Times New Roman"/>
          <w:spacing w:val="3"/>
          <w:sz w:val="23"/>
          <w:szCs w:val="23"/>
          <w:highlight w:val="none"/>
        </w:rPr>
      </w:pPr>
      <w:r>
        <w:rPr>
          <w:rFonts w:hint="default" w:ascii="Times New Roman" w:hAnsi="Times New Roman" w:eastAsia="宋体" w:cs="Times New Roman"/>
          <w:spacing w:val="32"/>
          <w:sz w:val="23"/>
          <w:szCs w:val="23"/>
          <w:highlight w:val="none"/>
        </w:rPr>
        <w:t>尾</w:t>
      </w:r>
      <w:r>
        <w:rPr>
          <w:rFonts w:hint="default" w:ascii="Times New Roman" w:hAnsi="Times New Roman" w:eastAsia="宋体" w:cs="Times New Roman"/>
          <w:spacing w:val="29"/>
          <w:sz w:val="23"/>
          <w:szCs w:val="23"/>
          <w:highlight w:val="none"/>
        </w:rPr>
        <w:t>矿砂浸出液中任何一种污染物浓度均未超过《污水综合排放标准》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8"/>
          <w:sz w:val="23"/>
          <w:szCs w:val="23"/>
          <w:highlight w:val="none"/>
        </w:rPr>
        <w:t>8978-</w:t>
      </w:r>
      <w:r>
        <w:rPr>
          <w:rFonts w:hint="default" w:ascii="Times New Roman" w:hAnsi="Times New Roman" w:eastAsia="Times New Roman" w:cs="Times New Roman"/>
          <w:spacing w:val="4"/>
          <w:sz w:val="23"/>
          <w:szCs w:val="23"/>
          <w:highlight w:val="none"/>
        </w:rPr>
        <w:t xml:space="preserve"> 1996</w:t>
      </w:r>
      <w:r>
        <w:rPr>
          <w:rFonts w:hint="default" w:ascii="Times New Roman" w:hAnsi="Times New Roman" w:eastAsia="宋体" w:cs="Times New Roman"/>
          <w:spacing w:val="4"/>
          <w:sz w:val="23"/>
          <w:szCs w:val="23"/>
          <w:highlight w:val="none"/>
        </w:rPr>
        <w:t xml:space="preserve">) 最高允许排放浓度，且 </w:t>
      </w:r>
      <w:r>
        <w:rPr>
          <w:rFonts w:hint="default" w:ascii="Times New Roman" w:hAnsi="Times New Roman" w:eastAsia="Times New Roman" w:cs="Times New Roman"/>
          <w:sz w:val="23"/>
          <w:szCs w:val="23"/>
          <w:highlight w:val="none"/>
        </w:rPr>
        <w:t>pH</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 xml:space="preserve">值在 </w:t>
      </w:r>
      <w:r>
        <w:rPr>
          <w:rFonts w:hint="default" w:ascii="Times New Roman" w:hAnsi="Times New Roman" w:eastAsia="Times New Roman" w:cs="Times New Roman"/>
          <w:spacing w:val="4"/>
          <w:sz w:val="23"/>
          <w:szCs w:val="23"/>
          <w:highlight w:val="none"/>
        </w:rPr>
        <w:t xml:space="preserve">6-9 </w:t>
      </w:r>
      <w:r>
        <w:rPr>
          <w:rFonts w:hint="default" w:ascii="Times New Roman" w:hAnsi="Times New Roman" w:eastAsia="宋体" w:cs="Times New Roman"/>
          <w:spacing w:val="4"/>
          <w:sz w:val="23"/>
          <w:szCs w:val="23"/>
          <w:highlight w:val="none"/>
        </w:rPr>
        <w:t>之间，为第 Ⅰ类一般工业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固体废物</w:t>
      </w:r>
      <w:r>
        <w:rPr>
          <w:rFonts w:hint="default" w:ascii="Times New Roman" w:hAnsi="Times New Roman" w:eastAsia="宋体" w:cs="Times New Roman"/>
          <w:spacing w:val="3"/>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142" w:right="118" w:firstLine="504" w:firstLineChars="200"/>
        <w:jc w:val="both"/>
        <w:textAlignment w:val="baseline"/>
        <w:rPr>
          <w:rFonts w:hint="default" w:ascii="Times New Roman" w:hAnsi="Times New Roman" w:eastAsia="宋体" w:cs="Times New Roman"/>
          <w:spacing w:val="8"/>
          <w:sz w:val="23"/>
          <w:szCs w:val="23"/>
          <w:highlight w:val="none"/>
          <w:lang w:val="en-US" w:eastAsia="zh-CN"/>
        </w:rPr>
      </w:pPr>
      <w:r>
        <w:rPr>
          <w:rFonts w:hint="default" w:ascii="Times New Roman" w:hAnsi="Times New Roman" w:eastAsia="宋体" w:cs="Times New Roman"/>
          <w:spacing w:val="11"/>
          <w:sz w:val="23"/>
          <w:szCs w:val="23"/>
          <w:highlight w:val="none"/>
        </w:rPr>
        <w:t>本项目尾矿砂主要成分为</w:t>
      </w:r>
      <w:r>
        <w:rPr>
          <w:rFonts w:hint="default" w:ascii="Times New Roman" w:hAnsi="Times New Roman" w:eastAsia="Times New Roman" w:cs="Times New Roman"/>
          <w:sz w:val="23"/>
          <w:szCs w:val="23"/>
          <w:highlight w:val="none"/>
        </w:rPr>
        <w:t>SiO</w:t>
      </w:r>
      <w:r>
        <w:rPr>
          <w:rFonts w:hint="default" w:ascii="Times New Roman" w:hAnsi="Times New Roman" w:eastAsia="Times New Roman" w:cs="Times New Roman"/>
          <w:spacing w:val="10"/>
          <w:position w:val="-1"/>
          <w:sz w:val="15"/>
          <w:szCs w:val="15"/>
          <w:highlight w:val="none"/>
        </w:rPr>
        <w:t>2</w:t>
      </w:r>
      <w:r>
        <w:rPr>
          <w:rFonts w:hint="default" w:ascii="Times New Roman" w:hAnsi="Times New Roman" w:eastAsia="Times New Roman" w:cs="Times New Roman"/>
          <w:position w:val="-1"/>
          <w:sz w:val="15"/>
          <w:szCs w:val="15"/>
          <w:highlight w:val="none"/>
        </w:rPr>
        <w:t xml:space="preserve">  </w:t>
      </w:r>
      <w:r>
        <w:rPr>
          <w:rFonts w:hint="default" w:ascii="Times New Roman" w:hAnsi="Times New Roman" w:eastAsia="宋体" w:cs="Times New Roman"/>
          <w:spacing w:val="12"/>
          <w:sz w:val="23"/>
          <w:szCs w:val="23"/>
          <w:highlight w:val="none"/>
        </w:rPr>
        <w:t>和</w:t>
      </w:r>
      <w:r>
        <w:rPr>
          <w:rFonts w:hint="default" w:ascii="Times New Roman" w:hAnsi="Times New Roman" w:eastAsia="Times New Roman" w:cs="Times New Roman"/>
          <w:sz w:val="23"/>
          <w:szCs w:val="23"/>
          <w:highlight w:val="none"/>
        </w:rPr>
        <w:t>Fe</w:t>
      </w:r>
      <w:r>
        <w:rPr>
          <w:rFonts w:hint="default" w:ascii="Times New Roman" w:hAnsi="Times New Roman" w:eastAsia="宋体" w:cs="Times New Roman"/>
          <w:spacing w:val="12"/>
          <w:sz w:val="23"/>
          <w:szCs w:val="23"/>
          <w:highlight w:val="none"/>
        </w:rPr>
        <w:t>等元</w:t>
      </w:r>
      <w:r>
        <w:rPr>
          <w:rFonts w:hint="default" w:ascii="Times New Roman" w:hAnsi="Times New Roman" w:eastAsia="宋体" w:cs="Times New Roman"/>
          <w:spacing w:val="11"/>
          <w:sz w:val="23"/>
          <w:szCs w:val="23"/>
          <w:highlight w:val="none"/>
        </w:rPr>
        <w:t>素</w:t>
      </w:r>
      <w:r>
        <w:rPr>
          <w:rFonts w:hint="default" w:ascii="Times New Roman" w:hAnsi="Times New Roman" w:eastAsia="宋体" w:cs="Times New Roman"/>
          <w:spacing w:val="6"/>
          <w:sz w:val="23"/>
          <w:szCs w:val="23"/>
          <w:highlight w:val="none"/>
        </w:rPr>
        <w:t>，不含有毒有害物质，</w:t>
      </w:r>
      <w:r>
        <w:rPr>
          <w:rFonts w:hint="eastAsia" w:ascii="Times New Roman" w:hAnsi="Times New Roman" w:eastAsia="宋体" w:cs="Times New Roman"/>
          <w:spacing w:val="6"/>
          <w:sz w:val="23"/>
          <w:szCs w:val="23"/>
          <w:highlight w:val="none"/>
          <w:lang w:val="en-US" w:eastAsia="zh-CN"/>
        </w:rPr>
        <w:t>细砂作为建筑材料外售，泥饼作为建筑材料外售</w:t>
      </w:r>
      <w:r>
        <w:rPr>
          <w:rFonts w:hint="default" w:ascii="Times New Roman" w:hAnsi="Times New Roman" w:eastAsia="宋体" w:cs="Times New Roman"/>
          <w:spacing w:val="6"/>
          <w:sz w:val="23"/>
          <w:szCs w:val="23"/>
          <w:highlight w:val="none"/>
        </w:rPr>
        <w:t>；布袋除尘器</w:t>
      </w:r>
      <w:r>
        <w:rPr>
          <w:rFonts w:hint="default" w:ascii="Times New Roman" w:hAnsi="Times New Roman" w:eastAsia="宋体" w:cs="Times New Roman"/>
          <w:spacing w:val="2"/>
          <w:sz w:val="23"/>
          <w:szCs w:val="23"/>
          <w:highlight w:val="none"/>
        </w:rPr>
        <w:t>收集的除尘灰集中收集后</w:t>
      </w:r>
      <w:r>
        <w:rPr>
          <w:rFonts w:hint="eastAsia" w:ascii="Times New Roman" w:hAnsi="Times New Roman" w:eastAsia="宋体" w:cs="Times New Roman"/>
          <w:spacing w:val="8"/>
          <w:sz w:val="23"/>
          <w:szCs w:val="23"/>
          <w:highlight w:val="none"/>
          <w:lang w:val="en-US" w:eastAsia="zh-CN"/>
        </w:rPr>
        <w:t>，卸灰至灰仓下部水</w:t>
      </w:r>
      <w:r>
        <w:rPr>
          <w:rFonts w:hint="eastAsia" w:ascii="Times New Roman" w:hAnsi="Times New Roman" w:eastAsia="宋体" w:cs="Times New Roman"/>
          <w:spacing w:val="29"/>
          <w:sz w:val="23"/>
          <w:szCs w:val="23"/>
          <w:highlight w:val="none"/>
          <w:lang w:val="en-US" w:eastAsia="zh-CN"/>
        </w:rPr>
        <w:t>箱内，由渣浆泵打入球磨机回用于生产，</w:t>
      </w:r>
      <w:r>
        <w:rPr>
          <w:rFonts w:hint="eastAsia" w:ascii="Times New Roman" w:hAnsi="Times New Roman" w:eastAsia="宋体" w:cs="Times New Roman"/>
          <w:spacing w:val="7"/>
          <w:sz w:val="23"/>
          <w:szCs w:val="23"/>
          <w:highlight w:val="none"/>
          <w:lang w:val="en-US" w:eastAsia="zh-CN"/>
        </w:rPr>
        <w:t>球磨机产生的废</w:t>
      </w:r>
      <w:r>
        <w:rPr>
          <w:rFonts w:hint="eastAsia" w:ascii="Times New Roman" w:hAnsi="Times New Roman" w:eastAsia="宋体" w:cs="Times New Roman"/>
          <w:spacing w:val="8"/>
          <w:sz w:val="23"/>
          <w:szCs w:val="23"/>
          <w:highlight w:val="none"/>
          <w:lang w:val="en-US" w:eastAsia="zh-CN"/>
        </w:rPr>
        <w:t>钢球外售废品回收单位</w:t>
      </w:r>
      <w:r>
        <w:rPr>
          <w:rFonts w:hint="default" w:ascii="Times New Roman" w:hAnsi="Times New Roman" w:eastAsia="宋体" w:cs="Times New Roman"/>
          <w:spacing w:val="8"/>
          <w:sz w:val="23"/>
          <w:szCs w:val="23"/>
          <w:highlight w:val="none"/>
          <w:lang w:val="en-US" w:eastAsia="zh-CN"/>
        </w:rPr>
        <w:t>。</w:t>
      </w:r>
    </w:p>
    <w:p>
      <w:pPr>
        <w:spacing w:before="155" w:line="319" w:lineRule="exact"/>
        <w:ind w:left="143"/>
        <w:jc w:val="cente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表</w:t>
      </w:r>
      <w:r>
        <w:rPr>
          <w:rFonts w:hint="eastAsia" w:ascii="Times New Roman" w:hAnsi="Times New Roman" w:eastAsia="宋体" w:cs="Times New Roman"/>
          <w:spacing w:val="4"/>
          <w:position w:val="1"/>
          <w:sz w:val="23"/>
          <w:szCs w:val="23"/>
          <w:highlight w:val="none"/>
          <w:lang w:val="en-US" w:eastAsia="zh-CN"/>
          <w14:textOutline w14:w="4358" w14:cap="sq" w14:cmpd="sng">
            <w14:solidFill>
              <w14:srgbClr w14:val="000000"/>
            </w14:solidFill>
            <w14:prstDash w14:val="solid"/>
            <w14:bevel/>
          </w14:textOutline>
        </w:rPr>
        <w:t>5.2</w:t>
      </w: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w:t>
      </w:r>
      <w:r>
        <w:rPr>
          <w:rFonts w:hint="eastAsia" w:ascii="Times New Roman" w:hAnsi="Times New Roman" w:eastAsia="宋体" w:cs="Times New Roman"/>
          <w:spacing w:val="4"/>
          <w:position w:val="1"/>
          <w:sz w:val="23"/>
          <w:szCs w:val="23"/>
          <w:highlight w:val="none"/>
          <w:lang w:val="en-US" w:eastAsia="zh-CN"/>
          <w14:textOutline w14:w="4358" w14:cap="sq" w14:cmpd="sng">
            <w14:solidFill>
              <w14:srgbClr w14:val="000000"/>
            </w14:solidFill>
            <w14:prstDash w14:val="solid"/>
            <w14:bevel/>
          </w14:textOutline>
        </w:rPr>
        <w:t>17</w:t>
      </w: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 xml:space="preserve">    </w:t>
      </w:r>
      <w:r>
        <w:rPr>
          <w:rFonts w:hint="eastAsia" w:ascii="Times New Roman" w:hAnsi="Times New Roman" w:eastAsia="宋体" w:cs="Times New Roman"/>
          <w:spacing w:val="4"/>
          <w:position w:val="1"/>
          <w:sz w:val="23"/>
          <w:szCs w:val="23"/>
          <w:highlight w:val="none"/>
          <w:lang w:val="en-US" w:eastAsia="zh-CN"/>
          <w14:textOutline w14:w="4358" w14:cap="sq" w14:cmpd="sng">
            <w14:solidFill>
              <w14:srgbClr w14:val="000000"/>
            </w14:solidFill>
            <w14:prstDash w14:val="solid"/>
            <w14:bevel/>
          </w14:textOutline>
        </w:rPr>
        <w:t>一般</w:t>
      </w: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固体废物处置一览表</w:t>
      </w:r>
    </w:p>
    <w:tbl>
      <w:tblPr>
        <w:tblStyle w:val="15"/>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078"/>
        <w:gridCol w:w="811"/>
        <w:gridCol w:w="1304"/>
        <w:gridCol w:w="1340"/>
        <w:gridCol w:w="970"/>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dxa"/>
            <w:tcBorders>
              <w:top w:val="single" w:color="auto" w:sz="12" w:space="0"/>
              <w:left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序号</w:t>
            </w:r>
          </w:p>
        </w:tc>
        <w:tc>
          <w:tcPr>
            <w:tcW w:w="1078" w:type="dxa"/>
            <w:tcBorders>
              <w:top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名称</w:t>
            </w:r>
          </w:p>
        </w:tc>
        <w:tc>
          <w:tcPr>
            <w:tcW w:w="811" w:type="dxa"/>
            <w:tcBorders>
              <w:top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废物代码</w:t>
            </w:r>
          </w:p>
        </w:tc>
        <w:tc>
          <w:tcPr>
            <w:tcW w:w="1304" w:type="dxa"/>
            <w:tcBorders>
              <w:top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产生工序</w:t>
            </w:r>
          </w:p>
        </w:tc>
        <w:tc>
          <w:tcPr>
            <w:tcW w:w="1340" w:type="dxa"/>
            <w:tcBorders>
              <w:top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是否为危废</w:t>
            </w:r>
          </w:p>
        </w:tc>
        <w:tc>
          <w:tcPr>
            <w:tcW w:w="970" w:type="dxa"/>
            <w:tcBorders>
              <w:top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排放量（t/a）</w:t>
            </w:r>
          </w:p>
        </w:tc>
        <w:tc>
          <w:tcPr>
            <w:tcW w:w="2535" w:type="dxa"/>
            <w:tcBorders>
              <w:top w:val="single" w:color="auto" w:sz="12" w:space="0"/>
              <w:right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dxa"/>
            <w:tcBorders>
              <w:left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078"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泥饼</w:t>
            </w:r>
          </w:p>
        </w:tc>
        <w:tc>
          <w:tcPr>
            <w:tcW w:w="811"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080-001-29</w:t>
            </w:r>
          </w:p>
        </w:tc>
        <w:tc>
          <w:tcPr>
            <w:tcW w:w="1304"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压滤机</w:t>
            </w:r>
          </w:p>
        </w:tc>
        <w:tc>
          <w:tcPr>
            <w:tcW w:w="134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c>
          <w:tcPr>
            <w:tcW w:w="97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2535" w:type="dxa"/>
            <w:tcBorders>
              <w:right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外售建材厂综合利用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dxa"/>
            <w:tcBorders>
              <w:left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1078"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除尘灰</w:t>
            </w:r>
          </w:p>
        </w:tc>
        <w:tc>
          <w:tcPr>
            <w:tcW w:w="811"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080-001-66</w:t>
            </w:r>
          </w:p>
        </w:tc>
        <w:tc>
          <w:tcPr>
            <w:tcW w:w="1304"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布袋除尘</w:t>
            </w:r>
          </w:p>
        </w:tc>
        <w:tc>
          <w:tcPr>
            <w:tcW w:w="134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c>
          <w:tcPr>
            <w:tcW w:w="97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2535" w:type="dxa"/>
            <w:tcBorders>
              <w:right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收集后返回球磨工序重新利用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dxa"/>
            <w:tcBorders>
              <w:left w:val="single" w:color="auto" w:sz="12" w:space="0"/>
            </w:tcBorders>
            <w:noWrap w:val="0"/>
            <w:vAlign w:val="center"/>
          </w:tcPr>
          <w:p>
            <w:pPr>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1078" w:type="dxa"/>
            <w:noWrap w:val="0"/>
            <w:vAlign w:val="center"/>
          </w:tcPr>
          <w:p>
            <w:pPr>
              <w:spacing w:line="240" w:lineRule="atLeast"/>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val="en-US" w:eastAsia="zh-CN"/>
              </w:rPr>
              <w:t>尾矿砂</w:t>
            </w:r>
          </w:p>
        </w:tc>
        <w:tc>
          <w:tcPr>
            <w:tcW w:w="811"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080-001-</w:t>
            </w:r>
            <w:r>
              <w:rPr>
                <w:rFonts w:hint="eastAsia" w:ascii="Times New Roman" w:hAnsi="Times New Roman" w:eastAsia="宋体" w:cs="Times New Roman"/>
                <w:sz w:val="21"/>
                <w:szCs w:val="21"/>
                <w:highlight w:val="none"/>
                <w:lang w:val="en-US" w:eastAsia="zh-CN"/>
              </w:rPr>
              <w:t>2</w:t>
            </w:r>
            <w:r>
              <w:rPr>
                <w:rFonts w:hint="default" w:ascii="Times New Roman" w:hAnsi="Times New Roman" w:cs="Times New Roman"/>
                <w:sz w:val="21"/>
                <w:szCs w:val="21"/>
                <w:highlight w:val="none"/>
              </w:rPr>
              <w:t>9</w:t>
            </w:r>
          </w:p>
        </w:tc>
        <w:tc>
          <w:tcPr>
            <w:tcW w:w="1304"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生产过程</w:t>
            </w:r>
          </w:p>
        </w:tc>
        <w:tc>
          <w:tcPr>
            <w:tcW w:w="1340" w:type="dxa"/>
            <w:noWrap w:val="0"/>
            <w:vAlign w:val="center"/>
          </w:tcPr>
          <w:p>
            <w:pPr>
              <w:spacing w:line="24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否</w:t>
            </w:r>
          </w:p>
        </w:tc>
        <w:tc>
          <w:tcPr>
            <w:tcW w:w="97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2535" w:type="dxa"/>
            <w:tcBorders>
              <w:right w:val="single" w:color="auto" w:sz="12" w:space="0"/>
            </w:tcBorders>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外售建材厂综合利用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dxa"/>
            <w:tcBorders>
              <w:left w:val="single" w:color="auto" w:sz="12" w:space="0"/>
            </w:tcBorders>
            <w:noWrap w:val="0"/>
            <w:vAlign w:val="center"/>
          </w:tcPr>
          <w:p>
            <w:pPr>
              <w:spacing w:line="240" w:lineRule="atLeast"/>
              <w:jc w:val="center"/>
              <w:rPr>
                <w:rFonts w:hint="eastAsia" w:ascii="Times New Roman" w:hAnsi="Times New Roman" w:eastAsia="宋体" w:cs="Times New Roman"/>
                <w:snapToGrid w:val="0"/>
                <w:color w:val="000000"/>
                <w:kern w:val="0"/>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1078" w:type="dxa"/>
            <w:noWrap w:val="0"/>
            <w:vAlign w:val="center"/>
          </w:tcPr>
          <w:p>
            <w:pPr>
              <w:spacing w:line="240" w:lineRule="atLeast"/>
              <w:jc w:val="center"/>
              <w:rPr>
                <w:rFonts w:hint="eastAsia" w:ascii="Times New Roman" w:hAnsi="Times New Roman" w:eastAsia="Arial" w:cs="Times New Roman"/>
                <w:snapToGrid w:val="0"/>
                <w:color w:val="000000"/>
                <w:kern w:val="0"/>
                <w:sz w:val="21"/>
                <w:szCs w:val="21"/>
                <w:highlight w:val="none"/>
                <w:lang w:val="en-US" w:eastAsia="zh-CN"/>
              </w:rPr>
            </w:pPr>
            <w:r>
              <w:rPr>
                <w:rFonts w:hint="eastAsia" w:ascii="Times New Roman" w:hAnsi="Times New Roman" w:cs="Times New Roman"/>
                <w:sz w:val="21"/>
                <w:szCs w:val="21"/>
                <w:highlight w:val="none"/>
                <w:lang w:val="en-US" w:eastAsia="zh-CN"/>
              </w:rPr>
              <w:t>砂石料</w:t>
            </w:r>
          </w:p>
        </w:tc>
        <w:tc>
          <w:tcPr>
            <w:tcW w:w="811" w:type="dxa"/>
            <w:noWrap w:val="0"/>
            <w:vAlign w:val="center"/>
          </w:tcPr>
          <w:p>
            <w:pPr>
              <w:spacing w:line="240" w:lineRule="atLeast"/>
              <w:jc w:val="center"/>
              <w:rPr>
                <w:rFonts w:hint="default" w:ascii="Times New Roman" w:hAnsi="Times New Roman" w:eastAsia="Arial" w:cs="Times New Roman"/>
                <w:snapToGrid w:val="0"/>
                <w:color w:val="000000"/>
                <w:kern w:val="0"/>
                <w:sz w:val="21"/>
                <w:szCs w:val="21"/>
                <w:highlight w:val="none"/>
              </w:rPr>
            </w:pPr>
            <w:r>
              <w:rPr>
                <w:rFonts w:hint="eastAsia" w:ascii="Times New Roman" w:hAnsi="Times New Roman" w:eastAsia="宋体" w:cs="Times New Roman"/>
                <w:sz w:val="21"/>
                <w:szCs w:val="21"/>
                <w:highlight w:val="none"/>
                <w:lang w:val="en-US" w:eastAsia="zh-CN"/>
              </w:rPr>
              <w:t>900</w:t>
            </w:r>
            <w:r>
              <w:rPr>
                <w:rFonts w:hint="default" w:ascii="Times New Roman" w:hAnsi="Times New Roman" w:cs="Times New Roman"/>
                <w:sz w:val="21"/>
                <w:szCs w:val="21"/>
                <w:highlight w:val="none"/>
              </w:rPr>
              <w:t>-</w:t>
            </w:r>
            <w:r>
              <w:rPr>
                <w:rFonts w:hint="eastAsia" w:ascii="Times New Roman" w:hAnsi="Times New Roman" w:eastAsia="宋体" w:cs="Times New Roman"/>
                <w:sz w:val="21"/>
                <w:szCs w:val="21"/>
                <w:highlight w:val="none"/>
                <w:lang w:val="en-US" w:eastAsia="zh-CN"/>
              </w:rPr>
              <w:t>999</w:t>
            </w:r>
            <w:r>
              <w:rPr>
                <w:rFonts w:hint="default" w:ascii="Times New Roman" w:hAnsi="Times New Roman" w:cs="Times New Roman"/>
                <w:sz w:val="21"/>
                <w:szCs w:val="21"/>
                <w:highlight w:val="none"/>
              </w:rPr>
              <w:t>-99</w:t>
            </w:r>
          </w:p>
        </w:tc>
        <w:tc>
          <w:tcPr>
            <w:tcW w:w="1304" w:type="dxa"/>
            <w:noWrap w:val="0"/>
            <w:vAlign w:val="center"/>
          </w:tcPr>
          <w:p>
            <w:pPr>
              <w:spacing w:line="240" w:lineRule="atLeast"/>
              <w:jc w:val="center"/>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cs="Times New Roman"/>
                <w:sz w:val="21"/>
                <w:szCs w:val="21"/>
                <w:highlight w:val="none"/>
              </w:rPr>
              <w:t>生产过程</w:t>
            </w:r>
          </w:p>
        </w:tc>
        <w:tc>
          <w:tcPr>
            <w:tcW w:w="1340" w:type="dxa"/>
            <w:noWrap w:val="0"/>
            <w:vAlign w:val="center"/>
          </w:tcPr>
          <w:p>
            <w:pPr>
              <w:spacing w:line="240" w:lineRule="atLeast"/>
              <w:jc w:val="center"/>
              <w:rPr>
                <w:rFonts w:hint="default" w:ascii="Times New Roman" w:hAnsi="Times New Roman" w:eastAsia="宋体" w:cs="Times New Roman"/>
                <w:snapToGrid w:val="0"/>
                <w:color w:val="000000"/>
                <w:kern w:val="0"/>
                <w:sz w:val="21"/>
                <w:szCs w:val="21"/>
                <w:highlight w:val="none"/>
              </w:rPr>
            </w:pPr>
            <w:r>
              <w:rPr>
                <w:rFonts w:hint="default" w:ascii="Times New Roman" w:hAnsi="Times New Roman" w:eastAsia="宋体" w:cs="Times New Roman"/>
                <w:sz w:val="21"/>
                <w:szCs w:val="21"/>
                <w:highlight w:val="none"/>
              </w:rPr>
              <w:t>否</w:t>
            </w:r>
          </w:p>
        </w:tc>
        <w:tc>
          <w:tcPr>
            <w:tcW w:w="970" w:type="dxa"/>
            <w:noWrap w:val="0"/>
            <w:vAlign w:val="center"/>
          </w:tcPr>
          <w:p>
            <w:pPr>
              <w:spacing w:line="240" w:lineRule="atLeast"/>
              <w:jc w:val="center"/>
              <w:rPr>
                <w:rFonts w:hint="default" w:ascii="Times New Roman" w:hAnsi="Times New Roman" w:eastAsia="Arial" w:cs="Times New Roman"/>
                <w:snapToGrid w:val="0"/>
                <w:color w:val="000000"/>
                <w:kern w:val="0"/>
                <w:sz w:val="21"/>
                <w:szCs w:val="21"/>
                <w:highlight w:val="none"/>
              </w:rPr>
            </w:pPr>
            <w:r>
              <w:rPr>
                <w:rFonts w:hint="default" w:ascii="Times New Roman" w:hAnsi="Times New Roman" w:cs="Times New Roman"/>
                <w:sz w:val="21"/>
                <w:szCs w:val="21"/>
                <w:highlight w:val="none"/>
              </w:rPr>
              <w:t>0</w:t>
            </w:r>
          </w:p>
        </w:tc>
        <w:tc>
          <w:tcPr>
            <w:tcW w:w="2535" w:type="dxa"/>
            <w:tcBorders>
              <w:right w:val="single" w:color="auto" w:sz="12" w:space="0"/>
            </w:tcBorders>
            <w:noWrap w:val="0"/>
            <w:vAlign w:val="center"/>
          </w:tcPr>
          <w:p>
            <w:pPr>
              <w:spacing w:line="240" w:lineRule="atLeast"/>
              <w:jc w:val="center"/>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cs="Times New Roman"/>
                <w:sz w:val="21"/>
                <w:szCs w:val="21"/>
                <w:highlight w:val="none"/>
              </w:rPr>
              <w:t>外售建材厂综合利用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dxa"/>
            <w:tcBorders>
              <w:left w:val="single" w:color="auto" w:sz="12" w:space="0"/>
            </w:tcBorders>
            <w:noWrap w:val="0"/>
            <w:vAlign w:val="center"/>
          </w:tcPr>
          <w:p>
            <w:pPr>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1078" w:type="dxa"/>
            <w:noWrap w:val="0"/>
            <w:vAlign w:val="center"/>
          </w:tcPr>
          <w:p>
            <w:pPr>
              <w:spacing w:line="240" w:lineRule="atLeast"/>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废钢球</w:t>
            </w:r>
          </w:p>
        </w:tc>
        <w:tc>
          <w:tcPr>
            <w:tcW w:w="811" w:type="dxa"/>
            <w:noWrap w:val="0"/>
            <w:vAlign w:val="center"/>
          </w:tcPr>
          <w:p>
            <w:pPr>
              <w:spacing w:line="240" w:lineRule="atLeast"/>
              <w:jc w:val="center"/>
              <w:rPr>
                <w:rFonts w:hint="default" w:ascii="Times New Roman" w:hAnsi="Times New Roman" w:cs="Times New Roman"/>
                <w:sz w:val="21"/>
                <w:szCs w:val="21"/>
                <w:highlight w:val="none"/>
              </w:rPr>
            </w:pPr>
            <w:r>
              <w:rPr>
                <w:rFonts w:hint="eastAsia" w:ascii="Times New Roman" w:hAnsi="Times New Roman" w:eastAsia="宋体" w:cs="Times New Roman"/>
                <w:sz w:val="21"/>
                <w:szCs w:val="21"/>
                <w:highlight w:val="none"/>
                <w:lang w:val="en-US" w:eastAsia="zh-CN"/>
              </w:rPr>
              <w:t>900</w:t>
            </w:r>
            <w:r>
              <w:rPr>
                <w:rFonts w:hint="default" w:ascii="Times New Roman" w:hAnsi="Times New Roman" w:cs="Times New Roman"/>
                <w:sz w:val="21"/>
                <w:szCs w:val="21"/>
                <w:highlight w:val="none"/>
              </w:rPr>
              <w:t>-</w:t>
            </w:r>
            <w:r>
              <w:rPr>
                <w:rFonts w:hint="eastAsia" w:ascii="Times New Roman" w:hAnsi="Times New Roman" w:eastAsia="宋体" w:cs="Times New Roman"/>
                <w:sz w:val="21"/>
                <w:szCs w:val="21"/>
                <w:highlight w:val="none"/>
                <w:lang w:val="en-US" w:eastAsia="zh-CN"/>
              </w:rPr>
              <w:t>999</w:t>
            </w:r>
            <w:r>
              <w:rPr>
                <w:rFonts w:hint="default" w:ascii="Times New Roman" w:hAnsi="Times New Roman" w:cs="Times New Roman"/>
                <w:sz w:val="21"/>
                <w:szCs w:val="21"/>
                <w:highlight w:val="none"/>
              </w:rPr>
              <w:t>-99</w:t>
            </w:r>
          </w:p>
        </w:tc>
        <w:tc>
          <w:tcPr>
            <w:tcW w:w="1304" w:type="dxa"/>
            <w:noWrap w:val="0"/>
            <w:vAlign w:val="center"/>
          </w:tcPr>
          <w:p>
            <w:pPr>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球磨机</w:t>
            </w:r>
          </w:p>
        </w:tc>
        <w:tc>
          <w:tcPr>
            <w:tcW w:w="1340" w:type="dxa"/>
            <w:noWrap w:val="0"/>
            <w:vAlign w:val="center"/>
          </w:tcPr>
          <w:p>
            <w:pPr>
              <w:spacing w:line="240" w:lineRule="atLeast"/>
              <w:jc w:val="center"/>
              <w:rPr>
                <w:rFonts w:hint="default" w:ascii="Times New Roman" w:hAnsi="Times New Roman" w:eastAsia="宋体" w:cs="Times New Roman"/>
                <w:snapToGrid w:val="0"/>
                <w:color w:val="000000"/>
                <w:kern w:val="0"/>
                <w:sz w:val="21"/>
                <w:szCs w:val="21"/>
                <w:highlight w:val="none"/>
              </w:rPr>
            </w:pPr>
            <w:r>
              <w:rPr>
                <w:rFonts w:hint="default" w:ascii="Times New Roman" w:hAnsi="Times New Roman" w:eastAsia="宋体" w:cs="Times New Roman"/>
                <w:sz w:val="21"/>
                <w:szCs w:val="21"/>
                <w:highlight w:val="none"/>
              </w:rPr>
              <w:t>否</w:t>
            </w:r>
          </w:p>
        </w:tc>
        <w:tc>
          <w:tcPr>
            <w:tcW w:w="970" w:type="dxa"/>
            <w:noWrap w:val="0"/>
            <w:vAlign w:val="center"/>
          </w:tcPr>
          <w:p>
            <w:pPr>
              <w:spacing w:line="240" w:lineRule="atLeast"/>
              <w:jc w:val="center"/>
              <w:rPr>
                <w:rFonts w:hint="default" w:ascii="Times New Roman" w:hAnsi="Times New Roman" w:eastAsia="Arial" w:cs="Times New Roman"/>
                <w:snapToGrid w:val="0"/>
                <w:color w:val="000000"/>
                <w:kern w:val="0"/>
                <w:sz w:val="21"/>
                <w:szCs w:val="21"/>
                <w:highlight w:val="none"/>
              </w:rPr>
            </w:pPr>
            <w:r>
              <w:rPr>
                <w:rFonts w:hint="default" w:ascii="Times New Roman" w:hAnsi="Times New Roman" w:cs="Times New Roman"/>
                <w:sz w:val="21"/>
                <w:szCs w:val="21"/>
                <w:highlight w:val="none"/>
              </w:rPr>
              <w:t>0</w:t>
            </w:r>
          </w:p>
        </w:tc>
        <w:tc>
          <w:tcPr>
            <w:tcW w:w="2535" w:type="dxa"/>
            <w:tcBorders>
              <w:right w:val="single" w:color="auto" w:sz="12" w:space="0"/>
            </w:tcBorders>
            <w:noWrap w:val="0"/>
            <w:vAlign w:val="center"/>
          </w:tcPr>
          <w:p>
            <w:pPr>
              <w:spacing w:line="240" w:lineRule="atLeas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外售废品回收单位</w:t>
            </w:r>
          </w:p>
        </w:tc>
      </w:tr>
    </w:tbl>
    <w:p>
      <w:pPr>
        <w:pStyle w:val="2"/>
        <w:rPr>
          <w:rFonts w:hint="default"/>
          <w:highlight w:val="none"/>
        </w:rPr>
      </w:pPr>
    </w:p>
    <w:p>
      <w:pPr>
        <w:spacing w:before="1" w:line="228" w:lineRule="auto"/>
        <w:ind w:left="512"/>
        <w:outlineLvl w:val="2"/>
        <w:rPr>
          <w:rFonts w:hint="default" w:ascii="Times New Roman" w:hAnsi="Times New Roman" w:eastAsia="宋体" w:cs="Times New Roman"/>
          <w:sz w:val="23"/>
          <w:szCs w:val="23"/>
          <w:highlight w:val="none"/>
        </w:rPr>
      </w:pPr>
      <w:bookmarkStart w:id="664" w:name="_Toc22223"/>
      <w:bookmarkStart w:id="665" w:name="_Toc16490"/>
      <w:bookmarkStart w:id="666" w:name="_Toc32326"/>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2</w:t>
      </w:r>
      <w:r>
        <w:rPr>
          <w:rFonts w:hint="default" w:ascii="Times New Roman" w:hAnsi="Times New Roman" w:eastAsia="宋体" w:cs="Times New Roman"/>
          <w:spacing w:val="20"/>
          <w:sz w:val="23"/>
          <w:szCs w:val="23"/>
          <w:highlight w:val="none"/>
        </w:rPr>
        <w:t>) 危险废</w:t>
      </w:r>
      <w:r>
        <w:rPr>
          <w:rFonts w:hint="default" w:ascii="Times New Roman" w:hAnsi="Times New Roman" w:eastAsia="宋体" w:cs="Times New Roman"/>
          <w:spacing w:val="19"/>
          <w:sz w:val="23"/>
          <w:szCs w:val="23"/>
          <w:highlight w:val="none"/>
        </w:rPr>
        <w:t>物</w:t>
      </w:r>
      <w:bookmarkEnd w:id="664"/>
      <w:bookmarkEnd w:id="665"/>
      <w:bookmarkEnd w:id="666"/>
    </w:p>
    <w:p>
      <w:pPr>
        <w:spacing w:before="212" w:line="402" w:lineRule="auto"/>
        <w:ind w:left="22" w:right="37" w:firstLine="478"/>
        <w:jc w:val="both"/>
        <w:rPr>
          <w:rFonts w:hint="default" w:ascii="Times New Roman" w:hAnsi="Times New Roman" w:eastAsia="宋体" w:cs="Times New Roman"/>
          <w:spacing w:val="-1"/>
          <w:sz w:val="23"/>
          <w:szCs w:val="23"/>
          <w:highlight w:val="none"/>
        </w:rPr>
      </w:pPr>
      <w:r>
        <w:rPr>
          <w:rFonts w:hint="default" w:ascii="Times New Roman" w:hAnsi="Times New Roman" w:eastAsia="宋体" w:cs="Times New Roman"/>
          <w:spacing w:val="7"/>
          <w:sz w:val="23"/>
          <w:szCs w:val="23"/>
          <w:highlight w:val="none"/>
        </w:rPr>
        <w:t>根据《国家危险废物名录》规定，生产设备使用过程产生的废矿物油、废油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桶</w:t>
      </w:r>
      <w:r>
        <w:rPr>
          <w:rFonts w:hint="default" w:ascii="Times New Roman" w:hAnsi="Times New Roman" w:eastAsia="宋体" w:cs="Times New Roman"/>
          <w:spacing w:val="9"/>
          <w:sz w:val="23"/>
          <w:szCs w:val="23"/>
          <w:highlight w:val="none"/>
        </w:rPr>
        <w:t>属于危险废物 (</w:t>
      </w:r>
      <w:r>
        <w:rPr>
          <w:rFonts w:hint="default" w:ascii="Times New Roman" w:hAnsi="Times New Roman" w:eastAsia="Times New Roman" w:cs="Times New Roman"/>
          <w:sz w:val="23"/>
          <w:szCs w:val="23"/>
          <w:highlight w:val="none"/>
        </w:rPr>
        <w:t>HW</w:t>
      </w:r>
      <w:r>
        <w:rPr>
          <w:rFonts w:hint="default" w:ascii="Times New Roman" w:hAnsi="Times New Roman" w:eastAsia="Times New Roman" w:cs="Times New Roman"/>
          <w:spacing w:val="9"/>
          <w:sz w:val="23"/>
          <w:szCs w:val="23"/>
          <w:highlight w:val="none"/>
        </w:rPr>
        <w:t>08</w:t>
      </w:r>
      <w:r>
        <w:rPr>
          <w:rFonts w:hint="default" w:ascii="Times New Roman" w:hAnsi="Times New Roman" w:eastAsia="宋体" w:cs="Times New Roman"/>
          <w:spacing w:val="9"/>
          <w:sz w:val="23"/>
          <w:szCs w:val="23"/>
          <w:highlight w:val="none"/>
        </w:rPr>
        <w:t>) ，废矿物油用耐腐蚀容器收集，暂存于危废贮存间，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定</w:t>
      </w:r>
      <w:r>
        <w:rPr>
          <w:rFonts w:hint="default" w:ascii="Times New Roman" w:hAnsi="Times New Roman" w:eastAsia="宋体" w:cs="Times New Roman"/>
          <w:spacing w:val="7"/>
          <w:sz w:val="23"/>
          <w:szCs w:val="23"/>
          <w:highlight w:val="none"/>
        </w:rPr>
        <w:t>期送有资质的危险废物处置单位处理；废油桶于危废间暂存后由厂家回收再利</w:t>
      </w:r>
      <w:r>
        <w:rPr>
          <w:rFonts w:hint="default" w:ascii="Times New Roman" w:hAnsi="Times New Roman" w:eastAsia="宋体" w:cs="Times New Roman"/>
          <w:spacing w:val="-1"/>
          <w:sz w:val="23"/>
          <w:szCs w:val="23"/>
          <w:highlight w:val="none"/>
        </w:rPr>
        <w:t>用。</w:t>
      </w:r>
    </w:p>
    <w:p>
      <w:pPr>
        <w:spacing w:before="155" w:line="319" w:lineRule="exact"/>
        <w:ind w:left="143"/>
        <w:jc w:val="cente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表</w:t>
      </w:r>
      <w:r>
        <w:rPr>
          <w:rFonts w:hint="eastAsia" w:ascii="Times New Roman" w:hAnsi="Times New Roman" w:eastAsia="宋体" w:cs="Times New Roman"/>
          <w:spacing w:val="4"/>
          <w:position w:val="1"/>
          <w:sz w:val="23"/>
          <w:szCs w:val="23"/>
          <w:highlight w:val="none"/>
          <w:lang w:val="en-US" w:eastAsia="zh-CN"/>
          <w14:textOutline w14:w="4358" w14:cap="sq" w14:cmpd="sng">
            <w14:solidFill>
              <w14:srgbClr w14:val="000000"/>
            </w14:solidFill>
            <w14:prstDash w14:val="solid"/>
            <w14:bevel/>
          </w14:textOutline>
        </w:rPr>
        <w:t>5.2</w:t>
      </w: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w:t>
      </w:r>
      <w:r>
        <w:rPr>
          <w:rFonts w:hint="eastAsia" w:ascii="Times New Roman" w:hAnsi="Times New Roman" w:eastAsia="宋体" w:cs="Times New Roman"/>
          <w:spacing w:val="4"/>
          <w:position w:val="1"/>
          <w:sz w:val="23"/>
          <w:szCs w:val="23"/>
          <w:highlight w:val="none"/>
          <w:lang w:val="en-US" w:eastAsia="zh-CN"/>
          <w14:textOutline w14:w="4358" w14:cap="sq" w14:cmpd="sng">
            <w14:solidFill>
              <w14:srgbClr w14:val="000000"/>
            </w14:solidFill>
            <w14:prstDash w14:val="solid"/>
            <w14:bevel/>
          </w14:textOutline>
        </w:rPr>
        <w:t>18</w:t>
      </w: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 xml:space="preserve">      危险废物特征表</w:t>
      </w:r>
    </w:p>
    <w:tbl>
      <w:tblPr>
        <w:tblStyle w:val="15"/>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5"/>
        <w:gridCol w:w="775"/>
        <w:gridCol w:w="775"/>
        <w:gridCol w:w="775"/>
        <w:gridCol w:w="862"/>
        <w:gridCol w:w="367"/>
        <w:gridCol w:w="750"/>
        <w:gridCol w:w="700"/>
        <w:gridCol w:w="733"/>
        <w:gridCol w:w="676"/>
        <w:gridCol w:w="13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5"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危险废物名称</w:t>
            </w:r>
          </w:p>
        </w:tc>
        <w:tc>
          <w:tcPr>
            <w:tcW w:w="775"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危险废物类别</w:t>
            </w:r>
          </w:p>
        </w:tc>
        <w:tc>
          <w:tcPr>
            <w:tcW w:w="775"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危险废物代码</w:t>
            </w:r>
          </w:p>
        </w:tc>
        <w:tc>
          <w:tcPr>
            <w:tcW w:w="775"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产生量（t/a）</w:t>
            </w:r>
          </w:p>
        </w:tc>
        <w:tc>
          <w:tcPr>
            <w:tcW w:w="862"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产生工序及装置</w:t>
            </w:r>
          </w:p>
        </w:tc>
        <w:tc>
          <w:tcPr>
            <w:tcW w:w="367"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形态</w:t>
            </w:r>
          </w:p>
        </w:tc>
        <w:tc>
          <w:tcPr>
            <w:tcW w:w="75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主要成分</w:t>
            </w:r>
          </w:p>
        </w:tc>
        <w:tc>
          <w:tcPr>
            <w:tcW w:w="70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有害成分</w:t>
            </w:r>
          </w:p>
        </w:tc>
        <w:tc>
          <w:tcPr>
            <w:tcW w:w="733"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产废周期</w:t>
            </w:r>
          </w:p>
        </w:tc>
        <w:tc>
          <w:tcPr>
            <w:tcW w:w="676"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危险特性</w:t>
            </w:r>
          </w:p>
        </w:tc>
        <w:tc>
          <w:tcPr>
            <w:tcW w:w="134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5"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废机油</w:t>
            </w:r>
          </w:p>
        </w:tc>
        <w:tc>
          <w:tcPr>
            <w:tcW w:w="775"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HW08</w:t>
            </w:r>
          </w:p>
        </w:tc>
        <w:tc>
          <w:tcPr>
            <w:tcW w:w="775"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900-21</w:t>
            </w:r>
            <w:r>
              <w:rPr>
                <w:rFonts w:hint="eastAsia" w:ascii="Times New Roman" w:hAnsi="Times New Roman" w:cs="Times New Roman"/>
                <w:sz w:val="21"/>
                <w:szCs w:val="21"/>
                <w:highlight w:val="none"/>
                <w:lang w:val="en-US" w:eastAsia="zh-CN"/>
              </w:rPr>
              <w:t>7</w:t>
            </w:r>
            <w:r>
              <w:rPr>
                <w:rFonts w:hint="default" w:ascii="Times New Roman" w:hAnsi="Times New Roman" w:cs="Times New Roman"/>
                <w:sz w:val="21"/>
                <w:szCs w:val="21"/>
                <w:highlight w:val="none"/>
              </w:rPr>
              <w:t>-08</w:t>
            </w:r>
          </w:p>
        </w:tc>
        <w:tc>
          <w:tcPr>
            <w:tcW w:w="775"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w:t>
            </w:r>
          </w:p>
        </w:tc>
        <w:tc>
          <w:tcPr>
            <w:tcW w:w="862"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设备</w:t>
            </w:r>
          </w:p>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维护</w:t>
            </w:r>
          </w:p>
        </w:tc>
        <w:tc>
          <w:tcPr>
            <w:tcW w:w="367"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液态</w:t>
            </w:r>
          </w:p>
        </w:tc>
        <w:tc>
          <w:tcPr>
            <w:tcW w:w="75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废矿物油</w:t>
            </w:r>
          </w:p>
        </w:tc>
        <w:tc>
          <w:tcPr>
            <w:tcW w:w="70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废矿物油</w:t>
            </w:r>
          </w:p>
        </w:tc>
        <w:tc>
          <w:tcPr>
            <w:tcW w:w="733"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1年</w:t>
            </w:r>
          </w:p>
        </w:tc>
        <w:tc>
          <w:tcPr>
            <w:tcW w:w="676"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T，I</w:t>
            </w:r>
          </w:p>
        </w:tc>
        <w:tc>
          <w:tcPr>
            <w:tcW w:w="134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耐腐蚀容器收集，定期交有资质单位处理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5"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废油桶</w:t>
            </w:r>
          </w:p>
        </w:tc>
        <w:tc>
          <w:tcPr>
            <w:tcW w:w="775"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HW08</w:t>
            </w:r>
          </w:p>
        </w:tc>
        <w:tc>
          <w:tcPr>
            <w:tcW w:w="775"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900-249-08</w:t>
            </w:r>
          </w:p>
        </w:tc>
        <w:tc>
          <w:tcPr>
            <w:tcW w:w="775" w:type="dxa"/>
            <w:noWrap w:val="0"/>
            <w:vAlign w:val="center"/>
          </w:tcPr>
          <w:p>
            <w:pPr>
              <w:spacing w:line="240" w:lineRule="atLeast"/>
              <w:jc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w:t>
            </w:r>
            <w:r>
              <w:rPr>
                <w:rFonts w:hint="eastAsia" w:ascii="Times New Roman" w:hAnsi="Times New Roman" w:eastAsia="宋体" w:cs="Times New Roman"/>
                <w:sz w:val="21"/>
                <w:szCs w:val="21"/>
                <w:highlight w:val="none"/>
                <w:lang w:val="en-US" w:eastAsia="zh-CN"/>
              </w:rPr>
              <w:t>1</w:t>
            </w:r>
          </w:p>
        </w:tc>
        <w:tc>
          <w:tcPr>
            <w:tcW w:w="862"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设备</w:t>
            </w:r>
          </w:p>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维护</w:t>
            </w:r>
          </w:p>
        </w:tc>
        <w:tc>
          <w:tcPr>
            <w:tcW w:w="367"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固态</w:t>
            </w:r>
          </w:p>
        </w:tc>
        <w:tc>
          <w:tcPr>
            <w:tcW w:w="75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废润滑油</w:t>
            </w:r>
          </w:p>
        </w:tc>
        <w:tc>
          <w:tcPr>
            <w:tcW w:w="70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废润滑油</w:t>
            </w:r>
          </w:p>
        </w:tc>
        <w:tc>
          <w:tcPr>
            <w:tcW w:w="733"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1年</w:t>
            </w:r>
          </w:p>
        </w:tc>
        <w:tc>
          <w:tcPr>
            <w:tcW w:w="676"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T，I</w:t>
            </w:r>
          </w:p>
        </w:tc>
        <w:tc>
          <w:tcPr>
            <w:tcW w:w="1340"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暂存于危废贮存间，定期由厂家回收用于原始用途。</w:t>
            </w:r>
          </w:p>
        </w:tc>
      </w:tr>
    </w:tbl>
    <w:p>
      <w:pPr>
        <w:spacing w:before="155" w:line="319" w:lineRule="exact"/>
        <w:ind w:left="143"/>
        <w:jc w:val="cente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表</w:t>
      </w:r>
      <w:r>
        <w:rPr>
          <w:rFonts w:hint="eastAsia" w:ascii="Times New Roman" w:hAnsi="Times New Roman" w:eastAsia="宋体" w:cs="Times New Roman"/>
          <w:spacing w:val="4"/>
          <w:position w:val="1"/>
          <w:sz w:val="23"/>
          <w:szCs w:val="23"/>
          <w:highlight w:val="none"/>
          <w:lang w:val="en-US" w:eastAsia="zh-CN"/>
          <w14:textOutline w14:w="4358" w14:cap="sq" w14:cmpd="sng">
            <w14:solidFill>
              <w14:srgbClr w14:val="000000"/>
            </w14:solidFill>
            <w14:prstDash w14:val="solid"/>
            <w14:bevel/>
          </w14:textOutline>
        </w:rPr>
        <w:t>5.2</w:t>
      </w: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w:t>
      </w:r>
      <w:r>
        <w:rPr>
          <w:rFonts w:hint="eastAsia" w:ascii="Times New Roman" w:hAnsi="Times New Roman" w:eastAsia="宋体" w:cs="Times New Roman"/>
          <w:spacing w:val="4"/>
          <w:position w:val="1"/>
          <w:sz w:val="23"/>
          <w:szCs w:val="23"/>
          <w:highlight w:val="none"/>
          <w:lang w:val="en-US" w:eastAsia="zh-CN"/>
          <w14:textOutline w14:w="4358" w14:cap="sq" w14:cmpd="sng">
            <w14:solidFill>
              <w14:srgbClr w14:val="000000"/>
            </w14:solidFill>
            <w14:prstDash w14:val="solid"/>
            <w14:bevel/>
          </w14:textOutline>
        </w:rPr>
        <w:t>19</w:t>
      </w:r>
      <w:r>
        <w:rPr>
          <w:rFonts w:hint="default" w:ascii="Times New Roman" w:hAnsi="Times New Roman" w:eastAsia="宋体" w:cs="Times New Roman"/>
          <w:spacing w:val="4"/>
          <w:position w:val="1"/>
          <w:sz w:val="23"/>
          <w:szCs w:val="23"/>
          <w:highlight w:val="none"/>
          <w14:textOutline w14:w="4358" w14:cap="sq" w14:cmpd="sng">
            <w14:solidFill>
              <w14:srgbClr w14:val="000000"/>
            </w14:solidFill>
            <w14:prstDash w14:val="solid"/>
            <w14:bevel/>
          </w14:textOutline>
        </w:rPr>
        <w:t xml:space="preserve">  危险废物贮存场所基本情况表 </w:t>
      </w:r>
    </w:p>
    <w:tbl>
      <w:tblPr>
        <w:tblStyle w:val="15"/>
        <w:tblW w:w="85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125"/>
        <w:gridCol w:w="996"/>
        <w:gridCol w:w="1353"/>
        <w:gridCol w:w="665"/>
        <w:gridCol w:w="844"/>
        <w:gridCol w:w="988"/>
        <w:gridCol w:w="1082"/>
        <w:gridCol w:w="6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25"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贮存场所</w:t>
            </w:r>
          </w:p>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名称</w:t>
            </w:r>
          </w:p>
        </w:tc>
        <w:tc>
          <w:tcPr>
            <w:tcW w:w="1125"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危险废物名称</w:t>
            </w:r>
          </w:p>
        </w:tc>
        <w:tc>
          <w:tcPr>
            <w:tcW w:w="996"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危废</w:t>
            </w:r>
          </w:p>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类别</w:t>
            </w:r>
          </w:p>
        </w:tc>
        <w:tc>
          <w:tcPr>
            <w:tcW w:w="1353"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危废代码</w:t>
            </w:r>
          </w:p>
        </w:tc>
        <w:tc>
          <w:tcPr>
            <w:tcW w:w="665"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位置</w:t>
            </w:r>
          </w:p>
        </w:tc>
        <w:tc>
          <w:tcPr>
            <w:tcW w:w="844"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占地</w:t>
            </w:r>
          </w:p>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面积</w:t>
            </w:r>
          </w:p>
        </w:tc>
        <w:tc>
          <w:tcPr>
            <w:tcW w:w="988"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贮存</w:t>
            </w:r>
          </w:p>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方式</w:t>
            </w:r>
          </w:p>
        </w:tc>
        <w:tc>
          <w:tcPr>
            <w:tcW w:w="1082"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贮存</w:t>
            </w:r>
          </w:p>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能力</w:t>
            </w:r>
          </w:p>
        </w:tc>
        <w:tc>
          <w:tcPr>
            <w:tcW w:w="652"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贮存</w:t>
            </w:r>
          </w:p>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25" w:type="dxa"/>
            <w:vMerge w:val="restart"/>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危废</w:t>
            </w:r>
          </w:p>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储存间</w:t>
            </w:r>
          </w:p>
        </w:tc>
        <w:tc>
          <w:tcPr>
            <w:tcW w:w="1125" w:type="dxa"/>
            <w:noWrap w:val="0"/>
            <w:vAlign w:val="center"/>
          </w:tcPr>
          <w:p>
            <w:pPr>
              <w:pStyle w:val="27"/>
              <w:autoSpaceDE/>
              <w:autoSpaceDN/>
              <w:adjustRightInd w:val="0"/>
              <w:snapToGrid w:val="0"/>
              <w:spacing w:line="240" w:lineRule="atLeas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废润滑油</w:t>
            </w:r>
          </w:p>
        </w:tc>
        <w:tc>
          <w:tcPr>
            <w:tcW w:w="996" w:type="dxa"/>
            <w:noWrap w:val="0"/>
            <w:vAlign w:val="center"/>
          </w:tcPr>
          <w:p>
            <w:pPr>
              <w:pStyle w:val="27"/>
              <w:autoSpaceDE/>
              <w:autoSpaceDN/>
              <w:adjustRightInd w:val="0"/>
              <w:snapToGrid w:val="0"/>
              <w:spacing w:line="240" w:lineRule="atLeas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HW08</w:t>
            </w:r>
          </w:p>
        </w:tc>
        <w:tc>
          <w:tcPr>
            <w:tcW w:w="1353" w:type="dxa"/>
            <w:noWrap w:val="0"/>
            <w:vAlign w:val="center"/>
          </w:tcPr>
          <w:p>
            <w:pPr>
              <w:pStyle w:val="27"/>
              <w:autoSpaceDE/>
              <w:autoSpaceDN/>
              <w:adjustRightInd w:val="0"/>
              <w:snapToGrid w:val="0"/>
              <w:spacing w:line="240" w:lineRule="atLeas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900-217-08</w:t>
            </w:r>
          </w:p>
        </w:tc>
        <w:tc>
          <w:tcPr>
            <w:tcW w:w="665" w:type="dxa"/>
            <w:vMerge w:val="restart"/>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lang w:val="en-US"/>
              </w:rPr>
            </w:pPr>
            <w:r>
              <w:rPr>
                <w:rFonts w:hint="eastAsia" w:ascii="Times New Roman" w:hAnsi="Times New Roman" w:cs="Times New Roman"/>
                <w:sz w:val="21"/>
                <w:szCs w:val="21"/>
                <w:highlight w:val="none"/>
                <w:lang w:val="en-US" w:eastAsia="zh-CN"/>
              </w:rPr>
              <w:t>现有1#生产车间内</w:t>
            </w:r>
          </w:p>
        </w:tc>
        <w:tc>
          <w:tcPr>
            <w:tcW w:w="844" w:type="dxa"/>
            <w:vMerge w:val="restart"/>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r>
              <w:rPr>
                <w:rFonts w:hint="eastAsia" w:ascii="Times New Roman" w:hAnsi="Times New Roman" w:eastAsia="宋体" w:cs="Times New Roman"/>
                <w:sz w:val="21"/>
                <w:szCs w:val="21"/>
                <w:highlight w:val="none"/>
                <w:lang w:val="en-US" w:eastAsia="zh-CN"/>
              </w:rPr>
              <w:t>2</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2</w:t>
            </w:r>
          </w:p>
        </w:tc>
        <w:tc>
          <w:tcPr>
            <w:tcW w:w="988" w:type="dxa"/>
            <w:vMerge w:val="restart"/>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专用容器收集</w:t>
            </w:r>
          </w:p>
        </w:tc>
        <w:tc>
          <w:tcPr>
            <w:tcW w:w="1082"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1t</w:t>
            </w:r>
          </w:p>
        </w:tc>
        <w:tc>
          <w:tcPr>
            <w:tcW w:w="652"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25" w:type="dxa"/>
            <w:vMerge w:val="continue"/>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p>
        </w:tc>
        <w:tc>
          <w:tcPr>
            <w:tcW w:w="1125" w:type="dxa"/>
            <w:noWrap w:val="0"/>
            <w:vAlign w:val="center"/>
          </w:tcPr>
          <w:p>
            <w:pPr>
              <w:pStyle w:val="27"/>
              <w:autoSpaceDE/>
              <w:autoSpaceDN/>
              <w:adjustRightInd w:val="0"/>
              <w:snapToGrid w:val="0"/>
              <w:spacing w:line="240" w:lineRule="atLeas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废油桶</w:t>
            </w:r>
          </w:p>
        </w:tc>
        <w:tc>
          <w:tcPr>
            <w:tcW w:w="996"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HW08</w:t>
            </w:r>
          </w:p>
        </w:tc>
        <w:tc>
          <w:tcPr>
            <w:tcW w:w="1353" w:type="dxa"/>
            <w:noWrap w:val="0"/>
            <w:vAlign w:val="center"/>
          </w:tcPr>
          <w:p>
            <w:pPr>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900-249-08</w:t>
            </w:r>
          </w:p>
        </w:tc>
        <w:tc>
          <w:tcPr>
            <w:tcW w:w="665" w:type="dxa"/>
            <w:vMerge w:val="continue"/>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p>
        </w:tc>
        <w:tc>
          <w:tcPr>
            <w:tcW w:w="844" w:type="dxa"/>
            <w:vMerge w:val="continue"/>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p>
        </w:tc>
        <w:tc>
          <w:tcPr>
            <w:tcW w:w="988" w:type="dxa"/>
            <w:vMerge w:val="continue"/>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p>
        </w:tc>
        <w:tc>
          <w:tcPr>
            <w:tcW w:w="1082"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1t</w:t>
            </w:r>
          </w:p>
        </w:tc>
        <w:tc>
          <w:tcPr>
            <w:tcW w:w="652" w:type="dxa"/>
            <w:noWrap w:val="0"/>
            <w:vAlign w:val="center"/>
          </w:tcPr>
          <w:p>
            <w:pPr>
              <w:topLinePunct/>
              <w:adjustRightInd w:val="0"/>
              <w:snapToGrid w:val="0"/>
              <w:spacing w:line="24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1年</w:t>
            </w:r>
          </w:p>
        </w:tc>
      </w:tr>
    </w:tbl>
    <w:p>
      <w:pPr>
        <w:pStyle w:val="2"/>
        <w:rPr>
          <w:rFonts w:hint="default"/>
          <w:highlight w:val="none"/>
        </w:rPr>
      </w:pPr>
    </w:p>
    <w:p>
      <w:pPr>
        <w:spacing w:before="1" w:line="227" w:lineRule="auto"/>
        <w:ind w:left="50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7"/>
          <w:sz w:val="23"/>
          <w:szCs w:val="23"/>
          <w:highlight w:val="none"/>
        </w:rPr>
        <w:t>本</w:t>
      </w:r>
      <w:r>
        <w:rPr>
          <w:rFonts w:hint="default" w:ascii="Times New Roman" w:hAnsi="Times New Roman" w:eastAsia="宋体" w:cs="Times New Roman"/>
          <w:spacing w:val="9"/>
          <w:sz w:val="23"/>
          <w:szCs w:val="23"/>
          <w:highlight w:val="none"/>
        </w:rPr>
        <w:t>项目建成后各固废均得到合理处置，不会对周围环境产生影响。</w:t>
      </w:r>
    </w:p>
    <w:p>
      <w:pPr>
        <w:spacing w:line="259" w:lineRule="auto"/>
        <w:rPr>
          <w:rFonts w:hint="default" w:ascii="Times New Roman" w:hAnsi="Times New Roman" w:cs="Times New Roman"/>
          <w:sz w:val="21"/>
          <w:highlight w:val="none"/>
        </w:rPr>
      </w:pPr>
    </w:p>
    <w:p>
      <w:pPr>
        <w:spacing w:before="75" w:line="229" w:lineRule="auto"/>
        <w:ind w:left="19"/>
        <w:outlineLvl w:val="2"/>
        <w:rPr>
          <w:rFonts w:hint="default" w:ascii="Times New Roman" w:hAnsi="Times New Roman" w:eastAsia="宋体" w:cs="Times New Roman"/>
          <w:sz w:val="23"/>
          <w:szCs w:val="23"/>
          <w:highlight w:val="none"/>
        </w:rPr>
      </w:pPr>
      <w:bookmarkStart w:id="667" w:name="_Toc7645"/>
      <w:bookmarkStart w:id="668" w:name="_Toc28764"/>
      <w:bookmarkStart w:id="669" w:name="_Toc14649"/>
      <w:r>
        <w:rPr>
          <w:rFonts w:hint="default" w:ascii="Times New Roman" w:hAnsi="Times New Roman" w:eastAsia="Times New Roman" w:cs="Times New Roman"/>
          <w:b/>
          <w:bCs/>
          <w:spacing w:val="10"/>
          <w:sz w:val="23"/>
          <w:szCs w:val="23"/>
          <w:highlight w:val="none"/>
        </w:rPr>
        <w:t>5</w:t>
      </w:r>
      <w:r>
        <w:rPr>
          <w:rFonts w:hint="default" w:ascii="Times New Roman" w:hAnsi="Times New Roman" w:eastAsia="Times New Roman" w:cs="Times New Roman"/>
          <w:b/>
          <w:bCs/>
          <w:spacing w:val="8"/>
          <w:sz w:val="23"/>
          <w:szCs w:val="23"/>
          <w:highlight w:val="none"/>
        </w:rPr>
        <w:t>.2.6</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生态环境影响分析及生态恢复措施</w:t>
      </w:r>
      <w:bookmarkEnd w:id="667"/>
      <w:bookmarkEnd w:id="668"/>
      <w:bookmarkEnd w:id="669"/>
    </w:p>
    <w:p>
      <w:pPr>
        <w:spacing w:line="257" w:lineRule="auto"/>
        <w:rPr>
          <w:rFonts w:hint="default" w:ascii="Times New Roman" w:hAnsi="Times New Roman" w:cs="Times New Roman"/>
          <w:sz w:val="21"/>
          <w:highlight w:val="none"/>
        </w:rPr>
      </w:pPr>
    </w:p>
    <w:p>
      <w:pPr>
        <w:keepNext w:val="0"/>
        <w:keepLines w:val="0"/>
        <w:pageBreakBefore w:val="0"/>
        <w:kinsoku w:val="0"/>
        <w:wordWrap/>
        <w:overflowPunct/>
        <w:topLinePunct w:val="0"/>
        <w:autoSpaceDE w:val="0"/>
        <w:autoSpaceDN w:val="0"/>
        <w:bidi w:val="0"/>
        <w:adjustRightInd w:val="0"/>
        <w:snapToGrid w:val="0"/>
        <w:spacing w:line="460" w:lineRule="exact"/>
        <w:ind w:firstLine="460" w:firstLineChars="200"/>
        <w:textAlignment w:val="baseline"/>
        <w:outlineLvl w:val="9"/>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5.2.6.1 生态环境现状</w:t>
      </w:r>
    </w:p>
    <w:p>
      <w:pPr>
        <w:keepNext w:val="0"/>
        <w:keepLines w:val="0"/>
        <w:pageBreakBefore w:val="0"/>
        <w:widowControl w:val="0"/>
        <w:tabs>
          <w:tab w:val="left" w:pos="3060"/>
        </w:tabs>
        <w:kinsoku w:val="0"/>
        <w:wordWrap/>
        <w:overflowPunct/>
        <w:topLinePunct w:val="0"/>
        <w:autoSpaceDE w:val="0"/>
        <w:autoSpaceDN w:val="0"/>
        <w:bidi w:val="0"/>
        <w:adjustRightInd w:val="0"/>
        <w:snapToGrid w:val="0"/>
        <w:spacing w:line="460" w:lineRule="exact"/>
        <w:ind w:firstLine="460" w:firstLineChars="20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根据现场踏勘，项目用地现状为</w:t>
      </w:r>
      <w:r>
        <w:rPr>
          <w:rFonts w:hint="eastAsia" w:ascii="Times New Roman" w:hAnsi="Times New Roman" w:cs="Times New Roman"/>
          <w:sz w:val="23"/>
          <w:szCs w:val="23"/>
          <w:highlight w:val="none"/>
          <w:lang w:val="en-US" w:eastAsia="zh-CN"/>
        </w:rPr>
        <w:t>建设</w:t>
      </w:r>
      <w:r>
        <w:rPr>
          <w:rFonts w:hint="default" w:ascii="Times New Roman" w:hAnsi="Times New Roman" w:cs="Times New Roman"/>
          <w:sz w:val="23"/>
          <w:szCs w:val="23"/>
          <w:highlight w:val="none"/>
        </w:rPr>
        <w:t>用地，所在地植被以灌木和草本为主。</w:t>
      </w:r>
      <w:r>
        <w:rPr>
          <w:rFonts w:hint="eastAsia" w:ascii="Times New Roman" w:hAnsi="Times New Roman" w:eastAsia="宋体" w:cs="Times New Roman"/>
          <w:sz w:val="23"/>
          <w:szCs w:val="23"/>
          <w:highlight w:val="none"/>
          <w:lang w:val="en-US" w:eastAsia="zh-CN"/>
        </w:rPr>
        <w:t>项目占地周边</w:t>
      </w:r>
      <w:r>
        <w:rPr>
          <w:rFonts w:hint="default" w:ascii="Times New Roman" w:hAnsi="Times New Roman" w:cs="Times New Roman"/>
          <w:sz w:val="23"/>
          <w:szCs w:val="23"/>
          <w:highlight w:val="none"/>
        </w:rPr>
        <w:t>木本植物主要为板栗树、杨树、核桃树、梨树、苹果树等；主要农作物有小麦、玉米和花生。评价区主要植被为灌草、小树苗，植被覆盖率小于30%。由于人为活动，该地区的野生动物很少。</w:t>
      </w:r>
    </w:p>
    <w:p>
      <w:pPr>
        <w:keepNext w:val="0"/>
        <w:keepLines w:val="0"/>
        <w:pageBreakBefore w:val="0"/>
        <w:kinsoku w:val="0"/>
        <w:wordWrap/>
        <w:overflowPunct/>
        <w:topLinePunct w:val="0"/>
        <w:autoSpaceDE w:val="0"/>
        <w:autoSpaceDN w:val="0"/>
        <w:bidi w:val="0"/>
        <w:adjustRightInd w:val="0"/>
        <w:snapToGrid w:val="0"/>
        <w:spacing w:line="460" w:lineRule="exact"/>
        <w:ind w:firstLine="460" w:firstLineChars="200"/>
        <w:textAlignment w:val="baseline"/>
        <w:outlineLvl w:val="9"/>
        <w:rPr>
          <w:rFonts w:hint="default" w:ascii="Times New Roman" w:hAnsi="Times New Roman" w:cs="Times New Roman"/>
          <w:bCs/>
          <w:sz w:val="23"/>
          <w:szCs w:val="23"/>
          <w:highlight w:val="none"/>
        </w:rPr>
      </w:pPr>
      <w:r>
        <w:rPr>
          <w:rFonts w:hint="default" w:ascii="Times New Roman" w:hAnsi="Times New Roman" w:cs="Times New Roman"/>
          <w:bCs/>
          <w:sz w:val="23"/>
          <w:szCs w:val="23"/>
          <w:highlight w:val="none"/>
        </w:rPr>
        <w:t>5.2.6.2 生态环境影响分析</w:t>
      </w:r>
    </w:p>
    <w:p>
      <w:pPr>
        <w:keepNext w:val="0"/>
        <w:keepLines w:val="0"/>
        <w:pageBreakBefore w:val="0"/>
        <w:tabs>
          <w:tab w:val="left" w:pos="3060"/>
        </w:tabs>
        <w:kinsoku w:val="0"/>
        <w:wordWrap/>
        <w:overflowPunct/>
        <w:topLinePunct w:val="0"/>
        <w:autoSpaceDE w:val="0"/>
        <w:autoSpaceDN w:val="0"/>
        <w:bidi w:val="0"/>
        <w:adjustRightInd w:val="0"/>
        <w:snapToGrid w:val="0"/>
        <w:spacing w:line="460" w:lineRule="exact"/>
        <w:ind w:firstLine="460" w:firstLineChars="200"/>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本项目</w:t>
      </w:r>
      <w:r>
        <w:rPr>
          <w:rFonts w:hint="eastAsia" w:ascii="Times New Roman" w:hAnsi="Times New Roman" w:eastAsia="宋体" w:cs="Times New Roman"/>
          <w:sz w:val="23"/>
          <w:szCs w:val="23"/>
          <w:highlight w:val="none"/>
          <w:lang w:val="en-US" w:eastAsia="zh-CN"/>
        </w:rPr>
        <w:t>在现有厂区内进行建设，</w:t>
      </w:r>
      <w:r>
        <w:rPr>
          <w:rFonts w:hint="default" w:ascii="Times New Roman" w:hAnsi="Times New Roman" w:cs="Times New Roman"/>
          <w:sz w:val="23"/>
          <w:szCs w:val="23"/>
          <w:highlight w:val="none"/>
        </w:rPr>
        <w:t>生态评价区包括整个厂区。</w:t>
      </w:r>
    </w:p>
    <w:p>
      <w:pPr>
        <w:keepNext w:val="0"/>
        <w:keepLines w:val="0"/>
        <w:pageBreakBefore w:val="0"/>
        <w:widowControl w:val="0"/>
        <w:tabs>
          <w:tab w:val="left" w:pos="3060"/>
        </w:tabs>
        <w:kinsoku w:val="0"/>
        <w:wordWrap/>
        <w:overflowPunct/>
        <w:topLinePunct w:val="0"/>
        <w:autoSpaceDE w:val="0"/>
        <w:autoSpaceDN w:val="0"/>
        <w:bidi w:val="0"/>
        <w:adjustRightInd w:val="0"/>
        <w:snapToGrid w:val="0"/>
        <w:spacing w:line="460" w:lineRule="exact"/>
        <w:ind w:firstLine="460" w:firstLineChars="200"/>
        <w:jc w:val="both"/>
        <w:textAlignment w:val="baseline"/>
        <w:outlineLvl w:val="2"/>
        <w:rPr>
          <w:rFonts w:hint="default" w:ascii="Times New Roman" w:hAnsi="Times New Roman" w:cs="Times New Roman"/>
          <w:sz w:val="23"/>
          <w:szCs w:val="23"/>
          <w:highlight w:val="none"/>
        </w:rPr>
      </w:pPr>
      <w:bookmarkStart w:id="670" w:name="_Toc1342"/>
      <w:bookmarkStart w:id="671" w:name="_Toc26809"/>
      <w:bookmarkStart w:id="672" w:name="_Toc9589"/>
      <w:r>
        <w:rPr>
          <w:rFonts w:hint="default" w:ascii="Times New Roman" w:hAnsi="Times New Roman" w:cs="Times New Roman"/>
          <w:sz w:val="23"/>
          <w:szCs w:val="23"/>
          <w:highlight w:val="none"/>
        </w:rPr>
        <w:t>（1）地貌景观变化及植被影响分析</w:t>
      </w:r>
      <w:bookmarkEnd w:id="670"/>
      <w:bookmarkEnd w:id="671"/>
      <w:bookmarkEnd w:id="672"/>
    </w:p>
    <w:p>
      <w:pPr>
        <w:keepNext w:val="0"/>
        <w:keepLines w:val="0"/>
        <w:pageBreakBefore w:val="0"/>
        <w:widowControl w:val="0"/>
        <w:kinsoku w:val="0"/>
        <w:wordWrap/>
        <w:overflowPunct/>
        <w:topLinePunct w:val="0"/>
        <w:autoSpaceDE w:val="0"/>
        <w:autoSpaceDN w:val="0"/>
        <w:bidi w:val="0"/>
        <w:adjustRightInd w:val="0"/>
        <w:snapToGrid w:val="0"/>
        <w:spacing w:line="460" w:lineRule="exact"/>
        <w:ind w:firstLine="460" w:firstLineChars="20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本项目选厂所在地为建设用地，铁选厂将在建设用地上建成新的工业建筑，并对厂区道路外进行硬化，不能硬化的地面进行绿化。建成后裸露地面减少，相比建成前，绿化面积有所增加。</w:t>
      </w:r>
    </w:p>
    <w:p>
      <w:pPr>
        <w:keepNext w:val="0"/>
        <w:keepLines w:val="0"/>
        <w:pageBreakBefore w:val="0"/>
        <w:widowControl w:val="0"/>
        <w:tabs>
          <w:tab w:val="left" w:pos="3060"/>
        </w:tabs>
        <w:kinsoku w:val="0"/>
        <w:wordWrap/>
        <w:overflowPunct/>
        <w:topLinePunct w:val="0"/>
        <w:autoSpaceDE w:val="0"/>
        <w:autoSpaceDN w:val="0"/>
        <w:bidi w:val="0"/>
        <w:adjustRightInd w:val="0"/>
        <w:snapToGrid w:val="0"/>
        <w:spacing w:line="460" w:lineRule="exact"/>
        <w:ind w:firstLine="460" w:firstLineChars="200"/>
        <w:jc w:val="both"/>
        <w:textAlignment w:val="baseline"/>
        <w:outlineLvl w:val="2"/>
        <w:rPr>
          <w:rFonts w:hint="default" w:ascii="Times New Roman" w:hAnsi="Times New Roman" w:cs="Times New Roman"/>
          <w:sz w:val="23"/>
          <w:szCs w:val="23"/>
          <w:highlight w:val="none"/>
        </w:rPr>
      </w:pPr>
      <w:bookmarkStart w:id="673" w:name="_Toc25508"/>
      <w:bookmarkStart w:id="674" w:name="_Toc19480"/>
      <w:bookmarkStart w:id="675" w:name="_Toc18194"/>
      <w:r>
        <w:rPr>
          <w:rFonts w:hint="default" w:ascii="Times New Roman" w:hAnsi="Times New Roman" w:cs="Times New Roman"/>
          <w:sz w:val="23"/>
          <w:szCs w:val="23"/>
          <w:highlight w:val="none"/>
        </w:rPr>
        <w:t>（2）土地利用类型变化分析</w:t>
      </w:r>
      <w:bookmarkEnd w:id="673"/>
      <w:bookmarkEnd w:id="674"/>
      <w:bookmarkEnd w:id="675"/>
    </w:p>
    <w:p>
      <w:pPr>
        <w:keepNext w:val="0"/>
        <w:keepLines w:val="0"/>
        <w:pageBreakBefore w:val="0"/>
        <w:widowControl w:val="0"/>
        <w:tabs>
          <w:tab w:val="left" w:pos="3060"/>
        </w:tabs>
        <w:kinsoku w:val="0"/>
        <w:wordWrap/>
        <w:overflowPunct/>
        <w:topLinePunct w:val="0"/>
        <w:autoSpaceDE w:val="0"/>
        <w:autoSpaceDN w:val="0"/>
        <w:bidi w:val="0"/>
        <w:adjustRightInd w:val="0"/>
        <w:snapToGrid w:val="0"/>
        <w:spacing w:line="460" w:lineRule="exact"/>
        <w:ind w:firstLine="460" w:firstLineChars="20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项目建成前</w:t>
      </w:r>
      <w:r>
        <w:rPr>
          <w:rFonts w:hint="eastAsia" w:ascii="Times New Roman" w:hAnsi="Times New Roman" w:cs="Times New Roman"/>
          <w:sz w:val="23"/>
          <w:szCs w:val="23"/>
          <w:highlight w:val="none"/>
          <w:lang w:val="en-US" w:eastAsia="zh-CN"/>
        </w:rPr>
        <w:t>后</w:t>
      </w:r>
      <w:r>
        <w:rPr>
          <w:rFonts w:hint="default" w:ascii="Times New Roman" w:hAnsi="Times New Roman" w:cs="Times New Roman"/>
          <w:sz w:val="23"/>
          <w:szCs w:val="23"/>
          <w:highlight w:val="none"/>
        </w:rPr>
        <w:t>为</w:t>
      </w:r>
      <w:r>
        <w:rPr>
          <w:rFonts w:hint="eastAsia" w:ascii="Times New Roman" w:hAnsi="Times New Roman" w:cs="Times New Roman"/>
          <w:sz w:val="23"/>
          <w:szCs w:val="23"/>
          <w:highlight w:val="none"/>
          <w:lang w:val="en-US" w:eastAsia="zh-CN"/>
        </w:rPr>
        <w:t>土地</w:t>
      </w:r>
      <w:r>
        <w:rPr>
          <w:rFonts w:hint="default" w:ascii="Times New Roman" w:hAnsi="Times New Roman" w:cs="Times New Roman"/>
          <w:sz w:val="23"/>
          <w:szCs w:val="23"/>
          <w:highlight w:val="none"/>
        </w:rPr>
        <w:t>性质不变，占地</w:t>
      </w:r>
      <w:r>
        <w:rPr>
          <w:rFonts w:hint="eastAsia" w:ascii="Times New Roman" w:hAnsi="Times New Roman" w:cs="Times New Roman"/>
          <w:sz w:val="23"/>
          <w:szCs w:val="23"/>
          <w:highlight w:val="none"/>
          <w:lang w:val="en-US" w:eastAsia="zh-CN"/>
        </w:rPr>
        <w:t>为建设</w:t>
      </w:r>
      <w:r>
        <w:rPr>
          <w:rFonts w:hint="default" w:ascii="Times New Roman" w:hAnsi="Times New Roman" w:cs="Times New Roman"/>
          <w:sz w:val="23"/>
          <w:szCs w:val="23"/>
          <w:highlight w:val="none"/>
        </w:rPr>
        <w:t>用地，闲置区将进行硬化或绿化，故土地总利用率有所提高，植被覆盖率略有增加，局部生态环境将有所改善。</w:t>
      </w:r>
    </w:p>
    <w:p>
      <w:pPr>
        <w:keepNext w:val="0"/>
        <w:keepLines w:val="0"/>
        <w:pageBreakBefore w:val="0"/>
        <w:widowControl w:val="0"/>
        <w:tabs>
          <w:tab w:val="left" w:pos="3060"/>
        </w:tabs>
        <w:kinsoku w:val="0"/>
        <w:wordWrap/>
        <w:overflowPunct/>
        <w:topLinePunct w:val="0"/>
        <w:autoSpaceDE w:val="0"/>
        <w:autoSpaceDN w:val="0"/>
        <w:bidi w:val="0"/>
        <w:adjustRightInd w:val="0"/>
        <w:snapToGrid w:val="0"/>
        <w:spacing w:line="460" w:lineRule="exact"/>
        <w:ind w:firstLine="460" w:firstLineChars="200"/>
        <w:jc w:val="both"/>
        <w:textAlignment w:val="baseline"/>
        <w:outlineLvl w:val="2"/>
        <w:rPr>
          <w:rFonts w:hint="default" w:ascii="Times New Roman" w:hAnsi="Times New Roman" w:cs="Times New Roman"/>
          <w:sz w:val="23"/>
          <w:szCs w:val="23"/>
          <w:highlight w:val="none"/>
        </w:rPr>
      </w:pPr>
      <w:bookmarkStart w:id="676" w:name="_Toc4368"/>
      <w:bookmarkStart w:id="677" w:name="_Toc3328"/>
      <w:bookmarkStart w:id="678" w:name="_Toc21048"/>
      <w:r>
        <w:rPr>
          <w:rFonts w:hint="default" w:ascii="Times New Roman" w:hAnsi="Times New Roman" w:cs="Times New Roman"/>
          <w:sz w:val="23"/>
          <w:szCs w:val="23"/>
          <w:highlight w:val="none"/>
        </w:rPr>
        <w:t>（3）水土流失影响分析</w:t>
      </w:r>
      <w:bookmarkEnd w:id="676"/>
      <w:bookmarkEnd w:id="677"/>
      <w:bookmarkEnd w:id="678"/>
    </w:p>
    <w:p>
      <w:pPr>
        <w:keepNext w:val="0"/>
        <w:keepLines w:val="0"/>
        <w:pageBreakBefore w:val="0"/>
        <w:widowControl w:val="0"/>
        <w:kinsoku w:val="0"/>
        <w:wordWrap/>
        <w:overflowPunct/>
        <w:topLinePunct w:val="0"/>
        <w:autoSpaceDE w:val="0"/>
        <w:autoSpaceDN w:val="0"/>
        <w:bidi w:val="0"/>
        <w:adjustRightInd w:val="0"/>
        <w:snapToGrid w:val="0"/>
        <w:spacing w:line="460" w:lineRule="exact"/>
        <w:ind w:firstLine="460" w:firstLineChars="20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针对项目所在区域特点，提出本项目水土保持防护措施，防治措施主要包括工程措施和植物措施：</w:t>
      </w:r>
    </w:p>
    <w:p>
      <w:pPr>
        <w:keepNext w:val="0"/>
        <w:keepLines w:val="0"/>
        <w:pageBreakBefore w:val="0"/>
        <w:widowControl w:val="0"/>
        <w:kinsoku w:val="0"/>
        <w:wordWrap/>
        <w:overflowPunct/>
        <w:topLinePunct w:val="0"/>
        <w:autoSpaceDE w:val="0"/>
        <w:autoSpaceDN w:val="0"/>
        <w:bidi w:val="0"/>
        <w:adjustRightInd w:val="0"/>
        <w:snapToGrid w:val="0"/>
        <w:spacing w:line="460" w:lineRule="exact"/>
        <w:ind w:firstLine="460" w:firstLineChars="20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A、工程措施</w:t>
      </w:r>
    </w:p>
    <w:p>
      <w:pPr>
        <w:keepNext w:val="0"/>
        <w:keepLines w:val="0"/>
        <w:pageBreakBefore w:val="0"/>
        <w:widowControl w:val="0"/>
        <w:kinsoku w:val="0"/>
        <w:wordWrap/>
        <w:overflowPunct/>
        <w:topLinePunct w:val="0"/>
        <w:autoSpaceDE w:val="0"/>
        <w:autoSpaceDN w:val="0"/>
        <w:bidi w:val="0"/>
        <w:adjustRightInd w:val="0"/>
        <w:snapToGrid w:val="0"/>
        <w:spacing w:line="460" w:lineRule="exact"/>
        <w:ind w:firstLine="460" w:firstLineChars="20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在选厂厂内运输道路做水泥混凝土路面，路边设置混凝土排水沟，设计纵坡为场地自然坡度，梯形截面。防止运输车辆碾压造成颗粒物和雨水冲刷路面造成水土流失。</w:t>
      </w:r>
    </w:p>
    <w:p>
      <w:pPr>
        <w:keepNext w:val="0"/>
        <w:keepLines w:val="0"/>
        <w:pageBreakBefore w:val="0"/>
        <w:widowControl w:val="0"/>
        <w:kinsoku w:val="0"/>
        <w:wordWrap/>
        <w:overflowPunct/>
        <w:topLinePunct w:val="0"/>
        <w:autoSpaceDE w:val="0"/>
        <w:autoSpaceDN w:val="0"/>
        <w:bidi w:val="0"/>
        <w:adjustRightInd w:val="0"/>
        <w:snapToGrid w:val="0"/>
        <w:spacing w:line="460" w:lineRule="exact"/>
        <w:ind w:firstLine="460" w:firstLineChars="200"/>
        <w:jc w:val="both"/>
        <w:textAlignment w:val="baseline"/>
        <w:outlineLvl w:val="9"/>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B、植物措施</w:t>
      </w:r>
    </w:p>
    <w:p>
      <w:pPr>
        <w:keepNext w:val="0"/>
        <w:keepLines w:val="0"/>
        <w:pageBreakBefore w:val="0"/>
        <w:widowControl w:val="0"/>
        <w:kinsoku w:val="0"/>
        <w:wordWrap/>
        <w:overflowPunct/>
        <w:topLinePunct w:val="0"/>
        <w:autoSpaceDE w:val="0"/>
        <w:autoSpaceDN w:val="0"/>
        <w:bidi w:val="0"/>
        <w:adjustRightInd w:val="0"/>
        <w:snapToGrid w:val="0"/>
        <w:spacing w:line="460" w:lineRule="exact"/>
        <w:ind w:firstLine="460" w:firstLineChars="200"/>
        <w:jc w:val="both"/>
        <w:textAlignment w:val="baseline"/>
        <w:outlineLvl w:val="9"/>
        <w:rPr>
          <w:rFonts w:hint="default" w:ascii="Times New Roman" w:hAnsi="Times New Roman" w:cs="Times New Roman"/>
          <w:sz w:val="23"/>
          <w:szCs w:val="23"/>
          <w:highlight w:val="none"/>
        </w:rPr>
      </w:pPr>
      <w:r>
        <w:rPr>
          <w:rFonts w:hint="eastAsia" w:ascii="Times New Roman" w:hAnsi="Times New Roman" w:eastAsia="宋体" w:cs="Times New Roman"/>
          <w:sz w:val="23"/>
          <w:szCs w:val="23"/>
          <w:highlight w:val="none"/>
          <w:lang w:val="en-US" w:eastAsia="zh-CN"/>
        </w:rPr>
        <w:t>在新建生产车间</w:t>
      </w:r>
      <w:r>
        <w:rPr>
          <w:rFonts w:hint="default" w:ascii="Times New Roman" w:hAnsi="Times New Roman" w:cs="Times New Roman"/>
          <w:sz w:val="23"/>
          <w:szCs w:val="23"/>
          <w:highlight w:val="none"/>
        </w:rPr>
        <w:t>四周围栽植灌木，株距1m，每坑2株，小穴整地，穴径0.3m，深0.3m。</w:t>
      </w:r>
    </w:p>
    <w:p>
      <w:pPr>
        <w:spacing w:before="75" w:line="229" w:lineRule="auto"/>
        <w:ind w:left="19"/>
        <w:outlineLvl w:val="2"/>
        <w:rPr>
          <w:rFonts w:hint="eastAsia" w:ascii="Times New Roman" w:hAnsi="Times New Roman" w:eastAsia="宋体" w:cs="Times New Roman"/>
          <w:spacing w:val="8"/>
          <w:sz w:val="23"/>
          <w:szCs w:val="23"/>
          <w:highlight w:val="none"/>
          <w:lang w:val="en-US" w:eastAsia="zh-CN"/>
          <w14:textOutline w14:w="4358" w14:cap="sq" w14:cmpd="sng">
            <w14:solidFill>
              <w14:srgbClr w14:val="000000"/>
            </w14:solidFill>
            <w14:prstDash w14:val="solid"/>
            <w14:bevel/>
          </w14:textOutline>
        </w:rPr>
      </w:pPr>
      <w:bookmarkStart w:id="679" w:name="_Toc11842"/>
      <w:bookmarkStart w:id="680" w:name="_Toc16119"/>
      <w:bookmarkStart w:id="681" w:name="_Toc32539"/>
      <w:r>
        <w:rPr>
          <w:rFonts w:hint="default" w:ascii="Times New Roman" w:hAnsi="Times New Roman" w:eastAsia="Times New Roman" w:cs="Times New Roman"/>
          <w:b/>
          <w:bCs/>
          <w:spacing w:val="10"/>
          <w:sz w:val="23"/>
          <w:szCs w:val="23"/>
          <w:highlight w:val="none"/>
        </w:rPr>
        <w:t>5</w:t>
      </w:r>
      <w:r>
        <w:rPr>
          <w:rFonts w:hint="default" w:ascii="Times New Roman" w:hAnsi="Times New Roman" w:eastAsia="Times New Roman" w:cs="Times New Roman"/>
          <w:b/>
          <w:bCs/>
          <w:spacing w:val="8"/>
          <w:sz w:val="23"/>
          <w:szCs w:val="23"/>
          <w:highlight w:val="none"/>
        </w:rPr>
        <w:t>.2.</w:t>
      </w:r>
      <w:r>
        <w:rPr>
          <w:rFonts w:hint="eastAsia" w:ascii="Times New Roman" w:hAnsi="Times New Roman" w:eastAsia="宋体" w:cs="Times New Roman"/>
          <w:b/>
          <w:bCs/>
          <w:spacing w:val="8"/>
          <w:sz w:val="23"/>
          <w:szCs w:val="23"/>
          <w:highlight w:val="none"/>
          <w:lang w:val="en-US" w:eastAsia="zh-CN"/>
        </w:rPr>
        <w:t>7</w:t>
      </w:r>
      <w:r>
        <w:rPr>
          <w:rFonts w:hint="default" w:ascii="Times New Roman" w:hAnsi="Times New Roman" w:eastAsia="Times New Roman" w:cs="Times New Roman"/>
          <w:spacing w:val="8"/>
          <w:sz w:val="23"/>
          <w:szCs w:val="23"/>
          <w:highlight w:val="none"/>
        </w:rPr>
        <w:t xml:space="preserve">  </w:t>
      </w:r>
      <w:r>
        <w:rPr>
          <w:rFonts w:hint="eastAsia" w:ascii="Times New Roman" w:hAnsi="Times New Roman" w:eastAsia="宋体" w:cs="Times New Roman"/>
          <w:spacing w:val="8"/>
          <w:sz w:val="23"/>
          <w:szCs w:val="23"/>
          <w:highlight w:val="none"/>
          <w:lang w:val="en-US" w:eastAsia="zh-CN"/>
          <w14:textOutline w14:w="4358" w14:cap="sq" w14:cmpd="sng">
            <w14:solidFill>
              <w14:srgbClr w14:val="000000"/>
            </w14:solidFill>
            <w14:prstDash w14:val="solid"/>
            <w14:bevel/>
          </w14:textOutline>
        </w:rPr>
        <w:t>环境风险影响分析</w:t>
      </w:r>
      <w:bookmarkEnd w:id="679"/>
      <w:bookmarkEnd w:id="680"/>
      <w:bookmarkEnd w:id="681"/>
    </w:p>
    <w:p>
      <w:pPr>
        <w:widowControl w:val="0"/>
        <w:spacing w:line="480" w:lineRule="exact"/>
        <w:jc w:val="both"/>
        <w:outlineLvl w:val="3"/>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5.2.7.1 评价依据</w:t>
      </w:r>
    </w:p>
    <w:p>
      <w:pPr>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本项目涉及的风险物质为机油（含废机油），本项目厂区最大存储量为</w:t>
      </w:r>
      <w:r>
        <w:rPr>
          <w:rFonts w:hint="eastAsia" w:ascii="Times New Roman" w:hAnsi="Times New Roman" w:eastAsia="宋体" w:cs="Times New Roman"/>
          <w:sz w:val="23"/>
          <w:szCs w:val="23"/>
          <w:highlight w:val="none"/>
          <w:lang w:val="en-US" w:eastAsia="zh-CN"/>
        </w:rPr>
        <w:t>0.4</w:t>
      </w:r>
      <w:r>
        <w:rPr>
          <w:rFonts w:hint="default" w:ascii="Times New Roman" w:hAnsi="Times New Roman" w:cs="Times New Roman"/>
          <w:sz w:val="23"/>
          <w:szCs w:val="23"/>
          <w:highlight w:val="none"/>
        </w:rPr>
        <w:t>t，根据</w:t>
      </w:r>
      <w:r>
        <w:rPr>
          <w:rFonts w:hint="default" w:ascii="Times New Roman" w:hAnsi="Times New Roman" w:cs="Times New Roman"/>
          <w:kern w:val="24"/>
          <w:sz w:val="23"/>
          <w:szCs w:val="23"/>
          <w:highlight w:val="none"/>
        </w:rPr>
        <w:t>《建设项目环境风险评价技术导则》(HJ169-2018)附录B中表B.1突发环境事件风险物质临界量“381、油类物质（矿物油类，临界量为100t）”可知</w:t>
      </w:r>
      <w:r>
        <w:rPr>
          <w:rFonts w:hint="default" w:ascii="Times New Roman" w:hAnsi="Times New Roman" w:cs="Times New Roman"/>
          <w:sz w:val="23"/>
          <w:szCs w:val="23"/>
          <w:highlight w:val="none"/>
        </w:rPr>
        <w:t>，本项目仅涉及一种危险物质，计算机油（含废机油）的最大储存量与其临界量比值（Q）为0.00</w:t>
      </w:r>
      <w:r>
        <w:rPr>
          <w:rFonts w:hint="eastAsia" w:ascii="Times New Roman" w:hAnsi="Times New Roman" w:eastAsia="宋体" w:cs="Times New Roman"/>
          <w:sz w:val="23"/>
          <w:szCs w:val="23"/>
          <w:highlight w:val="none"/>
          <w:lang w:val="en-US" w:eastAsia="zh-CN"/>
        </w:rPr>
        <w:t>4</w:t>
      </w:r>
      <w:r>
        <w:rPr>
          <w:rFonts w:hint="default" w:ascii="Times New Roman" w:hAnsi="Times New Roman" w:cs="Times New Roman"/>
          <w:sz w:val="23"/>
          <w:szCs w:val="23"/>
          <w:highlight w:val="none"/>
        </w:rPr>
        <w:t>，根据导则中附录C可知，当Q＜1时，项目风险潜势为Ⅰ，确定该项目生态评价等级为简单分析。</w:t>
      </w:r>
    </w:p>
    <w:p>
      <w:pPr>
        <w:ind w:firstLine="420" w:firstLineChars="200"/>
        <w:jc w:val="center"/>
        <w:rPr>
          <w:rFonts w:hint="default" w:ascii="Times New Roman" w:hAnsi="Times New Roman" w:cs="Times New Roman"/>
          <w:b/>
          <w:highlight w:val="none"/>
        </w:rPr>
      </w:pPr>
      <w:r>
        <w:rPr>
          <w:rFonts w:hint="default" w:ascii="Times New Roman" w:hAnsi="Times New Roman" w:cs="Times New Roman"/>
          <w:b/>
          <w:highlight w:val="none"/>
        </w:rPr>
        <w:t>表5.2-</w:t>
      </w:r>
      <w:r>
        <w:rPr>
          <w:rFonts w:hint="eastAsia" w:ascii="Times New Roman" w:hAnsi="Times New Roman" w:cs="Times New Roman"/>
          <w:b/>
          <w:highlight w:val="none"/>
          <w:lang w:val="en-US" w:eastAsia="zh-CN"/>
        </w:rPr>
        <w:t>20</w:t>
      </w:r>
      <w:r>
        <w:rPr>
          <w:rFonts w:hint="default" w:ascii="Times New Roman" w:hAnsi="Times New Roman" w:cs="Times New Roman"/>
          <w:b/>
          <w:highlight w:val="none"/>
        </w:rPr>
        <w:t xml:space="preserve">      环境风险评价工作等级划分表</w:t>
      </w:r>
    </w:p>
    <w:tbl>
      <w:tblPr>
        <w:tblStyle w:val="15"/>
        <w:tblpPr w:vertAnchor="text" w:tblpY="1"/>
        <w:tblW w:w="8342"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186"/>
        <w:gridCol w:w="1539"/>
        <w:gridCol w:w="1539"/>
        <w:gridCol w:w="1539"/>
        <w:gridCol w:w="15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186" w:type="dxa"/>
            <w:shd w:val="clear" w:color="auto" w:fill="auto"/>
            <w:noWrap w:val="0"/>
            <w:vAlign w:val="center"/>
          </w:tcPr>
          <w:p>
            <w:pPr>
              <w:adjustRightInd w:val="0"/>
              <w:snapToGrid w:val="0"/>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环境风险潜势</w:t>
            </w:r>
          </w:p>
        </w:tc>
        <w:tc>
          <w:tcPr>
            <w:tcW w:w="1539" w:type="dxa"/>
            <w:shd w:val="clear" w:color="auto" w:fill="auto"/>
            <w:noWrap w:val="0"/>
            <w:vAlign w:val="center"/>
          </w:tcPr>
          <w:p>
            <w:pPr>
              <w:adjustRightInd w:val="0"/>
              <w:snapToGrid w:val="0"/>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Ⅳ、Ⅳ</w:t>
            </w:r>
            <w:r>
              <w:rPr>
                <w:rFonts w:hint="default" w:ascii="Times New Roman" w:hAnsi="Times New Roman" w:cs="Times New Roman"/>
                <w:sz w:val="21"/>
                <w:szCs w:val="21"/>
                <w:highlight w:val="none"/>
                <w:vertAlign w:val="superscript"/>
              </w:rPr>
              <w:t>+</w:t>
            </w:r>
          </w:p>
        </w:tc>
        <w:tc>
          <w:tcPr>
            <w:tcW w:w="1539" w:type="dxa"/>
            <w:tcBorders>
              <w:right w:val="single" w:color="auto" w:sz="4" w:space="0"/>
            </w:tcBorders>
            <w:shd w:val="clear" w:color="auto" w:fill="auto"/>
            <w:noWrap w:val="0"/>
            <w:vAlign w:val="center"/>
          </w:tcPr>
          <w:p>
            <w:pPr>
              <w:adjustRightInd w:val="0"/>
              <w:snapToGrid w:val="0"/>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Ⅲ</w:t>
            </w:r>
          </w:p>
        </w:tc>
        <w:tc>
          <w:tcPr>
            <w:tcW w:w="1539" w:type="dxa"/>
            <w:tcBorders>
              <w:left w:val="single" w:color="auto" w:sz="4" w:space="0"/>
            </w:tcBorders>
            <w:shd w:val="clear" w:color="auto" w:fill="auto"/>
            <w:noWrap w:val="0"/>
            <w:vAlign w:val="center"/>
          </w:tcPr>
          <w:p>
            <w:pPr>
              <w:adjustRightInd w:val="0"/>
              <w:snapToGrid w:val="0"/>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Ⅱ</w:t>
            </w:r>
          </w:p>
        </w:tc>
        <w:tc>
          <w:tcPr>
            <w:tcW w:w="1539" w:type="dxa"/>
            <w:tcBorders>
              <w:top w:val="single" w:color="auto" w:sz="12" w:space="0"/>
              <w:bottom w:val="single" w:color="auto" w:sz="6" w:space="0"/>
            </w:tcBorders>
            <w:shd w:val="clear" w:color="auto" w:fill="D9D9D9"/>
            <w:noWrap w:val="0"/>
            <w:vAlign w:val="center"/>
          </w:tcPr>
          <w:p>
            <w:pPr>
              <w:adjustRightInd w:val="0"/>
              <w:snapToGrid w:val="0"/>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186" w:type="dxa"/>
            <w:shd w:val="clear" w:color="auto" w:fill="auto"/>
            <w:noWrap w:val="0"/>
            <w:vAlign w:val="center"/>
          </w:tcPr>
          <w:p>
            <w:pPr>
              <w:adjustRightInd w:val="0"/>
              <w:snapToGrid w:val="0"/>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评价工作等级</w:t>
            </w:r>
          </w:p>
        </w:tc>
        <w:tc>
          <w:tcPr>
            <w:tcW w:w="1539" w:type="dxa"/>
            <w:shd w:val="clear" w:color="auto" w:fill="auto"/>
            <w:noWrap w:val="0"/>
            <w:vAlign w:val="center"/>
          </w:tcPr>
          <w:p>
            <w:pPr>
              <w:adjustRightInd w:val="0"/>
              <w:snapToGrid w:val="0"/>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w:t>
            </w:r>
          </w:p>
        </w:tc>
        <w:tc>
          <w:tcPr>
            <w:tcW w:w="1539" w:type="dxa"/>
            <w:tcBorders>
              <w:right w:val="single" w:color="auto" w:sz="4" w:space="0"/>
            </w:tcBorders>
            <w:shd w:val="clear" w:color="auto" w:fill="auto"/>
            <w:noWrap w:val="0"/>
            <w:vAlign w:val="center"/>
          </w:tcPr>
          <w:p>
            <w:pPr>
              <w:adjustRightInd w:val="0"/>
              <w:snapToGrid w:val="0"/>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w:t>
            </w:r>
          </w:p>
        </w:tc>
        <w:tc>
          <w:tcPr>
            <w:tcW w:w="1539" w:type="dxa"/>
            <w:tcBorders>
              <w:left w:val="single" w:color="auto" w:sz="4" w:space="0"/>
            </w:tcBorders>
            <w:shd w:val="clear" w:color="auto" w:fill="auto"/>
            <w:noWrap w:val="0"/>
            <w:vAlign w:val="center"/>
          </w:tcPr>
          <w:p>
            <w:pPr>
              <w:adjustRightInd w:val="0"/>
              <w:snapToGrid w:val="0"/>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三</w:t>
            </w:r>
          </w:p>
        </w:tc>
        <w:tc>
          <w:tcPr>
            <w:tcW w:w="1539" w:type="dxa"/>
            <w:tcBorders>
              <w:top w:val="single" w:color="auto" w:sz="6" w:space="0"/>
              <w:bottom w:val="single" w:color="auto" w:sz="12" w:space="0"/>
            </w:tcBorders>
            <w:shd w:val="clear" w:color="auto" w:fill="D9D9D9"/>
            <w:noWrap w:val="0"/>
            <w:vAlign w:val="center"/>
          </w:tcPr>
          <w:p>
            <w:pPr>
              <w:adjustRightInd w:val="0"/>
              <w:snapToGrid w:val="0"/>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简单分析</w:t>
            </w:r>
          </w:p>
        </w:tc>
      </w:tr>
    </w:tbl>
    <w:p>
      <w:pPr>
        <w:widowControl w:val="0"/>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根据《建设项目环境风险评价技术导则》（TJ169-2018）的要求，环境风险简单分析的主要内容是：定性描述危险物质、环境影响途径、环境危害后果、风险防范措施等。</w:t>
      </w:r>
    </w:p>
    <w:p>
      <w:pPr>
        <w:widowControl w:val="0"/>
        <w:spacing w:line="480" w:lineRule="exact"/>
        <w:jc w:val="both"/>
        <w:outlineLvl w:val="3"/>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5.2.7.</w:t>
      </w:r>
      <w:r>
        <w:rPr>
          <w:rFonts w:hint="eastAsia" w:ascii="Times New Roman" w:hAnsi="Times New Roman" w:cs="Times New Roman"/>
          <w:sz w:val="23"/>
          <w:szCs w:val="23"/>
          <w:highlight w:val="none"/>
          <w:lang w:val="en-US" w:eastAsia="zh-CN"/>
        </w:rPr>
        <w:t>2</w:t>
      </w:r>
      <w:r>
        <w:rPr>
          <w:rFonts w:hint="default" w:ascii="Times New Roman" w:hAnsi="Times New Roman" w:cs="Times New Roman"/>
          <w:sz w:val="23"/>
          <w:szCs w:val="23"/>
          <w:highlight w:val="none"/>
        </w:rPr>
        <w:t xml:space="preserve"> 环境风险识别</w:t>
      </w:r>
    </w:p>
    <w:p>
      <w:pPr>
        <w:widowControl w:val="0"/>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风险识别范围主要是原辅材料的运输及贮存系统、生产系统、相关的公用工程和辅助系统等。项目对环境存在的主要风险类型为机油的泄漏风险。项目使用的机油危险特性：如遇明火、高热会引起燃烧；机油泄漏对地下水的影响。结合同类项目污染事故情况的调查研究，造成本项目事故污染因素主要为机油泄漏、火灾环境风险。本项目机油为桶装，暂存在生产车间内，在出现泄漏的情况下，机油泄漏量较小，本项目车间为彩钢封闭车间，且地面为防渗混凝土结构，车间地面采取了防腐防渗措施，有效防止污染物进入水环境。</w:t>
      </w:r>
    </w:p>
    <w:p>
      <w:pPr>
        <w:widowControl w:val="0"/>
        <w:spacing w:line="480" w:lineRule="exact"/>
        <w:jc w:val="both"/>
        <w:outlineLvl w:val="3"/>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5.2.7.</w:t>
      </w:r>
      <w:r>
        <w:rPr>
          <w:rFonts w:hint="eastAsia" w:ascii="Times New Roman" w:hAnsi="Times New Roman" w:cs="Times New Roman"/>
          <w:sz w:val="23"/>
          <w:szCs w:val="23"/>
          <w:highlight w:val="none"/>
          <w:lang w:val="en-US" w:eastAsia="zh-CN"/>
        </w:rPr>
        <w:t>3</w:t>
      </w:r>
      <w:r>
        <w:rPr>
          <w:rFonts w:hint="default" w:ascii="Times New Roman" w:hAnsi="Times New Roman" w:cs="Times New Roman"/>
          <w:sz w:val="23"/>
          <w:szCs w:val="23"/>
          <w:highlight w:val="none"/>
        </w:rPr>
        <w:t xml:space="preserve"> 环境风险分析</w:t>
      </w:r>
    </w:p>
    <w:p>
      <w:pPr>
        <w:tabs>
          <w:tab w:val="left" w:pos="0"/>
          <w:tab w:val="left" w:pos="1020"/>
        </w:tabs>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（1）大气环境：矿物油遇明火和高温可以燃烧。火灾引发的伴生/次生污染物二氧化硫和一氧化碳影响大气环境。</w:t>
      </w:r>
    </w:p>
    <w:p>
      <w:pPr>
        <w:tabs>
          <w:tab w:val="left" w:pos="0"/>
          <w:tab w:val="left" w:pos="1020"/>
        </w:tabs>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（2）地表水：全厂用矿物油量很小，存储量也很小，假设矿物油全部泄露，也不易流至车间外，不会对地表水环境造成影响。</w:t>
      </w:r>
    </w:p>
    <w:p>
      <w:pPr>
        <w:tabs>
          <w:tab w:val="left" w:pos="0"/>
          <w:tab w:val="left" w:pos="1020"/>
        </w:tabs>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（3）地下水：矿物油泄漏，若车间地面防渗不好，存在裂缝，矿物油可通过缝隙进入土壤可能影响地下水环境。</w:t>
      </w:r>
    </w:p>
    <w:p>
      <w:pPr>
        <w:widowControl w:val="0"/>
        <w:spacing w:line="480" w:lineRule="exact"/>
        <w:jc w:val="both"/>
        <w:outlineLvl w:val="3"/>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5.2.7.</w:t>
      </w:r>
      <w:r>
        <w:rPr>
          <w:rFonts w:hint="eastAsia" w:ascii="Times New Roman" w:hAnsi="Times New Roman" w:cs="Times New Roman"/>
          <w:sz w:val="23"/>
          <w:szCs w:val="23"/>
          <w:highlight w:val="none"/>
          <w:lang w:val="en-US" w:eastAsia="zh-CN"/>
        </w:rPr>
        <w:t>4</w:t>
      </w:r>
      <w:r>
        <w:rPr>
          <w:rFonts w:hint="default" w:ascii="Times New Roman" w:hAnsi="Times New Roman" w:cs="Times New Roman"/>
          <w:sz w:val="23"/>
          <w:szCs w:val="23"/>
          <w:highlight w:val="none"/>
        </w:rPr>
        <w:t xml:space="preserve"> 环境风险防范措施及应急要求</w:t>
      </w:r>
    </w:p>
    <w:p>
      <w:pPr>
        <w:tabs>
          <w:tab w:val="left" w:pos="0"/>
          <w:tab w:val="left" w:pos="1020"/>
        </w:tabs>
        <w:spacing w:line="480" w:lineRule="exact"/>
        <w:ind w:firstLine="460" w:firstLineChars="200"/>
        <w:outlineLvl w:val="2"/>
        <w:rPr>
          <w:rFonts w:hint="default" w:ascii="Times New Roman" w:hAnsi="Times New Roman" w:cs="Times New Roman"/>
          <w:sz w:val="23"/>
          <w:szCs w:val="23"/>
          <w:highlight w:val="none"/>
        </w:rPr>
      </w:pPr>
      <w:bookmarkStart w:id="682" w:name="_Toc5016"/>
      <w:bookmarkStart w:id="683" w:name="_Toc8368"/>
      <w:bookmarkStart w:id="684" w:name="_Toc20614"/>
      <w:r>
        <w:rPr>
          <w:rFonts w:hint="default" w:ascii="Times New Roman" w:hAnsi="Times New Roman" w:cs="Times New Roman"/>
          <w:sz w:val="23"/>
          <w:szCs w:val="23"/>
          <w:highlight w:val="none"/>
        </w:rPr>
        <w:t>（1）环境风险防范措施</w:t>
      </w:r>
      <w:bookmarkEnd w:id="682"/>
      <w:bookmarkEnd w:id="683"/>
      <w:bookmarkEnd w:id="684"/>
    </w:p>
    <w:p>
      <w:pPr>
        <w:tabs>
          <w:tab w:val="left" w:pos="0"/>
          <w:tab w:val="left" w:pos="1020"/>
        </w:tabs>
        <w:spacing w:line="480" w:lineRule="exact"/>
        <w:ind w:firstLine="460" w:firstLineChars="200"/>
        <w:outlineLvl w:val="1"/>
        <w:rPr>
          <w:rFonts w:hint="default" w:ascii="Times New Roman" w:hAnsi="Times New Roman" w:cs="Times New Roman"/>
          <w:sz w:val="23"/>
          <w:szCs w:val="23"/>
          <w:highlight w:val="none"/>
        </w:rPr>
      </w:pPr>
      <w:bookmarkStart w:id="685" w:name="_Toc20326"/>
      <w:bookmarkStart w:id="686" w:name="_Toc26923"/>
      <w:bookmarkStart w:id="687" w:name="_Toc19133"/>
      <w:r>
        <w:rPr>
          <w:rFonts w:hint="default" w:ascii="Times New Roman" w:hAnsi="Times New Roman" w:cs="Times New Roman"/>
          <w:sz w:val="23"/>
          <w:szCs w:val="23"/>
          <w:highlight w:val="none"/>
        </w:rPr>
        <w:t>①设计中严格执行国家、行业有关劳动安全卫生的法规和标准规范。</w:t>
      </w:r>
      <w:bookmarkEnd w:id="685"/>
      <w:bookmarkEnd w:id="686"/>
      <w:bookmarkEnd w:id="687"/>
    </w:p>
    <w:p>
      <w:pPr>
        <w:tabs>
          <w:tab w:val="left" w:pos="0"/>
          <w:tab w:val="left" w:pos="1020"/>
        </w:tabs>
        <w:spacing w:line="480" w:lineRule="exact"/>
        <w:ind w:firstLine="450" w:firstLineChars="196"/>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②厂房内设备布置严格执行国家有关防火防爆的规范、规定，按区域分类有关规范在厂房内划分专门的机油存储区，存储区内安装的电器设备应按照相应的区域等级采用防爆级，所有的电气设备应接地。远离火种、热源，工作场所严禁吸烟。</w:t>
      </w:r>
    </w:p>
    <w:p>
      <w:pPr>
        <w:tabs>
          <w:tab w:val="left" w:pos="0"/>
          <w:tab w:val="left" w:pos="1020"/>
        </w:tabs>
        <w:spacing w:line="480" w:lineRule="exact"/>
        <w:ind w:firstLine="450" w:firstLineChars="196"/>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③配备相应品种和数量的消防器材及泄漏应急处理设备。厂区制定风险应急措施，一旦发生机油泄漏时，及时采取措施。</w:t>
      </w:r>
    </w:p>
    <w:p>
      <w:pPr>
        <w:tabs>
          <w:tab w:val="left" w:pos="0"/>
          <w:tab w:val="left" w:pos="1020"/>
        </w:tabs>
        <w:spacing w:line="480" w:lineRule="exact"/>
        <w:ind w:firstLine="450" w:firstLineChars="196"/>
        <w:outlineLvl w:val="1"/>
        <w:rPr>
          <w:rFonts w:hint="default" w:ascii="Times New Roman" w:hAnsi="Times New Roman" w:cs="Times New Roman"/>
          <w:sz w:val="23"/>
          <w:szCs w:val="23"/>
          <w:highlight w:val="none"/>
        </w:rPr>
      </w:pPr>
      <w:bookmarkStart w:id="688" w:name="_Toc8100"/>
      <w:bookmarkStart w:id="689" w:name="_Toc17682"/>
      <w:bookmarkStart w:id="690" w:name="_Toc16867"/>
      <w:r>
        <w:rPr>
          <w:rFonts w:hint="default" w:ascii="Times New Roman" w:hAnsi="Times New Roman" w:cs="Times New Roman"/>
          <w:sz w:val="23"/>
          <w:szCs w:val="23"/>
          <w:highlight w:val="none"/>
        </w:rPr>
        <w:t>④制定</w:t>
      </w:r>
      <w:r>
        <w:rPr>
          <w:rFonts w:hint="eastAsia" w:ascii="Times New Roman" w:hAnsi="Times New Roman" w:eastAsia="宋体" w:cs="Times New Roman"/>
          <w:sz w:val="23"/>
          <w:szCs w:val="23"/>
          <w:highlight w:val="none"/>
          <w:lang w:val="en-US" w:eastAsia="zh-CN"/>
        </w:rPr>
        <w:t>危废间</w:t>
      </w:r>
      <w:r>
        <w:rPr>
          <w:rFonts w:hint="default" w:ascii="Times New Roman" w:hAnsi="Times New Roman" w:cs="Times New Roman"/>
          <w:sz w:val="23"/>
          <w:szCs w:val="23"/>
          <w:highlight w:val="none"/>
        </w:rPr>
        <w:t>的日常巡查制度，定期指派专人负责巡查。</w:t>
      </w:r>
      <w:bookmarkEnd w:id="688"/>
      <w:bookmarkEnd w:id="689"/>
      <w:bookmarkEnd w:id="690"/>
    </w:p>
    <w:p>
      <w:pPr>
        <w:widowControl w:val="0"/>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⑤项目营运期间要加强管理，制定相应的规章制度。营运期严格杜绝机油的跑、冒、滴、漏现象的发生，同时要防火、防爆、防雷击，注意安全，杜绝一切不安全因素造成的对周围环境的影响。</w:t>
      </w:r>
    </w:p>
    <w:p>
      <w:pPr>
        <w:widowControl w:val="0"/>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⑥车间存储矿物油处地面采用水泥硬化，防止泄漏污染地下水；危废间地面为抗渗水泥，防止泄漏污染地下水。</w:t>
      </w:r>
    </w:p>
    <w:p>
      <w:pPr>
        <w:widowControl w:val="0"/>
        <w:spacing w:line="480" w:lineRule="exact"/>
        <w:ind w:firstLine="460" w:firstLineChars="200"/>
        <w:jc w:val="both"/>
        <w:outlineLvl w:val="2"/>
        <w:rPr>
          <w:rFonts w:hint="default" w:ascii="Times New Roman" w:hAnsi="Times New Roman" w:cs="Times New Roman"/>
          <w:sz w:val="23"/>
          <w:szCs w:val="23"/>
          <w:highlight w:val="none"/>
        </w:rPr>
      </w:pPr>
      <w:bookmarkStart w:id="691" w:name="_Toc9811"/>
      <w:bookmarkStart w:id="692" w:name="_Toc11477"/>
      <w:bookmarkStart w:id="693" w:name="_Toc27004"/>
      <w:r>
        <w:rPr>
          <w:rFonts w:hint="default" w:ascii="Times New Roman" w:hAnsi="Times New Roman" w:cs="Times New Roman"/>
          <w:sz w:val="23"/>
          <w:szCs w:val="23"/>
          <w:highlight w:val="none"/>
        </w:rPr>
        <w:t>（2）应急要求</w:t>
      </w:r>
      <w:bookmarkEnd w:id="691"/>
      <w:bookmarkEnd w:id="692"/>
      <w:bookmarkEnd w:id="693"/>
    </w:p>
    <w:p>
      <w:pPr>
        <w:widowControl w:val="0"/>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厂区制定风险应急措施，一旦发生机油泄漏时，及时采取措施：泄漏时，根据液体流动区域设定警戒区，消除所有点火源。构筑围堤收容泄漏物。防止流出车间，用泡沫覆盖泄露物，减少挥发。收容的泄漏物转移至专用收集器内。残液用沙土吸收，耐腐蚀容器收集后送有资质的单位处理。</w:t>
      </w:r>
    </w:p>
    <w:p>
      <w:pPr>
        <w:widowControl w:val="0"/>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应急要求：设置必要消防设备，着火可用手提式灭火器。</w:t>
      </w:r>
      <w:r>
        <w:rPr>
          <w:rFonts w:hint="default" w:ascii="Times New Roman" w:hAnsi="Times New Roman" w:cs="Times New Roman"/>
          <w:sz w:val="23"/>
          <w:szCs w:val="23"/>
          <w:highlight w:val="none"/>
          <w:lang w:bidi="zh-CN"/>
        </w:rPr>
        <w:t>加强对公司职工的教育培训，实行上岗证制度，增强职工风险意识，提高事故自救能力，制定和强化各种安全管理、安全生产的规程，减少人为风险事故（如误操作） 的发生。一旦发现起火，立即报警，通过消防灭火。</w:t>
      </w:r>
    </w:p>
    <w:p>
      <w:pPr>
        <w:widowControl w:val="0"/>
        <w:spacing w:line="480" w:lineRule="exact"/>
        <w:jc w:val="both"/>
        <w:outlineLvl w:val="3"/>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5.2.7.</w:t>
      </w:r>
      <w:r>
        <w:rPr>
          <w:rFonts w:hint="eastAsia" w:ascii="Times New Roman" w:hAnsi="Times New Roman" w:cs="Times New Roman"/>
          <w:sz w:val="23"/>
          <w:szCs w:val="23"/>
          <w:highlight w:val="none"/>
          <w:lang w:val="en-US" w:eastAsia="zh-CN"/>
        </w:rPr>
        <w:t>5</w:t>
      </w:r>
      <w:r>
        <w:rPr>
          <w:rFonts w:hint="default" w:ascii="Times New Roman" w:hAnsi="Times New Roman" w:cs="Times New Roman"/>
          <w:sz w:val="23"/>
          <w:szCs w:val="23"/>
          <w:highlight w:val="none"/>
        </w:rPr>
        <w:t xml:space="preserve"> 分析结论</w:t>
      </w:r>
    </w:p>
    <w:p>
      <w:pPr>
        <w:widowControl w:val="0"/>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综合分析，环境风险主要为</w:t>
      </w:r>
      <w:r>
        <w:rPr>
          <w:rFonts w:hint="eastAsia" w:ascii="Times New Roman" w:hAnsi="Times New Roman" w:eastAsia="宋体" w:cs="Times New Roman"/>
          <w:sz w:val="23"/>
          <w:szCs w:val="23"/>
          <w:highlight w:val="none"/>
          <w:lang w:val="en-US" w:eastAsia="zh-CN"/>
        </w:rPr>
        <w:t>废矿物油</w:t>
      </w:r>
      <w:r>
        <w:rPr>
          <w:rFonts w:hint="default" w:ascii="Times New Roman" w:hAnsi="Times New Roman" w:cs="Times New Roman"/>
          <w:sz w:val="23"/>
          <w:szCs w:val="23"/>
          <w:highlight w:val="none"/>
        </w:rPr>
        <w:t>泄漏、引发火灾等潜在风险。本项目建设单位从建设、生产、贮运等多方面积极采取防护措施，加强风险管理，通过相应的技术手段降低风险发生概率，并在风险事故发生后，及时采取风险防范措施及应急措施，可以使风险事故对环境的危害得到有效控制，将事故风险控制在可接受范围内。</w:t>
      </w:r>
    </w:p>
    <w:p>
      <w:pPr>
        <w:pStyle w:val="9"/>
        <w:spacing w:after="0"/>
        <w:ind w:left="480" w:firstLine="482"/>
        <w:jc w:val="center"/>
        <w:rPr>
          <w:rFonts w:hint="default" w:ascii="Times New Roman" w:hAnsi="Times New Roman" w:cs="Times New Roman"/>
          <w:b/>
          <w:highlight w:val="none"/>
        </w:rPr>
      </w:pPr>
      <w:r>
        <w:rPr>
          <w:rFonts w:hint="default" w:ascii="Times New Roman" w:hAnsi="Times New Roman" w:cs="Times New Roman"/>
          <w:b/>
          <w:highlight w:val="none"/>
        </w:rPr>
        <w:t>表5.2-</w:t>
      </w:r>
      <w:r>
        <w:rPr>
          <w:rFonts w:hint="eastAsia" w:ascii="Times New Roman" w:hAnsi="Times New Roman" w:eastAsia="宋体" w:cs="Times New Roman"/>
          <w:b/>
          <w:highlight w:val="none"/>
          <w:lang w:val="en-US" w:eastAsia="zh-CN"/>
        </w:rPr>
        <w:t>21</w:t>
      </w:r>
      <w:r>
        <w:rPr>
          <w:rFonts w:hint="default" w:ascii="Times New Roman" w:hAnsi="Times New Roman" w:cs="Times New Roman"/>
          <w:b/>
          <w:highlight w:val="none"/>
        </w:rPr>
        <w:t xml:space="preserve">   建设项目环境风险简单分析内容表</w:t>
      </w:r>
    </w:p>
    <w:tbl>
      <w:tblPr>
        <w:tblStyle w:val="1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453"/>
        <w:gridCol w:w="1557"/>
        <w:gridCol w:w="1189"/>
        <w:gridCol w:w="1317"/>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tcBorders>
              <w:top w:val="single" w:color="auto" w:sz="12" w:space="0"/>
              <w:left w:val="single" w:color="auto" w:sz="12" w:space="0"/>
            </w:tcBorders>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建设项目</w:t>
            </w:r>
          </w:p>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名称</w:t>
            </w:r>
          </w:p>
        </w:tc>
        <w:tc>
          <w:tcPr>
            <w:tcW w:w="7085" w:type="dxa"/>
            <w:gridSpan w:val="5"/>
            <w:tcBorders>
              <w:top w:val="single" w:color="auto" w:sz="12" w:space="0"/>
              <w:right w:val="single" w:color="auto" w:sz="12" w:space="0"/>
            </w:tcBorders>
            <w:noWrap w:val="0"/>
            <w:vAlign w:val="center"/>
          </w:tcPr>
          <w:p>
            <w:pPr>
              <w:pStyle w:val="9"/>
              <w:adjustRightInd w:val="0"/>
              <w:snapToGrid w:val="0"/>
              <w:spacing w:after="0" w:line="240" w:lineRule="atLeast"/>
              <w:ind w:left="0" w:leftChars="0"/>
              <w:jc w:val="center"/>
              <w:rPr>
                <w:rFonts w:hint="eastAsia" w:ascii="Times New Roman" w:hAnsi="Times New Roman" w:eastAsia="宋体" w:cs="Times New Roman"/>
                <w:snapToGrid w:val="0"/>
                <w:sz w:val="21"/>
                <w:szCs w:val="21"/>
                <w:highlight w:val="none"/>
                <w:lang w:eastAsia="zh-CN"/>
              </w:rPr>
            </w:pPr>
            <w:r>
              <w:rPr>
                <w:rFonts w:hint="default" w:ascii="Times New Roman" w:hAnsi="Times New Roman" w:cs="Times New Roman"/>
                <w:snapToGrid w:val="0"/>
                <w:sz w:val="21"/>
                <w:szCs w:val="21"/>
                <w:highlight w:val="none"/>
              </w:rPr>
              <w:t>遵化市势竹矿业有限公司</w:t>
            </w:r>
            <w:r>
              <w:rPr>
                <w:rFonts w:hint="eastAsia" w:ascii="Times New Roman" w:hAnsi="Times New Roman" w:cs="Times New Roman"/>
                <w:snapToGrid w:val="0"/>
                <w:sz w:val="21"/>
                <w:szCs w:val="21"/>
                <w:highlight w:val="none"/>
                <w:lang w:eastAsia="zh-CN"/>
              </w:rPr>
              <w:t>年处理110万吨铁矿石破碎改扩建项目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tcBorders>
              <w:left w:val="single" w:color="auto" w:sz="12" w:space="0"/>
            </w:tcBorders>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建设地点</w:t>
            </w:r>
          </w:p>
        </w:tc>
        <w:tc>
          <w:tcPr>
            <w:tcW w:w="1453"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河北省</w:t>
            </w:r>
          </w:p>
        </w:tc>
        <w:tc>
          <w:tcPr>
            <w:tcW w:w="1557"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唐山市</w:t>
            </w:r>
          </w:p>
        </w:tc>
        <w:tc>
          <w:tcPr>
            <w:tcW w:w="1189" w:type="dxa"/>
            <w:noWrap w:val="0"/>
            <w:vAlign w:val="center"/>
          </w:tcPr>
          <w:p>
            <w:pPr>
              <w:pStyle w:val="9"/>
              <w:adjustRightInd w:val="0"/>
              <w:snapToGrid w:val="0"/>
              <w:spacing w:after="0" w:line="240" w:lineRule="atLeast"/>
              <w:ind w:left="0" w:leftChars="0"/>
              <w:jc w:val="center"/>
              <w:rPr>
                <w:rFonts w:hint="eastAsia" w:ascii="Times New Roman" w:hAnsi="Times New Roman" w:eastAsia="宋体" w:cs="Times New Roman"/>
                <w:snapToGrid w:val="0"/>
                <w:sz w:val="21"/>
                <w:szCs w:val="21"/>
                <w:highlight w:val="none"/>
                <w:lang w:eastAsia="zh-CN"/>
              </w:rPr>
            </w:pPr>
            <w:r>
              <w:rPr>
                <w:rFonts w:hint="eastAsia" w:ascii="Times New Roman" w:hAnsi="Times New Roman" w:eastAsia="宋体" w:cs="Times New Roman"/>
                <w:snapToGrid w:val="0"/>
                <w:sz w:val="21"/>
                <w:szCs w:val="21"/>
                <w:highlight w:val="none"/>
                <w:lang w:val="en-US" w:eastAsia="zh-CN"/>
              </w:rPr>
              <w:t>遵化市</w:t>
            </w:r>
          </w:p>
        </w:tc>
        <w:tc>
          <w:tcPr>
            <w:tcW w:w="1317" w:type="dxa"/>
            <w:noWrap w:val="0"/>
            <w:vAlign w:val="center"/>
          </w:tcPr>
          <w:p>
            <w:pPr>
              <w:pStyle w:val="9"/>
              <w:adjustRightInd w:val="0"/>
              <w:snapToGrid w:val="0"/>
              <w:spacing w:after="0" w:line="240" w:lineRule="atLeast"/>
              <w:ind w:left="0" w:leftChars="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苏家洼镇</w:t>
            </w:r>
          </w:p>
        </w:tc>
        <w:tc>
          <w:tcPr>
            <w:tcW w:w="1569" w:type="dxa"/>
            <w:tcBorders>
              <w:right w:val="single" w:color="auto" w:sz="12" w:space="0"/>
            </w:tcBorders>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z w:val="21"/>
                <w:szCs w:val="21"/>
                <w:highlight w:val="none"/>
              </w:rPr>
              <w:t>张家坟村南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tcBorders>
              <w:left w:val="single" w:color="auto" w:sz="12" w:space="0"/>
            </w:tcBorders>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地理坐标</w:t>
            </w:r>
          </w:p>
        </w:tc>
        <w:tc>
          <w:tcPr>
            <w:tcW w:w="1453"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经度</w:t>
            </w:r>
          </w:p>
        </w:tc>
        <w:tc>
          <w:tcPr>
            <w:tcW w:w="1557" w:type="dxa"/>
            <w:noWrap w:val="0"/>
            <w:vAlign w:val="center"/>
          </w:tcPr>
          <w:p>
            <w:pPr>
              <w:pStyle w:val="9"/>
              <w:adjustRightInd w:val="0"/>
              <w:snapToGrid w:val="0"/>
              <w:spacing w:after="0" w:line="240" w:lineRule="atLeast"/>
              <w:ind w:left="0" w:leftChars="0"/>
              <w:jc w:val="center"/>
              <w:rPr>
                <w:rFonts w:hint="default" w:ascii="Times New Roman" w:hAnsi="Times New Roman" w:eastAsia="宋体" w:cs="Times New Roman"/>
                <w:snapToGrid w:val="0"/>
                <w:sz w:val="21"/>
                <w:szCs w:val="21"/>
                <w:highlight w:val="none"/>
              </w:rPr>
            </w:pPr>
            <w:r>
              <w:rPr>
                <w:rFonts w:ascii="Times New Roman" w:hAnsi="Times New Roman" w:eastAsia="Times New Roman" w:cs="Times New Roman"/>
                <w:sz w:val="21"/>
                <w:szCs w:val="21"/>
                <w:highlight w:val="none"/>
              </w:rPr>
              <w:t>117°58'19.33"</w:t>
            </w:r>
          </w:p>
        </w:tc>
        <w:tc>
          <w:tcPr>
            <w:tcW w:w="1189" w:type="dxa"/>
            <w:noWrap w:val="0"/>
            <w:vAlign w:val="center"/>
          </w:tcPr>
          <w:p>
            <w:pPr>
              <w:pStyle w:val="9"/>
              <w:adjustRightInd w:val="0"/>
              <w:snapToGrid w:val="0"/>
              <w:spacing w:after="0" w:line="240" w:lineRule="atLeast"/>
              <w:ind w:left="0" w:leftChars="0"/>
              <w:jc w:val="center"/>
              <w:rPr>
                <w:rFonts w:hint="default" w:ascii="Times New Roman" w:hAnsi="Times New Roman" w:eastAsia="宋体" w:cs="Times New Roman"/>
                <w:snapToGrid w:val="0"/>
                <w:sz w:val="21"/>
                <w:szCs w:val="21"/>
                <w:highlight w:val="none"/>
              </w:rPr>
            </w:pPr>
            <w:r>
              <w:rPr>
                <w:rFonts w:hint="default" w:ascii="Times New Roman" w:hAnsi="Times New Roman" w:eastAsia="宋体" w:cs="Times New Roman"/>
                <w:snapToGrid w:val="0"/>
                <w:sz w:val="21"/>
                <w:szCs w:val="21"/>
                <w:highlight w:val="none"/>
              </w:rPr>
              <w:t>纬度</w:t>
            </w:r>
          </w:p>
        </w:tc>
        <w:tc>
          <w:tcPr>
            <w:tcW w:w="2886" w:type="dxa"/>
            <w:gridSpan w:val="2"/>
            <w:tcBorders>
              <w:right w:val="single" w:color="auto" w:sz="12" w:space="0"/>
            </w:tcBorders>
            <w:noWrap w:val="0"/>
            <w:vAlign w:val="center"/>
          </w:tcPr>
          <w:p>
            <w:pPr>
              <w:pStyle w:val="9"/>
              <w:adjustRightInd w:val="0"/>
              <w:snapToGrid w:val="0"/>
              <w:spacing w:after="0" w:line="240" w:lineRule="atLeast"/>
              <w:ind w:left="0" w:leftChars="0"/>
              <w:jc w:val="center"/>
              <w:rPr>
                <w:rFonts w:hint="default" w:ascii="Times New Roman" w:hAnsi="Times New Roman" w:eastAsia="宋体" w:cs="Times New Roman"/>
                <w:snapToGrid w:val="0"/>
                <w:sz w:val="21"/>
                <w:szCs w:val="21"/>
                <w:highlight w:val="none"/>
              </w:rPr>
            </w:pPr>
            <w:r>
              <w:rPr>
                <w:rFonts w:ascii="Times New Roman" w:hAnsi="Times New Roman" w:eastAsia="Times New Roman" w:cs="Times New Roman"/>
                <w:spacing w:val="-1"/>
                <w:sz w:val="21"/>
                <w:szCs w:val="21"/>
                <w:highlight w:val="none"/>
              </w:rPr>
              <w:t>40°14'</w:t>
            </w:r>
            <w:r>
              <w:rPr>
                <w:rFonts w:ascii="Times New Roman" w:hAnsi="Times New Roman" w:eastAsia="Times New Roman" w:cs="Times New Roman"/>
                <w:sz w:val="21"/>
                <w:szCs w:val="21"/>
                <w:highlight w:val="none"/>
              </w:rPr>
              <w:t xml:space="preserve">12.99"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tcBorders>
              <w:left w:val="single" w:color="auto" w:sz="12" w:space="0"/>
            </w:tcBorders>
            <w:noWrap w:val="0"/>
            <w:vAlign w:val="top"/>
          </w:tcPr>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主要危险物质及分布</w:t>
            </w:r>
          </w:p>
        </w:tc>
        <w:tc>
          <w:tcPr>
            <w:tcW w:w="7085" w:type="dxa"/>
            <w:gridSpan w:val="5"/>
            <w:tcBorders>
              <w:right w:val="single" w:color="auto" w:sz="12" w:space="0"/>
            </w:tcBorders>
            <w:noWrap w:val="0"/>
            <w:vAlign w:val="top"/>
          </w:tcPr>
          <w:p>
            <w:pPr>
              <w:pStyle w:val="9"/>
              <w:adjustRightInd w:val="0"/>
              <w:snapToGrid w:val="0"/>
              <w:spacing w:after="0" w:line="240" w:lineRule="atLeast"/>
              <w:ind w:left="0" w:leftChars="0"/>
              <w:rPr>
                <w:rFonts w:hint="default" w:ascii="Times New Roman" w:hAnsi="Times New Roman" w:eastAsia="宋体" w:cs="Times New Roman"/>
                <w:snapToGrid w:val="0"/>
                <w:sz w:val="21"/>
                <w:szCs w:val="21"/>
                <w:highlight w:val="none"/>
                <w:lang w:val="en-US" w:eastAsia="zh-CN"/>
              </w:rPr>
            </w:pPr>
            <w:r>
              <w:rPr>
                <w:rFonts w:hint="default" w:ascii="Times New Roman" w:hAnsi="Times New Roman" w:cs="Times New Roman"/>
                <w:snapToGrid w:val="0"/>
                <w:sz w:val="21"/>
                <w:szCs w:val="21"/>
                <w:highlight w:val="none"/>
              </w:rPr>
              <w:t>主要危险物质：</w:t>
            </w:r>
            <w:r>
              <w:rPr>
                <w:rFonts w:hint="eastAsia" w:ascii="Times New Roman" w:hAnsi="Times New Roman" w:eastAsia="宋体" w:cs="Times New Roman"/>
                <w:snapToGrid w:val="0"/>
                <w:sz w:val="21"/>
                <w:szCs w:val="21"/>
                <w:highlight w:val="none"/>
                <w:lang w:val="en-US" w:eastAsia="zh-CN"/>
              </w:rPr>
              <w:t>废矿物油</w:t>
            </w:r>
          </w:p>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分布：车间内原料存储区和危废间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tcBorders>
              <w:left w:val="single" w:color="auto" w:sz="12" w:space="0"/>
            </w:tcBorders>
            <w:noWrap w:val="0"/>
            <w:vAlign w:val="center"/>
          </w:tcPr>
          <w:p>
            <w:pPr>
              <w:pStyle w:val="9"/>
              <w:adjustRightInd w:val="0"/>
              <w:snapToGrid w:val="0"/>
              <w:spacing w:after="0" w:line="240" w:lineRule="atLeast"/>
              <w:ind w:left="0" w:leftChars="0"/>
              <w:jc w:val="both"/>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环境影响途径及危害后果（大气、地表水、地下水等）</w:t>
            </w:r>
          </w:p>
        </w:tc>
        <w:tc>
          <w:tcPr>
            <w:tcW w:w="7085" w:type="dxa"/>
            <w:gridSpan w:val="5"/>
            <w:tcBorders>
              <w:right w:val="single" w:color="auto" w:sz="12" w:space="0"/>
            </w:tcBorders>
            <w:noWrap w:val="0"/>
            <w:vAlign w:val="top"/>
          </w:tcPr>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大气环境：矿物油遇明火和高温可以燃烧。火灾引发的伴生/次生污染物二氧化硫和一氧化碳影响大气环境。</w:t>
            </w:r>
          </w:p>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地表水：全厂用矿物油量很小，存储量也很小，假设矿物油全部泄露，也不易流至车间外，不会对地表水环境造成影响。</w:t>
            </w:r>
          </w:p>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地下水：矿物油泄漏，若车间地面存在裂缝，矿物油可通过缝隙进入土壤可能影响地下水环境。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3" w:type="dxa"/>
            <w:tcBorders>
              <w:left w:val="single" w:color="auto" w:sz="12" w:space="0"/>
            </w:tcBorders>
            <w:noWrap w:val="0"/>
            <w:vAlign w:val="center"/>
          </w:tcPr>
          <w:p>
            <w:pPr>
              <w:pStyle w:val="9"/>
              <w:adjustRightInd w:val="0"/>
              <w:snapToGrid w:val="0"/>
              <w:spacing w:after="0" w:line="240" w:lineRule="atLeast"/>
              <w:ind w:left="0" w:leftChars="0"/>
              <w:jc w:val="both"/>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风险防范措施要求</w:t>
            </w:r>
          </w:p>
        </w:tc>
        <w:tc>
          <w:tcPr>
            <w:tcW w:w="7085" w:type="dxa"/>
            <w:gridSpan w:val="5"/>
            <w:tcBorders>
              <w:right w:val="single" w:color="auto" w:sz="12" w:space="0"/>
            </w:tcBorders>
            <w:noWrap w:val="0"/>
            <w:vAlign w:val="top"/>
          </w:tcPr>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①设计中严格执行国家、行业有关劳动安全卫生的法规和标准规范。</w:t>
            </w:r>
          </w:p>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②厂房内设备布置严格执行国家有关防火防爆的规范、规定，按区域分类有关规范在厂房内划分专门的机油存储区，存储区内安装的电器设备应按照相应的区域等级采用防爆级，所有的电气设备均应接地。远离火种、热源，工作场所严禁吸烟。</w:t>
            </w:r>
          </w:p>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③配备相应品种和数量的消防器材及泄漏应急处理设备。厂区制定风险应急措施，一旦发生</w:t>
            </w:r>
            <w:r>
              <w:rPr>
                <w:rFonts w:hint="eastAsia" w:ascii="Times New Roman" w:hAnsi="Times New Roman" w:eastAsia="宋体" w:cs="Times New Roman"/>
                <w:snapToGrid w:val="0"/>
                <w:sz w:val="21"/>
                <w:szCs w:val="21"/>
                <w:highlight w:val="none"/>
                <w:lang w:val="en-US" w:eastAsia="zh-CN"/>
              </w:rPr>
              <w:t>废矿物油</w:t>
            </w:r>
            <w:r>
              <w:rPr>
                <w:rFonts w:hint="default" w:ascii="Times New Roman" w:hAnsi="Times New Roman" w:cs="Times New Roman"/>
                <w:snapToGrid w:val="0"/>
                <w:sz w:val="21"/>
                <w:szCs w:val="21"/>
                <w:highlight w:val="none"/>
              </w:rPr>
              <w:t>泄漏时，及时采取措施。</w:t>
            </w:r>
          </w:p>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④制定</w:t>
            </w:r>
            <w:r>
              <w:rPr>
                <w:rFonts w:hint="eastAsia" w:ascii="Times New Roman" w:hAnsi="Times New Roman" w:eastAsia="宋体" w:cs="Times New Roman"/>
                <w:snapToGrid w:val="0"/>
                <w:sz w:val="21"/>
                <w:szCs w:val="21"/>
                <w:highlight w:val="none"/>
                <w:lang w:val="en-US" w:eastAsia="zh-CN"/>
              </w:rPr>
              <w:t>危废间</w:t>
            </w:r>
            <w:r>
              <w:rPr>
                <w:rFonts w:hint="default" w:ascii="Times New Roman" w:hAnsi="Times New Roman" w:cs="Times New Roman"/>
                <w:snapToGrid w:val="0"/>
                <w:sz w:val="21"/>
                <w:szCs w:val="21"/>
                <w:highlight w:val="none"/>
              </w:rPr>
              <w:t>日常巡查制度，定期指派专人负责巡查。</w:t>
            </w:r>
          </w:p>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⑤项目营运期间要加强管理，制定相应的规章制度。营运期严格杜绝机油的跑、冒、滴、漏现象的发生，同时要防火、防爆、防雷击，注意安全，杜绝一切不安全因素造成的对周围环境的影响。</w:t>
            </w:r>
          </w:p>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⑥车间存储矿物油处地面采用水泥硬化，防止泄漏污染地下水；危废间地面为抗渗水泥，防止泄漏污染地下水。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8" w:type="dxa"/>
            <w:gridSpan w:val="6"/>
            <w:tcBorders>
              <w:left w:val="single" w:color="auto" w:sz="12" w:space="0"/>
              <w:bottom w:val="single" w:color="auto" w:sz="12" w:space="0"/>
              <w:right w:val="single" w:color="auto" w:sz="12" w:space="0"/>
            </w:tcBorders>
            <w:noWrap w:val="0"/>
            <w:vAlign w:val="top"/>
          </w:tcPr>
          <w:p>
            <w:pPr>
              <w:pStyle w:val="9"/>
              <w:adjustRightInd w:val="0"/>
              <w:snapToGrid w:val="0"/>
              <w:spacing w:after="0" w:line="240" w:lineRule="atLeast"/>
              <w:ind w:left="0" w:left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填表说明（列出项目相关信息及评价说明）</w:t>
            </w:r>
          </w:p>
          <w:p>
            <w:pPr>
              <w:pStyle w:val="9"/>
              <w:adjustRightInd w:val="0"/>
              <w:snapToGrid w:val="0"/>
              <w:spacing w:after="0" w:line="240" w:lineRule="atLeast"/>
              <w:ind w:left="0" w:leftChars="0" w:firstLine="0" w:firstLineChars="0"/>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本项目环境风险为简单分析，环境风险主要为矿物油泄漏、引发火灾等潜在风险。本项目所在建设单位从建设、生产、贮存等多方面积极采取防护措施，加强风险管理，通过相应的技术手段降低风险发生概率，并在风险事故发生后，及时采取风险防范措施及应急措施，可以使风险事故对环境的危害得到有效控制，将事故风险控制在可以接受的范围内。</w:t>
            </w:r>
          </w:p>
        </w:tc>
      </w:tr>
    </w:tbl>
    <w:p>
      <w:pPr>
        <w:spacing w:before="75" w:line="229" w:lineRule="auto"/>
        <w:ind w:left="19"/>
        <w:outlineLvl w:val="2"/>
        <w:rPr>
          <w:rFonts w:hint="eastAsia" w:ascii="Times New Roman" w:hAnsi="Times New Roman" w:eastAsia="宋体" w:cs="Times New Roman"/>
          <w:spacing w:val="8"/>
          <w:sz w:val="23"/>
          <w:szCs w:val="23"/>
          <w:highlight w:val="none"/>
          <w:lang w:val="en-US" w:eastAsia="zh-CN"/>
          <w14:textOutline w14:w="4358" w14:cap="sq" w14:cmpd="sng">
            <w14:solidFill>
              <w14:srgbClr w14:val="000000"/>
            </w14:solidFill>
            <w14:prstDash w14:val="solid"/>
            <w14:bevel/>
          </w14:textOutline>
        </w:rPr>
      </w:pPr>
      <w:bookmarkStart w:id="694" w:name="_Toc9394"/>
      <w:bookmarkStart w:id="695" w:name="_Toc14520"/>
      <w:bookmarkStart w:id="696" w:name="_Toc18525"/>
      <w:r>
        <w:rPr>
          <w:rFonts w:hint="default" w:ascii="Times New Roman" w:hAnsi="Times New Roman" w:eastAsia="Times New Roman" w:cs="Times New Roman"/>
          <w:b/>
          <w:bCs/>
          <w:spacing w:val="10"/>
          <w:sz w:val="23"/>
          <w:szCs w:val="23"/>
          <w:highlight w:val="none"/>
        </w:rPr>
        <w:t>5</w:t>
      </w:r>
      <w:r>
        <w:rPr>
          <w:rFonts w:hint="default" w:ascii="Times New Roman" w:hAnsi="Times New Roman" w:eastAsia="Times New Roman" w:cs="Times New Roman"/>
          <w:b/>
          <w:bCs/>
          <w:spacing w:val="8"/>
          <w:sz w:val="23"/>
          <w:szCs w:val="23"/>
          <w:highlight w:val="none"/>
        </w:rPr>
        <w:t>.2.</w:t>
      </w:r>
      <w:r>
        <w:rPr>
          <w:rFonts w:hint="eastAsia" w:ascii="Times New Roman" w:hAnsi="Times New Roman" w:eastAsia="宋体" w:cs="Times New Roman"/>
          <w:b/>
          <w:bCs/>
          <w:spacing w:val="8"/>
          <w:sz w:val="23"/>
          <w:szCs w:val="23"/>
          <w:highlight w:val="none"/>
          <w:lang w:val="en-US" w:eastAsia="zh-CN"/>
        </w:rPr>
        <w:t>8</w:t>
      </w:r>
      <w:r>
        <w:rPr>
          <w:rFonts w:hint="default" w:ascii="Times New Roman" w:hAnsi="Times New Roman" w:eastAsia="Times New Roman" w:cs="Times New Roman"/>
          <w:spacing w:val="8"/>
          <w:sz w:val="23"/>
          <w:szCs w:val="23"/>
          <w:highlight w:val="none"/>
        </w:rPr>
        <w:t xml:space="preserve">  </w:t>
      </w:r>
      <w:r>
        <w:rPr>
          <w:rFonts w:hint="eastAsia" w:ascii="Times New Roman" w:hAnsi="Times New Roman" w:eastAsia="宋体" w:cs="Times New Roman"/>
          <w:spacing w:val="8"/>
          <w:sz w:val="23"/>
          <w:szCs w:val="23"/>
          <w:highlight w:val="none"/>
          <w:lang w:val="en-US" w:eastAsia="zh-CN"/>
          <w14:textOutline w14:w="4358" w14:cap="sq" w14:cmpd="sng">
            <w14:solidFill>
              <w14:srgbClr w14:val="000000"/>
            </w14:solidFill>
            <w14:prstDash w14:val="solid"/>
            <w14:bevel/>
          </w14:textOutline>
        </w:rPr>
        <w:t>土壤环境影响评价</w:t>
      </w:r>
      <w:bookmarkEnd w:id="694"/>
      <w:bookmarkEnd w:id="695"/>
      <w:bookmarkEnd w:id="696"/>
    </w:p>
    <w:p>
      <w:pPr>
        <w:pStyle w:val="2"/>
        <w:rPr>
          <w:rFonts w:hint="default"/>
          <w:highlight w:val="none"/>
          <w:lang w:val="en-US" w:eastAsia="zh-CN"/>
        </w:rPr>
      </w:pPr>
    </w:p>
    <w:p>
      <w:pPr>
        <w:widowControl w:val="0"/>
        <w:spacing w:line="480" w:lineRule="exact"/>
        <w:ind w:firstLine="460" w:firstLineChars="200"/>
        <w:jc w:val="both"/>
        <w:rPr>
          <w:rFonts w:hint="default" w:ascii="Times New Roman" w:hAnsi="Times New Roman" w:cs="Times New Roman"/>
          <w:sz w:val="23"/>
          <w:szCs w:val="23"/>
          <w:highlight w:val="none"/>
          <w:lang w:bidi="zh-CN"/>
        </w:rPr>
      </w:pPr>
      <w:r>
        <w:rPr>
          <w:rFonts w:hint="default" w:ascii="Times New Roman" w:hAnsi="Times New Roman" w:cs="Times New Roman"/>
          <w:sz w:val="23"/>
          <w:szCs w:val="23"/>
          <w:highlight w:val="none"/>
          <w:lang w:bidi="zh-CN"/>
        </w:rPr>
        <w:t>土壤是复杂的三相共存体系，其污染物质主要通过被污染大气的沉降、工业</w:t>
      </w:r>
    </w:p>
    <w:p>
      <w:pPr>
        <w:widowControl w:val="0"/>
        <w:spacing w:line="480" w:lineRule="exact"/>
        <w:jc w:val="both"/>
        <w:rPr>
          <w:rFonts w:hint="default" w:ascii="Times New Roman" w:hAnsi="Times New Roman" w:cs="Times New Roman"/>
          <w:sz w:val="23"/>
          <w:szCs w:val="23"/>
          <w:highlight w:val="none"/>
          <w:lang w:bidi="zh-CN"/>
        </w:rPr>
      </w:pPr>
      <w:r>
        <w:rPr>
          <w:rFonts w:hint="default" w:ascii="Times New Roman" w:hAnsi="Times New Roman" w:cs="Times New Roman"/>
          <w:sz w:val="23"/>
          <w:szCs w:val="23"/>
          <w:highlight w:val="none"/>
          <w:lang w:bidi="zh-CN"/>
        </w:rPr>
        <w:t>废水的漫流和入渗、以及固体废物通过大气迁移、扩散、沉降或降水淋溶、地表径流等而进入土壤环境。依据《环境影响评价技术导则-土壤环境(试行)》（HJ964-2018）及相关分析，本次土壤环境评价工作等级为三级，本评价通过定性描述对土壤环境进行预测。</w:t>
      </w:r>
    </w:p>
    <w:p>
      <w:pPr>
        <w:widowControl w:val="0"/>
        <w:spacing w:line="480" w:lineRule="exact"/>
        <w:jc w:val="both"/>
        <w:outlineLvl w:val="3"/>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5.2.8.1 现状调查</w:t>
      </w:r>
    </w:p>
    <w:p>
      <w:pPr>
        <w:widowControl w:val="0"/>
        <w:spacing w:line="480" w:lineRule="exact"/>
        <w:ind w:firstLine="460" w:firstLineChars="200"/>
        <w:jc w:val="both"/>
        <w:outlineLvl w:val="1"/>
        <w:rPr>
          <w:rFonts w:hint="default" w:ascii="Times New Roman" w:hAnsi="Times New Roman" w:cs="Times New Roman"/>
          <w:sz w:val="23"/>
          <w:szCs w:val="23"/>
          <w:highlight w:val="none"/>
          <w:lang w:bidi="zh-CN"/>
        </w:rPr>
      </w:pPr>
      <w:r>
        <w:rPr>
          <w:rFonts w:hint="default" w:ascii="Times New Roman" w:hAnsi="Times New Roman" w:cs="Times New Roman"/>
          <w:sz w:val="23"/>
          <w:szCs w:val="23"/>
          <w:highlight w:val="none"/>
          <w:lang w:bidi="zh-CN"/>
        </w:rPr>
        <w:t xml:space="preserve"> </w:t>
      </w:r>
      <w:bookmarkStart w:id="697" w:name="_Toc28058"/>
      <w:bookmarkStart w:id="698" w:name="_Toc29033"/>
      <w:bookmarkStart w:id="699" w:name="_Toc18533"/>
      <w:r>
        <w:rPr>
          <w:rFonts w:hint="default" w:ascii="Times New Roman" w:hAnsi="Times New Roman" w:cs="Times New Roman"/>
          <w:sz w:val="23"/>
          <w:szCs w:val="23"/>
          <w:highlight w:val="none"/>
          <w:lang w:bidi="zh-CN"/>
        </w:rPr>
        <w:t>①土壤类型调查</w:t>
      </w:r>
      <w:bookmarkEnd w:id="697"/>
      <w:bookmarkEnd w:id="698"/>
      <w:bookmarkEnd w:id="699"/>
    </w:p>
    <w:p>
      <w:pPr>
        <w:widowControl w:val="0"/>
        <w:spacing w:line="480" w:lineRule="exact"/>
        <w:ind w:firstLine="460" w:firstLineChars="200"/>
        <w:jc w:val="both"/>
        <w:rPr>
          <w:rFonts w:hint="default" w:ascii="Times New Roman" w:hAnsi="Times New Roman" w:cs="Times New Roman"/>
          <w:sz w:val="23"/>
          <w:szCs w:val="23"/>
          <w:highlight w:val="none"/>
          <w:lang w:bidi="zh-CN"/>
        </w:rPr>
      </w:pPr>
      <w:r>
        <w:rPr>
          <w:rFonts w:hint="default" w:ascii="Times New Roman" w:hAnsi="Times New Roman" w:cs="Times New Roman"/>
          <w:sz w:val="23"/>
          <w:szCs w:val="23"/>
          <w:highlight w:val="none"/>
          <w:lang w:bidi="zh-CN"/>
        </w:rPr>
        <w:t>根据国家土壤信息服务平台发布的中国1公里发生分类土壤图(数据来源:二普调查，2016年），《中国土壤分类与代码》(GB/T17296-2009) 中土壤分类，项目占地为淋溶褐土，项目周边土壤类型分布有淋溶褐土、潮褐土、冲积土、褐土性土、中性石质土等。</w:t>
      </w:r>
    </w:p>
    <w:p>
      <w:pPr>
        <w:widowControl w:val="0"/>
        <w:spacing w:line="480" w:lineRule="exact"/>
        <w:ind w:firstLine="460" w:firstLineChars="200"/>
        <w:jc w:val="both"/>
        <w:outlineLvl w:val="1"/>
        <w:rPr>
          <w:rFonts w:hint="default" w:ascii="Times New Roman" w:hAnsi="Times New Roman" w:cs="Times New Roman"/>
          <w:sz w:val="23"/>
          <w:szCs w:val="23"/>
          <w:highlight w:val="none"/>
          <w:lang w:bidi="zh-CN"/>
        </w:rPr>
      </w:pPr>
      <w:bookmarkStart w:id="700" w:name="_Toc12616"/>
      <w:bookmarkStart w:id="701" w:name="_Toc3607"/>
      <w:bookmarkStart w:id="702" w:name="_Toc12182"/>
      <w:r>
        <w:rPr>
          <w:rFonts w:hint="default" w:ascii="Times New Roman" w:hAnsi="Times New Roman" w:cs="Times New Roman"/>
          <w:sz w:val="23"/>
          <w:szCs w:val="23"/>
          <w:highlight w:val="none"/>
          <w:lang w:bidi="zh-CN"/>
        </w:rPr>
        <w:t>②土地利用类型调查</w:t>
      </w:r>
      <w:bookmarkEnd w:id="700"/>
      <w:bookmarkEnd w:id="701"/>
      <w:bookmarkEnd w:id="702"/>
    </w:p>
    <w:p>
      <w:pPr>
        <w:widowControl w:val="0"/>
        <w:spacing w:line="480" w:lineRule="exact"/>
        <w:ind w:firstLine="460" w:firstLineChars="200"/>
        <w:jc w:val="both"/>
        <w:rPr>
          <w:rFonts w:hint="default" w:ascii="Times New Roman" w:hAnsi="Times New Roman" w:cs="Times New Roman"/>
          <w:sz w:val="23"/>
          <w:szCs w:val="23"/>
          <w:highlight w:val="none"/>
          <w:lang w:bidi="zh-CN"/>
        </w:rPr>
      </w:pPr>
      <w:r>
        <w:rPr>
          <w:rFonts w:hint="default" w:ascii="Times New Roman" w:hAnsi="Times New Roman" w:cs="Times New Roman"/>
          <w:sz w:val="23"/>
          <w:szCs w:val="23"/>
          <w:highlight w:val="none"/>
          <w:lang w:bidi="zh-CN"/>
        </w:rPr>
        <w:t>本项目占地为建设用地。</w:t>
      </w:r>
    </w:p>
    <w:p>
      <w:pPr>
        <w:widowControl w:val="0"/>
        <w:spacing w:line="480" w:lineRule="exact"/>
        <w:jc w:val="both"/>
        <w:outlineLvl w:val="2"/>
        <w:rPr>
          <w:rFonts w:hint="default" w:ascii="Times New Roman" w:hAnsi="Times New Roman" w:cs="Times New Roman"/>
          <w:sz w:val="23"/>
          <w:szCs w:val="23"/>
          <w:highlight w:val="none"/>
        </w:rPr>
      </w:pPr>
      <w:bookmarkStart w:id="703" w:name="_Toc18682"/>
      <w:bookmarkStart w:id="704" w:name="_Toc30208"/>
      <w:bookmarkStart w:id="705" w:name="_Toc10588"/>
      <w:r>
        <w:rPr>
          <w:rFonts w:hint="default" w:ascii="Times New Roman" w:hAnsi="Times New Roman" w:cs="Times New Roman"/>
          <w:sz w:val="23"/>
          <w:szCs w:val="23"/>
          <w:highlight w:val="none"/>
        </w:rPr>
        <w:t>5.2.8.2土环境污染源分析</w:t>
      </w:r>
      <w:bookmarkEnd w:id="703"/>
      <w:bookmarkEnd w:id="704"/>
      <w:bookmarkEnd w:id="705"/>
    </w:p>
    <w:p>
      <w:pPr>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根据现场调查结果，通过对比背景值和评价标准对厂区及其周边进行评估，分析厂区及周边土壤主要的污染源。根据土壤环境现状检测结果，建设用地土壤监测因子均能达到《土壤环境质量建设 用地土壤污染风险管控标准(试行)》(GB36600-2018)第二类用地筛选值要求，土壤污染风险低，区域上壤环境现状良好，未受污染。</w:t>
      </w:r>
    </w:p>
    <w:p>
      <w:pPr>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根据工程分析，本项目可能会对土壤产生影响的节点为：</w:t>
      </w:r>
    </w:p>
    <w:p>
      <w:pPr>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A、大气沉降：项目原料、成品储存、装卸、输送过程中产生的粉尘沉降可能对土壤环境产生影响。</w:t>
      </w:r>
    </w:p>
    <w:p>
      <w:pPr>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B、地面径流：降雨冲刷地面，污染物随地面漫流流入厂外，再经入渗，可能会对土壤产生一定影响。</w:t>
      </w:r>
    </w:p>
    <w:p>
      <w:pPr>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本项目</w:t>
      </w:r>
      <w:r>
        <w:rPr>
          <w:rFonts w:hint="eastAsia" w:ascii="Times New Roman" w:hAnsi="Times New Roman" w:cs="Times New Roman"/>
          <w:sz w:val="23"/>
          <w:szCs w:val="23"/>
          <w:highlight w:val="none"/>
          <w:lang w:val="en-US" w:eastAsia="zh-CN"/>
        </w:rPr>
        <w:t>物料</w:t>
      </w:r>
      <w:r>
        <w:rPr>
          <w:rFonts w:hint="default" w:ascii="Times New Roman" w:hAnsi="Times New Roman" w:cs="Times New Roman"/>
          <w:sz w:val="23"/>
          <w:szCs w:val="23"/>
          <w:highlight w:val="none"/>
        </w:rPr>
        <w:t>全部存储于封闭车间内，储存区域地面硬化，故由于降雨冲刷地面形成地面径流经入渗对土壤环境产生影响的可能性较小。</w:t>
      </w:r>
    </w:p>
    <w:p>
      <w:pPr>
        <w:spacing w:line="480" w:lineRule="exact"/>
        <w:ind w:firstLine="460" w:firstLineChars="200"/>
        <w:jc w:val="both"/>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C、垂直入渗：危废贮存间按《危险废物贮存污染控制标准》 (GB18597-20</w:t>
      </w:r>
      <w:r>
        <w:rPr>
          <w:rFonts w:hint="eastAsia" w:ascii="Times New Roman" w:hAnsi="Times New Roman" w:eastAsia="宋体" w:cs="Times New Roman"/>
          <w:sz w:val="23"/>
          <w:szCs w:val="23"/>
          <w:highlight w:val="none"/>
          <w:lang w:val="en-US" w:eastAsia="zh-CN"/>
        </w:rPr>
        <w:t>23</w:t>
      </w:r>
      <w:r>
        <w:rPr>
          <w:rFonts w:hint="default" w:ascii="Times New Roman" w:hAnsi="Times New Roman" w:cs="Times New Roman"/>
          <w:sz w:val="23"/>
          <w:szCs w:val="23"/>
          <w:highlight w:val="none"/>
        </w:rPr>
        <w:t>)要求对地面及裙角进行防腐防渗处理，防渗层渗透系数小于10</w:t>
      </w:r>
      <w:r>
        <w:rPr>
          <w:rFonts w:hint="default" w:ascii="Times New Roman" w:hAnsi="Times New Roman" w:cs="Times New Roman"/>
          <w:sz w:val="23"/>
          <w:szCs w:val="23"/>
          <w:highlight w:val="none"/>
          <w:vertAlign w:val="superscript"/>
        </w:rPr>
        <w:t>-10</w:t>
      </w:r>
      <w:r>
        <w:rPr>
          <w:rFonts w:hint="default" w:ascii="Times New Roman" w:hAnsi="Times New Roman" w:cs="Times New Roman"/>
          <w:sz w:val="23"/>
          <w:szCs w:val="23"/>
          <w:highlight w:val="none"/>
        </w:rPr>
        <w:t>cm/s。生产废水经沉淀处理后循环使用，</w:t>
      </w:r>
      <w:r>
        <w:rPr>
          <w:rFonts w:hint="eastAsia" w:ascii="Times New Roman" w:hAnsi="Times New Roman" w:cs="Times New Roman"/>
          <w:sz w:val="23"/>
          <w:szCs w:val="23"/>
          <w:highlight w:val="none"/>
          <w:lang w:val="en-US" w:eastAsia="zh-CN"/>
        </w:rPr>
        <w:t>浓密池、</w:t>
      </w:r>
      <w:r>
        <w:rPr>
          <w:rFonts w:hint="default" w:ascii="Times New Roman" w:hAnsi="Times New Roman" w:cs="Times New Roman"/>
          <w:sz w:val="23"/>
          <w:szCs w:val="23"/>
          <w:highlight w:val="none"/>
        </w:rPr>
        <w:t>沉淀池、</w:t>
      </w:r>
      <w:r>
        <w:rPr>
          <w:rFonts w:hint="eastAsia" w:ascii="Times New Roman" w:hAnsi="Times New Roman" w:cs="Times New Roman"/>
          <w:sz w:val="23"/>
          <w:szCs w:val="23"/>
          <w:highlight w:val="none"/>
          <w:lang w:val="en-US" w:eastAsia="zh-CN"/>
        </w:rPr>
        <w:t>清水</w:t>
      </w:r>
      <w:r>
        <w:rPr>
          <w:rFonts w:hint="default" w:ascii="Times New Roman" w:hAnsi="Times New Roman" w:cs="Times New Roman"/>
          <w:sz w:val="23"/>
          <w:szCs w:val="23"/>
          <w:highlight w:val="none"/>
        </w:rPr>
        <w:t>水池均采取防渗措施，底层用黏土夯实并采用抗渗钢筋混凝土浇筑，车间内地面及库房地面也均采取防渗处理，使防渗层渗透系数小于10</w:t>
      </w:r>
      <w:r>
        <w:rPr>
          <w:rFonts w:hint="default" w:ascii="Times New Roman" w:hAnsi="Times New Roman" w:cs="Times New Roman"/>
          <w:sz w:val="23"/>
          <w:szCs w:val="23"/>
          <w:highlight w:val="none"/>
          <w:vertAlign w:val="superscript"/>
        </w:rPr>
        <w:t>-7</w:t>
      </w:r>
      <w:r>
        <w:rPr>
          <w:rFonts w:hint="default" w:ascii="Times New Roman" w:hAnsi="Times New Roman" w:cs="Times New Roman"/>
          <w:sz w:val="23"/>
          <w:szCs w:val="23"/>
          <w:highlight w:val="none"/>
        </w:rPr>
        <w:t>cm/s。采取以上措施后，正常工况下，不会有污染物渗漏进入土壤。</w:t>
      </w:r>
    </w:p>
    <w:p>
      <w:pPr>
        <w:spacing w:line="480" w:lineRule="exact"/>
        <w:ind w:firstLine="460" w:firstLineChars="200"/>
        <w:rPr>
          <w:rFonts w:hint="default" w:ascii="Times New Roman" w:hAnsi="Times New Roman" w:cs="Times New Roman"/>
          <w:sz w:val="23"/>
          <w:szCs w:val="23"/>
          <w:highlight w:val="none"/>
        </w:rPr>
      </w:pPr>
      <w:r>
        <w:rPr>
          <w:rFonts w:hint="default" w:ascii="Times New Roman" w:hAnsi="Times New Roman" w:cs="Times New Roman"/>
          <w:sz w:val="23"/>
          <w:szCs w:val="23"/>
          <w:highlight w:val="none"/>
        </w:rPr>
        <w:t>非正常工况下，假设危废间地面、沉淀水池、集水池等设施发生渗漏，可能会导致污染物垂直入渗，造成土壤污染。运行期土壤环境影响类型与影响途径见表5.2-</w:t>
      </w:r>
      <w:r>
        <w:rPr>
          <w:rFonts w:hint="eastAsia" w:ascii="Times New Roman" w:hAnsi="Times New Roman" w:eastAsia="宋体" w:cs="Times New Roman"/>
          <w:sz w:val="23"/>
          <w:szCs w:val="23"/>
          <w:highlight w:val="none"/>
          <w:lang w:val="en-US" w:eastAsia="zh-CN"/>
        </w:rPr>
        <w:t>22</w:t>
      </w:r>
      <w:r>
        <w:rPr>
          <w:rFonts w:hint="default" w:ascii="Times New Roman" w:hAnsi="Times New Roman" w:cs="Times New Roman"/>
          <w:sz w:val="23"/>
          <w:szCs w:val="23"/>
          <w:highlight w:val="none"/>
        </w:rPr>
        <w:t>。</w:t>
      </w:r>
    </w:p>
    <w:p>
      <w:pPr>
        <w:pStyle w:val="9"/>
        <w:spacing w:after="0"/>
        <w:ind w:left="480" w:firstLine="482"/>
        <w:jc w:val="center"/>
        <w:rPr>
          <w:rFonts w:hint="default" w:ascii="Times New Roman" w:hAnsi="Times New Roman" w:cs="Times New Roman"/>
          <w:b/>
          <w:highlight w:val="none"/>
        </w:rPr>
      </w:pPr>
      <w:r>
        <w:rPr>
          <w:rFonts w:hint="default" w:ascii="Times New Roman" w:hAnsi="Times New Roman" w:cs="Times New Roman"/>
          <w:b/>
          <w:highlight w:val="none"/>
        </w:rPr>
        <w:t>表5.2-</w:t>
      </w:r>
      <w:r>
        <w:rPr>
          <w:rFonts w:hint="eastAsia" w:ascii="Times New Roman" w:hAnsi="Times New Roman" w:eastAsia="宋体" w:cs="Times New Roman"/>
          <w:b/>
          <w:highlight w:val="none"/>
          <w:lang w:val="en-US" w:eastAsia="zh-CN"/>
        </w:rPr>
        <w:t>22</w:t>
      </w:r>
      <w:r>
        <w:rPr>
          <w:rFonts w:hint="default" w:ascii="Times New Roman" w:hAnsi="Times New Roman" w:cs="Times New Roman"/>
          <w:b/>
          <w:highlight w:val="none"/>
        </w:rPr>
        <w:t xml:space="preserve">  运营期土壤环境影响类型与影响途径表</w:t>
      </w:r>
    </w:p>
    <w:tbl>
      <w:tblPr>
        <w:tblStyle w:val="15"/>
        <w:tblW w:w="84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937"/>
        <w:gridCol w:w="1005"/>
        <w:gridCol w:w="768"/>
        <w:gridCol w:w="851"/>
        <w:gridCol w:w="1013"/>
        <w:gridCol w:w="1006"/>
        <w:gridCol w:w="996"/>
        <w:gridCol w:w="9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vMerge w:val="restart"/>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时段</w:t>
            </w:r>
          </w:p>
        </w:tc>
        <w:tc>
          <w:tcPr>
            <w:tcW w:w="3561" w:type="dxa"/>
            <w:gridSpan w:val="4"/>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污染影响型</w:t>
            </w:r>
          </w:p>
        </w:tc>
        <w:tc>
          <w:tcPr>
            <w:tcW w:w="4005" w:type="dxa"/>
            <w:gridSpan w:val="4"/>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生态影响型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vMerge w:val="continue"/>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p>
        </w:tc>
        <w:tc>
          <w:tcPr>
            <w:tcW w:w="937"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大气</w:t>
            </w:r>
          </w:p>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沉降</w:t>
            </w:r>
          </w:p>
        </w:tc>
        <w:tc>
          <w:tcPr>
            <w:tcW w:w="1005"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地表径流</w:t>
            </w:r>
          </w:p>
        </w:tc>
        <w:tc>
          <w:tcPr>
            <w:tcW w:w="768"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垂直入渗</w:t>
            </w:r>
          </w:p>
        </w:tc>
        <w:tc>
          <w:tcPr>
            <w:tcW w:w="851"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其他</w:t>
            </w:r>
          </w:p>
        </w:tc>
        <w:tc>
          <w:tcPr>
            <w:tcW w:w="1013"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盐化</w:t>
            </w:r>
          </w:p>
        </w:tc>
        <w:tc>
          <w:tcPr>
            <w:tcW w:w="1006"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碱化</w:t>
            </w:r>
          </w:p>
        </w:tc>
        <w:tc>
          <w:tcPr>
            <w:tcW w:w="996"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酸化</w:t>
            </w:r>
          </w:p>
        </w:tc>
        <w:tc>
          <w:tcPr>
            <w:tcW w:w="990"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运营期</w:t>
            </w:r>
          </w:p>
        </w:tc>
        <w:tc>
          <w:tcPr>
            <w:tcW w:w="937"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w:t>
            </w:r>
          </w:p>
        </w:tc>
        <w:tc>
          <w:tcPr>
            <w:tcW w:w="1005"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p>
        </w:tc>
        <w:tc>
          <w:tcPr>
            <w:tcW w:w="768"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w:t>
            </w:r>
          </w:p>
        </w:tc>
        <w:tc>
          <w:tcPr>
            <w:tcW w:w="851"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p>
        </w:tc>
        <w:tc>
          <w:tcPr>
            <w:tcW w:w="1013"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p>
        </w:tc>
        <w:tc>
          <w:tcPr>
            <w:tcW w:w="1006"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p>
        </w:tc>
        <w:tc>
          <w:tcPr>
            <w:tcW w:w="996"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p>
        </w:tc>
        <w:tc>
          <w:tcPr>
            <w:tcW w:w="990"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p>
        </w:tc>
      </w:tr>
    </w:tbl>
    <w:p>
      <w:pPr>
        <w:spacing w:line="480" w:lineRule="exact"/>
        <w:ind w:firstLine="460" w:firstLineChars="200"/>
        <w:jc w:val="both"/>
        <w:rPr>
          <w:rFonts w:hint="default" w:ascii="Times New Roman" w:hAnsi="Times New Roman" w:cs="Times New Roman"/>
          <w:sz w:val="23"/>
          <w:szCs w:val="23"/>
          <w:highlight w:val="none"/>
          <w:lang w:bidi="ar"/>
        </w:rPr>
      </w:pPr>
      <w:r>
        <w:rPr>
          <w:rFonts w:hint="default" w:ascii="Times New Roman" w:hAnsi="Times New Roman" w:cs="Times New Roman"/>
          <w:sz w:val="23"/>
          <w:szCs w:val="23"/>
          <w:highlight w:val="none"/>
          <w:lang w:bidi="ar"/>
        </w:rPr>
        <w:t>土壤环境影响源及影响因子识别见下表：</w:t>
      </w:r>
    </w:p>
    <w:p>
      <w:pPr>
        <w:pStyle w:val="9"/>
        <w:spacing w:after="0"/>
        <w:ind w:left="480" w:firstLine="482"/>
        <w:jc w:val="center"/>
        <w:rPr>
          <w:rFonts w:hint="default" w:ascii="Times New Roman" w:hAnsi="Times New Roman" w:cs="Times New Roman"/>
          <w:b/>
          <w:highlight w:val="none"/>
        </w:rPr>
      </w:pPr>
      <w:r>
        <w:rPr>
          <w:rFonts w:hint="default" w:ascii="Times New Roman" w:hAnsi="Times New Roman" w:cs="Times New Roman"/>
          <w:b/>
          <w:highlight w:val="none"/>
        </w:rPr>
        <w:t>表5.2-</w:t>
      </w:r>
      <w:r>
        <w:rPr>
          <w:rFonts w:hint="eastAsia" w:ascii="Times New Roman" w:hAnsi="Times New Roman" w:eastAsia="宋体" w:cs="Times New Roman"/>
          <w:b/>
          <w:highlight w:val="none"/>
          <w:lang w:val="en-US" w:eastAsia="zh-CN"/>
        </w:rPr>
        <w:t>23</w:t>
      </w:r>
      <w:r>
        <w:rPr>
          <w:rFonts w:hint="default" w:ascii="Times New Roman" w:hAnsi="Times New Roman" w:cs="Times New Roman"/>
          <w:b/>
          <w:highlight w:val="none"/>
        </w:rPr>
        <w:t xml:space="preserve">   土壤环境影响源及影响因子识别</w:t>
      </w:r>
    </w:p>
    <w:tbl>
      <w:tblPr>
        <w:tblStyle w:val="15"/>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551"/>
        <w:gridCol w:w="1450"/>
        <w:gridCol w:w="1186"/>
        <w:gridCol w:w="1313"/>
        <w:gridCol w:w="15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439"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污染源</w:t>
            </w:r>
          </w:p>
        </w:tc>
        <w:tc>
          <w:tcPr>
            <w:tcW w:w="1551"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工艺流程</w:t>
            </w:r>
          </w:p>
        </w:tc>
        <w:tc>
          <w:tcPr>
            <w:tcW w:w="1450"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污染途径</w:t>
            </w:r>
          </w:p>
        </w:tc>
        <w:tc>
          <w:tcPr>
            <w:tcW w:w="1186"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全部污染物指标</w:t>
            </w:r>
          </w:p>
        </w:tc>
        <w:tc>
          <w:tcPr>
            <w:tcW w:w="1313"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特征因子</w:t>
            </w:r>
          </w:p>
        </w:tc>
        <w:tc>
          <w:tcPr>
            <w:tcW w:w="1565"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污染物特征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39" w:type="dxa"/>
            <w:noWrap w:val="0"/>
            <w:vAlign w:val="center"/>
          </w:tcPr>
          <w:p>
            <w:pPr>
              <w:pStyle w:val="9"/>
              <w:adjustRightInd w:val="0"/>
              <w:snapToGrid w:val="0"/>
              <w:spacing w:after="0" w:line="240" w:lineRule="atLeast"/>
              <w:ind w:left="0" w:leftChars="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破碎工序</w:t>
            </w:r>
          </w:p>
        </w:tc>
        <w:tc>
          <w:tcPr>
            <w:tcW w:w="1551"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鄂破、锤破</w:t>
            </w:r>
          </w:p>
        </w:tc>
        <w:tc>
          <w:tcPr>
            <w:tcW w:w="1450"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大气沉降</w:t>
            </w:r>
          </w:p>
        </w:tc>
        <w:tc>
          <w:tcPr>
            <w:tcW w:w="1186" w:type="dxa"/>
            <w:vMerge w:val="restart"/>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45基本</w:t>
            </w:r>
          </w:p>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因子</w:t>
            </w:r>
          </w:p>
        </w:tc>
        <w:tc>
          <w:tcPr>
            <w:tcW w:w="1313" w:type="dxa"/>
            <w:vMerge w:val="restart"/>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PH、石油类、铁</w:t>
            </w:r>
          </w:p>
        </w:tc>
        <w:tc>
          <w:tcPr>
            <w:tcW w:w="1565"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439" w:type="dxa"/>
            <w:noWrap w:val="0"/>
            <w:vAlign w:val="center"/>
          </w:tcPr>
          <w:p>
            <w:pPr>
              <w:pStyle w:val="9"/>
              <w:adjustRightInd w:val="0"/>
              <w:snapToGrid w:val="0"/>
              <w:spacing w:after="0" w:line="240" w:lineRule="atLeast"/>
              <w:ind w:left="0" w:leftChars="0"/>
              <w:jc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cs="Times New Roman"/>
                <w:snapToGrid w:val="0"/>
                <w:sz w:val="21"/>
                <w:szCs w:val="21"/>
                <w:highlight w:val="none"/>
                <w:lang w:val="en-US" w:eastAsia="zh-CN"/>
              </w:rPr>
              <w:t>磁选工序</w:t>
            </w:r>
          </w:p>
        </w:tc>
        <w:tc>
          <w:tcPr>
            <w:tcW w:w="1551"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球磨、磁选</w:t>
            </w:r>
          </w:p>
        </w:tc>
        <w:tc>
          <w:tcPr>
            <w:tcW w:w="1450"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垂直入渗</w:t>
            </w:r>
          </w:p>
        </w:tc>
        <w:tc>
          <w:tcPr>
            <w:tcW w:w="1186" w:type="dxa"/>
            <w:vMerge w:val="continue"/>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p>
        </w:tc>
        <w:tc>
          <w:tcPr>
            <w:tcW w:w="1313" w:type="dxa"/>
            <w:vMerge w:val="continue"/>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p>
        </w:tc>
        <w:tc>
          <w:tcPr>
            <w:tcW w:w="1565"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间断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439"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危废间</w:t>
            </w:r>
          </w:p>
        </w:tc>
        <w:tc>
          <w:tcPr>
            <w:tcW w:w="1551"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机油，废机油存储</w:t>
            </w:r>
          </w:p>
        </w:tc>
        <w:tc>
          <w:tcPr>
            <w:tcW w:w="1450"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垂直入渗</w:t>
            </w:r>
          </w:p>
        </w:tc>
        <w:tc>
          <w:tcPr>
            <w:tcW w:w="1186" w:type="dxa"/>
            <w:vMerge w:val="continue"/>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p>
        </w:tc>
        <w:tc>
          <w:tcPr>
            <w:tcW w:w="1313" w:type="dxa"/>
            <w:vMerge w:val="continue"/>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p>
        </w:tc>
        <w:tc>
          <w:tcPr>
            <w:tcW w:w="1565" w:type="dxa"/>
            <w:noWrap w:val="0"/>
            <w:vAlign w:val="center"/>
          </w:tcPr>
          <w:p>
            <w:pPr>
              <w:pStyle w:val="9"/>
              <w:adjustRightInd w:val="0"/>
              <w:snapToGrid w:val="0"/>
              <w:spacing w:after="0" w:line="240" w:lineRule="atLeast"/>
              <w:ind w:left="0" w:leftChars="0"/>
              <w:jc w:val="center"/>
              <w:rPr>
                <w:rFonts w:hint="default" w:ascii="Times New Roman" w:hAnsi="Times New Roman" w:cs="Times New Roman"/>
                <w:snapToGrid w:val="0"/>
                <w:sz w:val="21"/>
                <w:szCs w:val="21"/>
                <w:highlight w:val="none"/>
              </w:rPr>
            </w:pPr>
            <w:r>
              <w:rPr>
                <w:rFonts w:hint="default" w:ascii="Times New Roman" w:hAnsi="Times New Roman" w:cs="Times New Roman"/>
                <w:snapToGrid w:val="0"/>
                <w:sz w:val="21"/>
                <w:szCs w:val="21"/>
                <w:highlight w:val="none"/>
              </w:rPr>
              <w:t>间断</w:t>
            </w:r>
          </w:p>
        </w:tc>
      </w:tr>
    </w:tbl>
    <w:p>
      <w:pPr>
        <w:widowControl w:val="0"/>
        <w:spacing w:line="480" w:lineRule="exact"/>
        <w:jc w:val="both"/>
        <w:outlineLvl w:val="2"/>
        <w:rPr>
          <w:rFonts w:hint="default" w:ascii="Times New Roman" w:hAnsi="Times New Roman" w:cs="Times New Roman"/>
          <w:sz w:val="23"/>
          <w:szCs w:val="23"/>
          <w:highlight w:val="none"/>
        </w:rPr>
      </w:pPr>
      <w:bookmarkStart w:id="706" w:name="_Toc16755"/>
      <w:bookmarkStart w:id="707" w:name="_Toc23770"/>
      <w:bookmarkStart w:id="708" w:name="_Toc3547"/>
      <w:r>
        <w:rPr>
          <w:rFonts w:hint="default" w:ascii="Times New Roman" w:hAnsi="Times New Roman" w:cs="Times New Roman"/>
          <w:sz w:val="23"/>
          <w:szCs w:val="23"/>
          <w:highlight w:val="none"/>
        </w:rPr>
        <w:t>5.2.8.3控制影响土壤的措施</w:t>
      </w:r>
      <w:bookmarkEnd w:id="706"/>
      <w:bookmarkEnd w:id="707"/>
      <w:bookmarkEnd w:id="708"/>
    </w:p>
    <w:p>
      <w:pPr>
        <w:spacing w:line="480" w:lineRule="exact"/>
        <w:ind w:firstLine="460" w:firstLineChars="200"/>
        <w:jc w:val="both"/>
        <w:rPr>
          <w:rFonts w:hint="default" w:ascii="Times New Roman" w:hAnsi="Times New Roman" w:cs="Times New Roman"/>
          <w:sz w:val="23"/>
          <w:szCs w:val="23"/>
          <w:highlight w:val="none"/>
          <w:lang w:bidi="ar"/>
        </w:rPr>
      </w:pPr>
      <w:r>
        <w:rPr>
          <w:rFonts w:hint="default" w:ascii="Times New Roman" w:hAnsi="Times New Roman" w:cs="Times New Roman"/>
          <w:sz w:val="23"/>
          <w:szCs w:val="23"/>
          <w:highlight w:val="none"/>
          <w:lang w:bidi="ar"/>
        </w:rPr>
        <w:t>本项目将厂区划分为简单防渗区、一般防渗区、重点防渗区，有针对性地采取防渗措施，可使项目固废和废水对土壤环境的影响很小。本项目针对废润滑油暂存危废间，定期委托资质单位处理；生产废水经沉淀处理后循环使用，正常情况下不会对周边土壤造成影响。</w:t>
      </w:r>
    </w:p>
    <w:p>
      <w:pPr>
        <w:spacing w:line="480" w:lineRule="exact"/>
        <w:ind w:firstLine="460" w:firstLineChars="200"/>
        <w:jc w:val="both"/>
        <w:rPr>
          <w:rFonts w:hint="default" w:ascii="Times New Roman" w:hAnsi="Times New Roman" w:cs="Times New Roman"/>
          <w:sz w:val="23"/>
          <w:szCs w:val="23"/>
          <w:highlight w:val="none"/>
          <w:lang w:bidi="ar"/>
        </w:rPr>
      </w:pPr>
      <w:r>
        <w:rPr>
          <w:rFonts w:hint="default" w:ascii="Times New Roman" w:hAnsi="Times New Roman" w:cs="Times New Roman"/>
          <w:sz w:val="23"/>
          <w:szCs w:val="23"/>
          <w:highlight w:val="none"/>
          <w:lang w:bidi="ar"/>
        </w:rPr>
        <w:t>原料及成品储存、装卸、输送过程中产生粉尘，考虑到粉尘可能含有重金属锰、钛等，以合金形式存在，在大气中扩散，在重力作用下沉降到地面。</w:t>
      </w:r>
    </w:p>
    <w:p>
      <w:pPr>
        <w:spacing w:line="480" w:lineRule="exact"/>
        <w:ind w:firstLine="460" w:firstLineChars="200"/>
        <w:jc w:val="both"/>
        <w:rPr>
          <w:rFonts w:hint="default" w:ascii="Times New Roman" w:hAnsi="Times New Roman" w:cs="Times New Roman"/>
          <w:sz w:val="23"/>
          <w:szCs w:val="23"/>
          <w:highlight w:val="none"/>
          <w:lang w:bidi="ar"/>
        </w:rPr>
      </w:pPr>
      <w:r>
        <w:rPr>
          <w:rFonts w:hint="default" w:ascii="Times New Roman" w:hAnsi="Times New Roman" w:cs="Times New Roman"/>
          <w:sz w:val="23"/>
          <w:szCs w:val="23"/>
          <w:highlight w:val="none"/>
          <w:lang w:bidi="ar"/>
        </w:rPr>
        <w:t>建设单位应加强管理，减少粉尘沉降对土壤环境的影响。</w:t>
      </w:r>
    </w:p>
    <w:p>
      <w:pPr>
        <w:spacing w:line="480" w:lineRule="exact"/>
        <w:jc w:val="both"/>
        <w:outlineLvl w:val="2"/>
        <w:rPr>
          <w:rFonts w:hint="default" w:ascii="Times New Roman" w:hAnsi="Times New Roman" w:cs="Times New Roman"/>
          <w:sz w:val="23"/>
          <w:szCs w:val="23"/>
          <w:highlight w:val="none"/>
          <w:lang w:bidi="ar"/>
        </w:rPr>
      </w:pPr>
      <w:bookmarkStart w:id="709" w:name="_Toc31546"/>
      <w:bookmarkStart w:id="710" w:name="_Toc8712"/>
      <w:bookmarkStart w:id="711" w:name="_Toc4957"/>
      <w:r>
        <w:rPr>
          <w:rFonts w:hint="default" w:ascii="Times New Roman" w:hAnsi="Times New Roman" w:cs="Times New Roman"/>
          <w:sz w:val="23"/>
          <w:szCs w:val="23"/>
          <w:highlight w:val="none"/>
          <w:lang w:bidi="ar"/>
        </w:rPr>
        <w:t>5.2.8.4结论</w:t>
      </w:r>
      <w:bookmarkEnd w:id="709"/>
      <w:bookmarkEnd w:id="710"/>
      <w:bookmarkEnd w:id="711"/>
    </w:p>
    <w:p>
      <w:pPr>
        <w:pStyle w:val="8"/>
        <w:widowControl w:val="0"/>
        <w:spacing w:line="480" w:lineRule="exact"/>
        <w:ind w:firstLine="460" w:firstLineChars="200"/>
        <w:jc w:val="both"/>
        <w:rPr>
          <w:rFonts w:ascii="Times New Roman" w:hAnsi="Times New Roman" w:cs="Times New Roman"/>
          <w:sz w:val="23"/>
          <w:szCs w:val="23"/>
          <w:highlight w:val="none"/>
          <w:lang w:val="en-US" w:bidi="ar-SA"/>
        </w:rPr>
      </w:pPr>
      <w:r>
        <w:rPr>
          <w:rFonts w:ascii="Times New Roman" w:hAnsi="Times New Roman" w:cs="Times New Roman"/>
          <w:sz w:val="23"/>
          <w:szCs w:val="23"/>
          <w:highlight w:val="none"/>
          <w:lang w:val="en-US" w:bidi="ar-SA"/>
        </w:rPr>
        <w:t>本项目采取了源头控制措施和分区防控措施，从源头上减少了污染物的排放量，同时通过采取严格的防渗措施，切断了垂向入渗进入土壤的途径。</w:t>
      </w:r>
    </w:p>
    <w:p>
      <w:pPr>
        <w:pStyle w:val="2"/>
        <w:rPr>
          <w:rFonts w:hint="default"/>
          <w:highlight w:val="none"/>
        </w:rPr>
        <w:sectPr>
          <w:headerReference r:id="rId117" w:type="default"/>
          <w:footerReference r:id="rId118" w:type="default"/>
          <w:pgSz w:w="11906" w:h="16839"/>
          <w:pgMar w:top="1167" w:right="1785" w:bottom="1282" w:left="1785" w:header="897" w:footer="1015" w:gutter="0"/>
          <w:pgBorders>
            <w:top w:val="none" w:sz="0" w:space="0"/>
            <w:left w:val="none" w:sz="0" w:space="0"/>
            <w:bottom w:val="none" w:sz="0" w:space="0"/>
            <w:right w:val="none" w:sz="0" w:space="0"/>
          </w:pgBorders>
          <w:pgNumType w:fmt="decimal"/>
          <w:cols w:space="720" w:num="1"/>
        </w:sectPr>
      </w:pPr>
    </w:p>
    <w:p>
      <w:pPr>
        <w:spacing w:line="439"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371" o:spid="_x0000_s1371" style="position:absolute;left:0pt;margin-left:89.85pt;margin-top:59.05pt;height:0.75pt;width:415.65pt;mso-position-horizontal-relative:page;mso-position-vertical-relative:page;z-index:251819008;mso-width-relative:page;mso-height-relative:page;" fillcolor="#000000" filled="t" stroked="f" coordsize="8312,15" o:allowincell="f" path="m0,0l8312,0,8312,14,0,14,0,0xe">
            <v:path/>
            <v:fill on="t" focussize="0,0"/>
            <v:stroke on="f"/>
            <v:imagedata o:title=""/>
            <o:lock v:ext="edit"/>
          </v:shape>
        </w:pict>
      </w:r>
    </w:p>
    <w:p>
      <w:pPr>
        <w:spacing w:before="95" w:line="228" w:lineRule="auto"/>
        <w:ind w:left="22"/>
        <w:outlineLvl w:val="0"/>
        <w:rPr>
          <w:rFonts w:hint="default" w:ascii="Times New Roman" w:hAnsi="Times New Roman" w:eastAsia="黑体" w:cs="Times New Roman"/>
          <w:sz w:val="29"/>
          <w:szCs w:val="29"/>
          <w:highlight w:val="none"/>
        </w:rPr>
      </w:pPr>
      <w:bookmarkStart w:id="712" w:name="_Toc6776"/>
      <w:bookmarkStart w:id="713" w:name="_Toc26939"/>
      <w:bookmarkStart w:id="714" w:name="_Toc20555"/>
      <w:r>
        <w:rPr>
          <w:rFonts w:hint="default" w:ascii="Times New Roman" w:hAnsi="Times New Roman" w:eastAsia="Times New Roman" w:cs="Times New Roman"/>
          <w:b/>
          <w:bCs/>
          <w:spacing w:val="16"/>
          <w:sz w:val="29"/>
          <w:szCs w:val="29"/>
          <w:highlight w:val="none"/>
        </w:rPr>
        <w:t>6</w:t>
      </w:r>
      <w:r>
        <w:rPr>
          <w:rFonts w:hint="default" w:ascii="Times New Roman" w:hAnsi="Times New Roman" w:eastAsia="Times New Roman" w:cs="Times New Roman"/>
          <w:spacing w:val="8"/>
          <w:sz w:val="29"/>
          <w:szCs w:val="29"/>
          <w:highlight w:val="none"/>
        </w:rPr>
        <w:t xml:space="preserve">  </w:t>
      </w:r>
      <w:r>
        <w:rPr>
          <w:rFonts w:hint="default" w:ascii="Times New Roman" w:hAnsi="Times New Roman" w:eastAsia="黑体" w:cs="Times New Roman"/>
          <w:spacing w:val="8"/>
          <w:sz w:val="29"/>
          <w:szCs w:val="29"/>
          <w:highlight w:val="none"/>
          <w14:textOutline w14:w="5448" w14:cap="sq" w14:cmpd="sng">
            <w14:solidFill>
              <w14:srgbClr w14:val="000000"/>
            </w14:solidFill>
            <w14:prstDash w14:val="solid"/>
            <w14:bevel/>
          </w14:textOutline>
        </w:rPr>
        <w:t>污染防治措施可行性论证</w:t>
      </w:r>
      <w:bookmarkEnd w:id="712"/>
      <w:bookmarkEnd w:id="713"/>
      <w:bookmarkEnd w:id="714"/>
    </w:p>
    <w:p>
      <w:pPr>
        <w:spacing w:before="277" w:line="220" w:lineRule="auto"/>
        <w:ind w:left="22"/>
        <w:outlineLvl w:val="1"/>
        <w:rPr>
          <w:rFonts w:hint="default" w:ascii="Times New Roman" w:hAnsi="Times New Roman" w:eastAsia="宋体" w:cs="Times New Roman"/>
          <w:sz w:val="28"/>
          <w:szCs w:val="28"/>
          <w:highlight w:val="none"/>
        </w:rPr>
      </w:pPr>
      <w:bookmarkStart w:id="715" w:name="_Toc15883"/>
      <w:bookmarkStart w:id="716" w:name="_Toc14860"/>
      <w:bookmarkStart w:id="717" w:name="_Toc15823"/>
      <w:r>
        <w:rPr>
          <w:rFonts w:hint="default" w:ascii="Times New Roman" w:hAnsi="Times New Roman" w:eastAsia="Times New Roman" w:cs="Times New Roman"/>
          <w:b/>
          <w:bCs/>
          <w:sz w:val="28"/>
          <w:szCs w:val="28"/>
          <w:highlight w:val="none"/>
        </w:rPr>
        <w:t>6.1</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废气防治措施可行性论证</w:t>
      </w:r>
      <w:bookmarkEnd w:id="715"/>
      <w:bookmarkEnd w:id="716"/>
      <w:bookmarkEnd w:id="717"/>
    </w:p>
    <w:p>
      <w:pPr>
        <w:spacing w:line="244" w:lineRule="auto"/>
        <w:rPr>
          <w:rFonts w:hint="default" w:ascii="Times New Roman" w:hAnsi="Times New Roman" w:cs="Times New Roman"/>
          <w:sz w:val="21"/>
          <w:highlight w:val="none"/>
        </w:rPr>
      </w:pPr>
    </w:p>
    <w:p>
      <w:pPr>
        <w:spacing w:before="75" w:line="228" w:lineRule="auto"/>
        <w:ind w:left="512"/>
        <w:outlineLvl w:val="2"/>
        <w:rPr>
          <w:rFonts w:hint="default" w:ascii="Times New Roman" w:hAnsi="Times New Roman" w:eastAsia="宋体" w:cs="Times New Roman"/>
          <w:sz w:val="23"/>
          <w:szCs w:val="23"/>
          <w:highlight w:val="none"/>
        </w:rPr>
      </w:pPr>
      <w:bookmarkStart w:id="718" w:name="_Toc31320"/>
      <w:bookmarkStart w:id="719" w:name="_Toc24463"/>
      <w:bookmarkStart w:id="720" w:name="_Toc30535"/>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16"/>
          <w:sz w:val="23"/>
          <w:szCs w:val="23"/>
          <w:highlight w:val="none"/>
        </w:rPr>
        <w:t>1</w:t>
      </w:r>
      <w:r>
        <w:rPr>
          <w:rFonts w:hint="default" w:ascii="Times New Roman" w:hAnsi="Times New Roman" w:eastAsia="宋体" w:cs="Times New Roman"/>
          <w:spacing w:val="16"/>
          <w:sz w:val="23"/>
          <w:szCs w:val="23"/>
          <w:highlight w:val="none"/>
        </w:rPr>
        <w:t>) 破碎粉尘控制措施</w:t>
      </w:r>
      <w:bookmarkEnd w:id="718"/>
      <w:bookmarkEnd w:id="719"/>
      <w:bookmarkEnd w:id="720"/>
    </w:p>
    <w:p>
      <w:pPr>
        <w:spacing w:before="218" w:line="401" w:lineRule="auto"/>
        <w:ind w:left="21" w:right="83"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项目最主要的大气污染源为铁矿石破碎、筛分过程产生的粉尘，本项目采</w:t>
      </w:r>
      <w:r>
        <w:rPr>
          <w:rFonts w:hint="default" w:ascii="Times New Roman" w:hAnsi="Times New Roman" w:eastAsia="宋体" w:cs="Times New Roman"/>
          <w:spacing w:val="3"/>
          <w:sz w:val="23"/>
          <w:szCs w:val="23"/>
          <w:highlight w:val="none"/>
        </w:rPr>
        <w:t>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离</w:t>
      </w:r>
      <w:r>
        <w:rPr>
          <w:rFonts w:hint="default" w:ascii="Times New Roman" w:hAnsi="Times New Roman" w:eastAsia="宋体" w:cs="Times New Roman"/>
          <w:spacing w:val="7"/>
          <w:sz w:val="23"/>
          <w:szCs w:val="23"/>
          <w:highlight w:val="none"/>
        </w:rPr>
        <w:t>线清灰离线清灰脉冲布袋除尘器处理废气。离线清灰脉冲布袋收尘器是以压缩</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空</w:t>
      </w:r>
      <w:r>
        <w:rPr>
          <w:rFonts w:hint="default" w:ascii="Times New Roman" w:hAnsi="Times New Roman" w:eastAsia="宋体" w:cs="Times New Roman"/>
          <w:spacing w:val="7"/>
          <w:sz w:val="23"/>
          <w:szCs w:val="23"/>
          <w:highlight w:val="none"/>
        </w:rPr>
        <w:t>气为清灰动力，利用脉冲喷吹机构在瞬间放出压缩空气，高速射入滤袋，使滤</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袋</w:t>
      </w:r>
      <w:r>
        <w:rPr>
          <w:rFonts w:hint="default" w:ascii="Times New Roman" w:hAnsi="Times New Roman" w:eastAsia="宋体" w:cs="Times New Roman"/>
          <w:spacing w:val="9"/>
          <w:sz w:val="23"/>
          <w:szCs w:val="23"/>
          <w:highlight w:val="none"/>
        </w:rPr>
        <w:t>急剧膨胀，依靠冲击振动和反向气流而清灰的袋式除尘器。</w:t>
      </w:r>
    </w:p>
    <w:p>
      <w:pPr>
        <w:spacing w:before="3" w:line="401" w:lineRule="auto"/>
        <w:ind w:left="20" w:right="83"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工作原理：离线清灰脉冲布袋收尘器设备正常工作时，含尘气体由进风口</w:t>
      </w:r>
      <w:r>
        <w:rPr>
          <w:rFonts w:hint="default" w:ascii="Times New Roman" w:hAnsi="Times New Roman" w:eastAsia="宋体" w:cs="Times New Roman"/>
          <w:spacing w:val="4"/>
          <w:sz w:val="23"/>
          <w:szCs w:val="23"/>
          <w:highlight w:val="none"/>
        </w:rPr>
        <w:t>进</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入</w:t>
      </w:r>
      <w:r>
        <w:rPr>
          <w:rFonts w:hint="default" w:ascii="Times New Roman" w:hAnsi="Times New Roman" w:eastAsia="宋体" w:cs="Times New Roman"/>
          <w:spacing w:val="7"/>
          <w:sz w:val="23"/>
          <w:szCs w:val="23"/>
          <w:highlight w:val="none"/>
        </w:rPr>
        <w:t>灰斗，由于离线清灰脉冲布袋收尘器气体体积的急速膨胀，一部分较粗的尘粒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受</w:t>
      </w:r>
      <w:r>
        <w:rPr>
          <w:rFonts w:hint="default" w:ascii="Times New Roman" w:hAnsi="Times New Roman" w:eastAsia="宋体" w:cs="Times New Roman"/>
          <w:spacing w:val="7"/>
          <w:sz w:val="23"/>
          <w:szCs w:val="23"/>
          <w:highlight w:val="none"/>
        </w:rPr>
        <w:t>惯性或自然沉降等原因落入灰斗，其余大部分尘粒随气流上升进入袋室，经滤</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袋</w:t>
      </w:r>
      <w:r>
        <w:rPr>
          <w:rFonts w:hint="default" w:ascii="Times New Roman" w:hAnsi="Times New Roman" w:eastAsia="宋体" w:cs="Times New Roman"/>
          <w:spacing w:val="7"/>
          <w:sz w:val="23"/>
          <w:szCs w:val="23"/>
          <w:highlight w:val="none"/>
        </w:rPr>
        <w:t>过滤后，尘粒被滞留在滤袋的外侧，净化后的气体由滤袋内部进入上箱体，再</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由</w:t>
      </w:r>
      <w:r>
        <w:rPr>
          <w:rFonts w:hint="default" w:ascii="Times New Roman" w:hAnsi="Times New Roman" w:eastAsia="宋体" w:cs="Times New Roman"/>
          <w:spacing w:val="7"/>
          <w:sz w:val="23"/>
          <w:szCs w:val="23"/>
          <w:highlight w:val="none"/>
        </w:rPr>
        <w:t>阀板孔、排风口排入大气，从而达到除尘的目的。随着过滤的不断进行，除尘</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器</w:t>
      </w:r>
      <w:r>
        <w:rPr>
          <w:rFonts w:hint="default" w:ascii="Times New Roman" w:hAnsi="Times New Roman" w:eastAsia="宋体" w:cs="Times New Roman"/>
          <w:spacing w:val="7"/>
          <w:sz w:val="23"/>
          <w:szCs w:val="23"/>
          <w:highlight w:val="none"/>
        </w:rPr>
        <w:t>阻力也随之上升，当阻力达到一定值时，清灰控制器发出清灰命令，首先将提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升</w:t>
      </w:r>
      <w:r>
        <w:rPr>
          <w:rFonts w:hint="default" w:ascii="Times New Roman" w:hAnsi="Times New Roman" w:eastAsia="宋体" w:cs="Times New Roman"/>
          <w:spacing w:val="7"/>
          <w:sz w:val="23"/>
          <w:szCs w:val="23"/>
          <w:highlight w:val="none"/>
        </w:rPr>
        <w:t>阀板关闭，切断过滤气流；然后，清灰控制器向脉冲电磁阀发出信号，随着脉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冲</w:t>
      </w:r>
      <w:r>
        <w:rPr>
          <w:rFonts w:hint="default" w:ascii="Times New Roman" w:hAnsi="Times New Roman" w:eastAsia="宋体" w:cs="Times New Roman"/>
          <w:spacing w:val="7"/>
          <w:sz w:val="23"/>
          <w:szCs w:val="23"/>
          <w:highlight w:val="none"/>
        </w:rPr>
        <w:t>阀把用作清灰的高压逆向气流送入袋内，滤袋迅速鼓胀，并产生强烈抖动，导</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致</w:t>
      </w:r>
      <w:r>
        <w:rPr>
          <w:rFonts w:hint="default" w:ascii="Times New Roman" w:hAnsi="Times New Roman" w:eastAsia="宋体" w:cs="Times New Roman"/>
          <w:spacing w:val="7"/>
          <w:sz w:val="23"/>
          <w:szCs w:val="23"/>
          <w:highlight w:val="none"/>
        </w:rPr>
        <w:t>滤袋外侧的粉尘抖落，达到清灰的目的。由于设备分为若干个箱区，所以上述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过</w:t>
      </w:r>
      <w:r>
        <w:rPr>
          <w:rFonts w:hint="default" w:ascii="Times New Roman" w:hAnsi="Times New Roman" w:eastAsia="宋体" w:cs="Times New Roman"/>
          <w:spacing w:val="7"/>
          <w:sz w:val="23"/>
          <w:szCs w:val="23"/>
          <w:highlight w:val="none"/>
        </w:rPr>
        <w:t>程是逐箱进行的，一个箱区在清灰时，其余箱区仍在正常工作，保证了设备的</w:t>
      </w:r>
    </w:p>
    <w:p>
      <w:pPr>
        <w:spacing w:line="226" w:lineRule="auto"/>
        <w:ind w:left="2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连</w:t>
      </w:r>
      <w:r>
        <w:rPr>
          <w:rFonts w:hint="default" w:ascii="Times New Roman" w:hAnsi="Times New Roman" w:eastAsia="宋体" w:cs="Times New Roman"/>
          <w:spacing w:val="7"/>
          <w:sz w:val="23"/>
          <w:szCs w:val="23"/>
          <w:highlight w:val="none"/>
        </w:rPr>
        <w:t>续正常运转。之所以能处理高浓度粉尘，关键在于这种强清灰所需清灰时间极</w:t>
      </w:r>
    </w:p>
    <w:p>
      <w:pPr>
        <w:spacing w:before="182" w:line="412" w:lineRule="auto"/>
        <w:ind w:left="22" w:right="81" w:firstLine="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短</w:t>
      </w:r>
      <w:r>
        <w:rPr>
          <w:rFonts w:hint="default" w:ascii="Times New Roman" w:hAnsi="Times New Roman" w:eastAsia="宋体" w:cs="Times New Roman"/>
          <w:spacing w:val="7"/>
          <w:sz w:val="23"/>
          <w:szCs w:val="23"/>
          <w:highlight w:val="none"/>
        </w:rPr>
        <w:t xml:space="preserve"> (喷吹一次只需 </w:t>
      </w:r>
      <w:r>
        <w:rPr>
          <w:rFonts w:hint="default" w:ascii="Times New Roman" w:hAnsi="Times New Roman" w:eastAsia="Times New Roman" w:cs="Times New Roman"/>
          <w:spacing w:val="7"/>
          <w:sz w:val="23"/>
          <w:szCs w:val="23"/>
          <w:highlight w:val="none"/>
        </w:rPr>
        <w:t>0. 1</w:t>
      </w:r>
      <w:r>
        <w:rPr>
          <w:rFonts w:hint="default" w:ascii="Times New Roman" w:hAnsi="Times New Roman" w:eastAsia="宋体" w:cs="Times New Roman"/>
          <w:spacing w:val="7"/>
          <w:sz w:val="23"/>
          <w:szCs w:val="23"/>
          <w:highlight w:val="none"/>
        </w:rPr>
        <w:t>~</w:t>
      </w:r>
      <w:r>
        <w:rPr>
          <w:rFonts w:hint="default" w:ascii="Times New Roman" w:hAnsi="Times New Roman" w:eastAsia="Times New Roman" w:cs="Times New Roman"/>
          <w:spacing w:val="7"/>
          <w:sz w:val="23"/>
          <w:szCs w:val="23"/>
          <w:highlight w:val="none"/>
        </w:rPr>
        <w:t>0.2</w:t>
      </w:r>
      <w:r>
        <w:rPr>
          <w:rFonts w:hint="default" w:ascii="Times New Roman" w:hAnsi="Times New Roman" w:eastAsia="Times New Roman" w:cs="Times New Roman"/>
          <w:sz w:val="23"/>
          <w:szCs w:val="23"/>
          <w:highlight w:val="none"/>
        </w:rPr>
        <w:t>s</w:t>
      </w:r>
      <w:r>
        <w:rPr>
          <w:rFonts w:hint="default" w:ascii="Times New Roman" w:hAnsi="Times New Roman" w:eastAsia="宋体" w:cs="Times New Roman"/>
          <w:spacing w:val="7"/>
          <w:sz w:val="23"/>
          <w:szCs w:val="23"/>
          <w:highlight w:val="none"/>
        </w:rPr>
        <w:t xml:space="preserve">) 。除尘器的过滤风速小于 </w:t>
      </w:r>
      <w:r>
        <w:rPr>
          <w:rFonts w:hint="default" w:ascii="Times New Roman" w:hAnsi="Times New Roman" w:eastAsia="Times New Roman" w:cs="Times New Roman"/>
          <w:spacing w:val="7"/>
          <w:sz w:val="23"/>
          <w:szCs w:val="23"/>
          <w:highlight w:val="none"/>
        </w:rPr>
        <w:t>0.8</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7"/>
          <w:sz w:val="23"/>
          <w:szCs w:val="23"/>
          <w:highlight w:val="none"/>
        </w:rPr>
        <w:t>/</w:t>
      </w:r>
      <w:r>
        <w:rPr>
          <w:rFonts w:hint="default" w:ascii="Times New Roman" w:hAnsi="Times New Roman" w:eastAsia="Times New Roman" w:cs="Times New Roman"/>
          <w:sz w:val="23"/>
          <w:szCs w:val="23"/>
          <w:highlight w:val="none"/>
        </w:rPr>
        <w:t>min</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，除尘器清灰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5"/>
          <w:sz w:val="23"/>
          <w:szCs w:val="23"/>
          <w:highlight w:val="none"/>
        </w:rPr>
        <w:t xml:space="preserve">方式为离线清灰，除尘效率 </w:t>
      </w:r>
      <w:r>
        <w:rPr>
          <w:rFonts w:hint="default" w:ascii="Times New Roman" w:hAnsi="Times New Roman" w:eastAsia="Times New Roman" w:cs="Times New Roman"/>
          <w:spacing w:val="5"/>
          <w:sz w:val="23"/>
          <w:szCs w:val="23"/>
          <w:highlight w:val="none"/>
        </w:rPr>
        <w:t>99%</w:t>
      </w:r>
      <w:r>
        <w:rPr>
          <w:rFonts w:hint="default" w:ascii="Times New Roman" w:hAnsi="Times New Roman" w:eastAsia="宋体" w:cs="Times New Roman"/>
          <w:spacing w:val="5"/>
          <w:sz w:val="23"/>
          <w:szCs w:val="23"/>
          <w:highlight w:val="none"/>
        </w:rPr>
        <w:t>以上</w:t>
      </w:r>
      <w:r>
        <w:rPr>
          <w:rFonts w:hint="default" w:ascii="Times New Roman" w:hAnsi="Times New Roman" w:eastAsia="宋体" w:cs="Times New Roman"/>
          <w:spacing w:val="2"/>
          <w:sz w:val="23"/>
          <w:szCs w:val="23"/>
          <w:highlight w:val="none"/>
        </w:rPr>
        <w:t>。</w:t>
      </w:r>
    </w:p>
    <w:p>
      <w:pPr>
        <w:spacing w:before="8" w:line="403" w:lineRule="auto"/>
        <w:ind w:left="21"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离线清灰脉冲布袋收尘器滤料的优点：普通滤料即传统的针刺毡、编织滤</w:t>
      </w:r>
      <w:r>
        <w:rPr>
          <w:rFonts w:hint="default" w:ascii="Times New Roman" w:hAnsi="Times New Roman" w:eastAsia="宋体" w:cs="Times New Roman"/>
          <w:spacing w:val="3"/>
          <w:sz w:val="23"/>
          <w:szCs w:val="23"/>
          <w:highlight w:val="none"/>
        </w:rPr>
        <w:t>料</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等。其工</w:t>
      </w:r>
      <w:r>
        <w:rPr>
          <w:rFonts w:hint="default" w:ascii="Times New Roman" w:hAnsi="Times New Roman" w:eastAsia="宋体" w:cs="Times New Roman"/>
          <w:spacing w:val="7"/>
          <w:sz w:val="23"/>
          <w:szCs w:val="23"/>
          <w:highlight w:val="none"/>
        </w:rPr>
        <w:t>作原理是所谓的</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深层过滤</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技术，即通过滤料纤维的捕集，先在滤料表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面</w:t>
      </w:r>
      <w:r>
        <w:rPr>
          <w:rFonts w:hint="default" w:ascii="Times New Roman" w:hAnsi="Times New Roman" w:eastAsia="宋体" w:cs="Times New Roman"/>
          <w:spacing w:val="7"/>
          <w:sz w:val="23"/>
          <w:szCs w:val="23"/>
          <w:highlight w:val="none"/>
        </w:rPr>
        <w:t>形成</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一次粉尘层</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(即粉饼) ，再通过这层粉饼来过滤后续的粉尘。在使用初</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期</w:t>
      </w:r>
      <w:r>
        <w:rPr>
          <w:rFonts w:hint="default" w:ascii="Times New Roman" w:hAnsi="Times New Roman" w:eastAsia="宋体" w:cs="Times New Roman"/>
          <w:spacing w:val="7"/>
          <w:sz w:val="23"/>
          <w:szCs w:val="23"/>
          <w:highlight w:val="none"/>
        </w:rPr>
        <w:t>，由于滤料本身的空隙较大，部分粉尘会穿过滤料排放出去。只有当粉饼形成</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后，</w:t>
      </w:r>
      <w:r>
        <w:rPr>
          <w:rFonts w:hint="default" w:ascii="Times New Roman" w:hAnsi="Times New Roman" w:eastAsia="宋体" w:cs="Times New Roman"/>
          <w:spacing w:val="11"/>
          <w:sz w:val="23"/>
          <w:szCs w:val="23"/>
          <w:highlight w:val="none"/>
        </w:rPr>
        <w:t>过</w:t>
      </w:r>
      <w:r>
        <w:rPr>
          <w:rFonts w:hint="default" w:ascii="Times New Roman" w:hAnsi="Times New Roman" w:eastAsia="宋体" w:cs="Times New Roman"/>
          <w:spacing w:val="9"/>
          <w:sz w:val="23"/>
          <w:szCs w:val="23"/>
          <w:highlight w:val="none"/>
        </w:rPr>
        <w:t>滤过程才真正开始。继续使用后，滤料表面的粉尘会逐渐渗入到滤料中，</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导</w:t>
      </w:r>
      <w:r>
        <w:rPr>
          <w:rFonts w:hint="default" w:ascii="Times New Roman" w:hAnsi="Times New Roman" w:eastAsia="宋体" w:cs="Times New Roman"/>
          <w:spacing w:val="7"/>
          <w:sz w:val="23"/>
          <w:szCs w:val="23"/>
          <w:highlight w:val="none"/>
        </w:rPr>
        <w:t>致滤料孔隙堵塞，使设备运行阻力不断增加，直至必须更换滤料为止。覆膜滤</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料</w:t>
      </w:r>
      <w:r>
        <w:rPr>
          <w:rFonts w:hint="default" w:ascii="Times New Roman" w:hAnsi="Times New Roman" w:eastAsia="宋体" w:cs="Times New Roman"/>
          <w:spacing w:val="13"/>
          <w:sz w:val="23"/>
          <w:szCs w:val="23"/>
          <w:highlight w:val="none"/>
        </w:rPr>
        <w:t>是</w:t>
      </w:r>
      <w:r>
        <w:rPr>
          <w:rFonts w:hint="default" w:ascii="Times New Roman" w:hAnsi="Times New Roman" w:eastAsia="宋体" w:cs="Times New Roman"/>
          <w:spacing w:val="7"/>
          <w:sz w:val="23"/>
          <w:szCs w:val="23"/>
          <w:highlight w:val="none"/>
        </w:rPr>
        <w:t>在普通滤料表面复合一层聚四氟乙烯 (</w:t>
      </w:r>
      <w:r>
        <w:rPr>
          <w:rFonts w:hint="default" w:ascii="Times New Roman" w:hAnsi="Times New Roman" w:eastAsia="Times New Roman" w:cs="Times New Roman"/>
          <w:sz w:val="23"/>
          <w:szCs w:val="23"/>
          <w:highlight w:val="none"/>
        </w:rPr>
        <w:t>PTFE</w:t>
      </w:r>
      <w:r>
        <w:rPr>
          <w:rFonts w:hint="default" w:ascii="Times New Roman" w:hAnsi="Times New Roman" w:eastAsia="宋体" w:cs="Times New Roman"/>
          <w:spacing w:val="7"/>
          <w:sz w:val="23"/>
          <w:szCs w:val="23"/>
          <w:highlight w:val="none"/>
        </w:rPr>
        <w:t>) 薄膜而行成的一种新型滤料。</w:t>
      </w:r>
    </w:p>
    <w:p>
      <w:pPr>
        <w:rPr>
          <w:rFonts w:hint="default" w:ascii="Times New Roman" w:hAnsi="Times New Roman" w:cs="Times New Roman"/>
          <w:highlight w:val="none"/>
        </w:rPr>
        <w:sectPr>
          <w:headerReference r:id="rId119" w:type="default"/>
          <w:footerReference r:id="rId120" w:type="default"/>
          <w:pgSz w:w="11906" w:h="16839"/>
          <w:pgMar w:top="1167" w:right="1713" w:bottom="1282" w:left="1785" w:header="897" w:footer="1015" w:gutter="0"/>
          <w:pgBorders>
            <w:top w:val="none" w:sz="0" w:space="0"/>
            <w:left w:val="none" w:sz="0" w:space="0"/>
            <w:bottom w:val="none" w:sz="0" w:space="0"/>
            <w:right w:val="none" w:sz="0" w:space="0"/>
          </w:pgBorders>
          <w:pgNumType w:fmt="decimal"/>
          <w:cols w:space="720" w:num="1"/>
        </w:sectPr>
      </w:pPr>
    </w:p>
    <w:p>
      <w:pPr>
        <w:spacing w:line="391"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374" o:spid="_x0000_s1374" style="position:absolute;left:0pt;margin-left:89.85pt;margin-top:59.05pt;height:0.75pt;width:415.65pt;mso-position-horizontal-relative:page;mso-position-vertical-relative:page;z-index:251821056;mso-width-relative:page;mso-height-relative:page;" fillcolor="#000000" filled="t" stroked="f" coordsize="8312,15" o:allowincell="f" path="m0,0l8312,0,8312,14,0,14,0,0xe">
            <v:path/>
            <v:fill on="t" focussize="0,0"/>
            <v:stroke on="f"/>
            <v:imagedata o:title=""/>
            <o:lock v:ext="edit"/>
          </v:shape>
        </w:pict>
      </w:r>
    </w:p>
    <w:p>
      <w:pPr>
        <w:spacing w:before="75" w:line="401" w:lineRule="auto"/>
        <w:ind w:left="2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这层薄</w:t>
      </w:r>
      <w:r>
        <w:rPr>
          <w:rFonts w:hint="default" w:ascii="Times New Roman" w:hAnsi="Times New Roman" w:eastAsia="宋体" w:cs="Times New Roman"/>
          <w:spacing w:val="10"/>
          <w:sz w:val="23"/>
          <w:szCs w:val="23"/>
          <w:highlight w:val="none"/>
        </w:rPr>
        <w:t>膜</w:t>
      </w:r>
      <w:r>
        <w:rPr>
          <w:rFonts w:hint="default" w:ascii="Times New Roman" w:hAnsi="Times New Roman" w:eastAsia="宋体" w:cs="Times New Roman"/>
          <w:spacing w:val="7"/>
          <w:sz w:val="23"/>
          <w:szCs w:val="23"/>
          <w:highlight w:val="none"/>
        </w:rPr>
        <w:t>相当于起到了</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一次粉尘层</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的作用，物料交换是在膜表面进行的，使用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之</w:t>
      </w:r>
      <w:r>
        <w:rPr>
          <w:rFonts w:hint="default" w:ascii="Times New Roman" w:hAnsi="Times New Roman" w:eastAsia="宋体" w:cs="Times New Roman"/>
          <w:spacing w:val="7"/>
          <w:sz w:val="23"/>
          <w:szCs w:val="23"/>
          <w:highlight w:val="none"/>
        </w:rPr>
        <w:t>初就能进行有效的过滤。薄膜特有的立体网状结构，使粉尘无法穿过，无孔隙</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堵塞之虞。这种过滤方式称为</w:t>
      </w:r>
      <w:r>
        <w:rPr>
          <w:rFonts w:hint="default" w:ascii="Times New Roman" w:hAnsi="Times New Roman" w:eastAsia="Times New Roman" w:cs="Times New Roman"/>
          <w:spacing w:val="6"/>
          <w:sz w:val="23"/>
          <w:szCs w:val="23"/>
          <w:highlight w:val="none"/>
        </w:rPr>
        <w:t>“</w:t>
      </w:r>
      <w:r>
        <w:rPr>
          <w:rFonts w:hint="default" w:ascii="Times New Roman" w:hAnsi="Times New Roman" w:eastAsia="宋体" w:cs="Times New Roman"/>
          <w:spacing w:val="6"/>
          <w:sz w:val="23"/>
          <w:szCs w:val="23"/>
          <w:highlight w:val="none"/>
        </w:rPr>
        <w:t>表面过滤</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。覆膜滤料不仅可实现近于零排放，</w:t>
      </w:r>
      <w:r>
        <w:rPr>
          <w:rFonts w:hint="default" w:ascii="Times New Roman" w:hAnsi="Times New Roman" w:eastAsia="宋体" w:cs="Times New Roman"/>
          <w:spacing w:val="5"/>
          <w:sz w:val="23"/>
          <w:szCs w:val="23"/>
          <w:highlight w:val="none"/>
        </w:rPr>
        <w:t>同</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时由于薄膜不粘</w:t>
      </w:r>
      <w:r>
        <w:rPr>
          <w:rFonts w:hint="default" w:ascii="Times New Roman" w:hAnsi="Times New Roman" w:eastAsia="宋体" w:cs="Times New Roman"/>
          <w:spacing w:val="2"/>
          <w:sz w:val="23"/>
          <w:szCs w:val="23"/>
          <w:highlight w:val="none"/>
        </w:rPr>
        <w:t>性、摩擦系数小，故粉饼会自动脱落，确保了设备阻力长期稳定，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因</w:t>
      </w:r>
      <w:r>
        <w:rPr>
          <w:rFonts w:hint="default" w:ascii="Times New Roman" w:hAnsi="Times New Roman" w:eastAsia="宋体" w:cs="Times New Roman"/>
          <w:spacing w:val="9"/>
          <w:sz w:val="23"/>
          <w:szCs w:val="23"/>
          <w:highlight w:val="none"/>
        </w:rPr>
        <w:t>此充分发挥了袋式除尘器优越性，是理想的过滤材料。</w:t>
      </w:r>
    </w:p>
    <w:p>
      <w:pPr>
        <w:spacing w:before="1" w:line="401" w:lineRule="auto"/>
        <w:ind w:left="22" w:right="65"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根据以上分析，本项目破碎过程产生的粉尘经离线清灰离线清灰脉冲布袋除</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尘</w:t>
      </w:r>
      <w:r>
        <w:rPr>
          <w:rFonts w:hint="default" w:ascii="Times New Roman" w:hAnsi="Times New Roman" w:eastAsia="宋体" w:cs="Times New Roman"/>
          <w:spacing w:val="12"/>
          <w:sz w:val="23"/>
          <w:szCs w:val="23"/>
          <w:highlight w:val="none"/>
        </w:rPr>
        <w:t>器</w:t>
      </w:r>
      <w:r>
        <w:rPr>
          <w:rFonts w:hint="default" w:ascii="Times New Roman" w:hAnsi="Times New Roman" w:eastAsia="宋体" w:cs="Times New Roman"/>
          <w:spacing w:val="8"/>
          <w:sz w:val="23"/>
          <w:szCs w:val="23"/>
          <w:highlight w:val="none"/>
        </w:rPr>
        <w:t>处理，可以达标排放，措施可行。</w:t>
      </w:r>
    </w:p>
    <w:p>
      <w:pPr>
        <w:spacing w:line="228" w:lineRule="auto"/>
        <w:ind w:left="512"/>
        <w:outlineLvl w:val="2"/>
        <w:rPr>
          <w:rFonts w:hint="default" w:ascii="Times New Roman" w:hAnsi="Times New Roman" w:eastAsia="宋体" w:cs="Times New Roman"/>
          <w:sz w:val="23"/>
          <w:szCs w:val="23"/>
          <w:highlight w:val="none"/>
        </w:rPr>
      </w:pPr>
      <w:bookmarkStart w:id="721" w:name="_Toc28491"/>
      <w:bookmarkStart w:id="722" w:name="_Toc14342"/>
      <w:bookmarkStart w:id="723" w:name="_Toc26074"/>
      <w:r>
        <w:rPr>
          <w:rFonts w:hint="default" w:ascii="Times New Roman" w:hAnsi="Times New Roman" w:eastAsia="宋体" w:cs="Times New Roman"/>
          <w:spacing w:val="24"/>
          <w:sz w:val="23"/>
          <w:szCs w:val="23"/>
          <w:highlight w:val="none"/>
        </w:rPr>
        <w:t>(</w:t>
      </w:r>
      <w:r>
        <w:rPr>
          <w:rFonts w:hint="default" w:ascii="Times New Roman" w:hAnsi="Times New Roman" w:eastAsia="Times New Roman" w:cs="Times New Roman"/>
          <w:spacing w:val="15"/>
          <w:sz w:val="23"/>
          <w:szCs w:val="23"/>
          <w:highlight w:val="none"/>
        </w:rPr>
        <w:t>2</w:t>
      </w:r>
      <w:r>
        <w:rPr>
          <w:rFonts w:hint="default" w:ascii="Times New Roman" w:hAnsi="Times New Roman" w:eastAsia="宋体" w:cs="Times New Roman"/>
          <w:spacing w:val="15"/>
          <w:sz w:val="23"/>
          <w:szCs w:val="23"/>
          <w:highlight w:val="none"/>
        </w:rPr>
        <w:t>) 投料过程粉尘控制措施</w:t>
      </w:r>
      <w:bookmarkEnd w:id="721"/>
      <w:bookmarkEnd w:id="722"/>
      <w:bookmarkEnd w:id="723"/>
    </w:p>
    <w:p>
      <w:pPr>
        <w:spacing w:before="213" w:line="402" w:lineRule="auto"/>
        <w:ind w:left="21" w:right="33" w:firstLine="480"/>
        <w:rPr>
          <w:rFonts w:hint="default" w:ascii="Times New Roman" w:hAnsi="Times New Roman" w:eastAsia="宋体" w:cs="Times New Roman"/>
          <w:spacing w:val="6"/>
          <w:sz w:val="23"/>
          <w:szCs w:val="23"/>
          <w:highlight w:val="none"/>
        </w:rPr>
      </w:pPr>
      <w:r>
        <w:rPr>
          <w:rFonts w:hint="default" w:ascii="Times New Roman" w:hAnsi="Times New Roman" w:eastAsia="宋体" w:cs="Times New Roman"/>
          <w:spacing w:val="6"/>
          <w:sz w:val="23"/>
          <w:szCs w:val="23"/>
          <w:highlight w:val="none"/>
        </w:rPr>
        <w:t>本项目上料仓设置于</w:t>
      </w:r>
      <w:r>
        <w:rPr>
          <w:rFonts w:hint="eastAsia" w:ascii="Times New Roman" w:hAnsi="Times New Roman" w:eastAsia="宋体" w:cs="Times New Roman"/>
          <w:spacing w:val="6"/>
          <w:sz w:val="23"/>
          <w:szCs w:val="23"/>
          <w:highlight w:val="none"/>
          <w:lang w:val="en-US" w:eastAsia="zh-CN"/>
        </w:rPr>
        <w:t>原料棚内</w:t>
      </w:r>
      <w:r>
        <w:rPr>
          <w:rFonts w:hint="default" w:ascii="Times New Roman" w:hAnsi="Times New Roman" w:eastAsia="宋体" w:cs="Times New Roman"/>
          <w:spacing w:val="6"/>
          <w:sz w:val="23"/>
          <w:szCs w:val="23"/>
          <w:highlight w:val="none"/>
        </w:rPr>
        <w:t>，</w:t>
      </w:r>
      <w:r>
        <w:rPr>
          <w:rFonts w:hint="eastAsia" w:ascii="Times New Roman" w:hAnsi="Times New Roman" w:eastAsia="宋体" w:cs="Times New Roman"/>
          <w:spacing w:val="6"/>
          <w:sz w:val="23"/>
          <w:szCs w:val="23"/>
          <w:highlight w:val="none"/>
          <w:lang w:val="en-US" w:eastAsia="zh-CN"/>
        </w:rPr>
        <w:t>原料棚带顶三面围挡进深不小于8米</w:t>
      </w:r>
      <w:r>
        <w:rPr>
          <w:rFonts w:hint="default" w:ascii="Times New Roman" w:hAnsi="Times New Roman" w:eastAsia="宋体" w:cs="Times New Roman"/>
          <w:spacing w:val="6"/>
          <w:sz w:val="23"/>
          <w:szCs w:val="23"/>
          <w:highlight w:val="none"/>
        </w:rPr>
        <w:t>并设置喷淋抑尘装置</w:t>
      </w:r>
      <w:r>
        <w:rPr>
          <w:rFonts w:hint="eastAsia" w:ascii="Times New Roman" w:hAnsi="Times New Roman" w:eastAsia="宋体" w:cs="Times New Roman"/>
          <w:spacing w:val="6"/>
          <w:sz w:val="23"/>
          <w:szCs w:val="23"/>
          <w:highlight w:val="none"/>
          <w:lang w:eastAsia="zh-CN"/>
        </w:rPr>
        <w:t>，</w:t>
      </w:r>
      <w:r>
        <w:rPr>
          <w:rFonts w:hint="eastAsia" w:ascii="Times New Roman" w:hAnsi="Times New Roman" w:eastAsia="宋体" w:cs="Times New Roman"/>
          <w:spacing w:val="6"/>
          <w:sz w:val="23"/>
          <w:szCs w:val="23"/>
          <w:highlight w:val="none"/>
        </w:rPr>
        <w:t>喷雾口辐射面积为</w:t>
      </w:r>
      <w:r>
        <w:rPr>
          <w:rFonts w:hint="default" w:ascii="Times New Roman" w:hAnsi="Times New Roman" w:eastAsia="宋体" w:cs="Times New Roman"/>
          <w:spacing w:val="6"/>
          <w:sz w:val="23"/>
          <w:szCs w:val="23"/>
          <w:highlight w:val="none"/>
        </w:rPr>
        <w:t>5m×3.5m</w:t>
      </w:r>
      <w:r>
        <w:rPr>
          <w:rFonts w:hint="eastAsia" w:ascii="Times New Roman" w:hAnsi="Times New Roman" w:eastAsia="宋体" w:cs="Times New Roman"/>
          <w:spacing w:val="6"/>
          <w:sz w:val="23"/>
          <w:szCs w:val="23"/>
          <w:highlight w:val="none"/>
        </w:rPr>
        <w:t>，在投料过程中喷雾抑尘。</w:t>
      </w:r>
    </w:p>
    <w:p>
      <w:pPr>
        <w:spacing w:before="1" w:line="401" w:lineRule="auto"/>
        <w:ind w:left="21" w:right="65" w:firstLine="48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喷雾抑尘</w:t>
      </w:r>
      <w:r>
        <w:rPr>
          <w:rFonts w:hint="default" w:ascii="Times New Roman" w:hAnsi="Times New Roman" w:eastAsia="宋体" w:cs="Times New Roman"/>
          <w:spacing w:val="6"/>
          <w:sz w:val="23"/>
          <w:szCs w:val="23"/>
          <w:highlight w:val="none"/>
        </w:rPr>
        <w:t>是目前常用的无组织粉尘治理措施，抑尘效果明显，无组织粉尘排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放满足《铁矿采选工业污染物排放标准》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6"/>
          <w:sz w:val="23"/>
          <w:szCs w:val="23"/>
          <w:highlight w:val="none"/>
        </w:rPr>
        <w:t>28661-2012</w:t>
      </w:r>
      <w:r>
        <w:rPr>
          <w:rFonts w:hint="default" w:ascii="Times New Roman" w:hAnsi="Times New Roman" w:eastAsia="宋体" w:cs="Times New Roman"/>
          <w:spacing w:val="6"/>
          <w:sz w:val="23"/>
          <w:szCs w:val="23"/>
          <w:highlight w:val="none"/>
        </w:rPr>
        <w:t xml:space="preserve">) 表 </w:t>
      </w:r>
      <w:r>
        <w:rPr>
          <w:rFonts w:hint="default" w:ascii="Times New Roman" w:hAnsi="Times New Roman" w:eastAsia="Times New Roman" w:cs="Times New Roman"/>
          <w:spacing w:val="6"/>
          <w:sz w:val="23"/>
          <w:szCs w:val="23"/>
          <w:highlight w:val="none"/>
        </w:rPr>
        <w:t xml:space="preserve">7 </w:t>
      </w:r>
      <w:r>
        <w:rPr>
          <w:rFonts w:hint="default" w:ascii="Times New Roman" w:hAnsi="Times New Roman" w:eastAsia="宋体" w:cs="Times New Roman"/>
          <w:spacing w:val="6"/>
          <w:sz w:val="23"/>
          <w:szCs w:val="23"/>
          <w:highlight w:val="none"/>
        </w:rPr>
        <w:t>中粉尘无组织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排</w:t>
      </w:r>
      <w:r>
        <w:rPr>
          <w:rFonts w:hint="default" w:ascii="Times New Roman" w:hAnsi="Times New Roman" w:eastAsia="宋体" w:cs="Times New Roman"/>
          <w:spacing w:val="5"/>
          <w:sz w:val="23"/>
          <w:szCs w:val="23"/>
          <w:highlight w:val="none"/>
        </w:rPr>
        <w:t xml:space="preserve">放浓度限值 </w:t>
      </w:r>
      <w:r>
        <w:rPr>
          <w:rFonts w:hint="default" w:ascii="Times New Roman" w:hAnsi="Times New Roman" w:eastAsia="Times New Roman" w:cs="Times New Roman"/>
          <w:spacing w:val="5"/>
          <w:sz w:val="23"/>
          <w:szCs w:val="23"/>
          <w:highlight w:val="none"/>
        </w:rPr>
        <w:t>1.0</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5"/>
          <w:position w:val="7"/>
          <w:sz w:val="15"/>
          <w:szCs w:val="15"/>
          <w:highlight w:val="none"/>
        </w:rPr>
        <w:t xml:space="preserve">3 </w:t>
      </w:r>
      <w:r>
        <w:rPr>
          <w:rFonts w:hint="default" w:ascii="Times New Roman" w:hAnsi="Times New Roman" w:eastAsia="宋体" w:cs="Times New Roman"/>
          <w:spacing w:val="5"/>
          <w:sz w:val="23"/>
          <w:szCs w:val="23"/>
          <w:highlight w:val="none"/>
        </w:rPr>
        <w:t>的要求，措施可行。</w:t>
      </w:r>
    </w:p>
    <w:p>
      <w:pPr>
        <w:spacing w:before="1" w:line="225" w:lineRule="auto"/>
        <w:ind w:left="512"/>
        <w:outlineLvl w:val="2"/>
        <w:rPr>
          <w:rFonts w:hint="default" w:ascii="Times New Roman" w:hAnsi="Times New Roman" w:eastAsia="宋体" w:cs="Times New Roman"/>
          <w:sz w:val="23"/>
          <w:szCs w:val="23"/>
          <w:highlight w:val="none"/>
        </w:rPr>
      </w:pPr>
      <w:bookmarkStart w:id="724" w:name="_Toc29283"/>
      <w:bookmarkStart w:id="725" w:name="_Toc5317"/>
      <w:bookmarkStart w:id="726" w:name="_Toc30236"/>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5"/>
          <w:sz w:val="23"/>
          <w:szCs w:val="23"/>
          <w:highlight w:val="none"/>
        </w:rPr>
        <w:t>3</w:t>
      </w:r>
      <w:r>
        <w:rPr>
          <w:rFonts w:hint="default" w:ascii="Times New Roman" w:hAnsi="Times New Roman" w:eastAsia="宋体" w:cs="Times New Roman"/>
          <w:spacing w:val="15"/>
          <w:sz w:val="23"/>
          <w:szCs w:val="23"/>
          <w:highlight w:val="none"/>
        </w:rPr>
        <w:t>) 其他无组织粉尘治理措施</w:t>
      </w:r>
      <w:bookmarkEnd w:id="724"/>
      <w:bookmarkEnd w:id="725"/>
      <w:bookmarkEnd w:id="726"/>
    </w:p>
    <w:p>
      <w:pPr>
        <w:keepNext w:val="0"/>
        <w:keepLines w:val="0"/>
        <w:pageBreakBefore w:val="0"/>
        <w:widowControl/>
        <w:tabs>
          <w:tab w:val="left" w:pos="146"/>
        </w:tabs>
        <w:kinsoku w:val="0"/>
        <w:wordWrap/>
        <w:overflowPunct/>
        <w:topLinePunct w:val="0"/>
        <w:autoSpaceDE w:val="0"/>
        <w:autoSpaceDN w:val="0"/>
        <w:bidi w:val="0"/>
        <w:adjustRightInd w:val="0"/>
        <w:snapToGrid w:val="0"/>
        <w:spacing w:line="460" w:lineRule="exact"/>
        <w:ind w:left="0" w:right="0" w:firstLine="468" w:firstLineChars="200"/>
        <w:textAlignment w:val="baseline"/>
        <w:rPr>
          <w:rFonts w:hint="default" w:ascii="Times New Roman" w:hAnsi="Times New Roman" w:eastAsia="宋体" w:cs="Times New Roman"/>
          <w:spacing w:val="2"/>
          <w:sz w:val="23"/>
          <w:szCs w:val="23"/>
          <w:highlight w:val="none"/>
        </w:rPr>
      </w:pPr>
      <w:r>
        <w:rPr>
          <w:rFonts w:hint="eastAsia" w:ascii="Times New Roman" w:hAnsi="Times New Roman" w:eastAsia="宋体" w:cs="Times New Roman"/>
          <w:spacing w:val="2"/>
          <w:sz w:val="23"/>
          <w:szCs w:val="23"/>
          <w:highlight w:val="none"/>
          <w:lang w:val="en-US" w:eastAsia="zh-CN"/>
        </w:rPr>
        <w:t>厂区</w:t>
      </w:r>
      <w:r>
        <w:rPr>
          <w:rFonts w:hint="default" w:ascii="Times New Roman" w:hAnsi="Times New Roman" w:eastAsia="宋体" w:cs="Times New Roman"/>
          <w:spacing w:val="2"/>
          <w:sz w:val="23"/>
          <w:szCs w:val="23"/>
          <w:highlight w:val="none"/>
        </w:rPr>
        <w:t>无组织排放颗粒物主要为原料卸车、储存、转运过程中产生的</w:t>
      </w:r>
      <w:r>
        <w:rPr>
          <w:rFonts w:hint="default" w:ascii="Times New Roman" w:hAnsi="Times New Roman" w:eastAsia="宋体" w:cs="Times New Roman"/>
          <w:spacing w:val="1"/>
          <w:sz w:val="23"/>
          <w:szCs w:val="23"/>
          <w:highlight w:val="none"/>
        </w:rPr>
        <w:t>颗</w:t>
      </w:r>
      <w:r>
        <w:rPr>
          <w:rFonts w:hint="default" w:ascii="Times New Roman" w:hAnsi="Times New Roman" w:eastAsia="宋体" w:cs="Times New Roman"/>
          <w:sz w:val="23"/>
          <w:szCs w:val="23"/>
          <w:highlight w:val="none"/>
        </w:rPr>
        <w:t xml:space="preserve">粒物， </w:t>
      </w:r>
      <w:r>
        <w:rPr>
          <w:rFonts w:hint="default" w:ascii="Times New Roman" w:hAnsi="Times New Roman" w:eastAsia="宋体" w:cs="Times New Roman"/>
          <w:spacing w:val="11"/>
          <w:sz w:val="23"/>
          <w:szCs w:val="23"/>
          <w:highlight w:val="none"/>
        </w:rPr>
        <w:t>成</w:t>
      </w:r>
      <w:r>
        <w:rPr>
          <w:rFonts w:hint="default" w:ascii="Times New Roman" w:hAnsi="Times New Roman" w:eastAsia="宋体" w:cs="Times New Roman"/>
          <w:spacing w:val="9"/>
          <w:sz w:val="23"/>
          <w:szCs w:val="23"/>
          <w:highlight w:val="none"/>
        </w:rPr>
        <w:t>品装车、储存、转运过程中产生的颗粒物，受料仓入料过程中产生的颗粒物。</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以</w:t>
      </w:r>
      <w:r>
        <w:rPr>
          <w:rFonts w:hint="default" w:ascii="Times New Roman" w:hAnsi="Times New Roman" w:eastAsia="宋体" w:cs="Times New Roman"/>
          <w:spacing w:val="8"/>
          <w:sz w:val="23"/>
          <w:szCs w:val="23"/>
          <w:highlight w:val="none"/>
        </w:rPr>
        <w:t>上</w:t>
      </w:r>
      <w:r>
        <w:rPr>
          <w:rFonts w:hint="default" w:ascii="Times New Roman" w:hAnsi="Times New Roman" w:eastAsia="宋体" w:cs="Times New Roman"/>
          <w:spacing w:val="7"/>
          <w:sz w:val="23"/>
          <w:szCs w:val="23"/>
          <w:highlight w:val="none"/>
        </w:rPr>
        <w:t>工序均在封闭的库房或者车间内进行，</w:t>
      </w:r>
      <w:r>
        <w:rPr>
          <w:rFonts w:hint="eastAsia" w:ascii="Times New Roman" w:hAnsi="Times New Roman" w:eastAsia="宋体" w:cs="Times New Roman"/>
          <w:spacing w:val="7"/>
          <w:sz w:val="23"/>
          <w:szCs w:val="23"/>
          <w:highlight w:val="none"/>
          <w:lang w:val="en-US" w:eastAsia="zh-CN"/>
        </w:rPr>
        <w:t>并</w:t>
      </w:r>
      <w:r>
        <w:rPr>
          <w:rFonts w:hint="default" w:ascii="Times New Roman" w:hAnsi="Times New Roman" w:eastAsia="宋体" w:cs="Times New Roman"/>
          <w:spacing w:val="7"/>
          <w:sz w:val="23"/>
          <w:szCs w:val="23"/>
          <w:highlight w:val="none"/>
        </w:rPr>
        <w:t>设置喷雾抑尘装置</w:t>
      </w:r>
      <w:r>
        <w:rPr>
          <w:rFonts w:hint="default" w:ascii="Times New Roman" w:hAnsi="Times New Roman" w:eastAsia="宋体" w:cs="Times New Roman"/>
          <w:spacing w:val="6"/>
          <w:sz w:val="23"/>
          <w:szCs w:val="23"/>
          <w:highlight w:val="none"/>
        </w:rPr>
        <w:t xml:space="preserve">(电伴热) ，喷淋管路使用保温棉包裹，每隔 </w:t>
      </w:r>
      <w:r>
        <w:rPr>
          <w:rFonts w:hint="default" w:ascii="Times New Roman" w:hAnsi="Times New Roman" w:eastAsia="Times New Roman" w:cs="Times New Roman"/>
          <w:spacing w:val="6"/>
          <w:sz w:val="23"/>
          <w:szCs w:val="23"/>
          <w:highlight w:val="none"/>
        </w:rPr>
        <w:t>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设</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 xml:space="preserve">置 </w:t>
      </w:r>
      <w:r>
        <w:rPr>
          <w:rFonts w:hint="default" w:ascii="Times New Roman" w:hAnsi="Times New Roman" w:eastAsia="Times New Roman" w:cs="Times New Roman"/>
          <w:spacing w:val="3"/>
          <w:sz w:val="23"/>
          <w:szCs w:val="23"/>
          <w:highlight w:val="none"/>
        </w:rPr>
        <w:t xml:space="preserve">1 </w:t>
      </w:r>
      <w:r>
        <w:rPr>
          <w:rFonts w:hint="default" w:ascii="Times New Roman" w:hAnsi="Times New Roman" w:eastAsia="宋体" w:cs="Times New Roman"/>
          <w:spacing w:val="3"/>
          <w:sz w:val="23"/>
          <w:szCs w:val="23"/>
          <w:highlight w:val="none"/>
        </w:rPr>
        <w:t xml:space="preserve">个喷雾口，喷雾口辐射面积为 </w:t>
      </w:r>
      <w:r>
        <w:rPr>
          <w:rFonts w:hint="default" w:ascii="Times New Roman" w:hAnsi="Times New Roman" w:eastAsia="Times New Roman" w:cs="Times New Roman"/>
          <w:spacing w:val="3"/>
          <w:sz w:val="23"/>
          <w:szCs w:val="23"/>
          <w:highlight w:val="none"/>
        </w:rPr>
        <w:t>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sz w:val="23"/>
          <w:szCs w:val="23"/>
          <w:highlight w:val="none"/>
        </w:rPr>
        <w:t>×3.5</w:t>
      </w:r>
      <w:r>
        <w:rPr>
          <w:rFonts w:hint="default" w:ascii="Times New Roman" w:hAnsi="Times New Roman" w:eastAsia="Times New Roman" w:cs="Times New Roman"/>
          <w:sz w:val="23"/>
          <w:szCs w:val="23"/>
          <w:highlight w:val="none"/>
        </w:rPr>
        <w:t>m</w:t>
      </w:r>
      <w:r>
        <w:rPr>
          <w:rFonts w:hint="default" w:ascii="Times New Roman" w:hAnsi="Times New Roman" w:eastAsia="宋体" w:cs="Times New Roman"/>
          <w:spacing w:val="2"/>
          <w:sz w:val="23"/>
          <w:szCs w:val="23"/>
          <w:highlight w:val="none"/>
        </w:rPr>
        <w:t>，定期向料堆喷水，并在原料卸车过 程中增加喷淋次数。</w:t>
      </w:r>
    </w:p>
    <w:p>
      <w:pPr>
        <w:keepNext w:val="0"/>
        <w:keepLines w:val="0"/>
        <w:pageBreakBefore w:val="0"/>
        <w:widowControl/>
        <w:tabs>
          <w:tab w:val="left" w:pos="146"/>
        </w:tabs>
        <w:kinsoku w:val="0"/>
        <w:wordWrap/>
        <w:overflowPunct/>
        <w:topLinePunct w:val="0"/>
        <w:autoSpaceDE w:val="0"/>
        <w:autoSpaceDN w:val="0"/>
        <w:bidi w:val="0"/>
        <w:adjustRightInd w:val="0"/>
        <w:snapToGrid w:val="0"/>
        <w:spacing w:line="460" w:lineRule="exact"/>
        <w:ind w:left="0" w:right="0" w:firstLine="468" w:firstLineChars="200"/>
        <w:jc w:val="both"/>
        <w:textAlignment w:val="baseline"/>
        <w:rPr>
          <w:rFonts w:hint="default" w:ascii="Times New Roman" w:hAnsi="Times New Roman" w:eastAsia="宋体" w:cs="Times New Roman"/>
          <w:spacing w:val="2"/>
          <w:sz w:val="23"/>
          <w:szCs w:val="23"/>
          <w:highlight w:val="none"/>
        </w:rPr>
      </w:pPr>
      <w:r>
        <w:rPr>
          <w:rFonts w:hint="default" w:ascii="Times New Roman" w:hAnsi="Times New Roman" w:eastAsia="宋体" w:cs="Times New Roman"/>
          <w:spacing w:val="2"/>
          <w:sz w:val="23"/>
          <w:szCs w:val="23"/>
          <w:highlight w:val="none"/>
        </w:rPr>
        <w:t>项目在厂区出口设置红外控制全自动洗车系统，洗车系统包括红外控制系</w:t>
      </w:r>
      <w:r>
        <w:rPr>
          <w:rFonts w:hint="default" w:ascii="Times New Roman" w:hAnsi="Times New Roman" w:eastAsia="宋体" w:cs="Times New Roman"/>
          <w:spacing w:val="2"/>
          <w:sz w:val="23"/>
          <w:szCs w:val="23"/>
          <w:highlight w:val="none"/>
        </w:rPr>
        <w:pict>
          <v:shape id="_x0000_s1376" o:spid="_x0000_s1376" style="position:absolute;left:0pt;margin-left:89.85pt;margin-top:59.05pt;height:0.75pt;width:415.65pt;mso-position-horizontal-relative:page;mso-position-vertical-relative:page;z-index:251824128;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2"/>
          <w:sz w:val="23"/>
          <w:szCs w:val="23"/>
          <w:highlight w:val="none"/>
        </w:rPr>
        <w:t>统、清洗系统、导流系统和沉淀系统等，清洗系统包括车身冲洗系统和轮胎冲洗 系统，导流系统位于清洗车辆下方，避免洗车废水积存。当运输车辆进入洗车系 统后红外控制系统自动启动发出开启指令控制清洗系统开启，车身清洗系统和轮 胎冲洗系统喷头进行喷水作业，自动冲洗车身及轮胎等，洗车废水通过水篦子流 入导流系统然后自流入沉淀系统，洗车废水经沉淀系统澄清后循环利用。车辆冲 洗结束后，运输车辆驶离洗车系统，红外控制系统发出关闭指令控制清洗系统关 闭。运输车辆经苫布覆盖后离开厂区。</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20" w:firstLine="484"/>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本项目尾矿砂转运过程中为避免粉尘污染，要求运输车辆加盖苫布，避开</w:t>
      </w:r>
      <w:r>
        <w:rPr>
          <w:rFonts w:hint="default" w:ascii="Times New Roman" w:hAnsi="Times New Roman" w:eastAsia="宋体" w:cs="Times New Roman"/>
          <w:spacing w:val="4"/>
          <w:sz w:val="23"/>
          <w:szCs w:val="23"/>
          <w:highlight w:val="none"/>
        </w:rPr>
        <w:t>沿</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途集</w:t>
      </w:r>
      <w:r>
        <w:rPr>
          <w:rFonts w:hint="default" w:ascii="Times New Roman" w:hAnsi="Times New Roman" w:eastAsia="宋体" w:cs="Times New Roman"/>
          <w:spacing w:val="14"/>
          <w:sz w:val="23"/>
          <w:szCs w:val="23"/>
          <w:highlight w:val="none"/>
        </w:rPr>
        <w:t>中</w:t>
      </w:r>
      <w:r>
        <w:rPr>
          <w:rFonts w:hint="default" w:ascii="Times New Roman" w:hAnsi="Times New Roman" w:eastAsia="宋体" w:cs="Times New Roman"/>
          <w:spacing w:val="8"/>
          <w:sz w:val="23"/>
          <w:szCs w:val="23"/>
          <w:highlight w:val="none"/>
        </w:rPr>
        <w:t>居民区，项目尾矿砂由厂区小路外运，沿居民区外缘公路运输至目的地。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在</w:t>
      </w:r>
      <w:r>
        <w:rPr>
          <w:rFonts w:hint="default" w:ascii="Times New Roman" w:hAnsi="Times New Roman" w:eastAsia="宋体" w:cs="Times New Roman"/>
          <w:spacing w:val="14"/>
          <w:sz w:val="23"/>
          <w:szCs w:val="23"/>
          <w:highlight w:val="none"/>
        </w:rPr>
        <w:t>本</w:t>
      </w:r>
      <w:r>
        <w:rPr>
          <w:rFonts w:hint="default" w:ascii="Times New Roman" w:hAnsi="Times New Roman" w:eastAsia="宋体" w:cs="Times New Roman"/>
          <w:spacing w:val="8"/>
          <w:sz w:val="23"/>
          <w:szCs w:val="23"/>
          <w:highlight w:val="none"/>
        </w:rPr>
        <w:t xml:space="preserve">项目厂区运输车辆出入口设置配备车辆冲洗池，底层铺一层粒径 </w:t>
      </w:r>
      <w:r>
        <w:rPr>
          <w:rFonts w:hint="default" w:ascii="Times New Roman" w:hAnsi="Times New Roman" w:eastAsia="Times New Roman" w:cs="Times New Roman"/>
          <w:spacing w:val="8"/>
          <w:sz w:val="23"/>
          <w:szCs w:val="23"/>
          <w:highlight w:val="none"/>
        </w:rPr>
        <w:t xml:space="preserve">10 </w:t>
      </w:r>
      <w:r>
        <w:rPr>
          <w:rFonts w:hint="default" w:ascii="Times New Roman" w:hAnsi="Times New Roman" w:eastAsia="宋体" w:cs="Times New Roman"/>
          <w:spacing w:val="8"/>
          <w:sz w:val="23"/>
          <w:szCs w:val="23"/>
          <w:highlight w:val="none"/>
        </w:rPr>
        <w:t>毫米的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碎</w:t>
      </w:r>
      <w:r>
        <w:rPr>
          <w:rFonts w:hint="default" w:ascii="Times New Roman" w:hAnsi="Times New Roman" w:eastAsia="宋体" w:cs="Times New Roman"/>
          <w:spacing w:val="13"/>
          <w:sz w:val="23"/>
          <w:szCs w:val="23"/>
          <w:highlight w:val="none"/>
        </w:rPr>
        <w:t>石</w:t>
      </w:r>
      <w:r>
        <w:rPr>
          <w:rFonts w:hint="default" w:ascii="Times New Roman" w:hAnsi="Times New Roman" w:eastAsia="宋体" w:cs="Times New Roman"/>
          <w:spacing w:val="9"/>
          <w:sz w:val="23"/>
          <w:szCs w:val="23"/>
          <w:highlight w:val="none"/>
        </w:rPr>
        <w:t>，以减少驶出工地车辆轮胎带的泥土量，清洗水循环使用，不外排。</w:t>
      </w:r>
    </w:p>
    <w:p>
      <w:pPr>
        <w:keepNext w:val="0"/>
        <w:keepLines w:val="0"/>
        <w:pageBreakBefore w:val="0"/>
        <w:widowControl/>
        <w:kinsoku w:val="0"/>
        <w:wordWrap/>
        <w:overflowPunct/>
        <w:topLinePunct w:val="0"/>
        <w:autoSpaceDE w:val="0"/>
        <w:autoSpaceDN w:val="0"/>
        <w:bidi w:val="0"/>
        <w:adjustRightInd w:val="0"/>
        <w:snapToGrid w:val="0"/>
        <w:spacing w:before="1" w:line="460" w:lineRule="exact"/>
        <w:ind w:left="20" w:right="70" w:firstLine="485"/>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sz w:val="23"/>
          <w:szCs w:val="23"/>
          <w:highlight w:val="none"/>
        </w:rPr>
        <w:t>无</w:t>
      </w:r>
      <w:r>
        <w:rPr>
          <w:rFonts w:hint="default" w:ascii="Times New Roman" w:hAnsi="Times New Roman" w:eastAsia="宋体" w:cs="Times New Roman"/>
          <w:spacing w:val="7"/>
          <w:sz w:val="23"/>
          <w:szCs w:val="23"/>
          <w:highlight w:val="none"/>
        </w:rPr>
        <w:t>组织粉尘排放满足《铁矿采选工业污染物排放标准》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7"/>
          <w:sz w:val="23"/>
          <w:szCs w:val="23"/>
          <w:highlight w:val="none"/>
        </w:rPr>
        <w:t>28661-2012</w:t>
      </w:r>
      <w:r>
        <w:rPr>
          <w:rFonts w:hint="default" w:ascii="Times New Roman" w:hAnsi="Times New Roman" w:eastAsia="宋体" w:cs="Times New Roman"/>
          <w:spacing w:val="7"/>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表 </w:t>
      </w:r>
      <w:r>
        <w:rPr>
          <w:rFonts w:hint="default" w:ascii="Times New Roman" w:hAnsi="Times New Roman" w:eastAsia="Times New Roman" w:cs="Times New Roman"/>
          <w:spacing w:val="4"/>
          <w:sz w:val="23"/>
          <w:szCs w:val="23"/>
          <w:highlight w:val="none"/>
        </w:rPr>
        <w:t xml:space="preserve">7 </w:t>
      </w:r>
      <w:r>
        <w:rPr>
          <w:rFonts w:hint="default" w:ascii="Times New Roman" w:hAnsi="Times New Roman" w:eastAsia="宋体" w:cs="Times New Roman"/>
          <w:spacing w:val="4"/>
          <w:sz w:val="23"/>
          <w:szCs w:val="23"/>
          <w:highlight w:val="none"/>
        </w:rPr>
        <w:t xml:space="preserve">中粉尘无组织排放浓度限值 </w:t>
      </w:r>
      <w:r>
        <w:rPr>
          <w:rFonts w:hint="default" w:ascii="Times New Roman" w:hAnsi="Times New Roman" w:eastAsia="Times New Roman" w:cs="Times New Roman"/>
          <w:spacing w:val="4"/>
          <w:sz w:val="23"/>
          <w:szCs w:val="23"/>
          <w:highlight w:val="none"/>
        </w:rPr>
        <w:t>1.0</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position w:val="7"/>
          <w:sz w:val="15"/>
          <w:szCs w:val="15"/>
          <w:highlight w:val="none"/>
        </w:rPr>
        <w:t xml:space="preserve">3 </w:t>
      </w:r>
      <w:r>
        <w:rPr>
          <w:rFonts w:hint="default" w:ascii="Times New Roman" w:hAnsi="Times New Roman" w:eastAsia="宋体" w:cs="Times New Roman"/>
          <w:spacing w:val="4"/>
          <w:sz w:val="23"/>
          <w:szCs w:val="23"/>
          <w:highlight w:val="none"/>
        </w:rPr>
        <w:t>的要求，措施可行。</w:t>
      </w:r>
    </w:p>
    <w:p>
      <w:pPr>
        <w:spacing w:before="62" w:line="221" w:lineRule="auto"/>
        <w:ind w:left="22"/>
        <w:outlineLvl w:val="1"/>
        <w:rPr>
          <w:rFonts w:hint="default" w:ascii="Times New Roman" w:hAnsi="Times New Roman" w:eastAsia="宋体" w:cs="Times New Roman"/>
          <w:sz w:val="28"/>
          <w:szCs w:val="28"/>
          <w:highlight w:val="none"/>
        </w:rPr>
      </w:pPr>
      <w:bookmarkStart w:id="727" w:name="_Toc23328"/>
      <w:bookmarkStart w:id="728" w:name="_Toc3771"/>
      <w:bookmarkStart w:id="729" w:name="_Toc11846"/>
      <w:r>
        <w:rPr>
          <w:rFonts w:hint="default" w:ascii="Times New Roman" w:hAnsi="Times New Roman" w:eastAsia="Times New Roman" w:cs="Times New Roman"/>
          <w:b/>
          <w:bCs/>
          <w:sz w:val="28"/>
          <w:szCs w:val="28"/>
          <w:highlight w:val="none"/>
        </w:rPr>
        <w:t>6.2</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废水治理措施可行性论证</w:t>
      </w:r>
      <w:bookmarkEnd w:id="727"/>
      <w:bookmarkEnd w:id="728"/>
      <w:bookmarkEnd w:id="729"/>
    </w:p>
    <w:p>
      <w:pPr>
        <w:spacing w:before="75" w:line="228" w:lineRule="auto"/>
        <w:ind w:left="512"/>
        <w:jc w:val="both"/>
        <w:outlineLvl w:val="2"/>
        <w:rPr>
          <w:rFonts w:hint="default" w:ascii="Times New Roman" w:hAnsi="Times New Roman" w:eastAsia="宋体" w:cs="Times New Roman"/>
          <w:sz w:val="23"/>
          <w:szCs w:val="23"/>
          <w:highlight w:val="none"/>
        </w:rPr>
      </w:pPr>
      <w:bookmarkStart w:id="730" w:name="_Toc21326"/>
      <w:bookmarkStart w:id="731" w:name="_Toc27770"/>
      <w:bookmarkStart w:id="732" w:name="_Toc90"/>
      <w:r>
        <w:rPr>
          <w:rFonts w:hint="default" w:ascii="Times New Roman" w:hAnsi="Times New Roman" w:eastAsia="宋体" w:cs="Times New Roman"/>
          <w:spacing w:val="25"/>
          <w:sz w:val="23"/>
          <w:szCs w:val="23"/>
          <w:highlight w:val="none"/>
        </w:rPr>
        <w:t>(</w:t>
      </w:r>
      <w:r>
        <w:rPr>
          <w:rFonts w:hint="default" w:ascii="Times New Roman" w:hAnsi="Times New Roman" w:eastAsia="Times New Roman" w:cs="Times New Roman"/>
          <w:spacing w:val="14"/>
          <w:sz w:val="23"/>
          <w:szCs w:val="23"/>
          <w:highlight w:val="none"/>
        </w:rPr>
        <w:t>1</w:t>
      </w:r>
      <w:r>
        <w:rPr>
          <w:rFonts w:hint="default" w:ascii="Times New Roman" w:hAnsi="Times New Roman" w:eastAsia="宋体" w:cs="Times New Roman"/>
          <w:spacing w:val="14"/>
          <w:sz w:val="23"/>
          <w:szCs w:val="23"/>
          <w:highlight w:val="none"/>
        </w:rPr>
        <w:t>) 生产废水治理措施可行性论证</w:t>
      </w:r>
      <w:bookmarkEnd w:id="730"/>
      <w:bookmarkEnd w:id="731"/>
      <w:bookmarkEnd w:id="732"/>
    </w:p>
    <w:p>
      <w:pPr>
        <w:spacing w:before="213" w:line="402" w:lineRule="auto"/>
        <w:ind w:left="21" w:right="49" w:firstLine="479"/>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铁</w:t>
      </w:r>
      <w:r>
        <w:rPr>
          <w:rFonts w:hint="default" w:ascii="Times New Roman" w:hAnsi="Times New Roman" w:eastAsia="宋体" w:cs="Times New Roman"/>
          <w:spacing w:val="7"/>
          <w:sz w:val="23"/>
          <w:szCs w:val="23"/>
          <w:highlight w:val="none"/>
        </w:rPr>
        <w:t>矿石加工过程中将产生大量选矿废水，生产选砂工序产生的含尾矿浆废水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经</w:t>
      </w:r>
      <w:r>
        <w:rPr>
          <w:rFonts w:hint="default" w:ascii="Times New Roman" w:hAnsi="Times New Roman" w:eastAsia="宋体" w:cs="Times New Roman"/>
          <w:spacing w:val="7"/>
          <w:sz w:val="23"/>
          <w:szCs w:val="23"/>
          <w:highlight w:val="none"/>
        </w:rPr>
        <w:t>浓缩罐、脱水筛脱水后，与精粉过滤机脱出水一起排入浓密池处理，尾矿水在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池</w:t>
      </w:r>
      <w:r>
        <w:rPr>
          <w:rFonts w:hint="default" w:ascii="Times New Roman" w:hAnsi="Times New Roman" w:eastAsia="宋体" w:cs="Times New Roman"/>
          <w:spacing w:val="7"/>
          <w:sz w:val="23"/>
          <w:szCs w:val="23"/>
          <w:highlight w:val="none"/>
        </w:rPr>
        <w:t>内沉淀后，上清液排入清水池，全部通过管道送生产工序循环使用，故生产中</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产生的废水全部回用于生产，不外排</w:t>
      </w:r>
      <w:r>
        <w:rPr>
          <w:rFonts w:hint="default" w:ascii="Times New Roman" w:hAnsi="Times New Roman" w:eastAsia="宋体" w:cs="Times New Roman"/>
          <w:spacing w:val="6"/>
          <w:sz w:val="23"/>
          <w:szCs w:val="23"/>
          <w:highlight w:val="none"/>
        </w:rPr>
        <w:t>。</w:t>
      </w:r>
    </w:p>
    <w:p>
      <w:pPr>
        <w:spacing w:before="2" w:line="401" w:lineRule="auto"/>
        <w:ind w:left="20" w:right="47" w:firstLine="48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生产用水工序主要为球磨和磁选，主要用于输送矿浆，对水质没有</w:t>
      </w:r>
      <w:r>
        <w:rPr>
          <w:rFonts w:hint="default" w:ascii="Times New Roman" w:hAnsi="Times New Roman" w:eastAsia="宋体" w:cs="Times New Roman"/>
          <w:spacing w:val="6"/>
          <w:sz w:val="23"/>
          <w:szCs w:val="23"/>
          <w:highlight w:val="none"/>
        </w:rPr>
        <w:t>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殊</w:t>
      </w:r>
      <w:r>
        <w:rPr>
          <w:rFonts w:hint="default" w:ascii="Times New Roman" w:hAnsi="Times New Roman" w:eastAsia="宋体" w:cs="Times New Roman"/>
          <w:spacing w:val="8"/>
          <w:sz w:val="23"/>
          <w:szCs w:val="23"/>
          <w:highlight w:val="none"/>
        </w:rPr>
        <w:t xml:space="preserve">要求。尾矿砂中污染物主要为 </w:t>
      </w:r>
      <w:r>
        <w:rPr>
          <w:rFonts w:hint="default" w:ascii="Times New Roman" w:hAnsi="Times New Roman" w:eastAsia="Times New Roman" w:cs="Times New Roman"/>
          <w:sz w:val="23"/>
          <w:szCs w:val="23"/>
          <w:highlight w:val="none"/>
        </w:rPr>
        <w:t>SS</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，尾矿砂在浓密池中可以得到充分的沉淀，</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 xml:space="preserve">其出水 </w:t>
      </w:r>
      <w:r>
        <w:rPr>
          <w:rFonts w:hint="default" w:ascii="Times New Roman" w:hAnsi="Times New Roman" w:eastAsia="Times New Roman" w:cs="Times New Roman"/>
          <w:sz w:val="23"/>
          <w:szCs w:val="23"/>
          <w:highlight w:val="none"/>
        </w:rPr>
        <w:t>SS</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rPr>
        <w:t>浓度</w:t>
      </w:r>
      <w:r>
        <w:rPr>
          <w:rFonts w:hint="default" w:ascii="Times New Roman" w:hAnsi="Times New Roman" w:eastAsia="宋体" w:cs="Times New Roman"/>
          <w:spacing w:val="5"/>
          <w:sz w:val="23"/>
          <w:szCs w:val="23"/>
          <w:highlight w:val="none"/>
        </w:rPr>
        <w:t>可</w:t>
      </w:r>
      <w:r>
        <w:rPr>
          <w:rFonts w:hint="default" w:ascii="Times New Roman" w:hAnsi="Times New Roman" w:eastAsia="宋体" w:cs="Times New Roman"/>
          <w:spacing w:val="4"/>
          <w:sz w:val="23"/>
          <w:szCs w:val="23"/>
          <w:highlight w:val="none"/>
        </w:rPr>
        <w:t xml:space="preserve">降到 </w:t>
      </w:r>
      <w:r>
        <w:rPr>
          <w:rFonts w:hint="default" w:ascii="Times New Roman" w:hAnsi="Times New Roman" w:eastAsia="Times New Roman" w:cs="Times New Roman"/>
          <w:spacing w:val="4"/>
          <w:sz w:val="23"/>
          <w:szCs w:val="23"/>
          <w:highlight w:val="none"/>
        </w:rPr>
        <w:t>50~80</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L</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，因此，由浓密池排入清水池的出水完全可以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满</w:t>
      </w:r>
      <w:r>
        <w:rPr>
          <w:rFonts w:hint="default" w:ascii="Times New Roman" w:hAnsi="Times New Roman" w:eastAsia="宋体" w:cs="Times New Roman"/>
          <w:spacing w:val="7"/>
          <w:sz w:val="23"/>
          <w:szCs w:val="23"/>
          <w:highlight w:val="none"/>
        </w:rPr>
        <w:t>足生产过程球磨和磁选工序对水质的要求。类比调查可知，遵化市各铁选厂尾</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矿</w:t>
      </w:r>
      <w:r>
        <w:rPr>
          <w:rFonts w:hint="default" w:ascii="Times New Roman" w:hAnsi="Times New Roman" w:eastAsia="宋体" w:cs="Times New Roman"/>
          <w:spacing w:val="7"/>
          <w:sz w:val="23"/>
          <w:szCs w:val="23"/>
          <w:highlight w:val="none"/>
        </w:rPr>
        <w:t>浓密池澄清水均采用回收利用措施，并通过加强管理，大部分已实现生产废水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零</w:t>
      </w:r>
      <w:r>
        <w:rPr>
          <w:rFonts w:hint="default" w:ascii="Times New Roman" w:hAnsi="Times New Roman" w:eastAsia="宋体" w:cs="Times New Roman"/>
          <w:spacing w:val="7"/>
          <w:sz w:val="23"/>
          <w:szCs w:val="23"/>
          <w:highlight w:val="none"/>
        </w:rPr>
        <w:t>排放。由此可知，通过设置必要的生产废水回收暂存及回输设施，并辅以严格</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7"/>
          <w:sz w:val="23"/>
          <w:szCs w:val="23"/>
          <w:highlight w:val="none"/>
        </w:rPr>
        <w:t>的</w:t>
      </w:r>
      <w:r>
        <w:rPr>
          <w:rFonts w:hint="default" w:ascii="Times New Roman" w:hAnsi="Times New Roman" w:eastAsia="宋体" w:cs="Times New Roman"/>
          <w:spacing w:val="9"/>
          <w:sz w:val="23"/>
          <w:szCs w:val="23"/>
          <w:highlight w:val="none"/>
        </w:rPr>
        <w:t>管理，完全可以实现生产废水闭路循环不外排，措施可行。</w:t>
      </w:r>
    </w:p>
    <w:p>
      <w:pPr>
        <w:spacing w:before="1" w:line="225" w:lineRule="auto"/>
        <w:ind w:left="512"/>
        <w:jc w:val="both"/>
        <w:rPr>
          <w:rFonts w:hint="default" w:ascii="Times New Roman" w:hAnsi="Times New Roman" w:cs="Times New Roman"/>
          <w:sz w:val="21"/>
          <w:highlight w:val="none"/>
        </w:rPr>
      </w:pPr>
      <w:r>
        <w:rPr>
          <w:rFonts w:hint="default" w:ascii="Times New Roman" w:hAnsi="Times New Roman" w:eastAsia="宋体" w:cs="Times New Roman"/>
          <w:spacing w:val="17"/>
          <w:sz w:val="23"/>
          <w:szCs w:val="23"/>
          <w:highlight w:val="none"/>
        </w:rPr>
        <w:t>(</w:t>
      </w:r>
      <w:r>
        <w:rPr>
          <w:rFonts w:hint="default" w:ascii="Times New Roman" w:hAnsi="Times New Roman" w:eastAsia="Times New Roman" w:cs="Times New Roman"/>
          <w:spacing w:val="14"/>
          <w:sz w:val="23"/>
          <w:szCs w:val="23"/>
          <w:highlight w:val="none"/>
        </w:rPr>
        <w:t>2</w:t>
      </w:r>
      <w:r>
        <w:rPr>
          <w:rFonts w:hint="default" w:ascii="Times New Roman" w:hAnsi="Times New Roman" w:eastAsia="宋体" w:cs="Times New Roman"/>
          <w:spacing w:val="14"/>
          <w:sz w:val="23"/>
          <w:szCs w:val="23"/>
          <w:highlight w:val="none"/>
        </w:rPr>
        <w:t>) 喷雾抑尘废水治理措施可行性论证</w:t>
      </w:r>
      <w:r>
        <w:rPr>
          <w:rFonts w:hint="default" w:ascii="Times New Roman" w:hAnsi="Times New Roman" w:cs="Times New Roman"/>
          <w:highlight w:val="none"/>
        </w:rPr>
        <w:pict>
          <v:shape id="_x0000_s1377" o:spid="_x0000_s1377" style="position:absolute;left:0pt;margin-left:89.85pt;margin-top:59.05pt;height:0.75pt;width:415.65pt;mso-position-horizontal-relative:page;mso-position-vertical-relative:page;z-index:251825152;mso-width-relative:page;mso-height-relative:page;" fillcolor="#000000" filled="t" stroked="f" coordsize="8312,15" o:allowincell="f" path="m0,0l8312,0,8312,14,0,14,0,0xe">
            <v:path/>
            <v:fill on="t" focussize="0,0"/>
            <v:stroke on="f"/>
            <v:imagedata o:title=""/>
            <o:lock v:ext="edit"/>
          </v:shape>
        </w:pict>
      </w:r>
    </w:p>
    <w:p>
      <w:pPr>
        <w:spacing w:before="74" w:line="226" w:lineRule="auto"/>
        <w:ind w:left="51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喷雾抑尘用水全部进行物料中蒸发损耗，无废水产生</w:t>
      </w:r>
      <w:r>
        <w:rPr>
          <w:rFonts w:hint="default" w:ascii="Times New Roman" w:hAnsi="Times New Roman" w:eastAsia="宋体" w:cs="Times New Roman"/>
          <w:spacing w:val="4"/>
          <w:sz w:val="23"/>
          <w:szCs w:val="23"/>
          <w:highlight w:val="none"/>
        </w:rPr>
        <w:t>。</w:t>
      </w:r>
    </w:p>
    <w:p>
      <w:pPr>
        <w:spacing w:before="217" w:line="228" w:lineRule="auto"/>
        <w:ind w:left="512"/>
        <w:outlineLvl w:val="2"/>
        <w:rPr>
          <w:rFonts w:hint="default" w:ascii="Times New Roman" w:hAnsi="Times New Roman" w:eastAsia="宋体" w:cs="Times New Roman"/>
          <w:sz w:val="23"/>
          <w:szCs w:val="23"/>
          <w:highlight w:val="none"/>
        </w:rPr>
      </w:pPr>
      <w:bookmarkStart w:id="733" w:name="_Toc4554"/>
      <w:bookmarkStart w:id="734" w:name="_Toc23151"/>
      <w:bookmarkStart w:id="735" w:name="_Toc1000"/>
      <w:r>
        <w:rPr>
          <w:rFonts w:hint="default" w:ascii="Times New Roman" w:hAnsi="Times New Roman" w:eastAsia="宋体" w:cs="Times New Roman"/>
          <w:spacing w:val="25"/>
          <w:sz w:val="23"/>
          <w:szCs w:val="23"/>
          <w:highlight w:val="none"/>
        </w:rPr>
        <w:t>(</w:t>
      </w:r>
      <w:r>
        <w:rPr>
          <w:rFonts w:hint="default" w:ascii="Times New Roman" w:hAnsi="Times New Roman" w:eastAsia="Times New Roman" w:cs="Times New Roman"/>
          <w:spacing w:val="14"/>
          <w:sz w:val="23"/>
          <w:szCs w:val="23"/>
          <w:highlight w:val="none"/>
        </w:rPr>
        <w:t>3</w:t>
      </w:r>
      <w:r>
        <w:rPr>
          <w:rFonts w:hint="default" w:ascii="Times New Roman" w:hAnsi="Times New Roman" w:eastAsia="宋体" w:cs="Times New Roman"/>
          <w:spacing w:val="14"/>
          <w:sz w:val="23"/>
          <w:szCs w:val="23"/>
          <w:highlight w:val="none"/>
        </w:rPr>
        <w:t>) 洗车废水治理措施可行性论证</w:t>
      </w:r>
      <w:bookmarkEnd w:id="733"/>
      <w:bookmarkEnd w:id="734"/>
      <w:bookmarkEnd w:id="735"/>
    </w:p>
    <w:p>
      <w:pPr>
        <w:spacing w:before="216" w:line="401" w:lineRule="auto"/>
        <w:ind w:left="21" w:right="63"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项目厂区进出口设置洗车平台清洗运输车辆，洗车平台四周设置防溢座，</w:t>
      </w:r>
      <w:r>
        <w:rPr>
          <w:rFonts w:hint="default" w:ascii="Times New Roman" w:hAnsi="Times New Roman" w:eastAsia="宋体" w:cs="Times New Roman"/>
          <w:spacing w:val="3"/>
          <w:sz w:val="23"/>
          <w:szCs w:val="23"/>
          <w:highlight w:val="none"/>
        </w:rPr>
        <w:t>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车</w:t>
      </w:r>
      <w:r>
        <w:rPr>
          <w:rFonts w:hint="default" w:ascii="Times New Roman" w:hAnsi="Times New Roman" w:eastAsia="宋体" w:cs="Times New Roman"/>
          <w:spacing w:val="7"/>
          <w:sz w:val="23"/>
          <w:szCs w:val="23"/>
          <w:highlight w:val="none"/>
        </w:rPr>
        <w:t>过程中产生的废水经废水导流渠流入沉淀池内，经沉淀后的洗车废水流入清水</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池</w:t>
      </w:r>
      <w:r>
        <w:rPr>
          <w:rFonts w:hint="default" w:ascii="Times New Roman" w:hAnsi="Times New Roman" w:eastAsia="宋体" w:cs="Times New Roman"/>
          <w:spacing w:val="9"/>
          <w:sz w:val="23"/>
          <w:szCs w:val="23"/>
          <w:highlight w:val="none"/>
        </w:rPr>
        <w:t>内，循环使用，不外排，各池体做好严格防渗，措施可行。</w:t>
      </w:r>
    </w:p>
    <w:p>
      <w:pPr>
        <w:spacing w:before="69" w:line="221" w:lineRule="auto"/>
        <w:ind w:left="22"/>
        <w:outlineLvl w:val="1"/>
        <w:rPr>
          <w:rFonts w:hint="default" w:ascii="Times New Roman" w:hAnsi="Times New Roman" w:eastAsia="宋体" w:cs="Times New Roman"/>
          <w:sz w:val="28"/>
          <w:szCs w:val="28"/>
          <w:highlight w:val="none"/>
        </w:rPr>
      </w:pPr>
      <w:bookmarkStart w:id="736" w:name="_Toc8277"/>
      <w:bookmarkStart w:id="737" w:name="_Toc8559"/>
      <w:bookmarkStart w:id="738" w:name="_Toc12523"/>
      <w:r>
        <w:rPr>
          <w:rFonts w:hint="default" w:ascii="Times New Roman" w:hAnsi="Times New Roman" w:eastAsia="Times New Roman" w:cs="Times New Roman"/>
          <w:b/>
          <w:bCs/>
          <w:sz w:val="28"/>
          <w:szCs w:val="28"/>
          <w:highlight w:val="none"/>
        </w:rPr>
        <w:t>6.3</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噪声治理措施可行性论证</w:t>
      </w:r>
      <w:bookmarkEnd w:id="736"/>
      <w:bookmarkEnd w:id="737"/>
      <w:bookmarkEnd w:id="738"/>
    </w:p>
    <w:p>
      <w:pPr>
        <w:spacing w:before="75" w:line="401" w:lineRule="auto"/>
        <w:ind w:left="22" w:right="63" w:firstLine="50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由</w:t>
      </w:r>
      <w:r>
        <w:rPr>
          <w:rFonts w:hint="default" w:ascii="Times New Roman" w:hAnsi="Times New Roman" w:eastAsia="宋体" w:cs="Times New Roman"/>
          <w:spacing w:val="6"/>
          <w:sz w:val="23"/>
          <w:szCs w:val="23"/>
          <w:highlight w:val="none"/>
        </w:rPr>
        <w:t>工程分析可知，本项目噪声污染源主要为各生产工序设备运行过程中产生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的</w:t>
      </w:r>
      <w:r>
        <w:rPr>
          <w:rFonts w:hint="default" w:ascii="Times New Roman" w:hAnsi="Times New Roman" w:eastAsia="宋体" w:cs="Times New Roman"/>
          <w:spacing w:val="7"/>
          <w:sz w:val="23"/>
          <w:szCs w:val="23"/>
          <w:highlight w:val="none"/>
        </w:rPr>
        <w:t>机械噪声。噪声治理措施一般从控制噪声源、控制传播途径和保护接受者三方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面</w:t>
      </w:r>
      <w:r>
        <w:rPr>
          <w:rFonts w:hint="default" w:ascii="Times New Roman" w:hAnsi="Times New Roman" w:eastAsia="宋体" w:cs="Times New Roman"/>
          <w:spacing w:val="7"/>
          <w:sz w:val="23"/>
          <w:szCs w:val="23"/>
          <w:highlight w:val="none"/>
        </w:rPr>
        <w:t>考虑，并将三者统一起来。本项目对噪声的控制首先从声源上着手，选用低噪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声</w:t>
      </w:r>
      <w:r>
        <w:rPr>
          <w:rFonts w:hint="default" w:ascii="Times New Roman" w:hAnsi="Times New Roman" w:eastAsia="宋体" w:cs="Times New Roman"/>
          <w:spacing w:val="7"/>
          <w:sz w:val="23"/>
          <w:szCs w:val="23"/>
          <w:highlight w:val="none"/>
        </w:rPr>
        <w:t>设备，对产噪设备加装减振垫；其次是控制噪声传播途径，主要生产设备位于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各</w:t>
      </w:r>
      <w:r>
        <w:rPr>
          <w:rFonts w:hint="default" w:ascii="Times New Roman" w:hAnsi="Times New Roman" w:eastAsia="宋体" w:cs="Times New Roman"/>
          <w:spacing w:val="7"/>
          <w:sz w:val="23"/>
          <w:szCs w:val="23"/>
          <w:highlight w:val="none"/>
        </w:rPr>
        <w:t>封闭彩钢车间内。</w:t>
      </w:r>
    </w:p>
    <w:p>
      <w:pPr>
        <w:spacing w:before="4" w:line="401" w:lineRule="auto"/>
        <w:ind w:left="20"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厂房隔声是噪声控制中最常用、最有效的措施之一，其基本原理为：声波</w:t>
      </w:r>
      <w:r>
        <w:rPr>
          <w:rFonts w:hint="default" w:ascii="Times New Roman" w:hAnsi="Times New Roman" w:eastAsia="宋体" w:cs="Times New Roman"/>
          <w:spacing w:val="4"/>
          <w:sz w:val="23"/>
          <w:szCs w:val="23"/>
          <w:highlight w:val="none"/>
        </w:rPr>
        <w:t>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通</w:t>
      </w:r>
      <w:r>
        <w:rPr>
          <w:rFonts w:hint="default" w:ascii="Times New Roman" w:hAnsi="Times New Roman" w:eastAsia="宋体" w:cs="Times New Roman"/>
          <w:spacing w:val="7"/>
          <w:sz w:val="23"/>
          <w:szCs w:val="23"/>
          <w:highlight w:val="none"/>
        </w:rPr>
        <w:t>过空气的传播途径中，碰到匀质屏蔽物时，由于两分界面特性阻抗的改变，使</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部</w:t>
      </w:r>
      <w:r>
        <w:rPr>
          <w:rFonts w:hint="default" w:ascii="Times New Roman" w:hAnsi="Times New Roman" w:eastAsia="宋体" w:cs="Times New Roman"/>
          <w:spacing w:val="7"/>
          <w:sz w:val="23"/>
          <w:szCs w:val="23"/>
          <w:highlight w:val="none"/>
        </w:rPr>
        <w:t>分声能被屏蔽物反射回去，一部分被屏蔽物吸收，只有一小部分声能可以透过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屏</w:t>
      </w:r>
      <w:r>
        <w:rPr>
          <w:rFonts w:hint="default" w:ascii="Times New Roman" w:hAnsi="Times New Roman" w:eastAsia="宋体" w:cs="Times New Roman"/>
          <w:spacing w:val="7"/>
          <w:sz w:val="23"/>
          <w:szCs w:val="23"/>
          <w:highlight w:val="none"/>
        </w:rPr>
        <w:t>蔽物传到另一端。显然，透射声能仅是入射声能的一部分，因此，通过设置适</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当</w:t>
      </w:r>
      <w:r>
        <w:rPr>
          <w:rFonts w:hint="default" w:ascii="Times New Roman" w:hAnsi="Times New Roman" w:eastAsia="宋体" w:cs="Times New Roman"/>
          <w:spacing w:val="7"/>
          <w:sz w:val="23"/>
          <w:szCs w:val="23"/>
          <w:highlight w:val="none"/>
        </w:rPr>
        <w:t>的屏蔽物便可以使大部分声能反射回去，从而降低噪声的传播。本项目主要产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噪设备均布置在</w:t>
      </w:r>
      <w:r>
        <w:rPr>
          <w:rFonts w:hint="default" w:ascii="Times New Roman" w:hAnsi="Times New Roman" w:eastAsia="宋体" w:cs="Times New Roman"/>
          <w:spacing w:val="2"/>
          <w:sz w:val="23"/>
          <w:szCs w:val="23"/>
          <w:highlight w:val="none"/>
        </w:rPr>
        <w:t>车间内，项目生产车间墙体采用双层夹心彩钢，并采用隔声门窗，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7"/>
          <w:sz w:val="23"/>
          <w:szCs w:val="23"/>
          <w:highlight w:val="none"/>
        </w:rPr>
        <w:t>隔</w:t>
      </w:r>
      <w:r>
        <w:rPr>
          <w:rFonts w:hint="default" w:ascii="Times New Roman" w:hAnsi="Times New Roman" w:eastAsia="宋体" w:cs="Times New Roman"/>
          <w:spacing w:val="10"/>
          <w:sz w:val="23"/>
          <w:szCs w:val="23"/>
          <w:highlight w:val="none"/>
        </w:rPr>
        <w:t>声量可达到</w:t>
      </w:r>
      <w:r>
        <w:rPr>
          <w:rFonts w:hint="default" w:ascii="Times New Roman" w:hAnsi="Times New Roman" w:eastAsia="Times New Roman" w:cs="Times New Roman"/>
          <w:spacing w:val="10"/>
          <w:sz w:val="23"/>
          <w:szCs w:val="23"/>
          <w:highlight w:val="none"/>
        </w:rPr>
        <w:t>17</w:t>
      </w:r>
      <w:r>
        <w:rPr>
          <w:rFonts w:hint="default" w:ascii="Times New Roman" w:hAnsi="Times New Roman" w:eastAsia="Times New Roman" w:cs="Times New Roman"/>
          <w:sz w:val="23"/>
          <w:szCs w:val="23"/>
          <w:highlight w:val="none"/>
        </w:rPr>
        <w:t>dB</w:t>
      </w:r>
      <w:r>
        <w:rPr>
          <w:rFonts w:hint="default" w:ascii="Times New Roman" w:hAnsi="Times New Roman" w:eastAsia="Times New Roman" w:cs="Times New Roman"/>
          <w:spacing w:val="10"/>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10"/>
          <w:sz w:val="23"/>
          <w:szCs w:val="23"/>
          <w:highlight w:val="none"/>
        </w:rPr>
        <w:t>)</w:t>
      </w:r>
      <w:r>
        <w:rPr>
          <w:rFonts w:hint="default" w:ascii="Times New Roman" w:hAnsi="Times New Roman" w:eastAsia="宋体" w:cs="Times New Roman"/>
          <w:spacing w:val="10"/>
          <w:sz w:val="23"/>
          <w:szCs w:val="23"/>
          <w:highlight w:val="none"/>
        </w:rPr>
        <w:t>以上，可有效降低噪声源对外环境的影响。建设项目通过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对</w:t>
      </w:r>
      <w:r>
        <w:rPr>
          <w:rFonts w:hint="default" w:ascii="Times New Roman" w:hAnsi="Times New Roman" w:eastAsia="宋体" w:cs="Times New Roman"/>
          <w:spacing w:val="7"/>
          <w:sz w:val="23"/>
          <w:szCs w:val="23"/>
          <w:highlight w:val="none"/>
        </w:rPr>
        <w:t>噪声设备采取相应基础减振、风机安装隔声罩、泵类安装软连接等措施，可降</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噪</w:t>
      </w:r>
      <w:r>
        <w:rPr>
          <w:rFonts w:hint="default" w:ascii="Times New Roman" w:hAnsi="Times New Roman" w:eastAsia="Times New Roman" w:cs="Times New Roman"/>
          <w:spacing w:val="6"/>
          <w:sz w:val="23"/>
          <w:szCs w:val="23"/>
          <w:highlight w:val="none"/>
        </w:rPr>
        <w:t>5</w:t>
      </w:r>
      <w:r>
        <w:rPr>
          <w:rFonts w:hint="default" w:ascii="Times New Roman" w:hAnsi="Times New Roman" w:eastAsia="Times New Roman" w:cs="Times New Roman"/>
          <w:sz w:val="23"/>
          <w:szCs w:val="23"/>
          <w:highlight w:val="none"/>
        </w:rPr>
        <w:t>dB</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宋体" w:cs="Times New Roman"/>
          <w:spacing w:val="6"/>
          <w:sz w:val="23"/>
          <w:szCs w:val="23"/>
          <w:highlight w:val="none"/>
        </w:rPr>
        <w:t>) 以上。</w:t>
      </w:r>
    </w:p>
    <w:p>
      <w:pPr>
        <w:spacing w:before="2" w:line="405" w:lineRule="auto"/>
        <w:ind w:left="25" w:right="63" w:firstLine="47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通过采取以上措施，各种噪声设备的噪声值得以较大幅度的削减。类比其它</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同</w:t>
      </w:r>
      <w:r>
        <w:rPr>
          <w:rFonts w:hint="default" w:ascii="Times New Roman" w:hAnsi="Times New Roman" w:eastAsia="宋体" w:cs="Times New Roman"/>
          <w:spacing w:val="7"/>
          <w:sz w:val="23"/>
          <w:szCs w:val="23"/>
          <w:highlight w:val="none"/>
        </w:rPr>
        <w:t>类企业采取上述隔声降噪措施的运行情况，效果较好。由声环境影响预测的结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果</w:t>
      </w:r>
      <w:r>
        <w:rPr>
          <w:rFonts w:hint="default" w:ascii="Times New Roman" w:hAnsi="Times New Roman" w:eastAsia="宋体" w:cs="Times New Roman"/>
          <w:spacing w:val="7"/>
          <w:sz w:val="23"/>
          <w:szCs w:val="23"/>
          <w:highlight w:val="none"/>
        </w:rPr>
        <w:t>可知，采取上述措施后，项目各侧厂界噪声贡献值均满足《工业企业厂界环境</w:t>
      </w:r>
    </w:p>
    <w:p>
      <w:pPr>
        <w:tabs>
          <w:tab w:val="left" w:pos="851"/>
        </w:tabs>
        <w:bidi w:val="0"/>
        <w:jc w:val="left"/>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shape id="_x0000_s1379" o:spid="_x0000_s1379" style="position:absolute;left:0pt;margin-left:89.85pt;margin-top:59.05pt;height:0.75pt;width:415.65pt;mso-position-horizontal-relative:page;mso-position-vertical-relative:page;z-index:251827200;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6"/>
          <w:sz w:val="23"/>
          <w:szCs w:val="23"/>
          <w:highlight w:val="none"/>
        </w:rPr>
        <w:t>噪</w:t>
      </w:r>
      <w:r>
        <w:rPr>
          <w:rFonts w:hint="default" w:ascii="Times New Roman" w:hAnsi="Times New Roman" w:eastAsia="宋体" w:cs="Times New Roman"/>
          <w:spacing w:val="5"/>
          <w:sz w:val="23"/>
          <w:szCs w:val="23"/>
          <w:highlight w:val="none"/>
        </w:rPr>
        <w:t>声</w:t>
      </w:r>
      <w:r>
        <w:rPr>
          <w:rFonts w:hint="default" w:ascii="Times New Roman" w:hAnsi="Times New Roman" w:eastAsia="宋体" w:cs="Times New Roman"/>
          <w:spacing w:val="3"/>
          <w:sz w:val="23"/>
          <w:szCs w:val="23"/>
          <w:highlight w:val="none"/>
        </w:rPr>
        <w:t>排放标准》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3"/>
          <w:sz w:val="23"/>
          <w:szCs w:val="23"/>
          <w:highlight w:val="none"/>
        </w:rPr>
        <w:t>12348-2008</w:t>
      </w:r>
      <w:r>
        <w:rPr>
          <w:rFonts w:hint="default" w:ascii="Times New Roman" w:hAnsi="Times New Roman" w:eastAsia="宋体" w:cs="Times New Roman"/>
          <w:spacing w:val="3"/>
          <w:sz w:val="23"/>
          <w:szCs w:val="23"/>
          <w:highlight w:val="none"/>
        </w:rPr>
        <w:t>) 中</w:t>
      </w:r>
      <w:r>
        <w:rPr>
          <w:rFonts w:hint="default" w:ascii="Times New Roman" w:hAnsi="Times New Roman" w:eastAsia="Times New Roman" w:cs="Times New Roman"/>
          <w:spacing w:val="3"/>
          <w:sz w:val="23"/>
          <w:szCs w:val="23"/>
          <w:highlight w:val="none"/>
        </w:rPr>
        <w:t>2</w:t>
      </w:r>
      <w:r>
        <w:rPr>
          <w:rFonts w:hint="default" w:ascii="Times New Roman" w:hAnsi="Times New Roman" w:eastAsia="宋体" w:cs="Times New Roman"/>
          <w:spacing w:val="3"/>
          <w:sz w:val="23"/>
          <w:szCs w:val="23"/>
          <w:highlight w:val="none"/>
        </w:rPr>
        <w:t>类标准限值要求。</w:t>
      </w:r>
    </w:p>
    <w:p>
      <w:pPr>
        <w:spacing w:before="215" w:line="401" w:lineRule="auto"/>
        <w:ind w:left="21" w:right="103" w:firstLine="485"/>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另外，</w:t>
      </w:r>
      <w:r>
        <w:rPr>
          <w:rFonts w:hint="default" w:ascii="Times New Roman" w:hAnsi="Times New Roman" w:eastAsia="宋体" w:cs="Times New Roman"/>
          <w:spacing w:val="6"/>
          <w:sz w:val="23"/>
          <w:szCs w:val="23"/>
          <w:highlight w:val="none"/>
        </w:rPr>
        <w:t>根</w:t>
      </w:r>
      <w:r>
        <w:rPr>
          <w:rFonts w:hint="default" w:ascii="Times New Roman" w:hAnsi="Times New Roman" w:eastAsia="宋体" w:cs="Times New Roman"/>
          <w:spacing w:val="4"/>
          <w:sz w:val="23"/>
          <w:szCs w:val="23"/>
          <w:highlight w:val="none"/>
        </w:rPr>
        <w:t xml:space="preserve">据现场踏勘可知，该铁选厂生产区周围 </w:t>
      </w:r>
      <w:r>
        <w:rPr>
          <w:rFonts w:hint="default" w:ascii="Times New Roman" w:hAnsi="Times New Roman" w:eastAsia="Times New Roman" w:cs="Times New Roman"/>
          <w:spacing w:val="4"/>
          <w:sz w:val="23"/>
          <w:szCs w:val="23"/>
          <w:highlight w:val="none"/>
        </w:rPr>
        <w:t>200</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 xml:space="preserve">内分布有 </w:t>
      </w:r>
      <w:r>
        <w:rPr>
          <w:rFonts w:hint="default" w:ascii="Times New Roman" w:hAnsi="Times New Roman" w:eastAsia="Times New Roman" w:cs="Times New Roman"/>
          <w:spacing w:val="4"/>
          <w:sz w:val="23"/>
          <w:szCs w:val="23"/>
          <w:highlight w:val="none"/>
        </w:rPr>
        <w:t xml:space="preserve">4 </w:t>
      </w:r>
      <w:r>
        <w:rPr>
          <w:rFonts w:hint="default" w:ascii="Times New Roman" w:hAnsi="Times New Roman" w:eastAsia="宋体" w:cs="Times New Roman"/>
          <w:spacing w:val="4"/>
          <w:sz w:val="23"/>
          <w:szCs w:val="23"/>
          <w:highlight w:val="none"/>
        </w:rPr>
        <w:t>处：张家</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坟</w:t>
      </w:r>
      <w:r>
        <w:rPr>
          <w:rFonts w:hint="default" w:ascii="Times New Roman" w:hAnsi="Times New Roman" w:eastAsia="宋体" w:cs="Times New Roman"/>
          <w:spacing w:val="7"/>
          <w:sz w:val="23"/>
          <w:szCs w:val="23"/>
          <w:highlight w:val="none"/>
        </w:rPr>
        <w:t>、孟子院、皮各庄，经过距离的衰减后经预测，各敏感点处噪</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声预测值为均</w:t>
      </w:r>
      <w:r>
        <w:rPr>
          <w:rFonts w:hint="default" w:ascii="Times New Roman" w:hAnsi="Times New Roman" w:eastAsia="宋体" w:cs="Times New Roman"/>
          <w:spacing w:val="7"/>
          <w:sz w:val="23"/>
          <w:szCs w:val="23"/>
          <w:highlight w:val="none"/>
        </w:rPr>
        <w:t>能</w:t>
      </w:r>
      <w:r>
        <w:rPr>
          <w:rFonts w:hint="default" w:ascii="Times New Roman" w:hAnsi="Times New Roman" w:eastAsia="宋体" w:cs="Times New Roman"/>
          <w:spacing w:val="4"/>
          <w:sz w:val="23"/>
          <w:szCs w:val="23"/>
          <w:highlight w:val="none"/>
        </w:rPr>
        <w:t>满足《声环境质量标准》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4"/>
          <w:sz w:val="23"/>
          <w:szCs w:val="23"/>
          <w:highlight w:val="none"/>
        </w:rPr>
        <w:t>3096-2008</w:t>
      </w:r>
      <w:r>
        <w:rPr>
          <w:rFonts w:hint="default" w:ascii="Times New Roman" w:hAnsi="Times New Roman" w:eastAsia="宋体" w:cs="Times New Roman"/>
          <w:spacing w:val="4"/>
          <w:sz w:val="23"/>
          <w:szCs w:val="23"/>
          <w:highlight w:val="none"/>
        </w:rPr>
        <w:t>) 中</w:t>
      </w:r>
      <w:r>
        <w:rPr>
          <w:rFonts w:hint="default" w:ascii="Times New Roman" w:hAnsi="Times New Roman" w:eastAsia="Times New Roman" w:cs="Times New Roman"/>
          <w:spacing w:val="4"/>
          <w:sz w:val="23"/>
          <w:szCs w:val="23"/>
          <w:highlight w:val="none"/>
        </w:rPr>
        <w:t xml:space="preserve">2 </w:t>
      </w:r>
      <w:r>
        <w:rPr>
          <w:rFonts w:hint="default" w:ascii="Times New Roman" w:hAnsi="Times New Roman" w:eastAsia="宋体" w:cs="Times New Roman"/>
          <w:spacing w:val="4"/>
          <w:sz w:val="23"/>
          <w:szCs w:val="23"/>
          <w:highlight w:val="none"/>
        </w:rPr>
        <w:t>类标准限值</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要</w:t>
      </w:r>
      <w:r>
        <w:rPr>
          <w:rFonts w:hint="default" w:ascii="Times New Roman" w:hAnsi="Times New Roman" w:eastAsia="宋体" w:cs="Times New Roman"/>
          <w:spacing w:val="4"/>
          <w:sz w:val="23"/>
          <w:szCs w:val="23"/>
          <w:highlight w:val="none"/>
        </w:rPr>
        <w:t>求，措施可行。</w:t>
      </w:r>
    </w:p>
    <w:p>
      <w:pPr>
        <w:spacing w:before="65" w:line="221" w:lineRule="auto"/>
        <w:ind w:left="22"/>
        <w:outlineLvl w:val="1"/>
        <w:rPr>
          <w:rFonts w:hint="default" w:ascii="Times New Roman" w:hAnsi="Times New Roman" w:eastAsia="宋体" w:cs="Times New Roman"/>
          <w:sz w:val="28"/>
          <w:szCs w:val="28"/>
          <w:highlight w:val="none"/>
        </w:rPr>
      </w:pPr>
      <w:bookmarkStart w:id="739" w:name="_Toc26233"/>
      <w:bookmarkStart w:id="740" w:name="_Toc6542"/>
      <w:bookmarkStart w:id="741" w:name="_Toc21420"/>
      <w:r>
        <w:rPr>
          <w:rFonts w:hint="default" w:ascii="Times New Roman" w:hAnsi="Times New Roman" w:eastAsia="Times New Roman" w:cs="Times New Roman"/>
          <w:b/>
          <w:bCs/>
          <w:spacing w:val="1"/>
          <w:sz w:val="28"/>
          <w:szCs w:val="28"/>
          <w:highlight w:val="none"/>
        </w:rPr>
        <w:t>6.</w:t>
      </w:r>
      <w:r>
        <w:rPr>
          <w:rFonts w:hint="default" w:ascii="Times New Roman" w:hAnsi="Times New Roman" w:eastAsia="Times New Roman" w:cs="Times New Roman"/>
          <w:b/>
          <w:bCs/>
          <w:sz w:val="28"/>
          <w:szCs w:val="28"/>
          <w:highlight w:val="none"/>
        </w:rPr>
        <w:t>4</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固体废物治理措施可行性论证</w:t>
      </w:r>
      <w:bookmarkEnd w:id="739"/>
      <w:bookmarkEnd w:id="740"/>
      <w:bookmarkEnd w:id="741"/>
    </w:p>
    <w:p>
      <w:pPr>
        <w:spacing w:line="242" w:lineRule="auto"/>
        <w:rPr>
          <w:rFonts w:hint="default" w:ascii="Times New Roman" w:hAnsi="Times New Roman" w:cs="Times New Roman"/>
          <w:sz w:val="21"/>
          <w:highlight w:val="none"/>
        </w:rPr>
      </w:pPr>
    </w:p>
    <w:p>
      <w:pPr>
        <w:spacing w:before="75" w:line="227" w:lineRule="auto"/>
        <w:ind w:left="50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本</w:t>
      </w:r>
      <w:r>
        <w:rPr>
          <w:rFonts w:hint="default" w:ascii="Times New Roman" w:hAnsi="Times New Roman" w:eastAsia="宋体" w:cs="Times New Roman"/>
          <w:spacing w:val="11"/>
          <w:sz w:val="23"/>
          <w:szCs w:val="23"/>
          <w:highlight w:val="none"/>
        </w:rPr>
        <w:t>项</w:t>
      </w:r>
      <w:r>
        <w:rPr>
          <w:rFonts w:hint="default" w:ascii="Times New Roman" w:hAnsi="Times New Roman" w:eastAsia="宋体" w:cs="Times New Roman"/>
          <w:spacing w:val="9"/>
          <w:sz w:val="23"/>
          <w:szCs w:val="23"/>
          <w:highlight w:val="none"/>
        </w:rPr>
        <w:t>目产生的固体废物分为一般固体废弃物、危险废物。</w:t>
      </w:r>
    </w:p>
    <w:p>
      <w:pPr>
        <w:spacing w:before="219" w:line="228" w:lineRule="auto"/>
        <w:ind w:left="512"/>
        <w:outlineLvl w:val="2"/>
        <w:rPr>
          <w:rFonts w:hint="default" w:ascii="Times New Roman" w:hAnsi="Times New Roman" w:eastAsia="宋体" w:cs="Times New Roman"/>
          <w:sz w:val="23"/>
          <w:szCs w:val="23"/>
          <w:highlight w:val="none"/>
        </w:rPr>
      </w:pPr>
      <w:bookmarkStart w:id="742" w:name="_Toc31661"/>
      <w:bookmarkStart w:id="743" w:name="_Toc8959"/>
      <w:bookmarkStart w:id="744" w:name="_Toc14086"/>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7"/>
          <w:sz w:val="23"/>
          <w:szCs w:val="23"/>
          <w:highlight w:val="none"/>
        </w:rPr>
        <w:t>1</w:t>
      </w:r>
      <w:r>
        <w:rPr>
          <w:rFonts w:hint="default" w:ascii="Times New Roman" w:hAnsi="Times New Roman" w:eastAsia="宋体" w:cs="Times New Roman"/>
          <w:spacing w:val="17"/>
          <w:sz w:val="23"/>
          <w:szCs w:val="23"/>
          <w:highlight w:val="none"/>
        </w:rPr>
        <w:t>) 一般固体废弃物</w:t>
      </w:r>
      <w:bookmarkEnd w:id="742"/>
      <w:bookmarkEnd w:id="743"/>
      <w:bookmarkEnd w:id="744"/>
    </w:p>
    <w:p>
      <w:pPr>
        <w:spacing w:before="217" w:line="401" w:lineRule="auto"/>
        <w:ind w:left="20" w:right="127"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sz w:val="23"/>
          <w:szCs w:val="23"/>
          <w:highlight w:val="none"/>
        </w:rPr>
        <w:t>本项目尾矿砂主要成分为</w:t>
      </w:r>
      <w:r>
        <w:rPr>
          <w:rFonts w:hint="default" w:ascii="Times New Roman" w:hAnsi="Times New Roman" w:eastAsia="Times New Roman" w:cs="Times New Roman"/>
          <w:sz w:val="23"/>
          <w:szCs w:val="23"/>
          <w:highlight w:val="none"/>
        </w:rPr>
        <w:t>SiO</w:t>
      </w:r>
      <w:r>
        <w:rPr>
          <w:rFonts w:hint="default" w:ascii="Times New Roman" w:hAnsi="Times New Roman" w:eastAsia="Times New Roman" w:cs="Times New Roman"/>
          <w:spacing w:val="10"/>
          <w:position w:val="-1"/>
          <w:sz w:val="15"/>
          <w:szCs w:val="15"/>
          <w:highlight w:val="none"/>
        </w:rPr>
        <w:t>2</w:t>
      </w:r>
      <w:r>
        <w:rPr>
          <w:rFonts w:hint="default" w:ascii="Times New Roman" w:hAnsi="Times New Roman" w:eastAsia="Times New Roman" w:cs="Times New Roman"/>
          <w:position w:val="-1"/>
          <w:sz w:val="15"/>
          <w:szCs w:val="15"/>
          <w:highlight w:val="none"/>
        </w:rPr>
        <w:t xml:space="preserve">  </w:t>
      </w:r>
      <w:r>
        <w:rPr>
          <w:rFonts w:hint="default" w:ascii="Times New Roman" w:hAnsi="Times New Roman" w:eastAsia="宋体" w:cs="Times New Roman"/>
          <w:spacing w:val="12"/>
          <w:sz w:val="23"/>
          <w:szCs w:val="23"/>
          <w:highlight w:val="none"/>
        </w:rPr>
        <w:t>和</w:t>
      </w:r>
      <w:r>
        <w:rPr>
          <w:rFonts w:hint="default" w:ascii="Times New Roman" w:hAnsi="Times New Roman" w:eastAsia="Times New Roman" w:cs="Times New Roman"/>
          <w:sz w:val="23"/>
          <w:szCs w:val="23"/>
          <w:highlight w:val="none"/>
        </w:rPr>
        <w:t>Fe</w:t>
      </w:r>
      <w:r>
        <w:rPr>
          <w:rFonts w:hint="default" w:ascii="Times New Roman" w:hAnsi="Times New Roman" w:eastAsia="宋体" w:cs="Times New Roman"/>
          <w:spacing w:val="12"/>
          <w:sz w:val="23"/>
          <w:szCs w:val="23"/>
          <w:highlight w:val="none"/>
        </w:rPr>
        <w:t>等元</w:t>
      </w:r>
      <w:r>
        <w:rPr>
          <w:rFonts w:hint="default" w:ascii="Times New Roman" w:hAnsi="Times New Roman" w:eastAsia="宋体" w:cs="Times New Roman"/>
          <w:spacing w:val="11"/>
          <w:sz w:val="23"/>
          <w:szCs w:val="23"/>
          <w:highlight w:val="none"/>
        </w:rPr>
        <w:t>素</w:t>
      </w:r>
      <w:r>
        <w:rPr>
          <w:rFonts w:hint="default" w:ascii="Times New Roman" w:hAnsi="Times New Roman" w:eastAsia="宋体" w:cs="Times New Roman"/>
          <w:spacing w:val="6"/>
          <w:sz w:val="23"/>
          <w:szCs w:val="23"/>
          <w:highlight w:val="none"/>
        </w:rPr>
        <w:t>，不含有毒有害物质，</w:t>
      </w:r>
      <w:r>
        <w:rPr>
          <w:rFonts w:hint="eastAsia" w:ascii="Times New Roman" w:hAnsi="Times New Roman" w:eastAsia="宋体" w:cs="Times New Roman"/>
          <w:spacing w:val="6"/>
          <w:sz w:val="23"/>
          <w:szCs w:val="23"/>
          <w:highlight w:val="none"/>
          <w:lang w:val="en-US" w:eastAsia="zh-CN"/>
        </w:rPr>
        <w:t>细砂作为建筑材料外售，泥饼作为建筑材料外售，砂石料作为建筑材料外售</w:t>
      </w:r>
      <w:r>
        <w:rPr>
          <w:rFonts w:hint="default" w:ascii="Times New Roman" w:hAnsi="Times New Roman" w:eastAsia="宋体" w:cs="Times New Roman"/>
          <w:spacing w:val="6"/>
          <w:sz w:val="23"/>
          <w:szCs w:val="23"/>
          <w:highlight w:val="none"/>
        </w:rPr>
        <w:t>；布袋除尘器</w:t>
      </w:r>
      <w:r>
        <w:rPr>
          <w:rFonts w:hint="default" w:ascii="Times New Roman" w:hAnsi="Times New Roman" w:eastAsia="宋体" w:cs="Times New Roman"/>
          <w:spacing w:val="2"/>
          <w:sz w:val="23"/>
          <w:szCs w:val="23"/>
          <w:highlight w:val="none"/>
        </w:rPr>
        <w:t>收集的除尘灰集中收集后</w:t>
      </w:r>
      <w:r>
        <w:rPr>
          <w:rFonts w:hint="eastAsia" w:ascii="Times New Roman" w:hAnsi="Times New Roman" w:eastAsia="宋体" w:cs="Times New Roman"/>
          <w:spacing w:val="8"/>
          <w:sz w:val="23"/>
          <w:szCs w:val="23"/>
          <w:highlight w:val="none"/>
          <w:lang w:val="en-US" w:eastAsia="zh-CN"/>
        </w:rPr>
        <w:t>，卸灰至灰仓下部水</w:t>
      </w:r>
      <w:r>
        <w:rPr>
          <w:rFonts w:hint="eastAsia" w:ascii="Times New Roman" w:hAnsi="Times New Roman" w:eastAsia="宋体" w:cs="Times New Roman"/>
          <w:spacing w:val="29"/>
          <w:sz w:val="23"/>
          <w:szCs w:val="23"/>
          <w:highlight w:val="none"/>
          <w:lang w:val="en-US" w:eastAsia="zh-CN"/>
        </w:rPr>
        <w:t>箱内，由渣浆泵打入球磨机回用于生产，</w:t>
      </w:r>
      <w:r>
        <w:rPr>
          <w:rFonts w:hint="eastAsia" w:ascii="Times New Roman" w:hAnsi="Times New Roman" w:eastAsia="宋体" w:cs="Times New Roman"/>
          <w:spacing w:val="7"/>
          <w:sz w:val="23"/>
          <w:szCs w:val="23"/>
          <w:highlight w:val="none"/>
          <w:lang w:val="en-US" w:eastAsia="zh-CN"/>
        </w:rPr>
        <w:t>球磨机产生的废</w:t>
      </w:r>
      <w:r>
        <w:rPr>
          <w:rFonts w:hint="eastAsia" w:ascii="Times New Roman" w:hAnsi="Times New Roman" w:eastAsia="宋体" w:cs="Times New Roman"/>
          <w:spacing w:val="8"/>
          <w:sz w:val="23"/>
          <w:szCs w:val="23"/>
          <w:highlight w:val="none"/>
          <w:lang w:val="en-US" w:eastAsia="zh-CN"/>
        </w:rPr>
        <w:t>钢球外售废品回收单位</w:t>
      </w:r>
      <w:r>
        <w:rPr>
          <w:rFonts w:hint="default" w:ascii="Times New Roman" w:hAnsi="Times New Roman" w:eastAsia="宋体" w:cs="Times New Roman"/>
          <w:spacing w:val="8"/>
          <w:sz w:val="23"/>
          <w:szCs w:val="23"/>
          <w:highlight w:val="none"/>
          <w:lang w:val="en-US" w:eastAsia="zh-CN"/>
        </w:rPr>
        <w:t>。</w:t>
      </w:r>
    </w:p>
    <w:p>
      <w:pPr>
        <w:spacing w:line="229" w:lineRule="auto"/>
        <w:ind w:left="512"/>
        <w:outlineLvl w:val="2"/>
        <w:rPr>
          <w:rFonts w:hint="default" w:ascii="Times New Roman" w:hAnsi="Times New Roman" w:eastAsia="宋体" w:cs="Times New Roman"/>
          <w:sz w:val="23"/>
          <w:szCs w:val="23"/>
          <w:highlight w:val="none"/>
        </w:rPr>
      </w:pPr>
      <w:bookmarkStart w:id="745" w:name="_Toc7209"/>
      <w:bookmarkStart w:id="746" w:name="_Toc12145"/>
      <w:bookmarkStart w:id="747" w:name="_Toc14282"/>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2</w:t>
      </w:r>
      <w:r>
        <w:rPr>
          <w:rFonts w:hint="default" w:ascii="Times New Roman" w:hAnsi="Times New Roman" w:eastAsia="宋体" w:cs="Times New Roman"/>
          <w:spacing w:val="20"/>
          <w:sz w:val="23"/>
          <w:szCs w:val="23"/>
          <w:highlight w:val="none"/>
        </w:rPr>
        <w:t>) 危险废</w:t>
      </w:r>
      <w:r>
        <w:rPr>
          <w:rFonts w:hint="default" w:ascii="Times New Roman" w:hAnsi="Times New Roman" w:eastAsia="宋体" w:cs="Times New Roman"/>
          <w:spacing w:val="19"/>
          <w:sz w:val="23"/>
          <w:szCs w:val="23"/>
          <w:highlight w:val="none"/>
        </w:rPr>
        <w:t>物</w:t>
      </w:r>
      <w:bookmarkEnd w:id="745"/>
      <w:bookmarkEnd w:id="746"/>
      <w:bookmarkEnd w:id="747"/>
    </w:p>
    <w:p>
      <w:pPr>
        <w:spacing w:before="214" w:line="408" w:lineRule="auto"/>
        <w:ind w:left="22" w:firstLine="47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根据《国家危险废物名录》规定，生产设备使用过程产生的废矿物油、废油</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桶属于危险废物 (</w:t>
      </w:r>
      <w:r>
        <w:rPr>
          <w:rFonts w:hint="default" w:ascii="Times New Roman" w:hAnsi="Times New Roman" w:eastAsia="Times New Roman" w:cs="Times New Roman"/>
          <w:sz w:val="23"/>
          <w:szCs w:val="23"/>
          <w:highlight w:val="none"/>
        </w:rPr>
        <w:t>HW</w:t>
      </w:r>
      <w:r>
        <w:rPr>
          <w:rFonts w:hint="default" w:ascii="Times New Roman" w:hAnsi="Times New Roman" w:eastAsia="Times New Roman" w:cs="Times New Roman"/>
          <w:spacing w:val="1"/>
          <w:sz w:val="23"/>
          <w:szCs w:val="23"/>
          <w:highlight w:val="none"/>
        </w:rPr>
        <w:t>08</w:t>
      </w:r>
      <w:r>
        <w:rPr>
          <w:rFonts w:hint="default" w:ascii="Times New Roman" w:hAnsi="Times New Roman" w:eastAsia="宋体" w:cs="Times New Roman"/>
          <w:spacing w:val="1"/>
          <w:sz w:val="23"/>
          <w:szCs w:val="23"/>
          <w:highlight w:val="none"/>
        </w:rPr>
        <w:t>) ，按照《危险废物贮存污染控制标准》(</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1"/>
          <w:sz w:val="23"/>
          <w:szCs w:val="23"/>
          <w:highlight w:val="none"/>
        </w:rPr>
        <w:t>18597</w:t>
      </w:r>
      <w:r>
        <w:rPr>
          <w:rFonts w:hint="default" w:ascii="Times New Roman" w:hAnsi="Times New Roman" w:eastAsia="Times New Roman" w:cs="Times New Roman"/>
          <w:sz w:val="23"/>
          <w:szCs w:val="23"/>
          <w:highlight w:val="none"/>
        </w:rPr>
        <w:t>-20</w:t>
      </w:r>
      <w:r>
        <w:rPr>
          <w:rFonts w:hint="eastAsia" w:ascii="Times New Roman" w:hAnsi="Times New Roman" w:eastAsia="宋体" w:cs="Times New Roman"/>
          <w:sz w:val="23"/>
          <w:szCs w:val="23"/>
          <w:highlight w:val="none"/>
          <w:lang w:val="en-US" w:eastAsia="zh-CN"/>
        </w:rPr>
        <w:t>23</w:t>
      </w:r>
      <w:r>
        <w:rPr>
          <w:rFonts w:hint="default" w:ascii="Times New Roman" w:hAnsi="Times New Roman" w:eastAsia="宋体" w:cs="Times New Roman"/>
          <w:sz w:val="23"/>
          <w:szCs w:val="23"/>
          <w:highlight w:val="none"/>
        </w:rPr>
        <w:t>)</w:t>
      </w:r>
    </w:p>
    <w:p>
      <w:pPr>
        <w:rPr>
          <w:rFonts w:hint="default" w:ascii="Times New Roman" w:hAnsi="Times New Roman" w:cs="Times New Roman"/>
          <w:highlight w:val="none"/>
        </w:rPr>
        <w:sectPr>
          <w:headerReference r:id="rId121" w:type="default"/>
          <w:footerReference r:id="rId122" w:type="default"/>
          <w:pgSz w:w="11906" w:h="16839"/>
          <w:pgMar w:top="1167" w:right="1690" w:bottom="1282" w:left="1785" w:header="897" w:footer="1015" w:gutter="0"/>
          <w:pgBorders>
            <w:top w:val="none" w:sz="0" w:space="0"/>
            <w:left w:val="none" w:sz="0" w:space="0"/>
            <w:bottom w:val="none" w:sz="0" w:space="0"/>
            <w:right w:val="none" w:sz="0" w:space="0"/>
          </w:pgBorders>
          <w:pgNumType w:fmt="decimal"/>
          <w:cols w:space="720" w:num="1"/>
        </w:sectPr>
      </w:pPr>
    </w:p>
    <w:p>
      <w:pPr>
        <w:spacing w:line="392" w:lineRule="auto"/>
        <w:rPr>
          <w:rFonts w:hint="default" w:ascii="Times New Roman" w:hAnsi="Times New Roman" w:cs="Times New Roman"/>
          <w:sz w:val="21"/>
          <w:highlight w:val="none"/>
        </w:rPr>
      </w:pPr>
      <w:r>
        <w:rPr>
          <w:rFonts w:hint="default" w:ascii="Times New Roman" w:hAnsi="Times New Roman" w:cs="Times New Roman"/>
          <w:highlight w:val="none"/>
        </w:rPr>
        <mc:AlternateContent>
          <mc:Choice Requires="wps">
            <w:drawing>
              <wp:anchor distT="0" distB="0" distL="114300" distR="114300" simplePos="0" relativeHeight="251877376" behindDoc="0" locked="0" layoutInCell="0" allowOverlap="1">
                <wp:simplePos x="0" y="0"/>
                <wp:positionH relativeFrom="page">
                  <wp:posOffset>1141095</wp:posOffset>
                </wp:positionH>
                <wp:positionV relativeFrom="page">
                  <wp:posOffset>749935</wp:posOffset>
                </wp:positionV>
                <wp:extent cx="5278755" cy="9525"/>
                <wp:effectExtent l="0" t="0" r="0" b="0"/>
                <wp:wrapNone/>
                <wp:docPr id="125" name="任意多边形 125"/>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9.05pt;height:0.75pt;width:415.65pt;mso-position-horizontal-relative:page;mso-position-vertical-relative:page;z-index:251877376;mso-width-relative:page;mso-height-relative:page;" fillcolor="#000000" filled="t" stroked="f" coordsize="8312,15" o:allowincell="f" o:gfxdata="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jf4fP2AAAAAwBAAAPAAAAAAAAAAEA&#10;IAAAACIAAABkcnMvZG93bnJldi54bWxQSwECFAAUAAAACACHTuJAdz4Mrw8CAAB/BAAADgAAAAAA&#10;AAABACAAAAAnAQAAZHJzL2Uyb0RvYy54bWxQSwUGAAAAAAYABgBZAQAAqAUAAAAA&#10;" path="m0,0l8312,0,8312,14,0,14,0,0xe">
                <v:fill on="t" focussize="0,0"/>
                <v:stroke on="f"/>
                <v:imagedata o:title=""/>
                <o:lock v:ext="edit" aspectratio="f"/>
              </v:shape>
            </w:pict>
          </mc:Fallback>
        </mc:AlternateContent>
      </w:r>
    </w:p>
    <w:p>
      <w:pPr>
        <w:spacing w:before="75" w:line="401" w:lineRule="auto"/>
        <w:ind w:left="21" w:right="65" w:hanging="1"/>
        <w:rPr>
          <w:rFonts w:hint="default" w:ascii="Times New Roman" w:hAnsi="Times New Roman" w:eastAsia="宋体" w:cs="Times New Roman"/>
          <w:spacing w:val="8"/>
          <w:sz w:val="23"/>
          <w:szCs w:val="23"/>
          <w:highlight w:val="none"/>
        </w:rPr>
      </w:pPr>
      <w:r>
        <w:rPr>
          <w:rFonts w:hint="eastAsia" w:ascii="Times New Roman" w:hAnsi="Times New Roman" w:eastAsia="宋体" w:cs="Times New Roman"/>
          <w:spacing w:val="14"/>
          <w:sz w:val="23"/>
          <w:szCs w:val="23"/>
          <w:highlight w:val="none"/>
          <w:lang w:val="en-US" w:eastAsia="zh-CN"/>
        </w:rPr>
        <w:t>相关</w:t>
      </w:r>
      <w:r>
        <w:rPr>
          <w:rFonts w:hint="default" w:ascii="Times New Roman" w:hAnsi="Times New Roman" w:eastAsia="宋体" w:cs="Times New Roman"/>
          <w:spacing w:val="7"/>
          <w:sz w:val="23"/>
          <w:szCs w:val="23"/>
          <w:highlight w:val="none"/>
        </w:rPr>
        <w:t>要求，废矿物油用耐腐蚀容器收集后暂存于危废贮存间，定期由有资质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的</w:t>
      </w:r>
      <w:r>
        <w:rPr>
          <w:rFonts w:hint="default" w:ascii="Times New Roman" w:hAnsi="Times New Roman" w:eastAsia="宋体" w:cs="Times New Roman"/>
          <w:spacing w:val="7"/>
          <w:sz w:val="23"/>
          <w:szCs w:val="23"/>
          <w:highlight w:val="none"/>
        </w:rPr>
        <w:t>危险废物处置单位处理，废油桶于危废间暂存后由厂家回收再利用。危废间按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照</w:t>
      </w:r>
      <w:r>
        <w:rPr>
          <w:rFonts w:hint="default" w:ascii="Times New Roman" w:hAnsi="Times New Roman" w:eastAsia="宋体" w:cs="Times New Roman"/>
          <w:spacing w:val="8"/>
          <w:sz w:val="23"/>
          <w:szCs w:val="23"/>
          <w:highlight w:val="none"/>
        </w:rPr>
        <w:t>要求进行建设和管理。</w:t>
      </w:r>
    </w:p>
    <w:p>
      <w:pPr>
        <w:pStyle w:val="10"/>
        <w:ind w:firstLine="492" w:firstLineChars="200"/>
        <w:rPr>
          <w:rFonts w:hint="default" w:eastAsia="宋体"/>
          <w:highlight w:val="none"/>
          <w:lang w:val="en-US" w:eastAsia="zh-CN"/>
        </w:rPr>
      </w:pPr>
      <w:r>
        <w:rPr>
          <w:rFonts w:hint="eastAsia" w:ascii="Times New Roman" w:hAnsi="Times New Roman" w:eastAsia="宋体" w:cs="Times New Roman"/>
          <w:spacing w:val="8"/>
          <w:sz w:val="23"/>
          <w:szCs w:val="23"/>
          <w:highlight w:val="none"/>
          <w:lang w:val="en-US" w:eastAsia="zh-CN"/>
        </w:rPr>
        <w:t>固体废物全部得到妥善处置，措施可行。</w:t>
      </w:r>
    </w:p>
    <w:p>
      <w:pPr>
        <w:spacing w:before="299" w:line="221" w:lineRule="auto"/>
        <w:ind w:left="22"/>
        <w:outlineLvl w:val="1"/>
        <w:rPr>
          <w:rFonts w:hint="default" w:ascii="Times New Roman" w:hAnsi="Times New Roman" w:eastAsia="宋体" w:cs="Times New Roman"/>
          <w:sz w:val="28"/>
          <w:szCs w:val="28"/>
          <w:highlight w:val="none"/>
        </w:rPr>
      </w:pPr>
      <w:bookmarkStart w:id="748" w:name="_Toc756"/>
      <w:bookmarkStart w:id="749" w:name="_Toc22072"/>
      <w:bookmarkStart w:id="750" w:name="_Toc26956"/>
      <w:r>
        <w:rPr>
          <w:rFonts w:hint="default" w:ascii="Times New Roman" w:hAnsi="Times New Roman" w:eastAsia="Times New Roman" w:cs="Times New Roman"/>
          <w:b/>
          <w:bCs/>
          <w:sz w:val="28"/>
          <w:szCs w:val="28"/>
          <w:highlight w:val="none"/>
        </w:rPr>
        <w:t>6.5</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防渗治理措施可行性论证</w:t>
      </w:r>
      <w:bookmarkEnd w:id="748"/>
      <w:bookmarkEnd w:id="749"/>
      <w:bookmarkEnd w:id="750"/>
    </w:p>
    <w:p>
      <w:pPr>
        <w:spacing w:before="305" w:line="385" w:lineRule="auto"/>
        <w:ind w:left="19" w:right="15" w:firstLine="48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根据</w:t>
      </w:r>
      <w:r>
        <w:rPr>
          <w:rFonts w:hint="default" w:ascii="Times New Roman" w:hAnsi="Times New Roman" w:eastAsia="宋体" w:cs="Times New Roman"/>
          <w:spacing w:val="9"/>
          <w:sz w:val="23"/>
          <w:szCs w:val="23"/>
          <w:highlight w:val="none"/>
        </w:rPr>
        <w:t>建</w:t>
      </w:r>
      <w:r>
        <w:rPr>
          <w:rFonts w:hint="default" w:ascii="Times New Roman" w:hAnsi="Times New Roman" w:eastAsia="宋体" w:cs="Times New Roman"/>
          <w:spacing w:val="8"/>
          <w:sz w:val="23"/>
          <w:szCs w:val="23"/>
          <w:highlight w:val="none"/>
        </w:rPr>
        <w:t>设项目所在区域水文地质条件和建设项目各污染源类型及分布情况，</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参照《环境影响评价技术导则</w:t>
      </w:r>
      <w:r>
        <w:rPr>
          <w:rFonts w:hint="default" w:ascii="Times New Roman" w:hAnsi="Times New Roman" w:eastAsia="Times New Roman" w:cs="Times New Roman"/>
          <w:spacing w:val="4"/>
          <w:sz w:val="23"/>
          <w:szCs w:val="23"/>
          <w:highlight w:val="none"/>
        </w:rPr>
        <w:t>—</w:t>
      </w:r>
      <w:r>
        <w:rPr>
          <w:rFonts w:hint="default" w:ascii="Times New Roman" w:hAnsi="Times New Roman" w:eastAsia="宋体" w:cs="Times New Roman"/>
          <w:spacing w:val="4"/>
          <w:sz w:val="23"/>
          <w:szCs w:val="23"/>
          <w:highlight w:val="none"/>
        </w:rPr>
        <w:t>地下水环境》  (</w:t>
      </w:r>
      <w:r>
        <w:rPr>
          <w:rFonts w:hint="default" w:ascii="Times New Roman" w:hAnsi="Times New Roman" w:eastAsia="Times New Roman" w:cs="Times New Roman"/>
          <w:sz w:val="23"/>
          <w:szCs w:val="23"/>
          <w:highlight w:val="none"/>
        </w:rPr>
        <w:t>HJ</w:t>
      </w:r>
      <w:r>
        <w:rPr>
          <w:rFonts w:hint="default" w:ascii="Times New Roman" w:hAnsi="Times New Roman" w:eastAsia="Times New Roman" w:cs="Times New Roman"/>
          <w:spacing w:val="4"/>
          <w:sz w:val="23"/>
          <w:szCs w:val="23"/>
          <w:highlight w:val="none"/>
        </w:rPr>
        <w:t>610-2016</w:t>
      </w:r>
      <w:r>
        <w:rPr>
          <w:rFonts w:hint="default" w:ascii="Times New Roman" w:hAnsi="Times New Roman" w:eastAsia="宋体" w:cs="Times New Roman"/>
          <w:spacing w:val="4"/>
          <w:sz w:val="23"/>
          <w:szCs w:val="23"/>
          <w:highlight w:val="none"/>
        </w:rPr>
        <w:t>) 、《危险废物</w:t>
      </w:r>
      <w:r>
        <w:rPr>
          <w:rFonts w:hint="default" w:ascii="Times New Roman" w:hAnsi="Times New Roman" w:eastAsia="宋体" w:cs="Times New Roman"/>
          <w:sz w:val="23"/>
          <w:szCs w:val="23"/>
          <w:highlight w:val="none"/>
        </w:rPr>
        <w:t xml:space="preserve">贮存 </w:t>
      </w:r>
      <w:r>
        <w:rPr>
          <w:rFonts w:hint="default" w:ascii="Times New Roman" w:hAnsi="Times New Roman" w:eastAsia="宋体" w:cs="Times New Roman"/>
          <w:spacing w:val="14"/>
          <w:sz w:val="23"/>
          <w:szCs w:val="23"/>
          <w:highlight w:val="none"/>
        </w:rPr>
        <w:t>污染控制</w:t>
      </w:r>
      <w:r>
        <w:rPr>
          <w:rFonts w:hint="default" w:ascii="Times New Roman" w:hAnsi="Times New Roman" w:eastAsia="宋体" w:cs="Times New Roman"/>
          <w:spacing w:val="9"/>
          <w:sz w:val="23"/>
          <w:szCs w:val="23"/>
          <w:highlight w:val="none"/>
        </w:rPr>
        <w:t>标</w:t>
      </w:r>
      <w:r>
        <w:rPr>
          <w:rFonts w:hint="default" w:ascii="Times New Roman" w:hAnsi="Times New Roman" w:eastAsia="宋体" w:cs="Times New Roman"/>
          <w:spacing w:val="7"/>
          <w:sz w:val="23"/>
          <w:szCs w:val="23"/>
          <w:highlight w:val="none"/>
        </w:rPr>
        <w:t>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7"/>
          <w:sz w:val="23"/>
          <w:szCs w:val="23"/>
          <w:highlight w:val="none"/>
        </w:rPr>
        <w:t>18597-20</w:t>
      </w:r>
      <w:r>
        <w:rPr>
          <w:rFonts w:hint="eastAsia" w:ascii="Times New Roman" w:hAnsi="Times New Roman" w:eastAsia="宋体" w:cs="Times New Roman"/>
          <w:spacing w:val="7"/>
          <w:sz w:val="23"/>
          <w:szCs w:val="23"/>
          <w:highlight w:val="none"/>
          <w:lang w:val="en-US" w:eastAsia="zh-CN"/>
        </w:rPr>
        <w:t>23</w:t>
      </w:r>
      <w:r>
        <w:rPr>
          <w:rFonts w:hint="default" w:ascii="Times New Roman" w:hAnsi="Times New Roman" w:eastAsia="宋体" w:cs="Times New Roman"/>
          <w:spacing w:val="7"/>
          <w:sz w:val="23"/>
          <w:szCs w:val="23"/>
          <w:highlight w:val="none"/>
        </w:rPr>
        <w:t>) ，评价提出在建设项目区域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内采</w:t>
      </w:r>
      <w:r>
        <w:rPr>
          <w:rFonts w:hint="default" w:ascii="Times New Roman" w:hAnsi="Times New Roman" w:eastAsia="宋体" w:cs="Times New Roman"/>
          <w:spacing w:val="15"/>
          <w:sz w:val="23"/>
          <w:szCs w:val="23"/>
          <w:highlight w:val="none"/>
        </w:rPr>
        <w:t>取</w:t>
      </w:r>
      <w:r>
        <w:rPr>
          <w:rFonts w:hint="default" w:ascii="Times New Roman" w:hAnsi="Times New Roman" w:eastAsia="宋体" w:cs="Times New Roman"/>
          <w:spacing w:val="8"/>
          <w:sz w:val="23"/>
          <w:szCs w:val="23"/>
          <w:highlight w:val="none"/>
        </w:rPr>
        <w:t>分区防渗措施，避免厂区项目区域内各类废水和污染物对地下水的污染。</w:t>
      </w:r>
    </w:p>
    <w:p>
      <w:pPr>
        <w:spacing w:before="1" w:line="385" w:lineRule="auto"/>
        <w:ind w:left="20" w:right="33" w:firstLine="48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建设项目根据各装置区及生产单元可能泄漏至地面污染物的性质、种类、</w:t>
      </w:r>
      <w:r>
        <w:rPr>
          <w:rFonts w:hint="default" w:ascii="Times New Roman" w:hAnsi="Times New Roman" w:eastAsia="宋体" w:cs="Times New Roman"/>
          <w:spacing w:val="4"/>
          <w:sz w:val="23"/>
          <w:szCs w:val="23"/>
          <w:highlight w:val="none"/>
        </w:rPr>
        <w:t>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度</w:t>
      </w:r>
      <w:r>
        <w:rPr>
          <w:rFonts w:hint="default" w:ascii="Times New Roman" w:hAnsi="Times New Roman" w:eastAsia="宋体" w:cs="Times New Roman"/>
          <w:spacing w:val="8"/>
          <w:sz w:val="23"/>
          <w:szCs w:val="23"/>
          <w:highlight w:val="none"/>
        </w:rPr>
        <w:t>不同，将生产区域划分为非污染防治区、一般污染防治区、重点污染防治区，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8"/>
          <w:sz w:val="23"/>
          <w:szCs w:val="23"/>
          <w:highlight w:val="none"/>
        </w:rPr>
        <w:t>分</w:t>
      </w:r>
      <w:r>
        <w:rPr>
          <w:rFonts w:hint="default" w:ascii="Times New Roman" w:hAnsi="Times New Roman" w:eastAsia="宋体" w:cs="Times New Roman"/>
          <w:spacing w:val="9"/>
          <w:sz w:val="23"/>
          <w:szCs w:val="23"/>
          <w:highlight w:val="none"/>
        </w:rPr>
        <w:t>别进行不同等级和要求的防渗措施。建设项目防渗分区如下：</w:t>
      </w:r>
    </w:p>
    <w:p>
      <w:pPr>
        <w:tabs>
          <w:tab w:val="left" w:pos="146"/>
        </w:tabs>
        <w:spacing w:before="1" w:line="378" w:lineRule="auto"/>
        <w:ind w:left="16" w:right="63" w:firstLine="483"/>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 xml:space="preserve">① </w:t>
      </w:r>
      <w:r>
        <w:rPr>
          <w:rFonts w:hint="default" w:ascii="Times New Roman" w:hAnsi="Times New Roman" w:eastAsia="宋体" w:cs="Times New Roman"/>
          <w:spacing w:val="3"/>
          <w:sz w:val="23"/>
          <w:szCs w:val="23"/>
          <w:highlight w:val="none"/>
        </w:rPr>
        <w:t xml:space="preserve">重 点污染 防渗 区： </w:t>
      </w:r>
      <w:r>
        <w:rPr>
          <w:rFonts w:hint="eastAsia" w:ascii="Times New Roman" w:hAnsi="Times New Roman" w:eastAsia="宋体" w:cs="Times New Roman"/>
          <w:spacing w:val="3"/>
          <w:sz w:val="23"/>
          <w:szCs w:val="23"/>
          <w:highlight w:val="none"/>
          <w:lang w:val="en-US" w:eastAsia="zh-CN"/>
        </w:rPr>
        <w:t>厂区现有</w:t>
      </w:r>
      <w:r>
        <w:rPr>
          <w:rFonts w:hint="default" w:ascii="Times New Roman" w:hAnsi="Times New Roman" w:eastAsia="宋体" w:cs="Times New Roman"/>
          <w:spacing w:val="3"/>
          <w:sz w:val="23"/>
          <w:szCs w:val="23"/>
          <w:highlight w:val="none"/>
        </w:rPr>
        <w:t>危废储存间</w:t>
      </w:r>
      <w:r>
        <w:rPr>
          <w:rFonts w:hint="eastAsia" w:ascii="Times New Roman" w:hAnsi="Times New Roman" w:eastAsia="宋体" w:cs="Times New Roman"/>
          <w:spacing w:val="3"/>
          <w:sz w:val="23"/>
          <w:szCs w:val="23"/>
          <w:highlight w:val="none"/>
          <w:lang w:val="en-US" w:eastAsia="zh-CN"/>
        </w:rPr>
        <w:t>已</w:t>
      </w:r>
      <w:r>
        <w:rPr>
          <w:rFonts w:hint="default" w:ascii="Times New Roman" w:hAnsi="Times New Roman" w:eastAsia="宋体" w:cs="Times New Roman"/>
          <w:spacing w:val="3"/>
          <w:sz w:val="23"/>
          <w:szCs w:val="23"/>
          <w:highlight w:val="none"/>
        </w:rPr>
        <w:t>按《 危 险废物贮存污染控制标准 》</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z w:val="23"/>
          <w:szCs w:val="23"/>
          <w:highlight w:val="none"/>
        </w:rPr>
        <w:tab/>
      </w:r>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10"/>
          <w:sz w:val="23"/>
          <w:szCs w:val="23"/>
          <w:highlight w:val="none"/>
        </w:rPr>
        <w:t>18597-20</w:t>
      </w:r>
      <w:r>
        <w:rPr>
          <w:rFonts w:hint="eastAsia" w:ascii="Times New Roman" w:hAnsi="Times New Roman" w:eastAsia="宋体" w:cs="Times New Roman"/>
          <w:spacing w:val="10"/>
          <w:sz w:val="23"/>
          <w:szCs w:val="23"/>
          <w:highlight w:val="none"/>
          <w:lang w:val="en-US" w:eastAsia="zh-CN"/>
        </w:rPr>
        <w:t>23</w:t>
      </w:r>
      <w:r>
        <w:rPr>
          <w:rFonts w:hint="default" w:ascii="Times New Roman" w:hAnsi="Times New Roman" w:eastAsia="宋体" w:cs="Times New Roman"/>
          <w:spacing w:val="10"/>
          <w:sz w:val="23"/>
          <w:szCs w:val="23"/>
          <w:highlight w:val="none"/>
        </w:rPr>
        <w:t xml:space="preserve">) </w:t>
      </w:r>
      <w:r>
        <w:rPr>
          <w:rFonts w:hint="eastAsia" w:ascii="Times New Roman" w:hAnsi="Times New Roman" w:eastAsia="宋体" w:cs="Times New Roman"/>
          <w:spacing w:val="10"/>
          <w:sz w:val="23"/>
          <w:szCs w:val="23"/>
          <w:highlight w:val="none"/>
          <w:lang w:val="en-US" w:eastAsia="zh-CN"/>
        </w:rPr>
        <w:t>相关要求进行了防渗处理</w:t>
      </w:r>
      <w:r>
        <w:rPr>
          <w:rFonts w:hint="default" w:ascii="Times New Roman" w:hAnsi="Times New Roman" w:eastAsia="宋体" w:cs="Times New Roman"/>
          <w:spacing w:val="10"/>
          <w:sz w:val="23"/>
          <w:szCs w:val="23"/>
          <w:highlight w:val="none"/>
        </w:rPr>
        <w:t>：地面与裙脚采用土工膜 (</w:t>
      </w:r>
      <w:r>
        <w:rPr>
          <w:rFonts w:hint="default" w:ascii="Times New Roman" w:hAnsi="Times New Roman" w:eastAsia="Times New Roman" w:cs="Times New Roman"/>
          <w:spacing w:val="10"/>
          <w:sz w:val="23"/>
          <w:szCs w:val="23"/>
          <w:highlight w:val="none"/>
        </w:rPr>
        <w:t>2</w:t>
      </w:r>
      <w:r>
        <w:rPr>
          <w:rFonts w:hint="default" w:ascii="Times New Roman" w:hAnsi="Times New Roman" w:eastAsia="Times New Roman" w:cs="Times New Roman"/>
          <w:sz w:val="23"/>
          <w:szCs w:val="23"/>
          <w:highlight w:val="none"/>
        </w:rPr>
        <w:t>mm</w:t>
      </w:r>
      <w:r>
        <w:rPr>
          <w:rFonts w:hint="default" w:ascii="Times New Roman" w:hAnsi="Times New Roman" w:eastAsia="宋体" w:cs="Times New Roman"/>
          <w:spacing w:val="10"/>
          <w:sz w:val="23"/>
          <w:szCs w:val="23"/>
          <w:highlight w:val="none"/>
        </w:rPr>
        <w:t>) 防渗，</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地面及裙角均采取抗</w:t>
      </w:r>
      <w:r>
        <w:rPr>
          <w:rFonts w:hint="default" w:ascii="Times New Roman" w:hAnsi="Times New Roman" w:eastAsia="宋体" w:cs="Times New Roman"/>
          <w:spacing w:val="5"/>
          <w:sz w:val="23"/>
          <w:szCs w:val="23"/>
          <w:highlight w:val="none"/>
        </w:rPr>
        <w:t>渗</w:t>
      </w:r>
      <w:r>
        <w:rPr>
          <w:rFonts w:hint="default" w:ascii="Times New Roman" w:hAnsi="Times New Roman" w:eastAsia="宋体" w:cs="Times New Roman"/>
          <w:spacing w:val="3"/>
          <w:sz w:val="23"/>
          <w:szCs w:val="23"/>
          <w:highlight w:val="none"/>
        </w:rPr>
        <w:t xml:space="preserve">水泥防渗，地面水泥厚度为 </w:t>
      </w:r>
      <w:r>
        <w:rPr>
          <w:rFonts w:hint="default" w:ascii="Times New Roman" w:hAnsi="Times New Roman" w:eastAsia="Times New Roman" w:cs="Times New Roman"/>
          <w:spacing w:val="3"/>
          <w:sz w:val="23"/>
          <w:szCs w:val="23"/>
          <w:highlight w:val="none"/>
        </w:rPr>
        <w:t>20</w:t>
      </w:r>
      <w:r>
        <w:rPr>
          <w:rFonts w:hint="default" w:ascii="Times New Roman" w:hAnsi="Times New Roman" w:eastAsia="Times New Roman" w:cs="Times New Roman"/>
          <w:sz w:val="23"/>
          <w:szCs w:val="23"/>
          <w:highlight w:val="none"/>
        </w:rPr>
        <w:t>cm</w:t>
      </w:r>
      <w:r>
        <w:rPr>
          <w:rFonts w:hint="default" w:ascii="Times New Roman" w:hAnsi="Times New Roman" w:eastAsia="宋体" w:cs="Times New Roman"/>
          <w:spacing w:val="3"/>
          <w:sz w:val="23"/>
          <w:szCs w:val="23"/>
          <w:highlight w:val="none"/>
        </w:rPr>
        <w:t xml:space="preserve">；裙角高度 </w:t>
      </w:r>
      <w:r>
        <w:rPr>
          <w:rFonts w:hint="default" w:ascii="Times New Roman" w:hAnsi="Times New Roman" w:eastAsia="Times New Roman" w:cs="Times New Roman"/>
          <w:spacing w:val="3"/>
          <w:sz w:val="23"/>
          <w:szCs w:val="23"/>
          <w:highlight w:val="none"/>
        </w:rPr>
        <w:t>1.5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，厚度</w:t>
      </w:r>
      <w:r>
        <w:rPr>
          <w:rFonts w:hint="default" w:ascii="Times New Roman" w:hAnsi="Times New Roman" w:eastAsia="宋体" w:cs="Times New Roman"/>
          <w:sz w:val="23"/>
          <w:szCs w:val="23"/>
          <w:highlight w:val="none"/>
        </w:rPr>
        <w:t xml:space="preserve"> </w:t>
      </w:r>
      <w:r>
        <w:rPr>
          <w:rFonts w:hint="default" w:ascii="Times New Roman" w:hAnsi="Times New Roman" w:eastAsia="Times New Roman" w:cs="Times New Roman"/>
          <w:spacing w:val="20"/>
          <w:sz w:val="23"/>
          <w:szCs w:val="23"/>
          <w:highlight w:val="none"/>
        </w:rPr>
        <w:t>20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17"/>
          <w:sz w:val="23"/>
          <w:szCs w:val="23"/>
          <w:highlight w:val="none"/>
        </w:rPr>
        <w:t xml:space="preserve"> </w:t>
      </w:r>
      <w:r>
        <w:rPr>
          <w:rFonts w:hint="default" w:ascii="Times New Roman" w:hAnsi="Times New Roman" w:eastAsia="宋体" w:cs="Times New Roman"/>
          <w:spacing w:val="10"/>
          <w:sz w:val="23"/>
          <w:szCs w:val="23"/>
          <w:highlight w:val="none"/>
        </w:rPr>
        <w:t>，地面及四周裙脚均应耐腐蚀，耐热且表面无裂隙，同时设置泄漏液体的</w:t>
      </w:r>
      <w:r>
        <w:rPr>
          <w:rFonts w:hint="default" w:ascii="Times New Roman" w:hAnsi="Times New Roman" w:eastAsia="宋体" w:cs="Times New Roman"/>
          <w:spacing w:val="3"/>
          <w:position w:val="1"/>
          <w:sz w:val="23"/>
          <w:szCs w:val="23"/>
          <w:highlight w:val="none"/>
        </w:rPr>
        <w:t xml:space="preserve">收集装置。防渗层渗透系数小于 </w:t>
      </w:r>
      <w:r>
        <w:rPr>
          <w:rFonts w:hint="default" w:ascii="Times New Roman" w:hAnsi="Times New Roman" w:eastAsia="Times New Roman" w:cs="Times New Roman"/>
          <w:spacing w:val="3"/>
          <w:position w:val="1"/>
          <w:sz w:val="23"/>
          <w:szCs w:val="23"/>
          <w:highlight w:val="none"/>
        </w:rPr>
        <w:t>10</w:t>
      </w:r>
      <w:r>
        <w:rPr>
          <w:rFonts w:hint="default" w:ascii="Times New Roman" w:hAnsi="Times New Roman" w:eastAsia="Times New Roman" w:cs="Times New Roman"/>
          <w:spacing w:val="3"/>
          <w:position w:val="8"/>
          <w:sz w:val="15"/>
          <w:szCs w:val="15"/>
          <w:highlight w:val="none"/>
        </w:rPr>
        <w:t>- 10</w:t>
      </w:r>
      <w:r>
        <w:rPr>
          <w:rFonts w:hint="default" w:ascii="Times New Roman" w:hAnsi="Times New Roman" w:eastAsia="Times New Roman" w:cs="Times New Roman"/>
          <w:position w:val="1"/>
          <w:sz w:val="23"/>
          <w:szCs w:val="23"/>
          <w:highlight w:val="none"/>
        </w:rPr>
        <w:t>cm</w:t>
      </w:r>
      <w:r>
        <w:rPr>
          <w:rFonts w:hint="default" w:ascii="Times New Roman" w:hAnsi="Times New Roman" w:eastAsia="Times New Roman" w:cs="Times New Roman"/>
          <w:spacing w:val="2"/>
          <w:position w:val="1"/>
          <w:sz w:val="23"/>
          <w:szCs w:val="23"/>
          <w:highlight w:val="none"/>
        </w:rPr>
        <w:t>/</w:t>
      </w:r>
      <w:r>
        <w:rPr>
          <w:rFonts w:hint="default" w:ascii="Times New Roman" w:hAnsi="Times New Roman" w:eastAsia="Times New Roman" w:cs="Times New Roman"/>
          <w:position w:val="1"/>
          <w:sz w:val="23"/>
          <w:szCs w:val="23"/>
          <w:highlight w:val="none"/>
        </w:rPr>
        <w:t>s</w:t>
      </w:r>
      <w:r>
        <w:rPr>
          <w:rFonts w:hint="default" w:ascii="Times New Roman" w:hAnsi="Times New Roman" w:eastAsia="宋体" w:cs="Times New Roman"/>
          <w:position w:val="1"/>
          <w:sz w:val="23"/>
          <w:szCs w:val="23"/>
          <w:highlight w:val="none"/>
        </w:rPr>
        <w:t>。</w:t>
      </w:r>
    </w:p>
    <w:p>
      <w:pPr>
        <w:spacing w:before="202" w:line="385" w:lineRule="auto"/>
        <w:ind w:left="21" w:right="2" w:firstLine="478"/>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
          <w:sz w:val="23"/>
          <w:szCs w:val="23"/>
          <w:highlight w:val="none"/>
        </w:rPr>
        <w:t>②一般污染防治区：</w:t>
      </w:r>
      <w:r>
        <w:rPr>
          <w:rFonts w:hint="eastAsia" w:ascii="Times New Roman" w:hAnsi="Times New Roman" w:eastAsia="宋体" w:cs="Times New Roman"/>
          <w:spacing w:val="2"/>
          <w:sz w:val="23"/>
          <w:szCs w:val="23"/>
          <w:highlight w:val="none"/>
          <w:lang w:val="en-US" w:eastAsia="zh-CN"/>
        </w:rPr>
        <w:t>各</w:t>
      </w:r>
      <w:r>
        <w:rPr>
          <w:rFonts w:hint="default" w:ascii="Times New Roman" w:hAnsi="Times New Roman" w:eastAsia="宋体" w:cs="Times New Roman"/>
          <w:spacing w:val="2"/>
          <w:sz w:val="23"/>
          <w:szCs w:val="23"/>
          <w:highlight w:val="none"/>
        </w:rPr>
        <w:t>生产车间、</w:t>
      </w:r>
      <w:r>
        <w:rPr>
          <w:rFonts w:hint="eastAsia" w:ascii="Times New Roman" w:hAnsi="Times New Roman" w:eastAsia="宋体" w:cs="Times New Roman"/>
          <w:spacing w:val="2"/>
          <w:sz w:val="23"/>
          <w:szCs w:val="23"/>
          <w:highlight w:val="none"/>
          <w:lang w:val="en-US" w:eastAsia="zh-CN"/>
        </w:rPr>
        <w:t>物料库房</w:t>
      </w:r>
      <w:r>
        <w:rPr>
          <w:rFonts w:hint="default" w:ascii="Times New Roman" w:hAnsi="Times New Roman" w:eastAsia="宋体" w:cs="Times New Roman"/>
          <w:spacing w:val="2"/>
          <w:sz w:val="23"/>
          <w:szCs w:val="23"/>
          <w:highlight w:val="none"/>
        </w:rPr>
        <w:t>地面采用防渗混凝土结构</w:t>
      </w:r>
      <w:r>
        <w:rPr>
          <w:rFonts w:hint="default" w:ascii="Times New Roman" w:hAnsi="Times New Roman" w:eastAsia="宋体" w:cs="Times New Roman"/>
          <w:spacing w:val="1"/>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厚度</w:t>
      </w:r>
      <w:r>
        <w:rPr>
          <w:rFonts w:hint="default" w:ascii="Times New Roman" w:hAnsi="Times New Roman" w:eastAsia="宋体" w:cs="Times New Roman"/>
          <w:spacing w:val="9"/>
          <w:sz w:val="23"/>
          <w:szCs w:val="23"/>
          <w:highlight w:val="none"/>
        </w:rPr>
        <w:t>为</w:t>
      </w:r>
      <w:r>
        <w:rPr>
          <w:rFonts w:hint="default" w:ascii="Times New Roman" w:hAnsi="Times New Roman" w:eastAsia="宋体" w:cs="Times New Roman"/>
          <w:spacing w:val="5"/>
          <w:sz w:val="23"/>
          <w:szCs w:val="23"/>
          <w:highlight w:val="none"/>
        </w:rPr>
        <w:t xml:space="preserve"> </w:t>
      </w:r>
      <w:r>
        <w:rPr>
          <w:rFonts w:hint="default" w:ascii="Times New Roman" w:hAnsi="Times New Roman" w:eastAsia="Times New Roman" w:cs="Times New Roman"/>
          <w:spacing w:val="5"/>
          <w:sz w:val="23"/>
          <w:szCs w:val="23"/>
          <w:highlight w:val="none"/>
        </w:rPr>
        <w:t>20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，防渗系数</w:t>
      </w:r>
      <w:r>
        <w:rPr>
          <w:rFonts w:hint="default" w:ascii="Times New Roman" w:hAnsi="Times New Roman" w:eastAsia="Times New Roman" w:cs="Times New Roman"/>
          <w:spacing w:val="5"/>
          <w:sz w:val="23"/>
          <w:szCs w:val="23"/>
          <w:highlight w:val="none"/>
        </w:rPr>
        <w:t>≤10</w:t>
      </w:r>
      <w:r>
        <w:rPr>
          <w:rFonts w:hint="default" w:ascii="Times New Roman" w:hAnsi="Times New Roman" w:eastAsia="Times New Roman" w:cs="Times New Roman"/>
          <w:spacing w:val="5"/>
          <w:position w:val="8"/>
          <w:sz w:val="15"/>
          <w:szCs w:val="15"/>
          <w:highlight w:val="none"/>
        </w:rPr>
        <w:t>-7</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s</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。浓密池、生产区清水池、事故池、车辆清洗</w:t>
      </w:r>
      <w:r>
        <w:rPr>
          <w:rFonts w:hint="default" w:ascii="Times New Roman" w:hAnsi="Times New Roman" w:eastAsia="宋体" w:cs="Times New Roman"/>
          <w:spacing w:val="14"/>
          <w:sz w:val="23"/>
          <w:szCs w:val="23"/>
          <w:highlight w:val="none"/>
        </w:rPr>
        <w:t>沉</w:t>
      </w:r>
      <w:r>
        <w:rPr>
          <w:rFonts w:hint="default" w:ascii="Times New Roman" w:hAnsi="Times New Roman" w:eastAsia="宋体" w:cs="Times New Roman"/>
          <w:spacing w:val="8"/>
          <w:sz w:val="23"/>
          <w:szCs w:val="23"/>
          <w:highlight w:val="none"/>
        </w:rPr>
        <w:t>淀</w:t>
      </w:r>
      <w:r>
        <w:rPr>
          <w:rFonts w:hint="default" w:ascii="Times New Roman" w:hAnsi="Times New Roman" w:eastAsia="宋体" w:cs="Times New Roman"/>
          <w:spacing w:val="7"/>
          <w:sz w:val="23"/>
          <w:szCs w:val="23"/>
          <w:highlight w:val="none"/>
        </w:rPr>
        <w:t xml:space="preserve">池和清水池底部及四壁均采用混凝土浇筑防渗，厚度为 </w:t>
      </w:r>
      <w:r>
        <w:rPr>
          <w:rFonts w:hint="default" w:ascii="Times New Roman" w:hAnsi="Times New Roman" w:eastAsia="Times New Roman" w:cs="Times New Roman"/>
          <w:spacing w:val="7"/>
          <w:sz w:val="23"/>
          <w:szCs w:val="23"/>
          <w:highlight w:val="none"/>
        </w:rPr>
        <w:t>20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，防渗系数小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于</w:t>
      </w:r>
      <w:r>
        <w:rPr>
          <w:rFonts w:hint="default" w:ascii="Times New Roman" w:hAnsi="Times New Roman" w:eastAsia="宋体" w:cs="Times New Roman"/>
          <w:spacing w:val="5"/>
          <w:sz w:val="23"/>
          <w:szCs w:val="23"/>
          <w:highlight w:val="none"/>
        </w:rPr>
        <w:t xml:space="preserve"> </w:t>
      </w:r>
      <w:r>
        <w:rPr>
          <w:rFonts w:hint="default" w:ascii="Times New Roman" w:hAnsi="Times New Roman" w:eastAsia="Times New Roman" w:cs="Times New Roman"/>
          <w:spacing w:val="5"/>
          <w:sz w:val="23"/>
          <w:szCs w:val="23"/>
          <w:highlight w:val="none"/>
        </w:rPr>
        <w:t>1×10</w:t>
      </w:r>
      <w:r>
        <w:rPr>
          <w:rFonts w:hint="default" w:ascii="Times New Roman" w:hAnsi="Times New Roman" w:eastAsia="Times New Roman" w:cs="Times New Roman"/>
          <w:spacing w:val="5"/>
          <w:position w:val="8"/>
          <w:sz w:val="15"/>
          <w:szCs w:val="15"/>
          <w:highlight w:val="none"/>
        </w:rPr>
        <w:t>-7</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s</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rPr>
        <w:t>；化粪池采用防渗混凝土浇筑，防渗性能良好，防渗层渗透系数小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于</w:t>
      </w:r>
      <w:r>
        <w:rPr>
          <w:rFonts w:hint="default" w:ascii="Times New Roman" w:hAnsi="Times New Roman" w:eastAsia="宋体" w:cs="Times New Roman"/>
          <w:spacing w:val="-2"/>
          <w:sz w:val="23"/>
          <w:szCs w:val="23"/>
          <w:highlight w:val="none"/>
        </w:rPr>
        <w:t xml:space="preserve"> </w:t>
      </w:r>
      <w:r>
        <w:rPr>
          <w:rFonts w:hint="default" w:ascii="Times New Roman" w:hAnsi="Times New Roman" w:eastAsia="Times New Roman" w:cs="Times New Roman"/>
          <w:spacing w:val="-2"/>
          <w:sz w:val="23"/>
          <w:szCs w:val="23"/>
          <w:highlight w:val="none"/>
        </w:rPr>
        <w:t>10</w:t>
      </w:r>
      <w:r>
        <w:rPr>
          <w:rFonts w:hint="default" w:ascii="Times New Roman" w:hAnsi="Times New Roman" w:eastAsia="Times New Roman" w:cs="Times New Roman"/>
          <w:spacing w:val="-2"/>
          <w:position w:val="7"/>
          <w:sz w:val="15"/>
          <w:szCs w:val="15"/>
          <w:highlight w:val="none"/>
        </w:rPr>
        <w:t>-7</w:t>
      </w:r>
      <w:r>
        <w:rPr>
          <w:rFonts w:hint="default" w:ascii="Times New Roman" w:hAnsi="Times New Roman" w:eastAsia="Times New Roman" w:cs="Times New Roman"/>
          <w:spacing w:val="-2"/>
          <w:sz w:val="23"/>
          <w:szCs w:val="23"/>
          <w:highlight w:val="none"/>
        </w:rPr>
        <w:t>cm/s</w:t>
      </w:r>
      <w:r>
        <w:rPr>
          <w:rFonts w:hint="default" w:ascii="Times New Roman" w:hAnsi="Times New Roman" w:eastAsia="宋体" w:cs="Times New Roman"/>
          <w:spacing w:val="-2"/>
          <w:sz w:val="23"/>
          <w:szCs w:val="23"/>
          <w:highlight w:val="none"/>
        </w:rPr>
        <w:t>。</w:t>
      </w:r>
    </w:p>
    <w:p>
      <w:pPr>
        <w:spacing w:before="4" w:line="384" w:lineRule="auto"/>
        <w:ind w:left="20" w:firstLine="481"/>
        <w:jc w:val="both"/>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对可能产生地下水影响的各项途径均采取了相应的防渗措施，这些</w:t>
      </w:r>
      <w:r>
        <w:rPr>
          <w:rFonts w:hint="default" w:ascii="Times New Roman" w:hAnsi="Times New Roman" w:eastAsia="宋体" w:cs="Times New Roman"/>
          <w:spacing w:val="6"/>
          <w:sz w:val="23"/>
          <w:szCs w:val="23"/>
          <w:highlight w:val="none"/>
        </w:rPr>
        <w:t>措</w:t>
      </w:r>
      <w:r>
        <w:rPr>
          <w:rFonts w:hint="default" w:ascii="Times New Roman" w:hAnsi="Times New Roman" w:eastAsia="宋体" w:cs="Times New Roman"/>
          <w:spacing w:val="4"/>
          <w:sz w:val="23"/>
          <w:szCs w:val="23"/>
          <w:highlight w:val="none"/>
        </w:rPr>
        <w:t>施工艺成熟</w:t>
      </w:r>
      <w:r>
        <w:rPr>
          <w:rFonts w:hint="default" w:ascii="Times New Roman" w:hAnsi="Times New Roman" w:eastAsia="宋体" w:cs="Times New Roman"/>
          <w:spacing w:val="3"/>
          <w:sz w:val="23"/>
          <w:szCs w:val="23"/>
          <w:highlight w:val="none"/>
        </w:rPr>
        <w:t>，</w:t>
      </w:r>
      <w:r>
        <w:rPr>
          <w:rFonts w:hint="default" w:ascii="Times New Roman" w:hAnsi="Times New Roman" w:eastAsia="宋体" w:cs="Times New Roman"/>
          <w:spacing w:val="2"/>
          <w:sz w:val="23"/>
          <w:szCs w:val="23"/>
          <w:highlight w:val="none"/>
        </w:rPr>
        <w:t>防渗层的渗透系数小于</w:t>
      </w:r>
      <w:r>
        <w:rPr>
          <w:rFonts w:hint="default" w:ascii="Times New Roman" w:hAnsi="Times New Roman" w:eastAsia="Times New Roman" w:cs="Times New Roman"/>
          <w:spacing w:val="2"/>
          <w:sz w:val="23"/>
          <w:szCs w:val="23"/>
          <w:highlight w:val="none"/>
        </w:rPr>
        <w:t>1×10</w:t>
      </w:r>
      <w:r>
        <w:rPr>
          <w:rFonts w:hint="default" w:ascii="Times New Roman" w:hAnsi="Times New Roman" w:eastAsia="Times New Roman" w:cs="Times New Roman"/>
          <w:spacing w:val="2"/>
          <w:position w:val="8"/>
          <w:sz w:val="15"/>
          <w:szCs w:val="15"/>
          <w:highlight w:val="none"/>
        </w:rPr>
        <w:t>-7</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2"/>
          <w:sz w:val="23"/>
          <w:szCs w:val="23"/>
          <w:highlight w:val="none"/>
        </w:rPr>
        <w:t>/</w:t>
      </w:r>
      <w:r>
        <w:rPr>
          <w:rFonts w:hint="default" w:ascii="Times New Roman" w:hAnsi="Times New Roman" w:eastAsia="Times New Roman" w:cs="Times New Roman"/>
          <w:sz w:val="23"/>
          <w:szCs w:val="23"/>
          <w:highlight w:val="none"/>
        </w:rPr>
        <w:t>s</w:t>
      </w:r>
      <w:r>
        <w:rPr>
          <w:rFonts w:hint="default" w:ascii="Times New Roman" w:hAnsi="Times New Roman" w:eastAsia="宋体" w:cs="Times New Roman"/>
          <w:spacing w:val="2"/>
          <w:sz w:val="23"/>
          <w:szCs w:val="23"/>
          <w:highlight w:val="none"/>
        </w:rPr>
        <w:t>，在确保各项防渗措施得以落实，</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0"/>
          <w:sz w:val="23"/>
          <w:szCs w:val="23"/>
          <w:highlight w:val="none"/>
        </w:rPr>
        <w:t>并</w:t>
      </w:r>
      <w:r>
        <w:rPr>
          <w:rFonts w:hint="default" w:ascii="Times New Roman" w:hAnsi="Times New Roman" w:eastAsia="宋体" w:cs="Times New Roman"/>
          <w:spacing w:val="14"/>
          <w:sz w:val="23"/>
          <w:szCs w:val="23"/>
          <w:highlight w:val="none"/>
        </w:rPr>
        <w:t>加强维护和场区环境管理的前提下，可有效控制场区内的废水污染物下渗现</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象</w:t>
      </w:r>
      <w:r>
        <w:rPr>
          <w:rFonts w:hint="default" w:ascii="Times New Roman" w:hAnsi="Times New Roman" w:eastAsia="宋体" w:cs="Times New Roman"/>
          <w:spacing w:val="11"/>
          <w:sz w:val="23"/>
          <w:szCs w:val="23"/>
          <w:highlight w:val="none"/>
        </w:rPr>
        <w:t>，</w:t>
      </w:r>
      <w:r>
        <w:rPr>
          <w:rFonts w:hint="default" w:ascii="Times New Roman" w:hAnsi="Times New Roman" w:eastAsia="宋体" w:cs="Times New Roman"/>
          <w:spacing w:val="8"/>
          <w:sz w:val="23"/>
          <w:szCs w:val="23"/>
          <w:highlight w:val="none"/>
        </w:rPr>
        <w:t>避免污染地下水，措施可行。</w:t>
      </w:r>
    </w:p>
    <w:p>
      <w:pPr>
        <w:rPr>
          <w:rFonts w:hint="default" w:ascii="Times New Roman" w:hAnsi="Times New Roman" w:cs="Times New Roman"/>
          <w:highlight w:val="none"/>
        </w:rPr>
        <w:sectPr>
          <w:headerReference r:id="rId123" w:type="default"/>
          <w:footerReference r:id="rId124" w:type="default"/>
          <w:pgSz w:w="11906" w:h="16839"/>
          <w:pgMar w:top="1167" w:right="1731" w:bottom="1282" w:left="1785" w:header="897" w:footer="1015" w:gutter="0"/>
          <w:pgBorders>
            <w:top w:val="none" w:sz="0" w:space="0"/>
            <w:left w:val="none" w:sz="0" w:space="0"/>
            <w:bottom w:val="none" w:sz="0" w:space="0"/>
            <w:right w:val="none" w:sz="0" w:space="0"/>
          </w:pgBorders>
          <w:pgNumType w:fmt="decimal"/>
          <w:cols w:space="720" w:num="1"/>
        </w:sectPr>
      </w:pPr>
    </w:p>
    <w:p>
      <w:pPr>
        <w:spacing w:line="320"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383" o:spid="_x0000_s1383" style="position:absolute;left:0pt;margin-left:89.85pt;margin-top:59.05pt;height:0.75pt;width:415.65pt;mso-position-horizontal-relative:page;mso-position-vertical-relative:page;z-index:251828224;mso-width-relative:page;mso-height-relative:page;" fillcolor="#000000" filled="t" stroked="f" coordsize="8312,15" o:allowincell="f" path="m0,0l8312,0,8312,14,0,14,0,0xe">
            <v:path/>
            <v:fill on="t" focussize="0,0"/>
            <v:stroke on="f"/>
            <v:imagedata o:title=""/>
            <o:lock v:ext="edit"/>
          </v:shape>
        </w:pict>
      </w:r>
    </w:p>
    <w:p>
      <w:pPr>
        <w:spacing w:before="94" w:line="228" w:lineRule="auto"/>
        <w:ind w:left="134"/>
        <w:outlineLvl w:val="0"/>
        <w:rPr>
          <w:rFonts w:hint="default" w:ascii="Times New Roman" w:hAnsi="Times New Roman" w:eastAsia="黑体" w:cs="Times New Roman"/>
          <w:sz w:val="29"/>
          <w:szCs w:val="29"/>
          <w:highlight w:val="none"/>
        </w:rPr>
      </w:pPr>
      <w:bookmarkStart w:id="751" w:name="_Toc30288"/>
      <w:bookmarkStart w:id="752" w:name="_Toc11437"/>
      <w:bookmarkStart w:id="753" w:name="_Toc28878"/>
      <w:r>
        <w:rPr>
          <w:rFonts w:hint="default" w:ascii="Times New Roman" w:hAnsi="Times New Roman" w:eastAsia="Times New Roman" w:cs="Times New Roman"/>
          <w:b/>
          <w:bCs/>
          <w:spacing w:val="13"/>
          <w:sz w:val="29"/>
          <w:szCs w:val="29"/>
          <w:highlight w:val="none"/>
        </w:rPr>
        <w:t>7</w:t>
      </w:r>
      <w:r>
        <w:rPr>
          <w:rFonts w:hint="default" w:ascii="Times New Roman" w:hAnsi="Times New Roman" w:eastAsia="Times New Roman" w:cs="Times New Roman"/>
          <w:spacing w:val="8"/>
          <w:sz w:val="29"/>
          <w:szCs w:val="29"/>
          <w:highlight w:val="none"/>
        </w:rPr>
        <w:t xml:space="preserve">  </w:t>
      </w:r>
      <w:r>
        <w:rPr>
          <w:rFonts w:hint="default" w:ascii="Times New Roman" w:hAnsi="Times New Roman" w:eastAsia="黑体" w:cs="Times New Roman"/>
          <w:spacing w:val="8"/>
          <w:sz w:val="29"/>
          <w:szCs w:val="29"/>
          <w:highlight w:val="none"/>
          <w14:textOutline w14:w="5448" w14:cap="sq" w14:cmpd="sng">
            <w14:solidFill>
              <w14:srgbClr w14:val="000000"/>
            </w14:solidFill>
            <w14:prstDash w14:val="solid"/>
            <w14:bevel/>
          </w14:textOutline>
        </w:rPr>
        <w:t>环境影响经济损益分析</w:t>
      </w:r>
      <w:bookmarkEnd w:id="751"/>
      <w:bookmarkEnd w:id="752"/>
      <w:bookmarkEnd w:id="753"/>
    </w:p>
    <w:p>
      <w:pPr>
        <w:spacing w:before="310" w:line="407" w:lineRule="auto"/>
        <w:ind w:left="133" w:right="122"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环境经济损益分析是环境影响评价工作中的重要环节之一，它的主要任务是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衡</w:t>
      </w:r>
      <w:r>
        <w:rPr>
          <w:rFonts w:hint="default" w:ascii="Times New Roman" w:hAnsi="Times New Roman" w:eastAsia="宋体" w:cs="Times New Roman"/>
          <w:spacing w:val="7"/>
          <w:sz w:val="23"/>
          <w:szCs w:val="23"/>
          <w:highlight w:val="none"/>
        </w:rPr>
        <w:t>量建设项目需要投入的环保投资所能收到的环保效果，以及建设项目对外界产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生的环境影响、经济影响和社会影响</w:t>
      </w:r>
      <w:r>
        <w:rPr>
          <w:rFonts w:hint="default" w:ascii="Times New Roman" w:hAnsi="Times New Roman" w:eastAsia="宋体" w:cs="Times New Roman"/>
          <w:spacing w:val="6"/>
          <w:sz w:val="23"/>
          <w:szCs w:val="23"/>
          <w:highlight w:val="none"/>
        </w:rPr>
        <w:t>。</w:t>
      </w:r>
    </w:p>
    <w:p>
      <w:pPr>
        <w:spacing w:before="65" w:line="221" w:lineRule="auto"/>
        <w:ind w:left="133"/>
        <w:outlineLvl w:val="1"/>
        <w:rPr>
          <w:rFonts w:hint="default" w:ascii="Times New Roman" w:hAnsi="Times New Roman" w:eastAsia="宋体" w:cs="Times New Roman"/>
          <w:sz w:val="28"/>
          <w:szCs w:val="28"/>
          <w:highlight w:val="none"/>
        </w:rPr>
      </w:pPr>
      <w:bookmarkStart w:id="754" w:name="_Toc13534"/>
      <w:bookmarkStart w:id="755" w:name="_Toc16610"/>
      <w:bookmarkStart w:id="756" w:name="_Toc22853"/>
      <w:r>
        <w:rPr>
          <w:rFonts w:hint="default" w:ascii="Times New Roman" w:hAnsi="Times New Roman" w:eastAsia="Times New Roman" w:cs="Times New Roman"/>
          <w:b/>
          <w:bCs/>
          <w:spacing w:val="-1"/>
          <w:sz w:val="28"/>
          <w:szCs w:val="28"/>
          <w:highlight w:val="none"/>
        </w:rPr>
        <w:t>7.1</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经济效益分析</w:t>
      </w:r>
      <w:bookmarkEnd w:id="754"/>
      <w:bookmarkEnd w:id="755"/>
      <w:bookmarkEnd w:id="756"/>
    </w:p>
    <w:p>
      <w:pPr>
        <w:rPr>
          <w:rFonts w:hint="default" w:ascii="Times New Roman" w:hAnsi="Times New Roman" w:cs="Times New Roman"/>
          <w:sz w:val="21"/>
          <w:highlight w:val="none"/>
        </w:rPr>
      </w:pPr>
    </w:p>
    <w:p>
      <w:pPr>
        <w:spacing w:before="76" w:line="402" w:lineRule="auto"/>
        <w:ind w:left="132" w:right="122"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sz w:val="23"/>
          <w:szCs w:val="23"/>
          <w:highlight w:val="none"/>
        </w:rPr>
        <w:t>根据对本项目的投资以及政府补贴收入计算后得出：本项目总投资为</w:t>
      </w:r>
      <w:r>
        <w:rPr>
          <w:rFonts w:hint="eastAsia" w:ascii="Times New Roman" w:hAnsi="Times New Roman" w:eastAsia="宋体" w:cs="Times New Roman"/>
          <w:spacing w:val="10"/>
          <w:sz w:val="23"/>
          <w:szCs w:val="23"/>
          <w:highlight w:val="none"/>
          <w:lang w:val="en-US" w:eastAsia="zh-CN"/>
        </w:rPr>
        <w:t>36</w:t>
      </w:r>
      <w:r>
        <w:rPr>
          <w:rFonts w:hint="default" w:ascii="Times New Roman" w:hAnsi="Times New Roman" w:eastAsia="Times New Roman" w:cs="Times New Roman"/>
          <w:spacing w:val="10"/>
          <w:sz w:val="23"/>
          <w:szCs w:val="23"/>
          <w:highlight w:val="none"/>
        </w:rPr>
        <w:t>0</w:t>
      </w:r>
      <w:r>
        <w:rPr>
          <w:rFonts w:hint="default" w:ascii="Times New Roman" w:hAnsi="Times New Roman" w:eastAsia="Times New Roman" w:cs="Times New Roman"/>
          <w:spacing w:val="6"/>
          <w:sz w:val="23"/>
          <w:szCs w:val="23"/>
          <w:highlight w:val="none"/>
        </w:rPr>
        <w:t>0</w:t>
      </w:r>
      <w:r>
        <w:rPr>
          <w:rFonts w:hint="default" w:ascii="Times New Roman" w:hAnsi="Times New Roman" w:eastAsia="Times New Roman" w:cs="Times New Roman"/>
          <w:sz w:val="23"/>
          <w:szCs w:val="23"/>
          <w:highlight w:val="none"/>
        </w:rPr>
        <w:t xml:space="preserve"> </w:t>
      </w:r>
      <w:r>
        <w:rPr>
          <w:rFonts w:hint="default" w:ascii="Times New Roman" w:hAnsi="Times New Roman" w:eastAsia="宋体" w:cs="Times New Roman"/>
          <w:spacing w:val="14"/>
          <w:sz w:val="23"/>
          <w:szCs w:val="23"/>
          <w:highlight w:val="none"/>
        </w:rPr>
        <w:t>万</w:t>
      </w:r>
      <w:r>
        <w:rPr>
          <w:rFonts w:hint="default" w:ascii="Times New Roman" w:hAnsi="Times New Roman" w:eastAsia="宋体" w:cs="Times New Roman"/>
          <w:spacing w:val="7"/>
          <w:sz w:val="23"/>
          <w:szCs w:val="23"/>
          <w:highlight w:val="none"/>
        </w:rPr>
        <w:t>元，主要用于设备购置、厂房建设、设备安装等</w:t>
      </w:r>
      <w:r>
        <w:rPr>
          <w:rFonts w:hint="default" w:ascii="Times New Roman" w:hAnsi="Times New Roman" w:eastAsia="宋体" w:cs="Times New Roman"/>
          <w:spacing w:val="6"/>
          <w:sz w:val="23"/>
          <w:szCs w:val="23"/>
          <w:highlight w:val="none"/>
        </w:rPr>
        <w:t>，本项目</w:t>
      </w:r>
      <w:r>
        <w:rPr>
          <w:rFonts w:hint="eastAsia" w:ascii="Times New Roman" w:hAnsi="Times New Roman" w:eastAsia="宋体" w:cs="Times New Roman"/>
          <w:spacing w:val="6"/>
          <w:sz w:val="23"/>
          <w:szCs w:val="23"/>
          <w:highlight w:val="none"/>
          <w:lang w:val="en-US" w:eastAsia="zh-CN"/>
        </w:rPr>
        <w:t>环保投资</w:t>
      </w:r>
      <w:r>
        <w:rPr>
          <w:rFonts w:hint="default" w:ascii="Times New Roman" w:hAnsi="Times New Roman" w:eastAsia="宋体" w:cs="Times New Roman"/>
          <w:spacing w:val="6"/>
          <w:sz w:val="23"/>
          <w:szCs w:val="23"/>
          <w:highlight w:val="none"/>
        </w:rPr>
        <w:t>指标见</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 xml:space="preserve">表 </w:t>
      </w:r>
      <w:r>
        <w:rPr>
          <w:rFonts w:hint="default" w:ascii="Times New Roman" w:hAnsi="Times New Roman" w:eastAsia="Times New Roman" w:cs="Times New Roman"/>
          <w:spacing w:val="-9"/>
          <w:sz w:val="23"/>
          <w:szCs w:val="23"/>
          <w:highlight w:val="none"/>
        </w:rPr>
        <w:t>7. 1- 1</w:t>
      </w:r>
      <w:r>
        <w:rPr>
          <w:rFonts w:hint="default" w:ascii="Times New Roman" w:hAnsi="Times New Roman" w:eastAsia="宋体" w:cs="Times New Roman"/>
          <w:spacing w:val="-8"/>
          <w:sz w:val="23"/>
          <w:szCs w:val="23"/>
          <w:highlight w:val="none"/>
        </w:rPr>
        <w:t>。</w:t>
      </w:r>
    </w:p>
    <w:p>
      <w:pPr>
        <w:spacing w:before="195" w:line="227" w:lineRule="auto"/>
        <w:ind w:left="2448"/>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b/>
          <w:bCs/>
          <w:spacing w:val="6"/>
          <w:sz w:val="23"/>
          <w:szCs w:val="23"/>
          <w:highlight w:val="none"/>
        </w:rPr>
        <w:t>7</w:t>
      </w:r>
      <w:r>
        <w:rPr>
          <w:rFonts w:hint="default" w:ascii="Times New Roman" w:hAnsi="Times New Roman" w:eastAsia="Times New Roman" w:cs="Times New Roman"/>
          <w:b/>
          <w:bCs/>
          <w:spacing w:val="3"/>
          <w:sz w:val="23"/>
          <w:szCs w:val="23"/>
          <w:highlight w:val="none"/>
        </w:rPr>
        <w:t>.1-</w:t>
      </w:r>
      <w:r>
        <w:rPr>
          <w:rFonts w:hint="eastAsia" w:ascii="Times New Roman" w:hAnsi="Times New Roman" w:eastAsia="宋体" w:cs="Times New Roman"/>
          <w:b/>
          <w:bCs/>
          <w:spacing w:val="3"/>
          <w:sz w:val="23"/>
          <w:szCs w:val="23"/>
          <w:highlight w:val="none"/>
          <w:lang w:val="en-US" w:eastAsia="zh-CN"/>
        </w:rPr>
        <w:t>1</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环保投资估算一览表</w:t>
      </w:r>
    </w:p>
    <w:p>
      <w:pPr>
        <w:spacing w:line="24" w:lineRule="exact"/>
        <w:rPr>
          <w:rFonts w:hint="default" w:ascii="Times New Roman" w:hAnsi="Times New Roman" w:cs="Times New Roman"/>
          <w:highlight w:val="none"/>
        </w:rPr>
      </w:pPr>
    </w:p>
    <w:tbl>
      <w:tblPr>
        <w:tblStyle w:val="19"/>
        <w:tblW w:w="853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2408"/>
        <w:gridCol w:w="1434"/>
        <w:gridCol w:w="37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962" w:type="dxa"/>
            <w:tcBorders>
              <w:left w:val="single" w:color="000000" w:sz="10" w:space="0"/>
              <w:right w:val="single" w:color="000000" w:sz="4" w:space="0"/>
            </w:tcBorders>
            <w:vAlign w:val="top"/>
          </w:tcPr>
          <w:p>
            <w:pPr>
              <w:spacing w:before="73" w:line="230" w:lineRule="auto"/>
              <w:ind w:left="26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序号</w:t>
            </w:r>
          </w:p>
        </w:tc>
        <w:tc>
          <w:tcPr>
            <w:tcW w:w="2408" w:type="dxa"/>
            <w:tcBorders>
              <w:left w:val="single" w:color="000000" w:sz="4" w:space="0"/>
              <w:right w:val="single" w:color="000000" w:sz="4" w:space="0"/>
            </w:tcBorders>
            <w:vAlign w:val="top"/>
          </w:tcPr>
          <w:p>
            <w:pPr>
              <w:spacing w:before="73" w:line="228" w:lineRule="auto"/>
              <w:ind w:left="5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3"/>
                <w:sz w:val="20"/>
                <w:szCs w:val="20"/>
                <w:highlight w:val="none"/>
              </w:rPr>
              <w:t>项</w:t>
            </w:r>
            <w:r>
              <w:rPr>
                <w:rFonts w:hint="default" w:ascii="Times New Roman" w:hAnsi="Times New Roman" w:eastAsia="宋体" w:cs="Times New Roman"/>
                <w:spacing w:val="8"/>
                <w:sz w:val="20"/>
                <w:szCs w:val="20"/>
                <w:highlight w:val="none"/>
              </w:rPr>
              <w:t xml:space="preserve">        目</w:t>
            </w:r>
          </w:p>
        </w:tc>
        <w:tc>
          <w:tcPr>
            <w:tcW w:w="1434" w:type="dxa"/>
            <w:tcBorders>
              <w:left w:val="single" w:color="000000" w:sz="4" w:space="0"/>
              <w:right w:val="single" w:color="000000" w:sz="4" w:space="0"/>
            </w:tcBorders>
            <w:vAlign w:val="top"/>
          </w:tcPr>
          <w:p>
            <w:pPr>
              <w:spacing w:before="72" w:line="228" w:lineRule="auto"/>
              <w:ind w:left="1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费</w:t>
            </w:r>
            <w:r>
              <w:rPr>
                <w:rFonts w:hint="default" w:ascii="Times New Roman" w:hAnsi="Times New Roman" w:eastAsia="宋体" w:cs="Times New Roman"/>
                <w:spacing w:val="4"/>
                <w:sz w:val="20"/>
                <w:szCs w:val="20"/>
                <w:highlight w:val="none"/>
              </w:rPr>
              <w:t>用 (万元)</w:t>
            </w:r>
          </w:p>
        </w:tc>
        <w:tc>
          <w:tcPr>
            <w:tcW w:w="3728" w:type="dxa"/>
            <w:tcBorders>
              <w:left w:val="single" w:color="000000" w:sz="4" w:space="0"/>
              <w:right w:val="single" w:color="000000" w:sz="10" w:space="0"/>
            </w:tcBorders>
            <w:vAlign w:val="top"/>
          </w:tcPr>
          <w:p>
            <w:pPr>
              <w:spacing w:before="73" w:line="230" w:lineRule="auto"/>
              <w:ind w:left="165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62" w:type="dxa"/>
            <w:tcBorders>
              <w:left w:val="single" w:color="000000" w:sz="10" w:space="0"/>
              <w:right w:val="single" w:color="000000" w:sz="4" w:space="0"/>
            </w:tcBorders>
            <w:vAlign w:val="top"/>
          </w:tcPr>
          <w:p>
            <w:pPr>
              <w:spacing w:before="95" w:line="195" w:lineRule="auto"/>
              <w:ind w:left="43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2408" w:type="dxa"/>
            <w:tcBorders>
              <w:left w:val="single" w:color="000000" w:sz="4" w:space="0"/>
              <w:right w:val="single" w:color="000000" w:sz="4" w:space="0"/>
            </w:tcBorders>
            <w:vAlign w:val="top"/>
          </w:tcPr>
          <w:p>
            <w:pPr>
              <w:spacing w:before="59" w:line="228" w:lineRule="auto"/>
              <w:ind w:left="57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布</w:t>
            </w:r>
            <w:r>
              <w:rPr>
                <w:rFonts w:hint="default" w:ascii="Times New Roman" w:hAnsi="Times New Roman" w:eastAsia="宋体" w:cs="Times New Roman"/>
                <w:spacing w:val="8"/>
                <w:sz w:val="20"/>
                <w:szCs w:val="20"/>
                <w:highlight w:val="none"/>
              </w:rPr>
              <w:t>袋除尘系统</w:t>
            </w:r>
          </w:p>
        </w:tc>
        <w:tc>
          <w:tcPr>
            <w:tcW w:w="1434" w:type="dxa"/>
            <w:tcBorders>
              <w:left w:val="single" w:color="000000" w:sz="4" w:space="0"/>
              <w:right w:val="single" w:color="000000" w:sz="4" w:space="0"/>
            </w:tcBorders>
            <w:vAlign w:val="top"/>
          </w:tcPr>
          <w:p>
            <w:pPr>
              <w:spacing w:before="95" w:line="195" w:lineRule="auto"/>
              <w:ind w:left="620"/>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2"/>
                <w:sz w:val="20"/>
                <w:szCs w:val="20"/>
                <w:highlight w:val="none"/>
                <w:lang w:val="en-US" w:eastAsia="zh-CN"/>
              </w:rPr>
              <w:t>70</w:t>
            </w:r>
          </w:p>
        </w:tc>
        <w:tc>
          <w:tcPr>
            <w:tcW w:w="3728" w:type="dxa"/>
            <w:tcBorders>
              <w:left w:val="single" w:color="000000" w:sz="4" w:space="0"/>
              <w:right w:val="single" w:color="000000" w:sz="10" w:space="0"/>
            </w:tcBorders>
            <w:vAlign w:val="top"/>
          </w:tcPr>
          <w:p>
            <w:pPr>
              <w:spacing w:before="59" w:line="227" w:lineRule="auto"/>
              <w:ind w:left="1049"/>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8"/>
                <w:sz w:val="20"/>
                <w:szCs w:val="20"/>
                <w:highlight w:val="none"/>
                <w:lang w:val="en-US" w:eastAsia="zh-CN"/>
              </w:rPr>
              <w:t>1</w:t>
            </w:r>
            <w:r>
              <w:rPr>
                <w:rFonts w:hint="default" w:ascii="Times New Roman" w:hAnsi="Times New Roman" w:eastAsia="Times New Roman" w:cs="Times New Roman"/>
                <w:spacing w:val="8"/>
                <w:sz w:val="20"/>
                <w:szCs w:val="20"/>
                <w:highlight w:val="none"/>
              </w:rPr>
              <w:t xml:space="preserve"> </w:t>
            </w:r>
            <w:r>
              <w:rPr>
                <w:rFonts w:hint="default" w:ascii="Times New Roman" w:hAnsi="Times New Roman" w:eastAsia="宋体" w:cs="Times New Roman"/>
                <w:spacing w:val="8"/>
                <w:sz w:val="20"/>
                <w:szCs w:val="20"/>
                <w:highlight w:val="none"/>
              </w:rPr>
              <w:t>套布袋除尘系</w:t>
            </w:r>
            <w:r>
              <w:rPr>
                <w:rFonts w:hint="default" w:ascii="Times New Roman" w:hAnsi="Times New Roman" w:eastAsia="宋体" w:cs="Times New Roman"/>
                <w:spacing w:val="7"/>
                <w:sz w:val="20"/>
                <w:szCs w:val="20"/>
                <w:highlight w:val="none"/>
              </w:rPr>
              <w:t>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62" w:type="dxa"/>
            <w:tcBorders>
              <w:left w:val="single" w:color="000000" w:sz="10" w:space="0"/>
              <w:right w:val="single" w:color="000000" w:sz="4" w:space="0"/>
            </w:tcBorders>
            <w:vAlign w:val="top"/>
          </w:tcPr>
          <w:p>
            <w:pPr>
              <w:spacing w:before="96" w:line="195" w:lineRule="auto"/>
              <w:ind w:left="41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2408" w:type="dxa"/>
            <w:tcBorders>
              <w:left w:val="single" w:color="000000" w:sz="4" w:space="0"/>
              <w:right w:val="single" w:color="000000" w:sz="4" w:space="0"/>
            </w:tcBorders>
            <w:vAlign w:val="top"/>
          </w:tcPr>
          <w:p>
            <w:pPr>
              <w:spacing w:before="60" w:line="226" w:lineRule="auto"/>
              <w:ind w:left="57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喷雾抑尘系</w:t>
            </w:r>
            <w:r>
              <w:rPr>
                <w:rFonts w:hint="default" w:ascii="Times New Roman" w:hAnsi="Times New Roman" w:eastAsia="宋体" w:cs="Times New Roman"/>
                <w:spacing w:val="6"/>
                <w:sz w:val="20"/>
                <w:szCs w:val="20"/>
                <w:highlight w:val="none"/>
              </w:rPr>
              <w:t>统</w:t>
            </w:r>
          </w:p>
        </w:tc>
        <w:tc>
          <w:tcPr>
            <w:tcW w:w="1434" w:type="dxa"/>
            <w:vMerge w:val="restart"/>
            <w:tcBorders>
              <w:left w:val="single" w:color="000000" w:sz="4" w:space="0"/>
              <w:bottom w:val="nil"/>
              <w:right w:val="single" w:color="000000" w:sz="4" w:space="0"/>
            </w:tcBorders>
            <w:vAlign w:val="top"/>
          </w:tcPr>
          <w:p>
            <w:pPr>
              <w:spacing w:before="266" w:line="195" w:lineRule="auto"/>
              <w:ind w:left="611"/>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10</w:t>
            </w:r>
          </w:p>
        </w:tc>
        <w:tc>
          <w:tcPr>
            <w:tcW w:w="3728" w:type="dxa"/>
            <w:vMerge w:val="restart"/>
            <w:tcBorders>
              <w:left w:val="single" w:color="000000" w:sz="4" w:space="0"/>
              <w:bottom w:val="nil"/>
              <w:right w:val="single" w:color="000000" w:sz="10" w:space="0"/>
            </w:tcBorders>
            <w:vAlign w:val="top"/>
          </w:tcPr>
          <w:p>
            <w:pPr>
              <w:spacing w:before="231" w:line="226" w:lineRule="auto"/>
              <w:ind w:left="61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3"/>
                <w:sz w:val="20"/>
                <w:szCs w:val="20"/>
                <w:highlight w:val="none"/>
              </w:rPr>
              <w:t>喷</w:t>
            </w:r>
            <w:r>
              <w:rPr>
                <w:rFonts w:hint="default" w:ascii="Times New Roman" w:hAnsi="Times New Roman" w:eastAsia="宋体" w:cs="Times New Roman"/>
                <w:spacing w:val="8"/>
                <w:sz w:val="20"/>
                <w:szCs w:val="20"/>
                <w:highlight w:val="none"/>
              </w:rPr>
              <w:t>雾抑尘管网、皮带廊道等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62" w:type="dxa"/>
            <w:tcBorders>
              <w:left w:val="single" w:color="000000" w:sz="10" w:space="0"/>
              <w:right w:val="single" w:color="000000" w:sz="4" w:space="0"/>
            </w:tcBorders>
            <w:vAlign w:val="top"/>
          </w:tcPr>
          <w:p>
            <w:pPr>
              <w:spacing w:before="98" w:line="195" w:lineRule="auto"/>
              <w:ind w:left="421"/>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2408" w:type="dxa"/>
            <w:tcBorders>
              <w:left w:val="single" w:color="000000" w:sz="4" w:space="0"/>
              <w:right w:val="single" w:color="000000" w:sz="4" w:space="0"/>
            </w:tcBorders>
            <w:vAlign w:val="top"/>
          </w:tcPr>
          <w:p>
            <w:pPr>
              <w:spacing w:before="62" w:line="228" w:lineRule="auto"/>
              <w:ind w:left="35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封闭皮带通廊系</w:t>
            </w:r>
            <w:r>
              <w:rPr>
                <w:rFonts w:hint="default" w:ascii="Times New Roman" w:hAnsi="Times New Roman" w:eastAsia="宋体" w:cs="Times New Roman"/>
                <w:spacing w:val="7"/>
                <w:sz w:val="20"/>
                <w:szCs w:val="20"/>
                <w:highlight w:val="none"/>
              </w:rPr>
              <w:t>统</w:t>
            </w:r>
          </w:p>
        </w:tc>
        <w:tc>
          <w:tcPr>
            <w:tcW w:w="1434" w:type="dxa"/>
            <w:vMerge w:val="continue"/>
            <w:tcBorders>
              <w:top w:val="nil"/>
              <w:left w:val="single" w:color="000000" w:sz="4" w:space="0"/>
              <w:right w:val="single" w:color="000000" w:sz="4" w:space="0"/>
            </w:tcBorders>
            <w:vAlign w:val="top"/>
          </w:tcPr>
          <w:p>
            <w:pPr>
              <w:rPr>
                <w:rFonts w:hint="default" w:ascii="Times New Roman" w:hAnsi="Times New Roman" w:cs="Times New Roman"/>
                <w:sz w:val="21"/>
                <w:highlight w:val="none"/>
              </w:rPr>
            </w:pPr>
          </w:p>
        </w:tc>
        <w:tc>
          <w:tcPr>
            <w:tcW w:w="3728" w:type="dxa"/>
            <w:vMerge w:val="continue"/>
            <w:tcBorders>
              <w:top w:val="nil"/>
              <w:left w:val="single" w:color="000000" w:sz="4" w:space="0"/>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2" w:type="dxa"/>
            <w:tcBorders>
              <w:left w:val="single" w:color="000000" w:sz="10" w:space="0"/>
              <w:right w:val="single" w:color="000000" w:sz="4" w:space="0"/>
            </w:tcBorders>
            <w:vAlign w:val="top"/>
          </w:tcPr>
          <w:p>
            <w:pPr>
              <w:spacing w:before="98" w:line="192" w:lineRule="auto"/>
              <w:ind w:left="421"/>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4</w:t>
            </w:r>
          </w:p>
        </w:tc>
        <w:tc>
          <w:tcPr>
            <w:tcW w:w="2408" w:type="dxa"/>
            <w:tcBorders>
              <w:left w:val="single" w:color="000000" w:sz="4" w:space="0"/>
              <w:right w:val="single" w:color="000000" w:sz="4" w:space="0"/>
            </w:tcBorders>
            <w:vAlign w:val="top"/>
          </w:tcPr>
          <w:p>
            <w:pPr>
              <w:spacing w:before="60" w:line="228" w:lineRule="auto"/>
              <w:ind w:left="79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降</w:t>
            </w:r>
            <w:r>
              <w:rPr>
                <w:rFonts w:hint="default" w:ascii="Times New Roman" w:hAnsi="Times New Roman" w:eastAsia="宋体" w:cs="Times New Roman"/>
                <w:spacing w:val="3"/>
                <w:sz w:val="20"/>
                <w:szCs w:val="20"/>
                <w:highlight w:val="none"/>
              </w:rPr>
              <w:t>噪措施</w:t>
            </w:r>
          </w:p>
        </w:tc>
        <w:tc>
          <w:tcPr>
            <w:tcW w:w="1434" w:type="dxa"/>
            <w:tcBorders>
              <w:left w:val="single" w:color="000000" w:sz="4" w:space="0"/>
              <w:right w:val="single" w:color="000000" w:sz="4" w:space="0"/>
            </w:tcBorders>
            <w:vAlign w:val="top"/>
          </w:tcPr>
          <w:p>
            <w:pPr>
              <w:spacing w:before="95" w:line="195" w:lineRule="auto"/>
              <w:ind w:left="611"/>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5</w:t>
            </w:r>
          </w:p>
        </w:tc>
        <w:tc>
          <w:tcPr>
            <w:tcW w:w="3728" w:type="dxa"/>
            <w:tcBorders>
              <w:left w:val="single" w:color="000000" w:sz="4" w:space="0"/>
              <w:right w:val="single" w:color="000000" w:sz="10" w:space="0"/>
            </w:tcBorders>
            <w:vAlign w:val="top"/>
          </w:tcPr>
          <w:p>
            <w:pPr>
              <w:spacing w:before="60" w:line="229" w:lineRule="auto"/>
              <w:ind w:left="11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厂房</w:t>
            </w:r>
            <w:r>
              <w:rPr>
                <w:rFonts w:hint="default" w:ascii="Times New Roman" w:hAnsi="Times New Roman" w:eastAsia="宋体" w:cs="Times New Roman"/>
                <w:spacing w:val="5"/>
                <w:sz w:val="20"/>
                <w:szCs w:val="20"/>
                <w:highlight w:val="none"/>
              </w:rPr>
              <w:t>隔声、隔声罩、软连接、减震垫等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62" w:type="dxa"/>
            <w:tcBorders>
              <w:left w:val="single" w:color="000000" w:sz="10" w:space="0"/>
              <w:right w:val="single" w:color="000000" w:sz="4" w:space="0"/>
            </w:tcBorders>
            <w:vAlign w:val="top"/>
          </w:tcPr>
          <w:p>
            <w:pPr>
              <w:spacing w:before="100" w:line="195" w:lineRule="auto"/>
              <w:ind w:left="382"/>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8"/>
                <w:sz w:val="20"/>
                <w:szCs w:val="20"/>
                <w:highlight w:val="none"/>
                <w:lang w:val="en-US" w:eastAsia="zh-CN"/>
              </w:rPr>
              <w:t>5</w:t>
            </w:r>
          </w:p>
        </w:tc>
        <w:tc>
          <w:tcPr>
            <w:tcW w:w="2408" w:type="dxa"/>
            <w:tcBorders>
              <w:left w:val="single" w:color="000000" w:sz="4" w:space="0"/>
              <w:right w:val="single" w:color="000000" w:sz="4" w:space="0"/>
            </w:tcBorders>
            <w:vAlign w:val="top"/>
          </w:tcPr>
          <w:p>
            <w:pPr>
              <w:spacing w:before="65" w:line="229" w:lineRule="auto"/>
              <w:ind w:left="77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视</w:t>
            </w:r>
            <w:r>
              <w:rPr>
                <w:rFonts w:hint="default" w:ascii="Times New Roman" w:hAnsi="Times New Roman" w:eastAsia="宋体" w:cs="Times New Roman"/>
                <w:spacing w:val="7"/>
                <w:sz w:val="20"/>
                <w:szCs w:val="20"/>
                <w:highlight w:val="none"/>
              </w:rPr>
              <w:t>频监控</w:t>
            </w:r>
          </w:p>
        </w:tc>
        <w:tc>
          <w:tcPr>
            <w:tcW w:w="1434" w:type="dxa"/>
            <w:tcBorders>
              <w:left w:val="single" w:color="000000" w:sz="4" w:space="0"/>
              <w:right w:val="single" w:color="000000" w:sz="4" w:space="0"/>
            </w:tcBorders>
            <w:vAlign w:val="top"/>
          </w:tcPr>
          <w:p>
            <w:pPr>
              <w:spacing w:before="103" w:line="192" w:lineRule="auto"/>
              <w:ind w:left="668"/>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5</w:t>
            </w:r>
          </w:p>
        </w:tc>
        <w:tc>
          <w:tcPr>
            <w:tcW w:w="3728" w:type="dxa"/>
            <w:tcBorders>
              <w:left w:val="single" w:color="000000" w:sz="4" w:space="0"/>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3370" w:type="dxa"/>
            <w:gridSpan w:val="2"/>
            <w:tcBorders>
              <w:left w:val="single" w:color="000000" w:sz="10" w:space="0"/>
              <w:right w:val="single" w:color="000000" w:sz="4" w:space="0"/>
            </w:tcBorders>
            <w:vAlign w:val="top"/>
          </w:tcPr>
          <w:p>
            <w:pPr>
              <w:spacing w:before="66" w:line="230" w:lineRule="auto"/>
              <w:ind w:left="147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合计</w:t>
            </w:r>
          </w:p>
        </w:tc>
        <w:tc>
          <w:tcPr>
            <w:tcW w:w="1434" w:type="dxa"/>
            <w:tcBorders>
              <w:left w:val="single" w:color="000000" w:sz="4" w:space="0"/>
              <w:right w:val="single" w:color="000000" w:sz="4" w:space="0"/>
            </w:tcBorders>
            <w:vAlign w:val="top"/>
          </w:tcPr>
          <w:p>
            <w:pPr>
              <w:spacing w:before="102" w:line="195" w:lineRule="auto"/>
              <w:ind w:left="563"/>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90</w:t>
            </w:r>
          </w:p>
        </w:tc>
        <w:tc>
          <w:tcPr>
            <w:tcW w:w="3728" w:type="dxa"/>
            <w:tcBorders>
              <w:left w:val="single" w:color="000000" w:sz="4" w:space="0"/>
              <w:right w:val="single" w:color="000000" w:sz="10" w:space="0"/>
            </w:tcBorders>
            <w:vAlign w:val="top"/>
          </w:tcPr>
          <w:p>
            <w:pPr>
              <w:rPr>
                <w:rFonts w:hint="default" w:ascii="Times New Roman" w:hAnsi="Times New Roman" w:cs="Times New Roman"/>
                <w:sz w:val="21"/>
                <w:highlight w:val="none"/>
              </w:rPr>
            </w:pPr>
          </w:p>
        </w:tc>
      </w:tr>
    </w:tbl>
    <w:p>
      <w:pPr>
        <w:spacing w:before="281" w:line="221" w:lineRule="auto"/>
        <w:ind w:left="133"/>
        <w:outlineLvl w:val="1"/>
        <w:rPr>
          <w:rFonts w:hint="default" w:ascii="Times New Roman" w:hAnsi="Times New Roman" w:eastAsia="宋体" w:cs="Times New Roman"/>
          <w:sz w:val="28"/>
          <w:szCs w:val="28"/>
          <w:highlight w:val="none"/>
        </w:rPr>
      </w:pPr>
      <w:bookmarkStart w:id="757" w:name="_Toc14523"/>
      <w:bookmarkStart w:id="758" w:name="_Toc3369"/>
      <w:bookmarkStart w:id="759" w:name="_Toc3297"/>
      <w:r>
        <w:rPr>
          <w:rFonts w:hint="default" w:ascii="Times New Roman" w:hAnsi="Times New Roman" w:eastAsia="Times New Roman" w:cs="Times New Roman"/>
          <w:b/>
          <w:bCs/>
          <w:spacing w:val="-1"/>
          <w:sz w:val="28"/>
          <w:szCs w:val="28"/>
          <w:highlight w:val="none"/>
        </w:rPr>
        <w:t>7.2</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环境效益分析</w:t>
      </w:r>
      <w:bookmarkEnd w:id="757"/>
      <w:bookmarkEnd w:id="758"/>
      <w:bookmarkEnd w:id="759"/>
    </w:p>
    <w:p>
      <w:pPr>
        <w:spacing w:before="302" w:line="227" w:lineRule="auto"/>
        <w:ind w:left="613"/>
        <w:outlineLvl w:val="2"/>
        <w:rPr>
          <w:rFonts w:hint="default" w:ascii="Times New Roman" w:hAnsi="Times New Roman" w:eastAsia="宋体" w:cs="Times New Roman"/>
          <w:sz w:val="23"/>
          <w:szCs w:val="23"/>
          <w:highlight w:val="none"/>
        </w:rPr>
      </w:pPr>
      <w:bookmarkStart w:id="760" w:name="_Toc25039"/>
      <w:bookmarkStart w:id="761" w:name="_Toc14638"/>
      <w:bookmarkStart w:id="762" w:name="_Toc778"/>
      <w:r>
        <w:rPr>
          <w:rFonts w:hint="default" w:ascii="Times New Roman" w:hAnsi="Times New Roman" w:eastAsia="宋体" w:cs="Times New Roman"/>
          <w:spacing w:val="27"/>
          <w:sz w:val="23"/>
          <w:szCs w:val="23"/>
          <w:highlight w:val="none"/>
        </w:rPr>
        <w:t>拟</w:t>
      </w:r>
      <w:r>
        <w:rPr>
          <w:rFonts w:hint="default" w:ascii="Times New Roman" w:hAnsi="Times New Roman" w:eastAsia="宋体" w:cs="Times New Roman"/>
          <w:spacing w:val="14"/>
          <w:sz w:val="23"/>
          <w:szCs w:val="23"/>
          <w:highlight w:val="none"/>
        </w:rPr>
        <w:t>建项目采用了国内较为先进的生产工艺，同时采取了完善的污染防治措</w:t>
      </w:r>
      <w:bookmarkEnd w:id="760"/>
      <w:bookmarkEnd w:id="761"/>
      <w:bookmarkEnd w:id="762"/>
    </w:p>
    <w:p>
      <w:pPr>
        <w:spacing w:before="198" w:line="385" w:lineRule="auto"/>
        <w:ind w:left="133" w:right="59" w:hanging="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施</w:t>
      </w:r>
      <w:r>
        <w:rPr>
          <w:rFonts w:hint="default" w:ascii="Times New Roman" w:hAnsi="Times New Roman" w:eastAsia="宋体" w:cs="Times New Roman"/>
          <w:spacing w:val="7"/>
          <w:sz w:val="23"/>
          <w:szCs w:val="23"/>
          <w:highlight w:val="none"/>
        </w:rPr>
        <w:t>，可确保污染物达标排放。根据环境空气影响分析结果，项目的实施对周围大</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气环境质量影</w:t>
      </w:r>
      <w:r>
        <w:rPr>
          <w:rFonts w:hint="default" w:ascii="Times New Roman" w:hAnsi="Times New Roman" w:eastAsia="宋体" w:cs="Times New Roman"/>
          <w:spacing w:val="2"/>
          <w:sz w:val="23"/>
          <w:szCs w:val="23"/>
          <w:highlight w:val="none"/>
        </w:rPr>
        <w:t>响较小，不会改变当地环境空气质量功能；项目生产用水循环使用，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生</w:t>
      </w:r>
      <w:r>
        <w:rPr>
          <w:rFonts w:hint="default" w:ascii="Times New Roman" w:hAnsi="Times New Roman" w:eastAsia="宋体" w:cs="Times New Roman"/>
          <w:spacing w:val="7"/>
          <w:sz w:val="23"/>
          <w:szCs w:val="23"/>
          <w:highlight w:val="none"/>
        </w:rPr>
        <w:t>活污水由厂区化粪池暂存，由环卫部门定期清掏，无废水外排；各池体和危废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间</w:t>
      </w:r>
      <w:r>
        <w:rPr>
          <w:rFonts w:hint="default" w:ascii="Times New Roman" w:hAnsi="Times New Roman" w:eastAsia="宋体" w:cs="Times New Roman"/>
          <w:spacing w:val="7"/>
          <w:sz w:val="23"/>
          <w:szCs w:val="23"/>
          <w:highlight w:val="none"/>
        </w:rPr>
        <w:t>均采取了严格的防腐防渗措施，不会对地下水产生明显影响；噪声污染源采取</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了</w:t>
      </w:r>
      <w:r>
        <w:rPr>
          <w:rFonts w:hint="default" w:ascii="Times New Roman" w:hAnsi="Times New Roman" w:eastAsia="宋体" w:cs="Times New Roman"/>
          <w:spacing w:val="7"/>
          <w:sz w:val="23"/>
          <w:szCs w:val="23"/>
          <w:highlight w:val="none"/>
        </w:rPr>
        <w:t>有效的隔声降噪措施；生产过程中产生的固体废物采取回收综合利用的方式进</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行处</w:t>
      </w:r>
      <w:r>
        <w:rPr>
          <w:rFonts w:hint="default" w:ascii="Times New Roman" w:hAnsi="Times New Roman" w:eastAsia="宋体" w:cs="Times New Roman"/>
          <w:spacing w:val="12"/>
          <w:sz w:val="23"/>
          <w:szCs w:val="23"/>
          <w:highlight w:val="none"/>
        </w:rPr>
        <w:t>理</w:t>
      </w:r>
      <w:r>
        <w:rPr>
          <w:rFonts w:hint="default" w:ascii="Times New Roman" w:hAnsi="Times New Roman" w:eastAsia="宋体" w:cs="Times New Roman"/>
          <w:spacing w:val="8"/>
          <w:sz w:val="23"/>
          <w:szCs w:val="23"/>
          <w:highlight w:val="none"/>
        </w:rPr>
        <w:t>，不会造成环境污染。</w:t>
      </w:r>
    </w:p>
    <w:p>
      <w:pPr>
        <w:spacing w:before="1" w:line="228" w:lineRule="auto"/>
        <w:ind w:left="61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综合分析，采取上述环保措施后环境效益明显</w:t>
      </w:r>
      <w:r>
        <w:rPr>
          <w:rFonts w:hint="default" w:ascii="Times New Roman" w:hAnsi="Times New Roman" w:eastAsia="宋体" w:cs="Times New Roman"/>
          <w:spacing w:val="7"/>
          <w:sz w:val="23"/>
          <w:szCs w:val="23"/>
          <w:highlight w:val="none"/>
        </w:rPr>
        <w:t>。</w:t>
      </w:r>
    </w:p>
    <w:p>
      <w:pPr>
        <w:spacing w:before="297" w:line="217" w:lineRule="auto"/>
        <w:ind w:left="133"/>
        <w:outlineLvl w:val="1"/>
        <w:rPr>
          <w:rFonts w:hint="default" w:ascii="Times New Roman" w:hAnsi="Times New Roman" w:eastAsia="宋体" w:cs="Times New Roman"/>
          <w:sz w:val="28"/>
          <w:szCs w:val="28"/>
          <w:highlight w:val="none"/>
        </w:rPr>
      </w:pPr>
      <w:bookmarkStart w:id="763" w:name="_Toc29816"/>
      <w:bookmarkStart w:id="764" w:name="_Toc9462"/>
      <w:bookmarkStart w:id="765" w:name="_Toc31453"/>
      <w:r>
        <w:rPr>
          <w:rFonts w:hint="default" w:ascii="Times New Roman" w:hAnsi="Times New Roman" w:eastAsia="Times New Roman" w:cs="Times New Roman"/>
          <w:b/>
          <w:bCs/>
          <w:spacing w:val="-1"/>
          <w:sz w:val="28"/>
          <w:szCs w:val="28"/>
          <w:highlight w:val="none"/>
        </w:rPr>
        <w:t>7.3</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社会效益分析</w:t>
      </w:r>
      <w:bookmarkEnd w:id="763"/>
      <w:bookmarkEnd w:id="764"/>
      <w:bookmarkEnd w:id="765"/>
    </w:p>
    <w:p>
      <w:pPr>
        <w:spacing w:before="310" w:line="225" w:lineRule="auto"/>
        <w:ind w:left="61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本项目社会效益主要体现在以下几方面</w:t>
      </w:r>
      <w:r>
        <w:rPr>
          <w:rFonts w:hint="default" w:ascii="Times New Roman" w:hAnsi="Times New Roman" w:eastAsia="宋体" w:cs="Times New Roman"/>
          <w:spacing w:val="6"/>
          <w:sz w:val="23"/>
          <w:szCs w:val="23"/>
          <w:highlight w:val="none"/>
        </w:rPr>
        <w:t>：</w:t>
      </w:r>
    </w:p>
    <w:p>
      <w:pPr>
        <w:spacing w:before="201" w:line="385" w:lineRule="auto"/>
        <w:ind w:left="141" w:right="122" w:firstLine="48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1</w:t>
      </w:r>
      <w:r>
        <w:rPr>
          <w:rFonts w:hint="default" w:ascii="Times New Roman" w:hAnsi="Times New Roman" w:eastAsia="宋体" w:cs="Times New Roman"/>
          <w:spacing w:val="13"/>
          <w:sz w:val="23"/>
          <w:szCs w:val="23"/>
          <w:highlight w:val="none"/>
        </w:rPr>
        <w:t>) 该建设项目具有显著的经济效益，企业盈利的提高可以增加地方财政</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收入，促进地方经济的发展</w:t>
      </w:r>
      <w:r>
        <w:rPr>
          <w:rFonts w:hint="default" w:ascii="Times New Roman" w:hAnsi="Times New Roman" w:eastAsia="宋体" w:cs="Times New Roman"/>
          <w:spacing w:val="6"/>
          <w:sz w:val="23"/>
          <w:szCs w:val="23"/>
          <w:highlight w:val="none"/>
        </w:rPr>
        <w:t>。</w:t>
      </w:r>
    </w:p>
    <w:p>
      <w:pPr>
        <w:spacing w:line="385" w:lineRule="auto"/>
        <w:ind w:left="156" w:right="122" w:firstLine="46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sz w:val="23"/>
          <w:szCs w:val="23"/>
          <w:highlight w:val="none"/>
        </w:rPr>
        <w:t>(</w:t>
      </w:r>
      <w:r>
        <w:rPr>
          <w:rFonts w:hint="default" w:ascii="Times New Roman" w:hAnsi="Times New Roman" w:eastAsia="Times New Roman" w:cs="Times New Roman"/>
          <w:spacing w:val="11"/>
          <w:sz w:val="23"/>
          <w:szCs w:val="23"/>
          <w:highlight w:val="none"/>
        </w:rPr>
        <w:t>2</w:t>
      </w:r>
      <w:r>
        <w:rPr>
          <w:rFonts w:hint="default" w:ascii="Times New Roman" w:hAnsi="Times New Roman" w:eastAsia="宋体" w:cs="Times New Roman"/>
          <w:spacing w:val="11"/>
          <w:sz w:val="23"/>
          <w:szCs w:val="23"/>
          <w:highlight w:val="none"/>
        </w:rPr>
        <w:t>) 企业劳动定员</w:t>
      </w:r>
      <w:r>
        <w:rPr>
          <w:rFonts w:hint="default" w:ascii="Times New Roman" w:hAnsi="Times New Roman" w:eastAsia="Times New Roman" w:cs="Times New Roman"/>
          <w:spacing w:val="11"/>
          <w:sz w:val="23"/>
          <w:szCs w:val="23"/>
          <w:highlight w:val="none"/>
        </w:rPr>
        <w:t xml:space="preserve">40 </w:t>
      </w:r>
      <w:r>
        <w:rPr>
          <w:rFonts w:hint="default" w:ascii="Times New Roman" w:hAnsi="Times New Roman" w:eastAsia="宋体" w:cs="Times New Roman"/>
          <w:spacing w:val="11"/>
          <w:sz w:val="23"/>
          <w:szCs w:val="23"/>
          <w:highlight w:val="none"/>
        </w:rPr>
        <w:t>人，可以为当地提供了一定的就业机会，提高当地</w:t>
      </w:r>
      <w:r>
        <w:rPr>
          <w:rFonts w:hint="default" w:ascii="Times New Roman" w:hAnsi="Times New Roman" w:eastAsia="宋体" w:cs="Times New Roman"/>
          <w:spacing w:val="7"/>
          <w:sz w:val="23"/>
          <w:szCs w:val="23"/>
          <w:highlight w:val="none"/>
        </w:rPr>
        <w:t>居</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民的</w:t>
      </w:r>
      <w:r>
        <w:rPr>
          <w:rFonts w:hint="default" w:ascii="Times New Roman" w:hAnsi="Times New Roman" w:eastAsia="宋体" w:cs="Times New Roman"/>
          <w:spacing w:val="7"/>
          <w:sz w:val="23"/>
          <w:szCs w:val="23"/>
          <w:highlight w:val="none"/>
        </w:rPr>
        <w:t>收入，项目的建设有利于社会的稳定。</w:t>
      </w:r>
    </w:p>
    <w:p>
      <w:pPr>
        <w:spacing w:before="1" w:line="228" w:lineRule="auto"/>
        <w:ind w:left="61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综上所述，项目的建设具有较为明显的社会效益</w:t>
      </w:r>
      <w:r>
        <w:rPr>
          <w:rFonts w:hint="default" w:ascii="Times New Roman" w:hAnsi="Times New Roman" w:eastAsia="宋体" w:cs="Times New Roman"/>
          <w:spacing w:val="8"/>
          <w:sz w:val="23"/>
          <w:szCs w:val="23"/>
          <w:highlight w:val="none"/>
        </w:rPr>
        <w:t>。</w:t>
      </w:r>
    </w:p>
    <w:p>
      <w:pPr>
        <w:spacing w:before="295" w:line="222" w:lineRule="auto"/>
        <w:ind w:left="133"/>
        <w:outlineLvl w:val="1"/>
        <w:rPr>
          <w:rFonts w:hint="default" w:ascii="Times New Roman" w:hAnsi="Times New Roman" w:eastAsia="宋体" w:cs="Times New Roman"/>
          <w:sz w:val="28"/>
          <w:szCs w:val="28"/>
          <w:highlight w:val="none"/>
        </w:rPr>
      </w:pPr>
      <w:bookmarkStart w:id="766" w:name="_Toc24671"/>
      <w:bookmarkStart w:id="767" w:name="_Toc19413"/>
      <w:bookmarkStart w:id="768" w:name="_Toc10874"/>
      <w:r>
        <w:rPr>
          <w:rFonts w:hint="default" w:ascii="Times New Roman" w:hAnsi="Times New Roman" w:eastAsia="Times New Roman" w:cs="Times New Roman"/>
          <w:b/>
          <w:bCs/>
          <w:spacing w:val="-2"/>
          <w:sz w:val="28"/>
          <w:szCs w:val="28"/>
          <w:highlight w:val="none"/>
        </w:rPr>
        <w:t>7.</w:t>
      </w:r>
      <w:r>
        <w:rPr>
          <w:rFonts w:hint="default" w:ascii="Times New Roman" w:hAnsi="Times New Roman" w:eastAsia="Times New Roman" w:cs="Times New Roman"/>
          <w:b/>
          <w:bCs/>
          <w:spacing w:val="-1"/>
          <w:sz w:val="28"/>
          <w:szCs w:val="28"/>
          <w:highlight w:val="none"/>
        </w:rPr>
        <w:t>4</w:t>
      </w:r>
      <w:r>
        <w:rPr>
          <w:rFonts w:hint="default" w:ascii="Times New Roman" w:hAnsi="Times New Roman" w:eastAsia="Times New Roman" w:cs="Times New Roman"/>
          <w:spacing w:val="-1"/>
          <w:sz w:val="28"/>
          <w:szCs w:val="28"/>
          <w:highlight w:val="none"/>
        </w:rPr>
        <w:t xml:space="preserve">  </w:t>
      </w:r>
      <w:r>
        <w:rPr>
          <w:rFonts w:hint="default" w:ascii="Times New Roman" w:hAnsi="Times New Roman" w:eastAsia="宋体" w:cs="Times New Roman"/>
          <w:spacing w:val="-1"/>
          <w:sz w:val="28"/>
          <w:szCs w:val="28"/>
          <w:highlight w:val="none"/>
          <w14:textOutline w14:w="5103" w14:cap="sq" w14:cmpd="sng">
            <w14:solidFill>
              <w14:srgbClr w14:val="000000"/>
            </w14:solidFill>
            <w14:prstDash w14:val="solid"/>
            <w14:bevel/>
          </w14:textOutline>
        </w:rPr>
        <w:t>结论</w:t>
      </w:r>
      <w:bookmarkEnd w:id="766"/>
      <w:bookmarkEnd w:id="767"/>
      <w:bookmarkEnd w:id="768"/>
    </w:p>
    <w:p>
      <w:pPr>
        <w:spacing w:line="242" w:lineRule="auto"/>
        <w:rPr>
          <w:rFonts w:hint="default" w:ascii="Times New Roman" w:hAnsi="Times New Roman" w:cs="Times New Roman"/>
          <w:sz w:val="21"/>
          <w:highlight w:val="none"/>
        </w:rPr>
      </w:pPr>
    </w:p>
    <w:p>
      <w:pPr>
        <w:spacing w:before="75" w:line="406" w:lineRule="auto"/>
        <w:ind w:left="132" w:right="122"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通过以上分析可以看出，本工程的实施具有明显的经济效益和社会效益，工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程</w:t>
      </w:r>
      <w:r>
        <w:rPr>
          <w:rFonts w:hint="default" w:ascii="Times New Roman" w:hAnsi="Times New Roman" w:eastAsia="宋体" w:cs="Times New Roman"/>
          <w:spacing w:val="7"/>
          <w:sz w:val="23"/>
          <w:szCs w:val="23"/>
          <w:highlight w:val="none"/>
        </w:rPr>
        <w:t>采取了较为完善的环保治理措施，不会对周围环境产生明显影响，做到了社会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效益、经济效益和环境效益的同步发展</w:t>
      </w:r>
      <w:r>
        <w:rPr>
          <w:rFonts w:hint="default" w:ascii="Times New Roman" w:hAnsi="Times New Roman" w:eastAsia="宋体" w:cs="Times New Roman"/>
          <w:spacing w:val="8"/>
          <w:sz w:val="23"/>
          <w:szCs w:val="23"/>
          <w:highlight w:val="none"/>
        </w:rPr>
        <w:t>。</w:t>
      </w:r>
    </w:p>
    <w:p>
      <w:pPr>
        <w:spacing w:before="5" w:line="72" w:lineRule="exact"/>
        <w:ind w:firstLine="123"/>
        <w:textAlignment w:val="center"/>
        <w:rPr>
          <w:rFonts w:hint="default" w:ascii="Times New Roman" w:hAnsi="Times New Roman" w:cs="Times New Roman"/>
          <w:highlight w:val="none"/>
        </w:rPr>
      </w:pPr>
    </w:p>
    <w:p>
      <w:pPr>
        <w:rPr>
          <w:rFonts w:hint="default" w:ascii="Times New Roman" w:hAnsi="Times New Roman" w:cs="Times New Roman"/>
          <w:highlight w:val="none"/>
        </w:rPr>
        <w:sectPr>
          <w:headerReference r:id="rId125" w:type="default"/>
          <w:footerReference r:id="rId126" w:type="default"/>
          <w:pgSz w:w="11906" w:h="16839"/>
          <w:pgMar w:top="1167" w:right="1674" w:bottom="1175" w:left="1673" w:header="897" w:footer="1015" w:gutter="0"/>
          <w:pgBorders>
            <w:top w:val="none" w:sz="0" w:space="0"/>
            <w:left w:val="none" w:sz="0" w:space="0"/>
            <w:bottom w:val="none" w:sz="0" w:space="0"/>
            <w:right w:val="none" w:sz="0" w:space="0"/>
          </w:pgBorders>
          <w:pgNumType w:fmt="decimal"/>
          <w:cols w:space="720" w:num="1"/>
        </w:sectPr>
      </w:pPr>
    </w:p>
    <w:p>
      <w:pPr>
        <w:spacing w:line="439"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386" o:spid="_x0000_s1386" o:spt="1" style="position:absolute;left:0pt;margin-left:89.85pt;margin-top:776.35pt;height:0.75pt;width:415.65pt;mso-position-horizontal-relative:page;mso-position-vertical-relative:page;z-index:251830272;mso-width-relative:page;mso-height-relative:page;" fillcolor="#000000" filled="t" stroked="f" coordsize="21600,21600" o:allowincell="f">
            <v:path/>
            <v:fill on="t" focussize="0,0"/>
            <v:stroke on="f"/>
            <v:imagedata o:title=""/>
            <o:lock v:ext="edit"/>
          </v:rect>
        </w:pict>
      </w:r>
      <w:r>
        <w:rPr>
          <w:rFonts w:hint="default" w:ascii="Times New Roman" w:hAnsi="Times New Roman" w:cs="Times New Roman"/>
          <w:highlight w:val="none"/>
        </w:rPr>
        <w:pict>
          <v:shape id="_x0000_s1387" o:spid="_x0000_s1387" style="position:absolute;left:0pt;margin-left:89.85pt;margin-top:59.05pt;height:0.75pt;width:415.65pt;mso-position-horizontal-relative:page;mso-position-vertical-relative:page;z-index:251829248;mso-width-relative:page;mso-height-relative:page;" fillcolor="#000000" filled="t" stroked="f" coordsize="8312,15" o:allowincell="f" path="m0,0l8312,0,8312,14,0,14,0,0xe">
            <v:path/>
            <v:fill on="t" focussize="0,0"/>
            <v:stroke on="f"/>
            <v:imagedata o:title=""/>
            <o:lock v:ext="edit"/>
          </v:shape>
        </w:pict>
      </w:r>
    </w:p>
    <w:p>
      <w:pPr>
        <w:spacing w:before="95" w:line="228" w:lineRule="auto"/>
        <w:ind w:left="22"/>
        <w:outlineLvl w:val="0"/>
        <w:rPr>
          <w:rFonts w:hint="default" w:ascii="Times New Roman" w:hAnsi="Times New Roman" w:eastAsia="黑体" w:cs="Times New Roman"/>
          <w:sz w:val="29"/>
          <w:szCs w:val="29"/>
          <w:highlight w:val="none"/>
        </w:rPr>
      </w:pPr>
      <w:bookmarkStart w:id="769" w:name="_Toc31945"/>
      <w:bookmarkStart w:id="770" w:name="_Toc6016"/>
      <w:bookmarkStart w:id="771" w:name="_Toc7946"/>
      <w:r>
        <w:rPr>
          <w:rFonts w:hint="default" w:ascii="Times New Roman" w:hAnsi="Times New Roman" w:eastAsia="Times New Roman" w:cs="Times New Roman"/>
          <w:b/>
          <w:bCs/>
          <w:spacing w:val="11"/>
          <w:sz w:val="29"/>
          <w:szCs w:val="29"/>
          <w:highlight w:val="none"/>
        </w:rPr>
        <w:t>8</w:t>
      </w:r>
      <w:r>
        <w:rPr>
          <w:rFonts w:hint="default" w:ascii="Times New Roman" w:hAnsi="Times New Roman" w:eastAsia="Times New Roman" w:cs="Times New Roman"/>
          <w:spacing w:val="8"/>
          <w:sz w:val="29"/>
          <w:szCs w:val="29"/>
          <w:highlight w:val="none"/>
        </w:rPr>
        <w:t xml:space="preserve">  </w:t>
      </w:r>
      <w:r>
        <w:rPr>
          <w:rFonts w:hint="default" w:ascii="Times New Roman" w:hAnsi="Times New Roman" w:eastAsia="黑体" w:cs="Times New Roman"/>
          <w:spacing w:val="8"/>
          <w:sz w:val="29"/>
          <w:szCs w:val="29"/>
          <w:highlight w:val="none"/>
          <w14:textOutline w14:w="5448" w14:cap="sq" w14:cmpd="sng">
            <w14:solidFill>
              <w14:srgbClr w14:val="000000"/>
            </w14:solidFill>
            <w14:prstDash w14:val="solid"/>
            <w14:bevel/>
          </w14:textOutline>
        </w:rPr>
        <w:t>环境管理与监测计划</w:t>
      </w:r>
      <w:bookmarkEnd w:id="769"/>
      <w:bookmarkEnd w:id="770"/>
      <w:bookmarkEnd w:id="771"/>
    </w:p>
    <w:p>
      <w:pPr>
        <w:spacing w:before="311" w:line="404" w:lineRule="auto"/>
        <w:ind w:left="19" w:firstLine="484"/>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为加强建设项目的环境管理，加大企业环境监测力度，严格控制污染物排</w:t>
      </w:r>
      <w:r>
        <w:rPr>
          <w:rFonts w:hint="default" w:ascii="Times New Roman" w:hAnsi="Times New Roman" w:eastAsia="宋体" w:cs="Times New Roman"/>
          <w:spacing w:val="4"/>
          <w:sz w:val="23"/>
          <w:szCs w:val="23"/>
          <w:highlight w:val="none"/>
        </w:rPr>
        <w:t>放</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总量，有效地保护生态环境，执行建设项目环境影响评价和</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三同时</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制度；为</w:t>
      </w:r>
      <w:r>
        <w:rPr>
          <w:rFonts w:hint="default" w:ascii="Times New Roman" w:hAnsi="Times New Roman" w:eastAsia="宋体" w:cs="Times New Roman"/>
          <w:spacing w:val="1"/>
          <w:sz w:val="23"/>
          <w:szCs w:val="23"/>
          <w:highlight w:val="none"/>
        </w:rPr>
        <w:t>了</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既发展生产又保</w:t>
      </w:r>
      <w:r>
        <w:rPr>
          <w:rFonts w:hint="default" w:ascii="Times New Roman" w:hAnsi="Times New Roman" w:eastAsia="宋体" w:cs="Times New Roman"/>
          <w:spacing w:val="3"/>
          <w:sz w:val="23"/>
          <w:szCs w:val="23"/>
          <w:highlight w:val="none"/>
        </w:rPr>
        <w:t>护</w:t>
      </w:r>
      <w:r>
        <w:rPr>
          <w:rFonts w:hint="default" w:ascii="Times New Roman" w:hAnsi="Times New Roman" w:eastAsia="宋体" w:cs="Times New Roman"/>
          <w:spacing w:val="2"/>
          <w:sz w:val="23"/>
          <w:szCs w:val="23"/>
          <w:highlight w:val="none"/>
        </w:rPr>
        <w:t>环境，实现建设项目的经济效益、社会效益和环境效益的统一，</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更</w:t>
      </w:r>
      <w:r>
        <w:rPr>
          <w:rFonts w:hint="default" w:ascii="Times New Roman" w:hAnsi="Times New Roman" w:eastAsia="宋体" w:cs="Times New Roman"/>
          <w:spacing w:val="8"/>
          <w:sz w:val="23"/>
          <w:szCs w:val="23"/>
          <w:highlight w:val="none"/>
        </w:rPr>
        <w:t>好</w:t>
      </w:r>
      <w:r>
        <w:rPr>
          <w:rFonts w:hint="default" w:ascii="Times New Roman" w:hAnsi="Times New Roman" w:eastAsia="宋体" w:cs="Times New Roman"/>
          <w:spacing w:val="7"/>
          <w:sz w:val="23"/>
          <w:szCs w:val="23"/>
          <w:highlight w:val="none"/>
        </w:rPr>
        <w:t>地监控工程环保设施的运行，及时掌握和了解污染治理措施的效果，必须设</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7"/>
          <w:sz w:val="23"/>
          <w:szCs w:val="23"/>
          <w:highlight w:val="none"/>
        </w:rPr>
        <w:t>置</w:t>
      </w:r>
      <w:r>
        <w:rPr>
          <w:rFonts w:hint="default" w:ascii="Times New Roman" w:hAnsi="Times New Roman" w:eastAsia="宋体" w:cs="Times New Roman"/>
          <w:spacing w:val="9"/>
          <w:sz w:val="23"/>
          <w:szCs w:val="23"/>
          <w:highlight w:val="none"/>
        </w:rPr>
        <w:t>相应的环保机构，制定全厂的环境管理和环境监测计划。</w:t>
      </w:r>
    </w:p>
    <w:p>
      <w:pPr>
        <w:spacing w:before="69" w:line="221" w:lineRule="auto"/>
        <w:ind w:left="21"/>
        <w:outlineLvl w:val="1"/>
        <w:rPr>
          <w:rFonts w:hint="default" w:ascii="Times New Roman" w:hAnsi="Times New Roman" w:eastAsia="宋体" w:cs="Times New Roman"/>
          <w:sz w:val="28"/>
          <w:szCs w:val="28"/>
          <w:highlight w:val="none"/>
        </w:rPr>
      </w:pPr>
      <w:bookmarkStart w:id="772" w:name="_Toc3903"/>
      <w:bookmarkStart w:id="773" w:name="_Toc25580"/>
      <w:bookmarkStart w:id="774" w:name="_Toc27121"/>
      <w:r>
        <w:rPr>
          <w:rFonts w:hint="default" w:ascii="Times New Roman" w:hAnsi="Times New Roman" w:eastAsia="Times New Roman" w:cs="Times New Roman"/>
          <w:b/>
          <w:bCs/>
          <w:spacing w:val="-1"/>
          <w:sz w:val="28"/>
          <w:szCs w:val="28"/>
          <w:highlight w:val="none"/>
        </w:rPr>
        <w:t>8.</w:t>
      </w:r>
      <w:r>
        <w:rPr>
          <w:rFonts w:hint="default" w:ascii="Times New Roman" w:hAnsi="Times New Roman" w:eastAsia="Times New Roman" w:cs="Times New Roman"/>
          <w:b/>
          <w:bCs/>
          <w:sz w:val="28"/>
          <w:szCs w:val="28"/>
          <w:highlight w:val="none"/>
        </w:rPr>
        <w:t>1</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施工期环境管理</w:t>
      </w:r>
      <w:bookmarkEnd w:id="772"/>
      <w:bookmarkEnd w:id="773"/>
      <w:bookmarkEnd w:id="774"/>
    </w:p>
    <w:p>
      <w:pPr>
        <w:spacing w:before="303" w:line="385" w:lineRule="auto"/>
        <w:ind w:left="23" w:right="63"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为加强施工现场管理，防治施工扬尘污染和施工噪声污染，本评价对项目</w:t>
      </w:r>
      <w:r>
        <w:rPr>
          <w:rFonts w:hint="default" w:ascii="Times New Roman" w:hAnsi="Times New Roman" w:eastAsia="宋体" w:cs="Times New Roman"/>
          <w:spacing w:val="4"/>
          <w:sz w:val="23"/>
          <w:szCs w:val="23"/>
          <w:highlight w:val="none"/>
        </w:rPr>
        <w:t>施</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工</w:t>
      </w:r>
      <w:r>
        <w:rPr>
          <w:rFonts w:hint="default" w:ascii="Times New Roman" w:hAnsi="Times New Roman" w:eastAsia="宋体" w:cs="Times New Roman"/>
          <w:spacing w:val="8"/>
          <w:sz w:val="23"/>
          <w:szCs w:val="23"/>
          <w:highlight w:val="none"/>
        </w:rPr>
        <w:t>期环境管理提出如下要求：</w:t>
      </w:r>
    </w:p>
    <w:p>
      <w:pPr>
        <w:spacing w:line="385" w:lineRule="auto"/>
        <w:ind w:left="23" w:right="63" w:firstLine="47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5"/>
          <w:sz w:val="23"/>
          <w:szCs w:val="23"/>
          <w:highlight w:val="none"/>
        </w:rPr>
        <w:t xml:space="preserve">⑴项目筹建处应配备 </w:t>
      </w:r>
      <w:r>
        <w:rPr>
          <w:rFonts w:hint="default" w:ascii="Times New Roman" w:hAnsi="Times New Roman" w:eastAsia="Times New Roman" w:cs="Times New Roman"/>
          <w:spacing w:val="5"/>
          <w:sz w:val="23"/>
          <w:szCs w:val="23"/>
          <w:highlight w:val="none"/>
        </w:rPr>
        <w:t xml:space="preserve">1 </w:t>
      </w:r>
      <w:r>
        <w:rPr>
          <w:rFonts w:hint="default" w:ascii="Times New Roman" w:hAnsi="Times New Roman" w:eastAsia="宋体" w:cs="Times New Roman"/>
          <w:spacing w:val="5"/>
          <w:sz w:val="23"/>
          <w:szCs w:val="23"/>
          <w:highlight w:val="none"/>
        </w:rPr>
        <w:t>名具有环保专业知识的技术人员，专职或兼职负责</w:t>
      </w:r>
      <w:r>
        <w:rPr>
          <w:rFonts w:hint="default" w:ascii="Times New Roman" w:hAnsi="Times New Roman" w:eastAsia="宋体" w:cs="Times New Roman"/>
          <w:spacing w:val="4"/>
          <w:sz w:val="23"/>
          <w:szCs w:val="23"/>
          <w:highlight w:val="none"/>
        </w:rPr>
        <w:t>施</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工</w:t>
      </w:r>
      <w:r>
        <w:rPr>
          <w:rFonts w:hint="default" w:ascii="Times New Roman" w:hAnsi="Times New Roman" w:eastAsia="宋体" w:cs="Times New Roman"/>
          <w:spacing w:val="13"/>
          <w:sz w:val="23"/>
          <w:szCs w:val="23"/>
          <w:highlight w:val="none"/>
        </w:rPr>
        <w:t>期</w:t>
      </w:r>
      <w:r>
        <w:rPr>
          <w:rFonts w:hint="default" w:ascii="Times New Roman" w:hAnsi="Times New Roman" w:eastAsia="宋体" w:cs="Times New Roman"/>
          <w:spacing w:val="8"/>
          <w:sz w:val="23"/>
          <w:szCs w:val="23"/>
          <w:highlight w:val="none"/>
        </w:rPr>
        <w:t>的环境保护工作，其主要职责如下：</w:t>
      </w:r>
    </w:p>
    <w:p>
      <w:pPr>
        <w:spacing w:before="1" w:line="225" w:lineRule="auto"/>
        <w:ind w:left="50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6"/>
          <w:sz w:val="23"/>
          <w:szCs w:val="23"/>
          <w:highlight w:val="none"/>
        </w:rPr>
        <w:t>①</w:t>
      </w:r>
      <w:r>
        <w:rPr>
          <w:rFonts w:hint="default" w:ascii="Times New Roman" w:hAnsi="Times New Roman" w:eastAsia="宋体" w:cs="Times New Roman"/>
          <w:spacing w:val="14"/>
          <w:sz w:val="23"/>
          <w:szCs w:val="23"/>
          <w:highlight w:val="none"/>
        </w:rPr>
        <w:t>根据国家及地方政策有关施工管理调理和施工操作规范，结合项目的特</w:t>
      </w:r>
    </w:p>
    <w:p>
      <w:pPr>
        <w:spacing w:before="199" w:line="229" w:lineRule="auto"/>
        <w:ind w:left="2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1"/>
          <w:sz w:val="23"/>
          <w:szCs w:val="23"/>
          <w:highlight w:val="none"/>
        </w:rPr>
        <w:t>点</w:t>
      </w:r>
      <w:r>
        <w:rPr>
          <w:rFonts w:hint="default" w:ascii="Times New Roman" w:hAnsi="Times New Roman" w:eastAsia="宋体" w:cs="Times New Roman"/>
          <w:spacing w:val="9"/>
          <w:sz w:val="23"/>
          <w:szCs w:val="23"/>
          <w:highlight w:val="none"/>
        </w:rPr>
        <w:t>，制定施工环境管理调理，为施工单位的施工活动提出具体要求；</w:t>
      </w:r>
    </w:p>
    <w:p>
      <w:pPr>
        <w:keepNext w:val="0"/>
        <w:keepLines w:val="0"/>
        <w:pageBreakBefore w:val="0"/>
        <w:widowControl/>
        <w:kinsoku w:val="0"/>
        <w:wordWrap/>
        <w:overflowPunct/>
        <w:topLinePunct w:val="0"/>
        <w:autoSpaceDE w:val="0"/>
        <w:autoSpaceDN w:val="0"/>
        <w:bidi w:val="0"/>
        <w:adjustRightInd w:val="0"/>
        <w:snapToGrid w:val="0"/>
        <w:spacing w:before="194" w:line="226" w:lineRule="auto"/>
        <w:ind w:left="499"/>
        <w:textAlignment w:val="baseline"/>
        <w:outlineLvl w:val="9"/>
        <w:rPr>
          <w:rFonts w:hint="default" w:ascii="Times New Roman" w:hAnsi="Times New Roman" w:eastAsia="宋体" w:cs="Times New Roman"/>
          <w:sz w:val="23"/>
          <w:szCs w:val="23"/>
          <w:highlight w:val="none"/>
        </w:rPr>
      </w:pPr>
      <w:bookmarkStart w:id="775" w:name="_Toc20427"/>
      <w:bookmarkStart w:id="776" w:name="_Toc16691"/>
      <w:bookmarkStart w:id="777" w:name="_Toc26558"/>
      <w:r>
        <w:rPr>
          <w:rFonts w:hint="default" w:ascii="Times New Roman" w:hAnsi="Times New Roman" w:eastAsia="宋体" w:cs="Times New Roman"/>
          <w:spacing w:val="13"/>
          <w:sz w:val="23"/>
          <w:szCs w:val="23"/>
          <w:highlight w:val="none"/>
        </w:rPr>
        <w:t>②</w:t>
      </w:r>
      <w:r>
        <w:rPr>
          <w:rFonts w:hint="default" w:ascii="Times New Roman" w:hAnsi="Times New Roman" w:eastAsia="宋体" w:cs="Times New Roman"/>
          <w:spacing w:val="9"/>
          <w:sz w:val="23"/>
          <w:szCs w:val="23"/>
          <w:highlight w:val="none"/>
        </w:rPr>
        <w:t>监督、检查施工单位对防污和治污的执行情况；</w:t>
      </w:r>
      <w:bookmarkEnd w:id="775"/>
      <w:bookmarkEnd w:id="776"/>
      <w:bookmarkEnd w:id="777"/>
    </w:p>
    <w:p>
      <w:pPr>
        <w:keepNext w:val="0"/>
        <w:keepLines w:val="0"/>
        <w:pageBreakBefore w:val="0"/>
        <w:widowControl/>
        <w:kinsoku w:val="0"/>
        <w:wordWrap/>
        <w:overflowPunct/>
        <w:topLinePunct w:val="0"/>
        <w:autoSpaceDE w:val="0"/>
        <w:autoSpaceDN w:val="0"/>
        <w:bidi w:val="0"/>
        <w:adjustRightInd w:val="0"/>
        <w:snapToGrid w:val="0"/>
        <w:spacing w:before="199" w:line="307" w:lineRule="auto"/>
        <w:ind w:left="500" w:right="1234" w:hanging="1"/>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③</w:t>
      </w:r>
      <w:r>
        <w:rPr>
          <w:rFonts w:hint="default" w:ascii="Times New Roman" w:hAnsi="Times New Roman" w:eastAsia="宋体" w:cs="Times New Roman"/>
          <w:spacing w:val="15"/>
          <w:sz w:val="23"/>
          <w:szCs w:val="23"/>
          <w:highlight w:val="none"/>
        </w:rPr>
        <w:t>参</w:t>
      </w:r>
      <w:r>
        <w:rPr>
          <w:rFonts w:hint="default" w:ascii="Times New Roman" w:hAnsi="Times New Roman" w:eastAsia="宋体" w:cs="Times New Roman"/>
          <w:spacing w:val="10"/>
          <w:sz w:val="23"/>
          <w:szCs w:val="23"/>
          <w:highlight w:val="none"/>
        </w:rPr>
        <w:t>与有关环境纠纷和污染事故的调查处理工作。</w:t>
      </w:r>
      <w:r>
        <w:rPr>
          <w:rFonts w:hint="default" w:ascii="Times New Roman" w:hAnsi="Times New Roman" w:eastAsia="宋体" w:cs="Times New Roman"/>
          <w:sz w:val="23"/>
          <w:szCs w:val="23"/>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99" w:line="307" w:lineRule="auto"/>
        <w:ind w:left="500" w:right="1234" w:hanging="1"/>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⑵施</w:t>
      </w:r>
      <w:r>
        <w:rPr>
          <w:rFonts w:hint="default" w:ascii="Times New Roman" w:hAnsi="Times New Roman" w:eastAsia="宋体" w:cs="Times New Roman"/>
          <w:spacing w:val="7"/>
          <w:sz w:val="23"/>
          <w:szCs w:val="23"/>
          <w:highlight w:val="none"/>
        </w:rPr>
        <w:t>工单位设置一名专职或兼职环境保护人员，其主要职责：</w:t>
      </w:r>
    </w:p>
    <w:p>
      <w:pPr>
        <w:keepNext w:val="0"/>
        <w:keepLines w:val="0"/>
        <w:pageBreakBefore w:val="0"/>
        <w:widowControl/>
        <w:kinsoku w:val="0"/>
        <w:wordWrap/>
        <w:overflowPunct/>
        <w:topLinePunct w:val="0"/>
        <w:autoSpaceDE w:val="0"/>
        <w:autoSpaceDN w:val="0"/>
        <w:bidi w:val="0"/>
        <w:adjustRightInd w:val="0"/>
        <w:snapToGrid w:val="0"/>
        <w:spacing w:before="195" w:line="226" w:lineRule="auto"/>
        <w:ind w:left="500"/>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①</w:t>
      </w:r>
      <w:r>
        <w:rPr>
          <w:rFonts w:hint="default" w:ascii="Times New Roman" w:hAnsi="Times New Roman" w:eastAsia="宋体" w:cs="Times New Roman"/>
          <w:spacing w:val="7"/>
          <w:sz w:val="23"/>
          <w:szCs w:val="23"/>
          <w:highlight w:val="none"/>
        </w:rPr>
        <w:t>按建设单位和环境影响评价要求制定文明施工计划，向当地环保行政部分</w:t>
      </w:r>
    </w:p>
    <w:p>
      <w:pPr>
        <w:keepNext w:val="0"/>
        <w:keepLines w:val="0"/>
        <w:pageBreakBefore w:val="0"/>
        <w:widowControl/>
        <w:kinsoku w:val="0"/>
        <w:wordWrap/>
        <w:overflowPunct/>
        <w:topLinePunct w:val="0"/>
        <w:autoSpaceDE w:val="0"/>
        <w:autoSpaceDN w:val="0"/>
        <w:bidi w:val="0"/>
        <w:adjustRightInd w:val="0"/>
        <w:snapToGrid w:val="0"/>
        <w:spacing w:before="199" w:line="385" w:lineRule="auto"/>
        <w:ind w:left="22" w:right="63"/>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提</w:t>
      </w:r>
      <w:r>
        <w:rPr>
          <w:rFonts w:hint="default" w:ascii="Times New Roman" w:hAnsi="Times New Roman" w:eastAsia="宋体" w:cs="Times New Roman"/>
          <w:spacing w:val="7"/>
          <w:sz w:val="23"/>
          <w:szCs w:val="23"/>
          <w:highlight w:val="none"/>
        </w:rPr>
        <w:t>交施工阶段环境保护报告，内容应包括：工程进度、主要施工内容及方法、造</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成</w:t>
      </w:r>
      <w:r>
        <w:rPr>
          <w:rFonts w:hint="default" w:ascii="Times New Roman" w:hAnsi="Times New Roman" w:eastAsia="宋体" w:cs="Times New Roman"/>
          <w:spacing w:val="9"/>
          <w:sz w:val="23"/>
          <w:szCs w:val="23"/>
          <w:highlight w:val="none"/>
        </w:rPr>
        <w:t>的环境影响评述以及减缓环境影响措施的落实情况；</w:t>
      </w:r>
    </w:p>
    <w:p>
      <w:pPr>
        <w:keepNext w:val="0"/>
        <w:keepLines w:val="0"/>
        <w:pageBreakBefore w:val="0"/>
        <w:widowControl/>
        <w:kinsoku w:val="0"/>
        <w:wordWrap/>
        <w:overflowPunct/>
        <w:topLinePunct w:val="0"/>
        <w:autoSpaceDE w:val="0"/>
        <w:autoSpaceDN w:val="0"/>
        <w:bidi w:val="0"/>
        <w:adjustRightInd w:val="0"/>
        <w:snapToGrid w:val="0"/>
        <w:spacing w:before="1" w:line="225" w:lineRule="auto"/>
        <w:ind w:left="499"/>
        <w:textAlignment w:val="baseline"/>
        <w:outlineLvl w:val="9"/>
        <w:rPr>
          <w:rFonts w:hint="default" w:ascii="Times New Roman" w:hAnsi="Times New Roman" w:eastAsia="宋体" w:cs="Times New Roman"/>
          <w:sz w:val="23"/>
          <w:szCs w:val="23"/>
          <w:highlight w:val="none"/>
        </w:rPr>
      </w:pPr>
      <w:bookmarkStart w:id="778" w:name="_Toc27261"/>
      <w:bookmarkStart w:id="779" w:name="_Toc26874"/>
      <w:bookmarkStart w:id="780" w:name="_Toc25865"/>
      <w:r>
        <w:rPr>
          <w:rFonts w:hint="default" w:ascii="Times New Roman" w:hAnsi="Times New Roman" w:eastAsia="宋体" w:cs="Times New Roman"/>
          <w:spacing w:val="16"/>
          <w:sz w:val="23"/>
          <w:szCs w:val="23"/>
          <w:highlight w:val="none"/>
        </w:rPr>
        <w:t>②</w:t>
      </w:r>
      <w:r>
        <w:rPr>
          <w:rFonts w:hint="default" w:ascii="Times New Roman" w:hAnsi="Times New Roman" w:eastAsia="宋体" w:cs="Times New Roman"/>
          <w:spacing w:val="9"/>
          <w:sz w:val="23"/>
          <w:szCs w:val="23"/>
          <w:highlight w:val="none"/>
        </w:rPr>
        <w:t>与建设单位环保人员一同制定工程施工环境管理条例；</w:t>
      </w:r>
      <w:bookmarkEnd w:id="778"/>
      <w:bookmarkEnd w:id="779"/>
      <w:bookmarkEnd w:id="780"/>
    </w:p>
    <w:p>
      <w:pPr>
        <w:keepNext w:val="0"/>
        <w:keepLines w:val="0"/>
        <w:pageBreakBefore w:val="0"/>
        <w:widowControl/>
        <w:kinsoku w:val="0"/>
        <w:wordWrap/>
        <w:overflowPunct/>
        <w:topLinePunct w:val="0"/>
        <w:autoSpaceDE w:val="0"/>
        <w:autoSpaceDN w:val="0"/>
        <w:bidi w:val="0"/>
        <w:adjustRightInd w:val="0"/>
        <w:snapToGrid w:val="0"/>
        <w:spacing w:before="199" w:line="226" w:lineRule="auto"/>
        <w:ind w:left="499"/>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③定期检查施工工程中环境管理条例设施情况，并督促有关人员进行整改</w:t>
      </w:r>
      <w:r>
        <w:rPr>
          <w:rFonts w:hint="default" w:ascii="Times New Roman" w:hAnsi="Times New Roman" w:eastAsia="宋体" w:cs="Times New Roman"/>
          <w:spacing w:val="6"/>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184" w:line="369" w:lineRule="auto"/>
        <w:ind w:left="24" w:right="63" w:firstLine="474"/>
        <w:textAlignment w:val="baseline"/>
        <w:outlineLvl w:val="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④</w:t>
      </w:r>
      <w:r>
        <w:rPr>
          <w:rFonts w:hint="default" w:ascii="Times New Roman" w:hAnsi="Times New Roman" w:eastAsia="宋体" w:cs="Times New Roman"/>
          <w:spacing w:val="7"/>
          <w:sz w:val="23"/>
          <w:szCs w:val="23"/>
          <w:highlight w:val="none"/>
        </w:rPr>
        <w:t>定期听取环保部门、建设单位和周围居民对施工污染影响的意见，以便进</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一</w:t>
      </w:r>
      <w:r>
        <w:rPr>
          <w:rFonts w:hint="default" w:ascii="Times New Roman" w:hAnsi="Times New Roman" w:eastAsia="宋体" w:cs="Times New Roman"/>
          <w:spacing w:val="7"/>
          <w:sz w:val="23"/>
          <w:szCs w:val="23"/>
          <w:highlight w:val="none"/>
        </w:rPr>
        <w:t>步加强文明施工。</w:t>
      </w:r>
    </w:p>
    <w:p>
      <w:pPr>
        <w:spacing w:before="1" w:line="378" w:lineRule="auto"/>
        <w:ind w:left="23" w:right="63"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为减小施工期对环境的影响，环评要求设置专人对施工期进行环境管理，</w:t>
      </w:r>
      <w:r>
        <w:rPr>
          <w:rFonts w:hint="default" w:ascii="Times New Roman" w:hAnsi="Times New Roman" w:eastAsia="宋体" w:cs="Times New Roman"/>
          <w:spacing w:val="4"/>
          <w:sz w:val="23"/>
          <w:szCs w:val="23"/>
          <w:highlight w:val="none"/>
        </w:rPr>
        <w:t>施</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工</w:t>
      </w:r>
      <w:r>
        <w:rPr>
          <w:rFonts w:hint="default" w:ascii="Times New Roman" w:hAnsi="Times New Roman" w:eastAsia="宋体" w:cs="Times New Roman"/>
          <w:spacing w:val="-2"/>
          <w:sz w:val="23"/>
          <w:szCs w:val="23"/>
          <w:highlight w:val="none"/>
        </w:rPr>
        <w:t xml:space="preserve">期环境管理一览表，见表 </w:t>
      </w:r>
      <w:r>
        <w:rPr>
          <w:rFonts w:hint="default" w:ascii="Times New Roman" w:hAnsi="Times New Roman" w:eastAsia="Times New Roman" w:cs="Times New Roman"/>
          <w:spacing w:val="-2"/>
          <w:sz w:val="23"/>
          <w:szCs w:val="23"/>
          <w:highlight w:val="none"/>
        </w:rPr>
        <w:t>8. 1- 1</w:t>
      </w:r>
      <w:r>
        <w:rPr>
          <w:rFonts w:hint="default" w:ascii="Times New Roman" w:hAnsi="Times New Roman" w:eastAsia="宋体" w:cs="Times New Roman"/>
          <w:spacing w:val="-2"/>
          <w:sz w:val="23"/>
          <w:szCs w:val="23"/>
          <w:highlight w:val="none"/>
        </w:rPr>
        <w:t>。</w:t>
      </w:r>
    </w:p>
    <w:p>
      <w:pPr>
        <w:spacing w:line="391" w:lineRule="auto"/>
        <w:rPr>
          <w:rFonts w:hint="default" w:ascii="Times New Roman" w:hAnsi="Times New Roman" w:cs="Times New Roman"/>
          <w:sz w:val="21"/>
          <w:highlight w:val="none"/>
        </w:rPr>
      </w:pPr>
    </w:p>
    <w:p>
      <w:pPr>
        <w:spacing w:line="391" w:lineRule="auto"/>
        <w:rPr>
          <w:rFonts w:hint="default" w:ascii="Times New Roman" w:hAnsi="Times New Roman" w:cs="Times New Roman"/>
          <w:sz w:val="21"/>
          <w:highlight w:val="none"/>
        </w:rPr>
      </w:pPr>
    </w:p>
    <w:p>
      <w:pPr>
        <w:spacing w:line="391"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388" o:spid="_x0000_s1388" style="position:absolute;left:0pt;margin-left:89.85pt;margin-top:59.05pt;height:0.75pt;width:415.65pt;mso-position-horizontal-relative:page;mso-position-vertical-relative:page;z-index:251832320;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cs="Times New Roman"/>
          <w:highlight w:val="none"/>
        </w:rPr>
        <w:pict>
          <v:shape id="_x0000_s1389" o:spid="_x0000_s1389" style="position:absolute;left:0pt;margin-left:89.85pt;margin-top:776.35pt;height:0.75pt;width:415.65pt;mso-position-horizontal-relative:page;mso-position-vertical-relative:page;z-index:251831296;mso-width-relative:page;mso-height-relative:page;" fillcolor="#FFFFFF" filled="t" stroked="f" coordsize="8312,15" o:allowincell="f" path="m0,0l8312,0,8312,14,0,14,0,0xe">
            <v:path/>
            <v:fill on="t" color2="#FFFFFF" focussize="0,0"/>
            <v:stroke on="f"/>
            <v:imagedata o:title=""/>
            <o:lock v:ext="edit" aspectratio="f"/>
          </v:shape>
        </w:pict>
      </w:r>
    </w:p>
    <w:p>
      <w:pPr>
        <w:spacing w:before="75" w:line="228" w:lineRule="auto"/>
        <w:ind w:left="213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b/>
          <w:bCs/>
          <w:spacing w:val="6"/>
          <w:sz w:val="23"/>
          <w:szCs w:val="23"/>
          <w:highlight w:val="none"/>
        </w:rPr>
        <w:t>8.1</w:t>
      </w:r>
      <w:r>
        <w:rPr>
          <w:rFonts w:hint="default" w:ascii="Times New Roman" w:hAnsi="Times New Roman" w:eastAsia="Times New Roman" w:cs="Times New Roman"/>
          <w:b/>
          <w:bCs/>
          <w:spacing w:val="5"/>
          <w:sz w:val="23"/>
          <w:szCs w:val="23"/>
          <w:highlight w:val="none"/>
        </w:rPr>
        <w:t>-</w:t>
      </w:r>
      <w:r>
        <w:rPr>
          <w:rFonts w:hint="default" w:ascii="Times New Roman" w:hAnsi="Times New Roman" w:eastAsia="Times New Roman" w:cs="Times New Roman"/>
          <w:b/>
          <w:bCs/>
          <w:spacing w:val="3"/>
          <w:sz w:val="23"/>
          <w:szCs w:val="23"/>
          <w:highlight w:val="none"/>
        </w:rPr>
        <w:t>1</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施工期环境管理一览表</w:t>
      </w:r>
    </w:p>
    <w:p>
      <w:pPr>
        <w:spacing w:line="59" w:lineRule="exact"/>
        <w:rPr>
          <w:rFonts w:hint="default" w:ascii="Times New Roman" w:hAnsi="Times New Roman" w:cs="Times New Roman"/>
          <w:highlight w:val="none"/>
        </w:rPr>
      </w:pPr>
    </w:p>
    <w:tbl>
      <w:tblPr>
        <w:tblStyle w:val="19"/>
        <w:tblW w:w="870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5"/>
        <w:gridCol w:w="5577"/>
        <w:gridCol w:w="1130"/>
        <w:gridCol w:w="11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865" w:type="dxa"/>
            <w:tcBorders>
              <w:left w:val="single" w:color="000000" w:sz="10" w:space="0"/>
            </w:tcBorders>
            <w:vAlign w:val="top"/>
          </w:tcPr>
          <w:p>
            <w:pPr>
              <w:spacing w:before="139" w:line="229" w:lineRule="auto"/>
              <w:ind w:left="11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污</w:t>
            </w:r>
            <w:r>
              <w:rPr>
                <w:rFonts w:hint="default" w:ascii="Times New Roman" w:hAnsi="Times New Roman" w:eastAsia="宋体" w:cs="Times New Roman"/>
                <w:spacing w:val="6"/>
                <w:sz w:val="20"/>
                <w:szCs w:val="20"/>
                <w:highlight w:val="none"/>
              </w:rPr>
              <w:t>染物</w:t>
            </w:r>
          </w:p>
        </w:tc>
        <w:tc>
          <w:tcPr>
            <w:tcW w:w="5577" w:type="dxa"/>
            <w:vAlign w:val="top"/>
          </w:tcPr>
          <w:p>
            <w:pPr>
              <w:spacing w:before="139" w:line="229" w:lineRule="auto"/>
              <w:ind w:left="206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防治或控制措</w:t>
            </w:r>
            <w:r>
              <w:rPr>
                <w:rFonts w:hint="default" w:ascii="Times New Roman" w:hAnsi="Times New Roman" w:eastAsia="宋体" w:cs="Times New Roman"/>
                <w:spacing w:val="5"/>
                <w:sz w:val="20"/>
                <w:szCs w:val="20"/>
                <w:highlight w:val="none"/>
              </w:rPr>
              <w:t>施</w:t>
            </w:r>
          </w:p>
        </w:tc>
        <w:tc>
          <w:tcPr>
            <w:tcW w:w="2259" w:type="dxa"/>
            <w:gridSpan w:val="2"/>
            <w:tcBorders>
              <w:right w:val="single" w:color="000000" w:sz="10" w:space="0"/>
            </w:tcBorders>
            <w:vAlign w:val="top"/>
          </w:tcPr>
          <w:p>
            <w:pPr>
              <w:spacing w:before="139" w:line="228" w:lineRule="auto"/>
              <w:ind w:left="71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环</w:t>
            </w:r>
            <w:r>
              <w:rPr>
                <w:rFonts w:hint="default" w:ascii="Times New Roman" w:hAnsi="Times New Roman" w:eastAsia="宋体" w:cs="Times New Roman"/>
                <w:spacing w:val="7"/>
                <w:sz w:val="20"/>
                <w:szCs w:val="20"/>
                <w:highlight w:val="none"/>
              </w:rPr>
              <w:t>境管理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8" w:hRule="atLeast"/>
        </w:trPr>
        <w:tc>
          <w:tcPr>
            <w:tcW w:w="865" w:type="dxa"/>
            <w:tcBorders>
              <w:left w:val="single" w:color="000000" w:sz="10" w:space="0"/>
            </w:tcBorders>
            <w:textDirection w:val="tbRlV"/>
            <w:vAlign w:val="top"/>
          </w:tcPr>
          <w:p>
            <w:pPr>
              <w:spacing w:line="255" w:lineRule="auto"/>
              <w:rPr>
                <w:rFonts w:hint="default" w:ascii="Times New Roman" w:hAnsi="Times New Roman" w:cs="Times New Roman"/>
                <w:sz w:val="21"/>
                <w:highlight w:val="none"/>
              </w:rPr>
            </w:pPr>
          </w:p>
          <w:p>
            <w:pPr>
              <w:spacing w:before="67" w:line="218" w:lineRule="auto"/>
              <w:ind w:left="12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 xml:space="preserve">施 工 扬 </w:t>
            </w:r>
            <w:r>
              <w:rPr>
                <w:rFonts w:hint="default" w:ascii="Times New Roman" w:hAnsi="Times New Roman" w:eastAsia="宋体" w:cs="Times New Roman"/>
                <w:spacing w:val="9"/>
                <w:sz w:val="20"/>
                <w:szCs w:val="20"/>
                <w:highlight w:val="none"/>
              </w:rPr>
              <w:t>尘</w:t>
            </w:r>
          </w:p>
        </w:tc>
        <w:tc>
          <w:tcPr>
            <w:tcW w:w="5577" w:type="dxa"/>
            <w:vAlign w:val="top"/>
          </w:tcPr>
          <w:p>
            <w:pPr>
              <w:spacing w:before="82" w:line="289" w:lineRule="auto"/>
              <w:ind w:left="101" w:right="98" w:firstLine="17"/>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4"/>
                <w:sz w:val="20"/>
                <w:szCs w:val="20"/>
                <w:highlight w:val="none"/>
              </w:rPr>
              <w:t>1.</w:t>
            </w:r>
            <w:r>
              <w:rPr>
                <w:rFonts w:hint="default" w:ascii="Times New Roman" w:hAnsi="Times New Roman" w:eastAsia="宋体" w:cs="Times New Roman"/>
                <w:spacing w:val="8"/>
                <w:sz w:val="20"/>
                <w:szCs w:val="20"/>
                <w:highlight w:val="none"/>
              </w:rPr>
              <w:t>加</w:t>
            </w:r>
            <w:r>
              <w:rPr>
                <w:rFonts w:hint="default" w:ascii="Times New Roman" w:hAnsi="Times New Roman" w:eastAsia="宋体" w:cs="Times New Roman"/>
                <w:spacing w:val="7"/>
                <w:sz w:val="20"/>
                <w:szCs w:val="20"/>
                <w:highlight w:val="none"/>
              </w:rPr>
              <w:t>强现场执法检查，强化土方作业时段监督管理，增加检</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4"/>
                <w:sz w:val="20"/>
                <w:szCs w:val="20"/>
                <w:highlight w:val="none"/>
              </w:rPr>
              <w:t>查</w:t>
            </w:r>
            <w:r>
              <w:rPr>
                <w:rFonts w:hint="default" w:ascii="Times New Roman" w:hAnsi="Times New Roman" w:eastAsia="宋体" w:cs="Times New Roman"/>
                <w:spacing w:val="8"/>
                <w:sz w:val="20"/>
                <w:szCs w:val="20"/>
                <w:highlight w:val="none"/>
              </w:rPr>
              <w:t>频次，加大处罚力度；</w:t>
            </w:r>
            <w:r>
              <w:rPr>
                <w:rFonts w:hint="default" w:ascii="Times New Roman" w:hAnsi="Times New Roman" w:eastAsia="Times New Roman" w:cs="Times New Roman"/>
                <w:spacing w:val="8"/>
                <w:sz w:val="20"/>
                <w:szCs w:val="20"/>
                <w:highlight w:val="none"/>
              </w:rPr>
              <w:t>2.</w:t>
            </w:r>
            <w:r>
              <w:rPr>
                <w:rFonts w:hint="default" w:ascii="Times New Roman" w:hAnsi="Times New Roman" w:eastAsia="宋体" w:cs="Times New Roman"/>
                <w:spacing w:val="8"/>
                <w:sz w:val="20"/>
                <w:szCs w:val="20"/>
                <w:highlight w:val="none"/>
              </w:rPr>
              <w:t>建设工程施工现场必须全封闭设</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4"/>
                <w:sz w:val="20"/>
                <w:szCs w:val="20"/>
                <w:highlight w:val="none"/>
              </w:rPr>
              <w:t>置</w:t>
            </w:r>
            <w:r>
              <w:rPr>
                <w:rFonts w:hint="default" w:ascii="Times New Roman" w:hAnsi="Times New Roman" w:eastAsia="宋体" w:cs="Times New Roman"/>
                <w:spacing w:val="8"/>
                <w:sz w:val="20"/>
                <w:szCs w:val="20"/>
                <w:highlight w:val="none"/>
              </w:rPr>
              <w:t>围挡墙，严禁敞开式作业；</w:t>
            </w:r>
            <w:r>
              <w:rPr>
                <w:rFonts w:hint="default" w:ascii="Times New Roman" w:hAnsi="Times New Roman" w:eastAsia="Times New Roman" w:cs="Times New Roman"/>
                <w:spacing w:val="8"/>
                <w:sz w:val="20"/>
                <w:szCs w:val="20"/>
                <w:highlight w:val="none"/>
              </w:rPr>
              <w:t>3.</w:t>
            </w:r>
            <w:r>
              <w:rPr>
                <w:rFonts w:hint="default" w:ascii="Times New Roman" w:hAnsi="Times New Roman" w:eastAsia="宋体" w:cs="Times New Roman"/>
                <w:spacing w:val="8"/>
                <w:sz w:val="20"/>
                <w:szCs w:val="20"/>
                <w:highlight w:val="none"/>
              </w:rPr>
              <w:t>施工现场道路、作业区、生</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4"/>
                <w:sz w:val="20"/>
                <w:szCs w:val="20"/>
                <w:highlight w:val="none"/>
              </w:rPr>
              <w:t>活</w:t>
            </w:r>
            <w:r>
              <w:rPr>
                <w:rFonts w:hint="default" w:ascii="Times New Roman" w:hAnsi="Times New Roman" w:eastAsia="宋体" w:cs="Times New Roman"/>
                <w:spacing w:val="8"/>
                <w:sz w:val="20"/>
                <w:szCs w:val="20"/>
                <w:highlight w:val="none"/>
              </w:rPr>
              <w:t>区必须进行地面硬化；</w:t>
            </w:r>
            <w:r>
              <w:rPr>
                <w:rFonts w:hint="default" w:ascii="Times New Roman" w:hAnsi="Times New Roman" w:eastAsia="Times New Roman" w:cs="Times New Roman"/>
                <w:spacing w:val="8"/>
                <w:sz w:val="20"/>
                <w:szCs w:val="20"/>
                <w:highlight w:val="none"/>
              </w:rPr>
              <w:t>4.</w:t>
            </w:r>
            <w:r>
              <w:rPr>
                <w:rFonts w:hint="default" w:ascii="Times New Roman" w:hAnsi="Times New Roman" w:eastAsia="宋体" w:cs="Times New Roman"/>
                <w:spacing w:val="8"/>
                <w:sz w:val="20"/>
                <w:szCs w:val="20"/>
                <w:highlight w:val="none"/>
              </w:rPr>
              <w:t>材料运输过程中加盖苫布，防止</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4"/>
                <w:sz w:val="20"/>
                <w:szCs w:val="20"/>
                <w:highlight w:val="none"/>
              </w:rPr>
              <w:t>物</w:t>
            </w:r>
            <w:r>
              <w:rPr>
                <w:rFonts w:hint="default" w:ascii="Times New Roman" w:hAnsi="Times New Roman" w:eastAsia="宋体" w:cs="Times New Roman"/>
                <w:spacing w:val="8"/>
                <w:sz w:val="20"/>
                <w:szCs w:val="20"/>
                <w:highlight w:val="none"/>
              </w:rPr>
              <w:t>料洒落。</w:t>
            </w:r>
            <w:r>
              <w:rPr>
                <w:rFonts w:hint="default" w:ascii="Times New Roman" w:hAnsi="Times New Roman" w:eastAsia="Times New Roman" w:cs="Times New Roman"/>
                <w:spacing w:val="8"/>
                <w:sz w:val="20"/>
                <w:szCs w:val="20"/>
                <w:highlight w:val="none"/>
              </w:rPr>
              <w:t>5.</w:t>
            </w:r>
            <w:r>
              <w:rPr>
                <w:rFonts w:hint="default" w:ascii="Times New Roman" w:hAnsi="Times New Roman" w:eastAsia="宋体" w:cs="Times New Roman"/>
                <w:spacing w:val="8"/>
                <w:sz w:val="20"/>
                <w:szCs w:val="20"/>
                <w:highlight w:val="none"/>
              </w:rPr>
              <w:t>对因堆放、装卸、运输、搅拌等易产生扬尘的</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4"/>
                <w:sz w:val="20"/>
                <w:szCs w:val="20"/>
                <w:highlight w:val="none"/>
              </w:rPr>
              <w:t>污</w:t>
            </w:r>
            <w:r>
              <w:rPr>
                <w:rFonts w:hint="default" w:ascii="Times New Roman" w:hAnsi="Times New Roman" w:eastAsia="宋体" w:cs="Times New Roman"/>
                <w:spacing w:val="8"/>
                <w:sz w:val="20"/>
                <w:szCs w:val="20"/>
                <w:highlight w:val="none"/>
              </w:rPr>
              <w:t>染源，应采取遮盖、洒水、封闭等控制措施；</w:t>
            </w:r>
            <w:r>
              <w:rPr>
                <w:rFonts w:hint="default" w:ascii="Times New Roman" w:hAnsi="Times New Roman" w:eastAsia="Times New Roman" w:cs="Times New Roman"/>
                <w:spacing w:val="8"/>
                <w:sz w:val="20"/>
                <w:szCs w:val="20"/>
                <w:highlight w:val="none"/>
              </w:rPr>
              <w:t>6.</w:t>
            </w:r>
            <w:r>
              <w:rPr>
                <w:rFonts w:hint="default" w:ascii="Times New Roman" w:hAnsi="Times New Roman" w:eastAsia="宋体" w:cs="Times New Roman"/>
                <w:spacing w:val="8"/>
                <w:sz w:val="20"/>
                <w:szCs w:val="20"/>
                <w:highlight w:val="none"/>
              </w:rPr>
              <w:t>施工现场</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2"/>
                <w:sz w:val="20"/>
                <w:szCs w:val="20"/>
                <w:highlight w:val="none"/>
              </w:rPr>
              <w:t>的垃</w:t>
            </w:r>
            <w:r>
              <w:rPr>
                <w:rFonts w:hint="default" w:ascii="Times New Roman" w:hAnsi="Times New Roman" w:eastAsia="宋体" w:cs="Times New Roman"/>
                <w:spacing w:val="10"/>
                <w:sz w:val="20"/>
                <w:szCs w:val="20"/>
                <w:highlight w:val="none"/>
              </w:rPr>
              <w:t>圾</w:t>
            </w:r>
            <w:r>
              <w:rPr>
                <w:rFonts w:hint="default" w:ascii="Times New Roman" w:hAnsi="Times New Roman" w:eastAsia="宋体" w:cs="Times New Roman"/>
                <w:spacing w:val="6"/>
                <w:sz w:val="20"/>
                <w:szCs w:val="20"/>
                <w:highlight w:val="none"/>
              </w:rPr>
              <w:t>、渣土、沙石等要及时清运，建筑施工场地出口设置</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3"/>
                <w:sz w:val="20"/>
                <w:szCs w:val="20"/>
                <w:highlight w:val="none"/>
              </w:rPr>
              <w:t>冲</w:t>
            </w:r>
            <w:r>
              <w:rPr>
                <w:rFonts w:hint="default" w:ascii="Times New Roman" w:hAnsi="Times New Roman" w:eastAsia="宋体" w:cs="Times New Roman"/>
                <w:spacing w:val="8"/>
                <w:sz w:val="20"/>
                <w:szCs w:val="20"/>
                <w:highlight w:val="none"/>
              </w:rPr>
              <w:t>洗平台；</w:t>
            </w:r>
            <w:r>
              <w:rPr>
                <w:rFonts w:hint="default" w:ascii="Times New Roman" w:hAnsi="Times New Roman" w:eastAsia="Times New Roman" w:cs="Times New Roman"/>
                <w:spacing w:val="8"/>
                <w:sz w:val="20"/>
                <w:szCs w:val="20"/>
                <w:highlight w:val="none"/>
              </w:rPr>
              <w:t>7.</w:t>
            </w:r>
            <w:r>
              <w:rPr>
                <w:rFonts w:hint="default" w:ascii="Times New Roman" w:hAnsi="Times New Roman" w:eastAsia="宋体" w:cs="Times New Roman"/>
                <w:spacing w:val="8"/>
                <w:sz w:val="20"/>
                <w:szCs w:val="20"/>
                <w:highlight w:val="none"/>
              </w:rPr>
              <w:t>施工扬尘污染控制情况纳入建筑企业信用管理</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4"/>
                <w:sz w:val="20"/>
                <w:szCs w:val="20"/>
                <w:highlight w:val="none"/>
              </w:rPr>
              <w:t>系</w:t>
            </w:r>
            <w:r>
              <w:rPr>
                <w:rFonts w:hint="default" w:ascii="Times New Roman" w:hAnsi="Times New Roman" w:eastAsia="宋体" w:cs="Times New Roman"/>
                <w:spacing w:val="8"/>
                <w:sz w:val="20"/>
                <w:szCs w:val="20"/>
                <w:highlight w:val="none"/>
              </w:rPr>
              <w:t>统，作为招投标重要依据；</w:t>
            </w:r>
            <w:r>
              <w:rPr>
                <w:rFonts w:hint="default" w:ascii="Times New Roman" w:hAnsi="Times New Roman" w:eastAsia="Times New Roman" w:cs="Times New Roman"/>
                <w:spacing w:val="8"/>
                <w:sz w:val="20"/>
                <w:szCs w:val="20"/>
                <w:highlight w:val="none"/>
              </w:rPr>
              <w:t>8.</w:t>
            </w:r>
            <w:r>
              <w:rPr>
                <w:rFonts w:hint="default" w:ascii="Times New Roman" w:hAnsi="Times New Roman" w:eastAsia="宋体" w:cs="Times New Roman"/>
                <w:spacing w:val="8"/>
                <w:sz w:val="20"/>
                <w:szCs w:val="20"/>
                <w:highlight w:val="none"/>
              </w:rPr>
              <w:t>建筑工地要达到《河北省建</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4"/>
                <w:sz w:val="20"/>
                <w:szCs w:val="20"/>
                <w:highlight w:val="none"/>
              </w:rPr>
              <w:t xml:space="preserve">筑施工扬尘防治强化措施 </w:t>
            </w:r>
            <w:r>
              <w:rPr>
                <w:rFonts w:hint="default" w:ascii="Times New Roman" w:hAnsi="Times New Roman" w:eastAsia="Times New Roman" w:cs="Times New Roman"/>
                <w:spacing w:val="4"/>
                <w:sz w:val="20"/>
                <w:szCs w:val="20"/>
                <w:highlight w:val="none"/>
              </w:rPr>
              <w:t xml:space="preserve">18 </w:t>
            </w:r>
            <w:r>
              <w:rPr>
                <w:rFonts w:hint="default" w:ascii="Times New Roman" w:hAnsi="Times New Roman" w:eastAsia="宋体" w:cs="Times New Roman"/>
                <w:spacing w:val="4"/>
                <w:sz w:val="20"/>
                <w:szCs w:val="20"/>
                <w:highlight w:val="none"/>
              </w:rPr>
              <w:t>条》  (冀建安</w:t>
            </w:r>
            <w:r>
              <w:rPr>
                <w:rFonts w:hint="default" w:ascii="Times New Roman" w:hAnsi="Times New Roman" w:eastAsia="Times New Roman" w:cs="Times New Roman"/>
                <w:spacing w:val="4"/>
                <w:sz w:val="20"/>
                <w:szCs w:val="20"/>
                <w:highlight w:val="none"/>
              </w:rPr>
              <w:t xml:space="preserve">[2016]27 </w:t>
            </w:r>
            <w:r>
              <w:rPr>
                <w:rFonts w:hint="default" w:ascii="Times New Roman" w:hAnsi="Times New Roman" w:eastAsia="宋体" w:cs="Times New Roman"/>
                <w:spacing w:val="4"/>
                <w:sz w:val="20"/>
                <w:szCs w:val="20"/>
                <w:highlight w:val="none"/>
              </w:rPr>
              <w:t>号)</w:t>
            </w:r>
            <w:r>
              <w:rPr>
                <w:rFonts w:hint="default" w:ascii="Times New Roman" w:hAnsi="Times New Roman" w:eastAsia="宋体" w:cs="Times New Roman"/>
                <w:spacing w:val="2"/>
                <w:sz w:val="20"/>
                <w:szCs w:val="20"/>
                <w:highlight w:val="none"/>
              </w:rPr>
              <w:t xml:space="preserve"> </w:t>
            </w:r>
            <w:r>
              <w:rPr>
                <w:rFonts w:hint="default" w:ascii="Times New Roman" w:hAnsi="Times New Roman" w:eastAsia="宋体" w:cs="Times New Roman"/>
                <w:sz w:val="20"/>
                <w:szCs w:val="20"/>
                <w:highlight w:val="none"/>
              </w:rPr>
              <w:t xml:space="preserve">标 </w:t>
            </w:r>
            <w:r>
              <w:rPr>
                <w:rFonts w:hint="default" w:ascii="Times New Roman" w:hAnsi="Times New Roman" w:eastAsia="宋体" w:cs="Times New Roman"/>
                <w:spacing w:val="11"/>
                <w:sz w:val="20"/>
                <w:szCs w:val="20"/>
                <w:highlight w:val="none"/>
              </w:rPr>
              <w:t>准</w:t>
            </w:r>
            <w:r>
              <w:rPr>
                <w:rFonts w:hint="default" w:ascii="Times New Roman" w:hAnsi="Times New Roman" w:eastAsia="宋体" w:cs="Times New Roman"/>
                <w:spacing w:val="8"/>
                <w:sz w:val="20"/>
                <w:szCs w:val="20"/>
                <w:highlight w:val="none"/>
              </w:rPr>
              <w:t>要求，防止扬尘污染。</w:t>
            </w:r>
          </w:p>
        </w:tc>
        <w:tc>
          <w:tcPr>
            <w:tcW w:w="1130" w:type="dxa"/>
            <w:vAlign w:val="top"/>
          </w:tcPr>
          <w:p>
            <w:pPr>
              <w:spacing w:line="247"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before="65" w:line="298" w:lineRule="auto"/>
              <w:ind w:left="119" w:right="17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施</w:t>
            </w:r>
            <w:r>
              <w:rPr>
                <w:rFonts w:hint="default" w:ascii="Times New Roman" w:hAnsi="Times New Roman" w:eastAsia="宋体" w:cs="Times New Roman"/>
                <w:spacing w:val="7"/>
                <w:sz w:val="20"/>
                <w:szCs w:val="20"/>
                <w:highlight w:val="none"/>
              </w:rPr>
              <w:t>工单位</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环</w:t>
            </w:r>
            <w:r>
              <w:rPr>
                <w:rFonts w:hint="default" w:ascii="Times New Roman" w:hAnsi="Times New Roman" w:eastAsia="宋体" w:cs="Times New Roman"/>
                <w:spacing w:val="7"/>
                <w:sz w:val="20"/>
                <w:szCs w:val="20"/>
                <w:highlight w:val="none"/>
              </w:rPr>
              <w:t>保措施</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上</w:t>
            </w:r>
            <w:r>
              <w:rPr>
                <w:rFonts w:hint="default" w:ascii="Times New Roman" w:hAnsi="Times New Roman" w:eastAsia="宋体" w:cs="Times New Roman"/>
                <w:spacing w:val="7"/>
                <w:sz w:val="20"/>
                <w:szCs w:val="20"/>
                <w:highlight w:val="none"/>
              </w:rPr>
              <w:t>墙，落</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实</w:t>
            </w:r>
            <w:r>
              <w:rPr>
                <w:rFonts w:hint="default" w:ascii="Times New Roman" w:hAnsi="Times New Roman" w:eastAsia="宋体" w:cs="Times New Roman"/>
                <w:spacing w:val="7"/>
                <w:sz w:val="20"/>
                <w:szCs w:val="20"/>
                <w:highlight w:val="none"/>
              </w:rPr>
              <w:t>到人，</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作</w:t>
            </w:r>
            <w:r>
              <w:rPr>
                <w:rFonts w:hint="default" w:ascii="Times New Roman" w:hAnsi="Times New Roman" w:eastAsia="宋体" w:cs="Times New Roman"/>
                <w:spacing w:val="7"/>
                <w:sz w:val="20"/>
                <w:szCs w:val="20"/>
                <w:highlight w:val="none"/>
              </w:rPr>
              <w:t>好施工</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场</w:t>
            </w:r>
            <w:r>
              <w:rPr>
                <w:rFonts w:hint="default" w:ascii="Times New Roman" w:hAnsi="Times New Roman" w:eastAsia="宋体" w:cs="Times New Roman"/>
                <w:spacing w:val="7"/>
                <w:sz w:val="20"/>
                <w:szCs w:val="20"/>
                <w:highlight w:val="none"/>
              </w:rPr>
              <w:t>地环境</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管</w:t>
            </w:r>
            <w:r>
              <w:rPr>
                <w:rFonts w:hint="default" w:ascii="Times New Roman" w:hAnsi="Times New Roman" w:eastAsia="宋体" w:cs="Times New Roman"/>
                <w:spacing w:val="7"/>
                <w:sz w:val="20"/>
                <w:szCs w:val="20"/>
                <w:highlight w:val="none"/>
              </w:rPr>
              <w:t>理和保</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7"/>
                <w:sz w:val="20"/>
                <w:szCs w:val="20"/>
                <w:highlight w:val="none"/>
              </w:rPr>
              <w:t>洁工作</w:t>
            </w:r>
          </w:p>
        </w:tc>
        <w:tc>
          <w:tcPr>
            <w:tcW w:w="1129" w:type="dxa"/>
            <w:vMerge w:val="restart"/>
            <w:tcBorders>
              <w:right w:val="single" w:color="000000" w:sz="10" w:space="0"/>
            </w:tcBorders>
            <w:vAlign w:val="center"/>
          </w:tcPr>
          <w:p>
            <w:pPr>
              <w:spacing w:line="269" w:lineRule="auto"/>
              <w:jc w:val="center"/>
              <w:rPr>
                <w:rFonts w:hint="default" w:ascii="Times New Roman" w:hAnsi="Times New Roman" w:cs="Times New Roman"/>
                <w:sz w:val="21"/>
                <w:highlight w:val="none"/>
              </w:rPr>
            </w:pPr>
          </w:p>
          <w:p>
            <w:pPr>
              <w:spacing w:line="269" w:lineRule="auto"/>
              <w:jc w:val="center"/>
              <w:rPr>
                <w:rFonts w:hint="default" w:ascii="Times New Roman" w:hAnsi="Times New Roman" w:cs="Times New Roman"/>
                <w:sz w:val="21"/>
                <w:highlight w:val="none"/>
              </w:rPr>
            </w:pPr>
          </w:p>
          <w:p>
            <w:pPr>
              <w:spacing w:line="269" w:lineRule="auto"/>
              <w:jc w:val="center"/>
              <w:rPr>
                <w:rFonts w:hint="default" w:ascii="Times New Roman" w:hAnsi="Times New Roman" w:cs="Times New Roman"/>
                <w:sz w:val="21"/>
                <w:highlight w:val="none"/>
              </w:rPr>
            </w:pPr>
          </w:p>
          <w:p>
            <w:pPr>
              <w:spacing w:before="65" w:line="301" w:lineRule="auto"/>
              <w:ind w:left="122" w:right="98" w:firstLine="3"/>
              <w:jc w:val="center"/>
              <w:rPr>
                <w:rFonts w:hint="default" w:ascii="Times New Roman" w:hAnsi="Times New Roman" w:eastAsia="宋体" w:cs="Times New Roman"/>
                <w:spacing w:val="23"/>
                <w:sz w:val="20"/>
                <w:szCs w:val="20"/>
                <w:highlight w:val="none"/>
              </w:rPr>
            </w:pPr>
            <w:r>
              <w:rPr>
                <w:rFonts w:hint="default" w:ascii="Times New Roman" w:hAnsi="Times New Roman" w:eastAsia="宋体" w:cs="Times New Roman"/>
                <w:spacing w:val="23"/>
                <w:sz w:val="20"/>
                <w:szCs w:val="20"/>
                <w:highlight w:val="none"/>
              </w:rPr>
              <w:t>建</w:t>
            </w:r>
            <w:r>
              <w:rPr>
                <w:rFonts w:hint="default" w:ascii="Times New Roman" w:hAnsi="Times New Roman" w:eastAsia="宋体" w:cs="Times New Roman"/>
                <w:spacing w:val="22"/>
                <w:sz w:val="20"/>
                <w:szCs w:val="20"/>
                <w:highlight w:val="none"/>
              </w:rPr>
              <w:t>筑行政</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3"/>
                <w:sz w:val="20"/>
                <w:szCs w:val="20"/>
                <w:highlight w:val="none"/>
              </w:rPr>
              <w:t>管理部门</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3"/>
                <w:sz w:val="20"/>
                <w:szCs w:val="20"/>
                <w:highlight w:val="none"/>
              </w:rPr>
              <w:t>及环境管</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3"/>
                <w:sz w:val="20"/>
                <w:szCs w:val="20"/>
                <w:highlight w:val="none"/>
              </w:rPr>
              <w:t>理部门进</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3"/>
                <w:sz w:val="20"/>
                <w:szCs w:val="20"/>
                <w:highlight w:val="none"/>
              </w:rPr>
              <w:t>行定期检</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
                <w:sz w:val="20"/>
                <w:szCs w:val="20"/>
                <w:highlight w:val="none"/>
              </w:rPr>
              <w:t>查</w:t>
            </w:r>
          </w:p>
          <w:p>
            <w:pPr>
              <w:spacing w:line="262" w:lineRule="auto"/>
              <w:jc w:val="center"/>
              <w:rPr>
                <w:rFonts w:hint="default" w:ascii="Times New Roman" w:hAnsi="Times New Roman" w:cs="Times New Roman"/>
                <w:sz w:val="21"/>
                <w:highlight w:val="none"/>
              </w:rPr>
            </w:pPr>
          </w:p>
          <w:p>
            <w:pPr>
              <w:spacing w:line="262" w:lineRule="auto"/>
              <w:jc w:val="center"/>
              <w:rPr>
                <w:rFonts w:hint="default" w:ascii="Times New Roman" w:hAnsi="Times New Roman" w:cs="Times New Roman"/>
                <w:sz w:val="21"/>
                <w:highlight w:val="none"/>
              </w:rPr>
            </w:pPr>
          </w:p>
          <w:p>
            <w:pPr>
              <w:spacing w:line="262" w:lineRule="auto"/>
              <w:jc w:val="center"/>
              <w:rPr>
                <w:rFonts w:hint="default" w:ascii="Times New Roman" w:hAnsi="Times New Roman" w:cs="Times New Roman"/>
                <w:sz w:val="21"/>
                <w:highlight w:val="none"/>
              </w:rPr>
            </w:pPr>
          </w:p>
          <w:p>
            <w:pPr>
              <w:spacing w:line="263" w:lineRule="auto"/>
              <w:jc w:val="center"/>
              <w:rPr>
                <w:rFonts w:hint="default" w:ascii="Times New Roman" w:hAnsi="Times New Roman" w:cs="Times New Roman"/>
                <w:sz w:val="21"/>
                <w:highlight w:val="none"/>
              </w:rPr>
            </w:pPr>
          </w:p>
          <w:p>
            <w:pPr>
              <w:spacing w:line="263" w:lineRule="auto"/>
              <w:jc w:val="center"/>
              <w:rPr>
                <w:rFonts w:hint="default" w:ascii="Times New Roman" w:hAnsi="Times New Roman" w:cs="Times New Roman"/>
                <w:sz w:val="21"/>
                <w:highlight w:val="none"/>
              </w:rPr>
            </w:pPr>
          </w:p>
          <w:p>
            <w:pPr>
              <w:spacing w:before="65" w:line="300" w:lineRule="auto"/>
              <w:ind w:left="122" w:right="98" w:firstLine="3"/>
              <w:jc w:val="center"/>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9" w:hRule="atLeast"/>
        </w:trPr>
        <w:tc>
          <w:tcPr>
            <w:tcW w:w="865" w:type="dxa"/>
            <w:tcBorders>
              <w:left w:val="single" w:color="000000" w:sz="10" w:space="0"/>
            </w:tcBorders>
            <w:vAlign w:val="top"/>
          </w:tcPr>
          <w:p>
            <w:pPr>
              <w:spacing w:line="282" w:lineRule="auto"/>
              <w:rPr>
                <w:rFonts w:hint="default" w:ascii="Times New Roman" w:hAnsi="Times New Roman" w:cs="Times New Roman"/>
                <w:sz w:val="21"/>
                <w:highlight w:val="none"/>
              </w:rPr>
            </w:pPr>
          </w:p>
          <w:p>
            <w:pPr>
              <w:spacing w:line="283" w:lineRule="auto"/>
              <w:rPr>
                <w:rFonts w:hint="default" w:ascii="Times New Roman" w:hAnsi="Times New Roman" w:cs="Times New Roman"/>
                <w:sz w:val="21"/>
                <w:highlight w:val="none"/>
              </w:rPr>
            </w:pPr>
          </w:p>
          <w:p>
            <w:pPr>
              <w:spacing w:line="283" w:lineRule="auto"/>
              <w:rPr>
                <w:rFonts w:hint="default" w:ascii="Times New Roman" w:hAnsi="Times New Roman" w:cs="Times New Roman"/>
                <w:sz w:val="21"/>
                <w:highlight w:val="none"/>
              </w:rPr>
            </w:pPr>
          </w:p>
          <w:p>
            <w:pPr>
              <w:spacing w:before="65" w:line="307" w:lineRule="auto"/>
              <w:ind w:left="323" w:right="120" w:hanging="216"/>
              <w:rPr>
                <w:rFonts w:hint="default" w:ascii="Times New Roman" w:hAnsi="Times New Roman" w:eastAsia="宋体" w:cs="Times New Roman"/>
                <w:spacing w:val="7"/>
                <w:sz w:val="20"/>
                <w:szCs w:val="20"/>
                <w:highlight w:val="none"/>
              </w:rPr>
            </w:pPr>
            <w:r>
              <w:rPr>
                <w:rFonts w:hint="default" w:ascii="Times New Roman" w:hAnsi="Times New Roman" w:eastAsia="宋体" w:cs="Times New Roman"/>
                <w:spacing w:val="7"/>
                <w:sz w:val="20"/>
                <w:szCs w:val="20"/>
                <w:highlight w:val="none"/>
              </w:rPr>
              <w:t>施工</w:t>
            </w:r>
          </w:p>
          <w:p>
            <w:pPr>
              <w:spacing w:before="65" w:line="307" w:lineRule="auto"/>
              <w:ind w:left="323" w:right="120" w:hanging="2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噪</w:t>
            </w:r>
            <w:r>
              <w:rPr>
                <w:rFonts w:hint="default" w:ascii="Times New Roman" w:hAnsi="Times New Roman" w:eastAsia="宋体" w:cs="Times New Roman"/>
                <w:sz w:val="20"/>
                <w:szCs w:val="20"/>
                <w:highlight w:val="none"/>
              </w:rPr>
              <w:t xml:space="preserve"> 声</w:t>
            </w:r>
          </w:p>
        </w:tc>
        <w:tc>
          <w:tcPr>
            <w:tcW w:w="5577" w:type="dxa"/>
            <w:vAlign w:val="top"/>
          </w:tcPr>
          <w:p>
            <w:pPr>
              <w:spacing w:before="81" w:line="296" w:lineRule="auto"/>
              <w:ind w:left="105" w:right="101" w:firstLine="13"/>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26"/>
                <w:sz w:val="20"/>
                <w:szCs w:val="20"/>
                <w:highlight w:val="none"/>
              </w:rPr>
              <w:t>1</w:t>
            </w:r>
            <w:r>
              <w:rPr>
                <w:rFonts w:hint="default" w:ascii="Times New Roman" w:hAnsi="Times New Roman" w:eastAsia="Times New Roman" w:cs="Times New Roman"/>
                <w:spacing w:val="15"/>
                <w:sz w:val="20"/>
                <w:szCs w:val="20"/>
                <w:highlight w:val="none"/>
              </w:rPr>
              <w:t>.</w:t>
            </w:r>
            <w:r>
              <w:rPr>
                <w:rFonts w:hint="default" w:ascii="Times New Roman" w:hAnsi="Times New Roman" w:eastAsia="宋体" w:cs="Times New Roman"/>
                <w:spacing w:val="15"/>
                <w:sz w:val="20"/>
                <w:szCs w:val="20"/>
                <w:highlight w:val="none"/>
              </w:rPr>
              <w:t>合理安排施工时间，尽量避免同时使用大量动力机械设</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
                <w:sz w:val="20"/>
                <w:szCs w:val="20"/>
                <w:highlight w:val="none"/>
              </w:rPr>
              <w:t>备；</w:t>
            </w:r>
          </w:p>
          <w:p>
            <w:pPr>
              <w:spacing w:line="295" w:lineRule="auto"/>
              <w:ind w:left="102" w:right="101" w:hanging="3"/>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8"/>
                <w:sz w:val="20"/>
                <w:szCs w:val="20"/>
                <w:highlight w:val="none"/>
              </w:rPr>
              <w:t>2</w:t>
            </w:r>
            <w:r>
              <w:rPr>
                <w:rFonts w:hint="default" w:ascii="Times New Roman" w:hAnsi="Times New Roman" w:eastAsia="Times New Roman" w:cs="Times New Roman"/>
                <w:spacing w:val="10"/>
                <w:sz w:val="20"/>
                <w:szCs w:val="20"/>
                <w:highlight w:val="none"/>
              </w:rPr>
              <w:t>.</w:t>
            </w:r>
            <w:r>
              <w:rPr>
                <w:rFonts w:hint="default" w:ascii="Times New Roman" w:hAnsi="Times New Roman" w:eastAsia="宋体" w:cs="Times New Roman"/>
                <w:spacing w:val="9"/>
                <w:sz w:val="20"/>
                <w:szCs w:val="20"/>
                <w:highlight w:val="none"/>
              </w:rPr>
              <w:t xml:space="preserve">施工单位开工 </w:t>
            </w:r>
            <w:r>
              <w:rPr>
                <w:rFonts w:hint="default" w:ascii="Times New Roman" w:hAnsi="Times New Roman" w:eastAsia="Times New Roman" w:cs="Times New Roman"/>
                <w:spacing w:val="9"/>
                <w:sz w:val="20"/>
                <w:szCs w:val="20"/>
                <w:highlight w:val="none"/>
              </w:rPr>
              <w:t xml:space="preserve">15 </w:t>
            </w:r>
            <w:r>
              <w:rPr>
                <w:rFonts w:hint="default" w:ascii="Times New Roman" w:hAnsi="Times New Roman" w:eastAsia="宋体" w:cs="Times New Roman"/>
                <w:spacing w:val="9"/>
                <w:sz w:val="20"/>
                <w:szCs w:val="20"/>
                <w:highlight w:val="none"/>
              </w:rPr>
              <w:t>日前，携带施工资料等到所在地县级以</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2"/>
                <w:sz w:val="20"/>
                <w:szCs w:val="20"/>
                <w:highlight w:val="none"/>
              </w:rPr>
              <w:t>上地</w:t>
            </w:r>
            <w:r>
              <w:rPr>
                <w:rFonts w:hint="default" w:ascii="Times New Roman" w:hAnsi="Times New Roman" w:eastAsia="宋体" w:cs="Times New Roman"/>
                <w:spacing w:val="6"/>
                <w:sz w:val="20"/>
                <w:szCs w:val="20"/>
                <w:highlight w:val="none"/>
              </w:rPr>
              <w:t>方人民政府环境保护行政主管部门申报《建设施工环保</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6"/>
                <w:sz w:val="20"/>
                <w:szCs w:val="20"/>
                <w:highlight w:val="none"/>
              </w:rPr>
              <w:t>审</w:t>
            </w:r>
            <w:r>
              <w:rPr>
                <w:rFonts w:hint="default" w:ascii="Times New Roman" w:hAnsi="Times New Roman" w:eastAsia="宋体" w:cs="Times New Roman"/>
                <w:spacing w:val="8"/>
                <w:sz w:val="20"/>
                <w:szCs w:val="20"/>
                <w:highlight w:val="none"/>
              </w:rPr>
              <w:t>批表》，经批准后方可施工；</w:t>
            </w:r>
            <w:r>
              <w:rPr>
                <w:rFonts w:hint="default" w:ascii="Times New Roman" w:hAnsi="Times New Roman" w:eastAsia="宋体" w:cs="Times New Roman"/>
                <w:sz w:val="20"/>
                <w:szCs w:val="20"/>
                <w:highlight w:val="none"/>
              </w:rPr>
              <w:t xml:space="preserve">                        </w:t>
            </w:r>
          </w:p>
          <w:p>
            <w:pPr>
              <w:spacing w:line="295" w:lineRule="auto"/>
              <w:ind w:right="101"/>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spacing w:val="9"/>
                <w:sz w:val="20"/>
                <w:szCs w:val="20"/>
                <w:highlight w:val="none"/>
              </w:rPr>
              <w:t>3</w:t>
            </w:r>
            <w:r>
              <w:rPr>
                <w:rFonts w:hint="default" w:ascii="Times New Roman" w:hAnsi="Times New Roman" w:eastAsia="Times New Roman" w:cs="Times New Roman"/>
                <w:spacing w:val="8"/>
                <w:sz w:val="20"/>
                <w:szCs w:val="20"/>
                <w:highlight w:val="none"/>
              </w:rPr>
              <w:t>.</w:t>
            </w:r>
            <w:r>
              <w:rPr>
                <w:rFonts w:hint="default" w:ascii="Times New Roman" w:hAnsi="Times New Roman" w:eastAsia="宋体" w:cs="Times New Roman"/>
                <w:spacing w:val="8"/>
                <w:sz w:val="20"/>
                <w:szCs w:val="20"/>
                <w:highlight w:val="none"/>
              </w:rPr>
              <w:t>建设招投标单位将投标方的低噪声、低振动施工设备和相</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3"/>
                <w:sz w:val="20"/>
                <w:szCs w:val="20"/>
                <w:highlight w:val="none"/>
              </w:rPr>
              <w:t>应</w:t>
            </w:r>
            <w:r>
              <w:rPr>
                <w:rFonts w:hint="default" w:ascii="Times New Roman" w:hAnsi="Times New Roman" w:eastAsia="宋体" w:cs="Times New Roman"/>
                <w:spacing w:val="8"/>
                <w:sz w:val="20"/>
                <w:szCs w:val="20"/>
                <w:highlight w:val="none"/>
              </w:rPr>
              <w:t>技术作为中标的考虑内容；</w:t>
            </w:r>
          </w:p>
          <w:p>
            <w:pPr>
              <w:spacing w:line="228" w:lineRule="auto"/>
              <w:ind w:left="98"/>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2"/>
                <w:sz w:val="20"/>
                <w:szCs w:val="20"/>
                <w:highlight w:val="none"/>
              </w:rPr>
              <w:t>4</w:t>
            </w:r>
            <w:r>
              <w:rPr>
                <w:rFonts w:hint="default" w:ascii="Times New Roman" w:hAnsi="Times New Roman" w:eastAsia="Times New Roman" w:cs="Times New Roman"/>
                <w:spacing w:val="7"/>
                <w:sz w:val="20"/>
                <w:szCs w:val="20"/>
                <w:highlight w:val="none"/>
              </w:rPr>
              <w:t>.</w:t>
            </w:r>
            <w:r>
              <w:rPr>
                <w:rFonts w:hint="default" w:ascii="Times New Roman" w:hAnsi="Times New Roman" w:eastAsia="宋体" w:cs="Times New Roman"/>
                <w:spacing w:val="7"/>
                <w:sz w:val="20"/>
                <w:szCs w:val="20"/>
                <w:highlight w:val="none"/>
              </w:rPr>
              <w:t>合理安排施工场地；</w:t>
            </w:r>
          </w:p>
          <w:p>
            <w:pPr>
              <w:spacing w:before="73" w:line="228" w:lineRule="auto"/>
              <w:ind w:left="104"/>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6"/>
                <w:sz w:val="20"/>
                <w:szCs w:val="20"/>
                <w:highlight w:val="none"/>
              </w:rPr>
              <w:t>5</w:t>
            </w:r>
            <w:r>
              <w:rPr>
                <w:rFonts w:hint="default" w:ascii="Times New Roman" w:hAnsi="Times New Roman" w:eastAsia="Times New Roman" w:cs="Times New Roman"/>
                <w:spacing w:val="15"/>
                <w:sz w:val="20"/>
                <w:szCs w:val="20"/>
                <w:highlight w:val="none"/>
              </w:rPr>
              <w:t>.</w:t>
            </w:r>
            <w:r>
              <w:rPr>
                <w:rFonts w:hint="default" w:ascii="Times New Roman" w:hAnsi="Times New Roman" w:eastAsia="宋体" w:cs="Times New Roman"/>
                <w:spacing w:val="8"/>
                <w:sz w:val="20"/>
                <w:szCs w:val="20"/>
                <w:highlight w:val="none"/>
              </w:rPr>
              <w:t>合理选择运输路线，尽量避开沿途的环境敏感点。</w:t>
            </w:r>
          </w:p>
        </w:tc>
        <w:tc>
          <w:tcPr>
            <w:tcW w:w="1130" w:type="dxa"/>
            <w:vAlign w:val="top"/>
          </w:tcPr>
          <w:p>
            <w:pPr>
              <w:spacing w:line="283" w:lineRule="auto"/>
              <w:rPr>
                <w:rFonts w:hint="default" w:ascii="Times New Roman" w:hAnsi="Times New Roman" w:cs="Times New Roman"/>
                <w:sz w:val="21"/>
                <w:highlight w:val="none"/>
              </w:rPr>
            </w:pPr>
          </w:p>
          <w:p>
            <w:pPr>
              <w:spacing w:line="283" w:lineRule="auto"/>
              <w:rPr>
                <w:rFonts w:hint="default" w:ascii="Times New Roman" w:hAnsi="Times New Roman" w:cs="Times New Roman"/>
                <w:sz w:val="21"/>
                <w:highlight w:val="none"/>
              </w:rPr>
            </w:pPr>
          </w:p>
          <w:p>
            <w:pPr>
              <w:spacing w:line="284" w:lineRule="auto"/>
              <w:rPr>
                <w:rFonts w:hint="default" w:ascii="Times New Roman" w:hAnsi="Times New Roman" w:cs="Times New Roman"/>
                <w:sz w:val="21"/>
                <w:highlight w:val="none"/>
              </w:rPr>
            </w:pPr>
          </w:p>
          <w:p>
            <w:pPr>
              <w:spacing w:line="284" w:lineRule="auto"/>
              <w:rPr>
                <w:rFonts w:hint="default" w:ascii="Times New Roman" w:hAnsi="Times New Roman" w:cs="Times New Roman"/>
                <w:sz w:val="21"/>
                <w:highlight w:val="none"/>
              </w:rPr>
            </w:pPr>
          </w:p>
          <w:p>
            <w:pPr>
              <w:spacing w:line="284" w:lineRule="auto"/>
              <w:rPr>
                <w:rFonts w:hint="default" w:ascii="Times New Roman" w:hAnsi="Times New Roman" w:cs="Times New Roman"/>
                <w:sz w:val="21"/>
                <w:highlight w:val="none"/>
              </w:rPr>
            </w:pPr>
          </w:p>
          <w:p>
            <w:pPr>
              <w:spacing w:before="58" w:line="136" w:lineRule="exact"/>
              <w:ind w:left="54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w:t>
            </w:r>
          </w:p>
        </w:tc>
        <w:tc>
          <w:tcPr>
            <w:tcW w:w="1129" w:type="dxa"/>
            <w:vMerge w:val="continue"/>
            <w:tcBorders>
              <w:right w:val="single" w:color="000000" w:sz="10" w:space="0"/>
            </w:tcBorders>
            <w:vAlign w:val="top"/>
          </w:tcPr>
          <w:p>
            <w:pPr>
              <w:spacing w:before="65" w:line="300" w:lineRule="auto"/>
              <w:ind w:left="122" w:right="98" w:firstLine="3"/>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65" w:type="dxa"/>
            <w:tcBorders>
              <w:left w:val="single" w:color="000000" w:sz="10" w:space="0"/>
            </w:tcBorders>
            <w:vAlign w:val="top"/>
          </w:tcPr>
          <w:p>
            <w:pPr>
              <w:spacing w:before="242" w:line="320" w:lineRule="exact"/>
              <w:ind w:left="2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position w:val="8"/>
                <w:sz w:val="20"/>
                <w:szCs w:val="20"/>
                <w:highlight w:val="none"/>
              </w:rPr>
              <w:t>建</w:t>
            </w:r>
            <w:r>
              <w:rPr>
                <w:rFonts w:hint="default" w:ascii="Times New Roman" w:hAnsi="Times New Roman" w:eastAsia="宋体" w:cs="Times New Roman"/>
                <w:spacing w:val="3"/>
                <w:position w:val="8"/>
                <w:sz w:val="20"/>
                <w:szCs w:val="20"/>
                <w:highlight w:val="none"/>
              </w:rPr>
              <w:t>筑</w:t>
            </w:r>
          </w:p>
          <w:p>
            <w:pPr>
              <w:spacing w:line="229" w:lineRule="auto"/>
              <w:ind w:left="21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垃</w:t>
            </w:r>
            <w:r>
              <w:rPr>
                <w:rFonts w:hint="default" w:ascii="Times New Roman" w:hAnsi="Times New Roman" w:eastAsia="宋体" w:cs="Times New Roman"/>
                <w:spacing w:val="3"/>
                <w:sz w:val="20"/>
                <w:szCs w:val="20"/>
                <w:highlight w:val="none"/>
              </w:rPr>
              <w:t>圾</w:t>
            </w:r>
          </w:p>
        </w:tc>
        <w:tc>
          <w:tcPr>
            <w:tcW w:w="5577" w:type="dxa"/>
            <w:vAlign w:val="top"/>
          </w:tcPr>
          <w:p>
            <w:pPr>
              <w:spacing w:before="242" w:line="307" w:lineRule="auto"/>
              <w:ind w:left="104" w:right="4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rPr>
              <w:t>建筑垃圾多余弃土及时清运，不得长期堆存，作</w:t>
            </w:r>
            <w:r>
              <w:rPr>
                <w:rFonts w:hint="default" w:ascii="Times New Roman" w:hAnsi="Times New Roman" w:eastAsia="宋体" w:cs="Times New Roman"/>
                <w:sz w:val="20"/>
                <w:szCs w:val="20"/>
                <w:highlight w:val="none"/>
              </w:rPr>
              <w:t xml:space="preserve">到随有随清， </w:t>
            </w:r>
            <w:r>
              <w:rPr>
                <w:rFonts w:hint="default" w:ascii="Times New Roman" w:hAnsi="Times New Roman" w:eastAsia="宋体" w:cs="Times New Roman"/>
                <w:spacing w:val="11"/>
                <w:sz w:val="20"/>
                <w:szCs w:val="20"/>
                <w:highlight w:val="none"/>
              </w:rPr>
              <w:t>车</w:t>
            </w:r>
            <w:r>
              <w:rPr>
                <w:rFonts w:hint="default" w:ascii="Times New Roman" w:hAnsi="Times New Roman" w:eastAsia="宋体" w:cs="Times New Roman"/>
                <w:spacing w:val="8"/>
                <w:sz w:val="20"/>
                <w:szCs w:val="20"/>
                <w:highlight w:val="none"/>
              </w:rPr>
              <w:t>辆用毡布遮盖，防治撒落。</w:t>
            </w:r>
          </w:p>
        </w:tc>
        <w:tc>
          <w:tcPr>
            <w:tcW w:w="1130" w:type="dxa"/>
            <w:vAlign w:val="top"/>
          </w:tcPr>
          <w:p>
            <w:pPr>
              <w:spacing w:before="83" w:line="272" w:lineRule="auto"/>
              <w:ind w:left="121" w:right="199" w:hanging="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渣</w:t>
            </w:r>
            <w:r>
              <w:rPr>
                <w:rFonts w:hint="default" w:ascii="Times New Roman" w:hAnsi="Times New Roman" w:eastAsia="宋体" w:cs="Times New Roman"/>
                <w:spacing w:val="1"/>
                <w:sz w:val="20"/>
                <w:szCs w:val="20"/>
                <w:highlight w:val="none"/>
              </w:rPr>
              <w:t>土清运</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
                <w:sz w:val="20"/>
                <w:szCs w:val="20"/>
                <w:highlight w:val="none"/>
              </w:rPr>
              <w:t>至指定</w:t>
            </w:r>
            <w:r>
              <w:rPr>
                <w:rFonts w:hint="default" w:ascii="Times New Roman" w:hAnsi="Times New Roman" w:eastAsia="宋体" w:cs="Times New Roman"/>
                <w:sz w:val="20"/>
                <w:szCs w:val="20"/>
                <w:highlight w:val="none"/>
              </w:rPr>
              <w:t xml:space="preserve">地 </w:t>
            </w:r>
            <w:r>
              <w:rPr>
                <w:rFonts w:hint="default" w:ascii="Times New Roman" w:hAnsi="Times New Roman" w:eastAsia="宋体" w:cs="Times New Roman"/>
                <w:spacing w:val="1"/>
                <w:sz w:val="20"/>
                <w:szCs w:val="20"/>
                <w:highlight w:val="none"/>
              </w:rPr>
              <w:t>点填</w:t>
            </w:r>
            <w:r>
              <w:rPr>
                <w:rFonts w:hint="default" w:ascii="Times New Roman" w:hAnsi="Times New Roman" w:eastAsia="宋体" w:cs="Times New Roman"/>
                <w:sz w:val="20"/>
                <w:szCs w:val="20"/>
                <w:highlight w:val="none"/>
              </w:rPr>
              <w:t>埋</w:t>
            </w:r>
          </w:p>
        </w:tc>
        <w:tc>
          <w:tcPr>
            <w:tcW w:w="1129" w:type="dxa"/>
            <w:vMerge w:val="continue"/>
            <w:tcBorders>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9" w:hRule="atLeast"/>
        </w:trPr>
        <w:tc>
          <w:tcPr>
            <w:tcW w:w="865" w:type="dxa"/>
            <w:tcBorders>
              <w:left w:val="single" w:color="000000" w:sz="10" w:space="0"/>
            </w:tcBorders>
            <w:vAlign w:val="center"/>
          </w:tcPr>
          <w:p>
            <w:pPr>
              <w:spacing w:before="242" w:line="307" w:lineRule="auto"/>
              <w:ind w:left="104" w:right="44"/>
              <w:jc w:val="center"/>
              <w:rPr>
                <w:rFonts w:hint="default" w:ascii="Times New Roman" w:hAnsi="Times New Roman" w:eastAsia="宋体" w:cs="Times New Roman"/>
                <w:spacing w:val="1"/>
                <w:sz w:val="20"/>
                <w:szCs w:val="20"/>
                <w:highlight w:val="none"/>
              </w:rPr>
            </w:pPr>
            <w:r>
              <w:rPr>
                <w:rFonts w:hint="default" w:ascii="Times New Roman" w:hAnsi="Times New Roman" w:eastAsia="宋体" w:cs="Times New Roman"/>
                <w:spacing w:val="1"/>
                <w:sz w:val="20"/>
                <w:szCs w:val="20"/>
                <w:highlight w:val="none"/>
              </w:rPr>
              <w:t>防渗</w:t>
            </w:r>
          </w:p>
        </w:tc>
        <w:tc>
          <w:tcPr>
            <w:tcW w:w="5577" w:type="dxa"/>
            <w:vAlign w:val="center"/>
          </w:tcPr>
          <w:p>
            <w:pPr>
              <w:spacing w:before="242" w:line="307" w:lineRule="auto"/>
              <w:ind w:left="104" w:right="44"/>
              <w:jc w:val="center"/>
              <w:rPr>
                <w:rFonts w:hint="default" w:ascii="Times New Roman" w:hAnsi="Times New Roman" w:eastAsia="宋体" w:cs="Times New Roman"/>
                <w:spacing w:val="1"/>
                <w:sz w:val="20"/>
                <w:szCs w:val="20"/>
                <w:highlight w:val="none"/>
              </w:rPr>
            </w:pPr>
            <w:r>
              <w:rPr>
                <w:rFonts w:hint="default" w:ascii="Times New Roman" w:hAnsi="Times New Roman" w:eastAsia="宋体" w:cs="Times New Roman"/>
                <w:spacing w:val="1"/>
                <w:sz w:val="20"/>
                <w:szCs w:val="20"/>
                <w:highlight w:val="none"/>
              </w:rPr>
              <w:t>厂房地面采用防渗混凝土结构，渗透系数≤10</w:t>
            </w:r>
            <w:r>
              <w:rPr>
                <w:rFonts w:hint="default" w:ascii="Times New Roman" w:hAnsi="Times New Roman" w:eastAsia="宋体" w:cs="Times New Roman"/>
                <w:spacing w:val="1"/>
                <w:sz w:val="20"/>
                <w:szCs w:val="20"/>
                <w:highlight w:val="none"/>
                <w:vertAlign w:val="superscript"/>
              </w:rPr>
              <w:t>-7</w:t>
            </w:r>
            <w:r>
              <w:rPr>
                <w:rFonts w:hint="default" w:ascii="Times New Roman" w:hAnsi="Times New Roman" w:eastAsia="宋体" w:cs="Times New Roman"/>
                <w:spacing w:val="1"/>
                <w:sz w:val="20"/>
                <w:szCs w:val="20"/>
                <w:highlight w:val="none"/>
              </w:rPr>
              <w:t>cm/s</w:t>
            </w:r>
          </w:p>
        </w:tc>
        <w:tc>
          <w:tcPr>
            <w:tcW w:w="1130" w:type="dxa"/>
            <w:vAlign w:val="top"/>
          </w:tcPr>
          <w:p>
            <w:pPr>
              <w:spacing w:before="57" w:line="136" w:lineRule="exact"/>
              <w:ind w:left="54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w:t>
            </w:r>
          </w:p>
        </w:tc>
        <w:tc>
          <w:tcPr>
            <w:tcW w:w="1129" w:type="dxa"/>
            <w:vMerge w:val="continue"/>
            <w:tcBorders>
              <w:right w:val="single" w:color="000000" w:sz="10" w:space="0"/>
            </w:tcBorders>
            <w:vAlign w:val="top"/>
          </w:tcPr>
          <w:p>
            <w:pPr>
              <w:rPr>
                <w:rFonts w:hint="default" w:ascii="Times New Roman" w:hAnsi="Times New Roman" w:cs="Times New Roman"/>
                <w:sz w:val="21"/>
                <w:highlight w:val="none"/>
              </w:rPr>
            </w:pPr>
          </w:p>
        </w:tc>
      </w:tr>
    </w:tbl>
    <w:p>
      <w:pPr>
        <w:spacing w:before="281" w:line="221" w:lineRule="auto"/>
        <w:ind w:left="55"/>
        <w:outlineLvl w:val="1"/>
        <w:rPr>
          <w:rFonts w:hint="default" w:ascii="Times New Roman" w:hAnsi="Times New Roman" w:eastAsia="宋体" w:cs="Times New Roman"/>
          <w:sz w:val="28"/>
          <w:szCs w:val="28"/>
          <w:highlight w:val="none"/>
        </w:rPr>
      </w:pPr>
      <w:bookmarkStart w:id="781" w:name="_Toc2495"/>
      <w:bookmarkStart w:id="782" w:name="_Toc6971"/>
      <w:bookmarkStart w:id="783" w:name="_Toc10417"/>
      <w:r>
        <w:rPr>
          <w:rFonts w:hint="default" w:ascii="Times New Roman" w:hAnsi="Times New Roman" w:eastAsia="Times New Roman" w:cs="Times New Roman"/>
          <w:b/>
          <w:bCs/>
          <w:spacing w:val="-1"/>
          <w:sz w:val="28"/>
          <w:szCs w:val="28"/>
          <w:highlight w:val="none"/>
        </w:rPr>
        <w:t>8.2</w:t>
      </w:r>
      <w:r>
        <w:rPr>
          <w:rFonts w:hint="default" w:ascii="Times New Roman" w:hAnsi="Times New Roman" w:eastAsia="Times New Roman" w:cs="Times New Roman"/>
          <w:spacing w:val="-1"/>
          <w:sz w:val="28"/>
          <w:szCs w:val="28"/>
          <w:highlight w:val="none"/>
        </w:rPr>
        <w:t xml:space="preserve"> </w:t>
      </w:r>
      <w:r>
        <w:rPr>
          <w:rFonts w:hint="default" w:ascii="Times New Roman" w:hAnsi="Times New Roman" w:eastAsia="宋体" w:cs="Times New Roman"/>
          <w:spacing w:val="-1"/>
          <w:sz w:val="28"/>
          <w:szCs w:val="28"/>
          <w:highlight w:val="none"/>
          <w14:textOutline w14:w="5103" w14:cap="sq" w14:cmpd="sng">
            <w14:solidFill>
              <w14:srgbClr w14:val="000000"/>
            </w14:solidFill>
            <w14:prstDash w14:val="solid"/>
            <w14:bevel/>
          </w14:textOutline>
        </w:rPr>
        <w:t>营</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运期环境管理</w:t>
      </w:r>
      <w:bookmarkEnd w:id="781"/>
      <w:bookmarkEnd w:id="782"/>
      <w:bookmarkEnd w:id="783"/>
    </w:p>
    <w:p>
      <w:pPr>
        <w:spacing w:line="243" w:lineRule="auto"/>
        <w:rPr>
          <w:rFonts w:hint="default" w:ascii="Times New Roman" w:hAnsi="Times New Roman" w:cs="Times New Roman"/>
          <w:sz w:val="21"/>
          <w:highlight w:val="none"/>
        </w:rPr>
      </w:pPr>
    </w:p>
    <w:p>
      <w:pPr>
        <w:spacing w:before="75" w:line="227" w:lineRule="auto"/>
        <w:ind w:left="54"/>
        <w:outlineLvl w:val="2"/>
        <w:rPr>
          <w:rFonts w:hint="default" w:ascii="Times New Roman" w:hAnsi="Times New Roman" w:eastAsia="宋体" w:cs="Times New Roman"/>
          <w:sz w:val="23"/>
          <w:szCs w:val="23"/>
          <w:highlight w:val="none"/>
        </w:rPr>
      </w:pPr>
      <w:bookmarkStart w:id="784" w:name="_Toc17754"/>
      <w:bookmarkStart w:id="785" w:name="_Toc18416"/>
      <w:bookmarkStart w:id="786" w:name="_Toc1275"/>
      <w:r>
        <w:rPr>
          <w:rFonts w:hint="default" w:ascii="Times New Roman" w:hAnsi="Times New Roman" w:eastAsia="Times New Roman" w:cs="Times New Roman"/>
          <w:b/>
          <w:bCs/>
          <w:spacing w:val="8"/>
          <w:sz w:val="23"/>
          <w:szCs w:val="23"/>
          <w:highlight w:val="none"/>
        </w:rPr>
        <w:t>8</w:t>
      </w:r>
      <w:r>
        <w:rPr>
          <w:rFonts w:hint="default" w:ascii="Times New Roman" w:hAnsi="Times New Roman" w:eastAsia="Times New Roman" w:cs="Times New Roman"/>
          <w:b/>
          <w:bCs/>
          <w:spacing w:val="5"/>
          <w:sz w:val="23"/>
          <w:szCs w:val="23"/>
          <w:highlight w:val="none"/>
        </w:rPr>
        <w:t>.2.1</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机构组成</w:t>
      </w:r>
      <w:bookmarkEnd w:id="784"/>
      <w:bookmarkEnd w:id="785"/>
      <w:bookmarkEnd w:id="786"/>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92"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该项目的环境保护工作由环保科负责，其职责是贯彻执行环保方针、政策</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制定、实施环保工作计划、规划，审查、监督建设项目的</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三同时</w:t>
      </w:r>
      <w:r>
        <w:rPr>
          <w:rFonts w:hint="default" w:ascii="Times New Roman" w:hAnsi="Times New Roman" w:eastAsia="Times New Roman" w:cs="Times New Roman"/>
          <w:spacing w:val="8"/>
          <w:sz w:val="23"/>
          <w:szCs w:val="23"/>
          <w:highlight w:val="none"/>
        </w:rPr>
        <w:t>”</w:t>
      </w:r>
      <w:r>
        <w:rPr>
          <w:rFonts w:hint="default" w:ascii="Times New Roman" w:hAnsi="Times New Roman" w:eastAsia="宋体" w:cs="Times New Roman"/>
          <w:spacing w:val="8"/>
          <w:sz w:val="23"/>
          <w:szCs w:val="23"/>
          <w:highlight w:val="none"/>
        </w:rPr>
        <w:t>工作，组织</w:t>
      </w:r>
      <w:r>
        <w:rPr>
          <w:rFonts w:hint="default" w:ascii="Times New Roman" w:hAnsi="Times New Roman" w:eastAsia="宋体" w:cs="Times New Roman"/>
          <w:spacing w:val="1"/>
          <w:sz w:val="23"/>
          <w:szCs w:val="23"/>
          <w:highlight w:val="none"/>
        </w:rPr>
        <w:t>公</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司环保</w:t>
      </w:r>
      <w:r>
        <w:rPr>
          <w:rFonts w:hint="default" w:ascii="Times New Roman" w:hAnsi="Times New Roman" w:eastAsia="宋体" w:cs="Times New Roman"/>
          <w:spacing w:val="13"/>
          <w:sz w:val="23"/>
          <w:szCs w:val="23"/>
          <w:highlight w:val="none"/>
        </w:rPr>
        <w:t>工</w:t>
      </w:r>
      <w:r>
        <w:rPr>
          <w:rFonts w:hint="default" w:ascii="Times New Roman" w:hAnsi="Times New Roman" w:eastAsia="宋体" w:cs="Times New Roman"/>
          <w:spacing w:val="7"/>
          <w:sz w:val="23"/>
          <w:szCs w:val="23"/>
          <w:highlight w:val="none"/>
        </w:rPr>
        <w:t>作的实施、验收及考核，监督</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三废</w:t>
      </w:r>
      <w:r>
        <w:rPr>
          <w:rFonts w:hint="default" w:ascii="Times New Roman" w:hAnsi="Times New Roman" w:eastAsia="Times New Roman" w:cs="Times New Roman"/>
          <w:spacing w:val="7"/>
          <w:sz w:val="23"/>
          <w:szCs w:val="23"/>
          <w:highlight w:val="none"/>
        </w:rPr>
        <w:t>”</w:t>
      </w:r>
      <w:r>
        <w:rPr>
          <w:rFonts w:hint="default" w:ascii="Times New Roman" w:hAnsi="Times New Roman" w:eastAsia="宋体" w:cs="Times New Roman"/>
          <w:spacing w:val="7"/>
          <w:sz w:val="23"/>
          <w:szCs w:val="23"/>
          <w:highlight w:val="none"/>
        </w:rPr>
        <w:t>的达标排放，负责污染事故的调查</w:t>
      </w:r>
      <w:r>
        <w:rPr>
          <w:rFonts w:hint="default" w:ascii="Times New Roman" w:hAnsi="Times New Roman" w:cs="Times New Roman"/>
          <w:highlight w:val="none"/>
        </w:rPr>
        <w:pict>
          <v:shape id="_x0000_s1391" o:spid="_x0000_s1391" style="position:absolute;left:0pt;margin-left:89.85pt;margin-top:59.05pt;height:0.75pt;width:415.65pt;mso-position-horizontal-relative:page;mso-position-vertical-relative:page;z-index:251833344;mso-width-relative:page;mso-height-relative:page;" fillcolor="#000000" filled="t" stroked="f" coordsize="8312,15" o:allowincell="f" path="m0,0l8312,0,8312,14,0,14,0,0xe">
            <v:path/>
            <v:fill on="t" focussize="0,0"/>
            <v:stroke on="f"/>
            <v:imagedata o:title=""/>
            <o:lock v:ext="edit"/>
          </v:shape>
        </w:pict>
      </w:r>
      <w:r>
        <w:rPr>
          <w:rFonts w:hint="default" w:ascii="Times New Roman" w:hAnsi="Times New Roman" w:eastAsia="宋体" w:cs="Times New Roman"/>
          <w:spacing w:val="16"/>
          <w:sz w:val="23"/>
          <w:szCs w:val="23"/>
          <w:highlight w:val="none"/>
        </w:rPr>
        <w:t>和处</w:t>
      </w:r>
      <w:r>
        <w:rPr>
          <w:rFonts w:hint="default" w:ascii="Times New Roman" w:hAnsi="Times New Roman" w:eastAsia="宋体" w:cs="Times New Roman"/>
          <w:spacing w:val="12"/>
          <w:sz w:val="23"/>
          <w:szCs w:val="23"/>
          <w:highlight w:val="none"/>
        </w:rPr>
        <w:t>理</w:t>
      </w:r>
      <w:r>
        <w:rPr>
          <w:rFonts w:hint="default" w:ascii="Times New Roman" w:hAnsi="Times New Roman" w:eastAsia="宋体" w:cs="Times New Roman"/>
          <w:spacing w:val="8"/>
          <w:sz w:val="23"/>
          <w:szCs w:val="23"/>
          <w:highlight w:val="none"/>
        </w:rPr>
        <w:t>，编制环保统计及环保考核等报告。公司配有环保工作人员</w:t>
      </w:r>
      <w:r>
        <w:rPr>
          <w:rFonts w:hint="default" w:ascii="Times New Roman" w:hAnsi="Times New Roman" w:eastAsia="Times New Roman" w:cs="Times New Roman"/>
          <w:spacing w:val="8"/>
          <w:sz w:val="23"/>
          <w:szCs w:val="23"/>
          <w:highlight w:val="none"/>
        </w:rPr>
        <w:t xml:space="preserve">2 </w:t>
      </w:r>
      <w:r>
        <w:rPr>
          <w:rFonts w:hint="default" w:ascii="Times New Roman" w:hAnsi="Times New Roman" w:eastAsia="宋体" w:cs="Times New Roman"/>
          <w:spacing w:val="8"/>
          <w:sz w:val="23"/>
          <w:szCs w:val="23"/>
          <w:highlight w:val="none"/>
        </w:rPr>
        <w:t>人，担任管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理</w:t>
      </w:r>
      <w:r>
        <w:rPr>
          <w:rFonts w:hint="default" w:ascii="Times New Roman" w:hAnsi="Times New Roman" w:eastAsia="宋体" w:cs="Times New Roman"/>
          <w:spacing w:val="7"/>
          <w:sz w:val="23"/>
          <w:szCs w:val="23"/>
          <w:highlight w:val="none"/>
        </w:rPr>
        <w:t>、兼职环保工作。</w:t>
      </w:r>
    </w:p>
    <w:p>
      <w:pPr>
        <w:spacing w:before="90" w:line="225" w:lineRule="auto"/>
        <w:ind w:left="20"/>
        <w:outlineLvl w:val="2"/>
        <w:rPr>
          <w:rFonts w:hint="default" w:ascii="Times New Roman" w:hAnsi="Times New Roman" w:eastAsia="宋体" w:cs="Times New Roman"/>
          <w:sz w:val="23"/>
          <w:szCs w:val="23"/>
          <w:highlight w:val="none"/>
        </w:rPr>
      </w:pPr>
      <w:bookmarkStart w:id="787" w:name="_Toc7936"/>
      <w:bookmarkStart w:id="788" w:name="_Toc6437"/>
      <w:bookmarkStart w:id="789" w:name="_Toc30977"/>
      <w:r>
        <w:rPr>
          <w:rFonts w:hint="default" w:ascii="Times New Roman" w:hAnsi="Times New Roman" w:eastAsia="Times New Roman" w:cs="Times New Roman"/>
          <w:b/>
          <w:bCs/>
          <w:spacing w:val="8"/>
          <w:sz w:val="23"/>
          <w:szCs w:val="23"/>
          <w:highlight w:val="none"/>
        </w:rPr>
        <w:t>8</w:t>
      </w:r>
      <w:r>
        <w:rPr>
          <w:rFonts w:hint="default" w:ascii="Times New Roman" w:hAnsi="Times New Roman" w:eastAsia="Times New Roman" w:cs="Times New Roman"/>
          <w:b/>
          <w:bCs/>
          <w:spacing w:val="5"/>
          <w:sz w:val="23"/>
          <w:szCs w:val="23"/>
          <w:highlight w:val="none"/>
        </w:rPr>
        <w:t>.2.2</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机构职责</w:t>
      </w:r>
      <w:bookmarkEnd w:id="787"/>
      <w:bookmarkEnd w:id="788"/>
      <w:bookmarkEnd w:id="789"/>
    </w:p>
    <w:p>
      <w:pPr>
        <w:keepNext w:val="0"/>
        <w:keepLines w:val="0"/>
        <w:pageBreakBefore w:val="0"/>
        <w:widowControl/>
        <w:kinsoku w:val="0"/>
        <w:wordWrap/>
        <w:overflowPunct/>
        <w:topLinePunct w:val="0"/>
        <w:autoSpaceDE w:val="0"/>
        <w:autoSpaceDN w:val="0"/>
        <w:bidi w:val="0"/>
        <w:adjustRightInd w:val="0"/>
        <w:snapToGrid w:val="0"/>
        <w:spacing w:before="195" w:line="499" w:lineRule="exact"/>
        <w:ind w:left="0" w:firstLine="500" w:firstLineChars="200"/>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0"/>
          <w:position w:val="20"/>
          <w:sz w:val="23"/>
          <w:szCs w:val="23"/>
          <w:highlight w:val="none"/>
        </w:rPr>
        <w:t>环</w:t>
      </w:r>
      <w:r>
        <w:rPr>
          <w:rFonts w:hint="default" w:ascii="Times New Roman" w:hAnsi="Times New Roman" w:eastAsia="宋体" w:cs="Times New Roman"/>
          <w:spacing w:val="8"/>
          <w:position w:val="20"/>
          <w:sz w:val="23"/>
          <w:szCs w:val="23"/>
          <w:highlight w:val="none"/>
        </w:rPr>
        <w:t>保管理机构职责如下：</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96"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⑴贯彻执行环境保护法规及环境保护标准</w:t>
      </w:r>
      <w:r>
        <w:rPr>
          <w:rFonts w:hint="default" w:ascii="Times New Roman" w:hAnsi="Times New Roman" w:eastAsia="宋体" w:cs="Times New Roman"/>
          <w:spacing w:val="8"/>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92"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⑵建立完善的环境保护管理制度，经常监督检查各部门执行环保法规情况</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⑶编制并组织实施环境保护规划和计划</w:t>
      </w:r>
      <w:r>
        <w:rPr>
          <w:rFonts w:hint="default" w:ascii="Times New Roman" w:hAnsi="Times New Roman" w:eastAsia="宋体" w:cs="Times New Roman"/>
          <w:spacing w:val="7"/>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516"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4"/>
          <w:sz w:val="23"/>
          <w:szCs w:val="23"/>
          <w:highlight w:val="none"/>
        </w:rPr>
        <w:t>⑷</w:t>
      </w:r>
      <w:r>
        <w:rPr>
          <w:rFonts w:hint="default" w:ascii="Times New Roman" w:hAnsi="Times New Roman" w:eastAsia="宋体" w:cs="Times New Roman"/>
          <w:spacing w:val="9"/>
          <w:sz w:val="23"/>
          <w:szCs w:val="23"/>
          <w:highlight w:val="none"/>
        </w:rPr>
        <w:t>搞好环境保护教育和宣传，提高职工的环境保护意识；</w:t>
      </w:r>
      <w:r>
        <w:rPr>
          <w:rFonts w:hint="default" w:ascii="Times New Roman" w:hAnsi="Times New Roman" w:eastAsia="宋体" w:cs="Times New Roman"/>
          <w:sz w:val="23"/>
          <w:szCs w:val="23"/>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60"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⑸</w:t>
      </w:r>
      <w:r>
        <w:rPr>
          <w:rFonts w:hint="default" w:ascii="Times New Roman" w:hAnsi="Times New Roman" w:eastAsia="宋体" w:cs="Times New Roman"/>
          <w:spacing w:val="9"/>
          <w:sz w:val="23"/>
          <w:szCs w:val="23"/>
          <w:highlight w:val="none"/>
        </w:rPr>
        <w:t>加强全厂的环境监测工作，建立环境监控档案；</w:t>
      </w:r>
      <w:r>
        <w:rPr>
          <w:rFonts w:hint="default" w:ascii="Times New Roman" w:hAnsi="Times New Roman" w:eastAsia="宋体" w:cs="Times New Roman"/>
          <w:sz w:val="23"/>
          <w:szCs w:val="23"/>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60"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⑹建</w:t>
      </w:r>
      <w:r>
        <w:rPr>
          <w:rFonts w:hint="default" w:ascii="Times New Roman" w:hAnsi="Times New Roman" w:eastAsia="宋体" w:cs="Times New Roman"/>
          <w:spacing w:val="7"/>
          <w:sz w:val="23"/>
          <w:szCs w:val="23"/>
          <w:highlight w:val="none"/>
        </w:rPr>
        <w:t>立环境保护台账，记录各环保措施及设施运行维护等情况；</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88" w:firstLineChars="200"/>
        <w:jc w:val="both"/>
        <w:textAlignment w:val="baseline"/>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⑺推广应用环保新技术、经验，实行清洁生产，保证各项环保设施常年处于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良</w:t>
      </w:r>
      <w:r>
        <w:rPr>
          <w:rFonts w:hint="default" w:ascii="Times New Roman" w:hAnsi="Times New Roman" w:eastAsia="宋体" w:cs="Times New Roman"/>
          <w:spacing w:val="8"/>
          <w:sz w:val="23"/>
          <w:szCs w:val="23"/>
          <w:highlight w:val="none"/>
        </w:rPr>
        <w:t>好运行状态，确保公司污染物排放达到国家排放标准和总量控制指标。</w:t>
      </w:r>
    </w:p>
    <w:p>
      <w:pPr>
        <w:spacing w:before="105" w:line="228" w:lineRule="auto"/>
        <w:ind w:left="20"/>
        <w:outlineLvl w:val="2"/>
        <w:rPr>
          <w:rFonts w:hint="default" w:ascii="Times New Roman" w:hAnsi="Times New Roman" w:eastAsia="宋体" w:cs="Times New Roman"/>
          <w:sz w:val="23"/>
          <w:szCs w:val="23"/>
          <w:highlight w:val="none"/>
        </w:rPr>
      </w:pPr>
      <w:bookmarkStart w:id="790" w:name="_Toc10643"/>
      <w:bookmarkStart w:id="791" w:name="_Toc18385"/>
      <w:bookmarkStart w:id="792" w:name="_Toc10464"/>
      <w:r>
        <w:rPr>
          <w:rFonts w:hint="default" w:ascii="Times New Roman" w:hAnsi="Times New Roman" w:eastAsia="Times New Roman" w:cs="Times New Roman"/>
          <w:b/>
          <w:bCs/>
          <w:spacing w:val="8"/>
          <w:sz w:val="23"/>
          <w:szCs w:val="23"/>
          <w:highlight w:val="none"/>
        </w:rPr>
        <w:t>8</w:t>
      </w:r>
      <w:r>
        <w:rPr>
          <w:rFonts w:hint="default" w:ascii="Times New Roman" w:hAnsi="Times New Roman" w:eastAsia="Times New Roman" w:cs="Times New Roman"/>
          <w:b/>
          <w:bCs/>
          <w:spacing w:val="7"/>
          <w:sz w:val="23"/>
          <w:szCs w:val="23"/>
          <w:highlight w:val="none"/>
        </w:rPr>
        <w:t>.2.3</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项目污染物排放清单</w:t>
      </w:r>
      <w:bookmarkEnd w:id="790"/>
      <w:bookmarkEnd w:id="791"/>
      <w:bookmarkEnd w:id="792"/>
    </w:p>
    <w:p>
      <w:pPr>
        <w:rPr>
          <w:rFonts w:hint="default" w:ascii="Times New Roman" w:hAnsi="Times New Roman" w:cs="Times New Roman"/>
          <w:highlight w:val="none"/>
        </w:rPr>
        <w:sectPr>
          <w:headerReference r:id="rId127" w:type="default"/>
          <w:footerReference r:id="rId128" w:type="default"/>
          <w:pgSz w:w="11906" w:h="16839"/>
          <w:pgMar w:top="1167" w:right="1768" w:bottom="1282" w:left="1785" w:header="897" w:footer="1015" w:gutter="0"/>
          <w:pgBorders>
            <w:top w:val="none" w:sz="0" w:space="0"/>
            <w:left w:val="none" w:sz="0" w:space="0"/>
            <w:bottom w:val="none" w:sz="0" w:space="0"/>
            <w:right w:val="none" w:sz="0" w:space="0"/>
          </w:pgBorders>
          <w:pgNumType w:fmt="decimal"/>
          <w:cols w:space="720" w:num="1"/>
        </w:sectPr>
      </w:pPr>
    </w:p>
    <w:p>
      <w:pPr>
        <w:spacing w:line="248"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393" o:spid="_x0000_s1393" style="position:absolute;left:0pt;margin-left:72pt;margin-top:59.05pt;height:0.75pt;width:697.95pt;mso-position-horizontal-relative:page;mso-position-vertical-relative:page;z-index:251836416;mso-width-relative:page;mso-height-relative:page;" fillcolor="#000000" filled="t" stroked="f" coordsize="13959,15" o:allowincell="f" path="m0,0l13958,0,13958,14,0,14,0,0xe">
            <v:path/>
            <v:fill on="t" focussize="0,0"/>
            <v:stroke on="f"/>
            <v:imagedata o:title=""/>
            <o:lock v:ext="edit"/>
          </v:shape>
        </w:pict>
      </w:r>
    </w:p>
    <w:p>
      <w:pPr>
        <w:spacing w:line="248" w:lineRule="auto"/>
        <w:rPr>
          <w:rFonts w:hint="default" w:ascii="Times New Roman" w:hAnsi="Times New Roman" w:cs="Times New Roman"/>
          <w:sz w:val="21"/>
          <w:highlight w:val="none"/>
        </w:rPr>
      </w:pPr>
    </w:p>
    <w:p>
      <w:pPr>
        <w:spacing w:line="248" w:lineRule="auto"/>
        <w:rPr>
          <w:rFonts w:hint="default" w:ascii="Times New Roman" w:hAnsi="Times New Roman" w:cs="Times New Roman"/>
          <w:sz w:val="21"/>
          <w:highlight w:val="none"/>
        </w:rPr>
      </w:pPr>
    </w:p>
    <w:p>
      <w:pPr>
        <w:spacing w:before="75" w:line="227" w:lineRule="auto"/>
        <w:ind w:left="6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sz w:val="23"/>
          <w:szCs w:val="23"/>
          <w:highlight w:val="none"/>
        </w:rPr>
        <w:t>本项目建成后</w:t>
      </w:r>
      <w:r>
        <w:rPr>
          <w:rFonts w:hint="default" w:ascii="Times New Roman" w:hAnsi="Times New Roman" w:eastAsia="宋体" w:cs="Times New Roman"/>
          <w:spacing w:val="5"/>
          <w:sz w:val="23"/>
          <w:szCs w:val="23"/>
          <w:highlight w:val="none"/>
        </w:rPr>
        <w:t>，</w:t>
      </w:r>
      <w:r>
        <w:rPr>
          <w:rFonts w:hint="default" w:ascii="Times New Roman" w:hAnsi="Times New Roman" w:eastAsia="宋体" w:cs="Times New Roman"/>
          <w:spacing w:val="3"/>
          <w:sz w:val="23"/>
          <w:szCs w:val="23"/>
          <w:highlight w:val="none"/>
        </w:rPr>
        <w:t xml:space="preserve">主要污染物排放量统计情况见表 </w:t>
      </w:r>
      <w:r>
        <w:rPr>
          <w:rFonts w:hint="default" w:ascii="Times New Roman" w:hAnsi="Times New Roman" w:eastAsia="Times New Roman" w:cs="Times New Roman"/>
          <w:spacing w:val="3"/>
          <w:sz w:val="23"/>
          <w:szCs w:val="23"/>
          <w:highlight w:val="none"/>
        </w:rPr>
        <w:t>8.2- 1</w:t>
      </w:r>
      <w:r>
        <w:rPr>
          <w:rFonts w:hint="default" w:ascii="Times New Roman" w:hAnsi="Times New Roman" w:eastAsia="宋体" w:cs="Times New Roman"/>
          <w:spacing w:val="3"/>
          <w:sz w:val="23"/>
          <w:szCs w:val="23"/>
          <w:highlight w:val="none"/>
        </w:rPr>
        <w:t>。</w:t>
      </w:r>
    </w:p>
    <w:p>
      <w:pPr>
        <w:spacing w:before="218" w:line="229" w:lineRule="auto"/>
        <w:ind w:left="5449"/>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pP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b/>
          <w:bCs/>
          <w:spacing w:val="6"/>
          <w:sz w:val="23"/>
          <w:szCs w:val="23"/>
          <w:highlight w:val="none"/>
        </w:rPr>
        <w:t>8.2</w:t>
      </w:r>
      <w:r>
        <w:rPr>
          <w:rFonts w:hint="default" w:ascii="Times New Roman" w:hAnsi="Times New Roman" w:eastAsia="Times New Roman" w:cs="Times New Roman"/>
          <w:b/>
          <w:bCs/>
          <w:spacing w:val="3"/>
          <w:sz w:val="23"/>
          <w:szCs w:val="23"/>
          <w:highlight w:val="none"/>
        </w:rPr>
        <w:t>-1</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14:textOutline w14:w="4358" w14:cap="sq" w14:cmpd="sng">
            <w14:solidFill>
              <w14:srgbClr w14:val="000000"/>
            </w14:solidFill>
            <w14:prstDash w14:val="solid"/>
            <w14:bevel/>
          </w14:textOutline>
        </w:rPr>
        <w:t>主要污染物排放清单</w:t>
      </w:r>
    </w:p>
    <w:p>
      <w:pPr>
        <w:spacing w:line="19" w:lineRule="exact"/>
        <w:rPr>
          <w:rFonts w:hint="default" w:ascii="Times New Roman" w:hAnsi="Times New Roman" w:cs="Times New Roman"/>
          <w:highlight w:val="none"/>
        </w:rPr>
      </w:pPr>
    </w:p>
    <w:tbl>
      <w:tblPr>
        <w:tblStyle w:val="19"/>
        <w:tblW w:w="1417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5"/>
        <w:gridCol w:w="1"/>
        <w:gridCol w:w="627"/>
        <w:gridCol w:w="71"/>
        <w:gridCol w:w="171"/>
        <w:gridCol w:w="392"/>
        <w:gridCol w:w="303"/>
        <w:gridCol w:w="252"/>
        <w:gridCol w:w="1517"/>
        <w:gridCol w:w="356"/>
        <w:gridCol w:w="137"/>
        <w:gridCol w:w="1879"/>
        <w:gridCol w:w="1186"/>
        <w:gridCol w:w="1212"/>
        <w:gridCol w:w="1288"/>
        <w:gridCol w:w="334"/>
        <w:gridCol w:w="1095"/>
        <w:gridCol w:w="2126"/>
        <w:gridCol w:w="7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144" w:type="dxa"/>
            <w:gridSpan w:val="4"/>
            <w:tcBorders>
              <w:left w:val="single" w:color="000000" w:sz="10" w:space="0"/>
            </w:tcBorders>
            <w:vAlign w:val="top"/>
          </w:tcPr>
          <w:p>
            <w:pPr>
              <w:spacing w:before="101" w:line="228" w:lineRule="auto"/>
              <w:ind w:left="14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工程类</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别</w:t>
            </w:r>
          </w:p>
        </w:tc>
        <w:tc>
          <w:tcPr>
            <w:tcW w:w="2635" w:type="dxa"/>
            <w:gridSpan w:val="5"/>
            <w:vAlign w:val="top"/>
          </w:tcPr>
          <w:p>
            <w:pPr>
              <w:spacing w:before="101" w:line="229" w:lineRule="auto"/>
              <w:ind w:left="89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工程名</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称</w:t>
            </w:r>
          </w:p>
        </w:tc>
        <w:tc>
          <w:tcPr>
            <w:tcW w:w="10398" w:type="dxa"/>
            <w:gridSpan w:val="10"/>
            <w:tcBorders>
              <w:right w:val="single" w:color="000000" w:sz="10" w:space="0"/>
            </w:tcBorders>
            <w:vAlign w:val="top"/>
          </w:tcPr>
          <w:p>
            <w:pPr>
              <w:spacing w:before="101" w:line="228" w:lineRule="auto"/>
              <w:ind w:left="478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工程内</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144" w:type="dxa"/>
            <w:gridSpan w:val="4"/>
            <w:tcBorders>
              <w:left w:val="single" w:color="000000" w:sz="10" w:space="0"/>
            </w:tcBorders>
            <w:vAlign w:val="top"/>
          </w:tcPr>
          <w:p>
            <w:pPr>
              <w:spacing w:before="235" w:line="229" w:lineRule="auto"/>
              <w:ind w:left="14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主体工程</w:t>
            </w:r>
          </w:p>
        </w:tc>
        <w:tc>
          <w:tcPr>
            <w:tcW w:w="2635" w:type="dxa"/>
            <w:gridSpan w:val="5"/>
            <w:vAlign w:val="top"/>
          </w:tcPr>
          <w:p>
            <w:pPr>
              <w:spacing w:before="235" w:line="230" w:lineRule="auto"/>
              <w:ind w:left="89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铁选工</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艺</w:t>
            </w:r>
          </w:p>
        </w:tc>
        <w:tc>
          <w:tcPr>
            <w:tcW w:w="10398" w:type="dxa"/>
            <w:gridSpan w:val="10"/>
            <w:tcBorders>
              <w:righ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left"/>
              <w:textAlignment w:val="baseline"/>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本项目位于遵化市势竹矿业有限公司</w:t>
            </w:r>
            <w:r>
              <w:rPr>
                <w:rFonts w:hint="eastAsia" w:ascii="Times New Roman" w:hAnsi="Times New Roman" w:eastAsia="宋体" w:cs="Times New Roman"/>
                <w:spacing w:val="4"/>
                <w:sz w:val="20"/>
                <w:szCs w:val="20"/>
                <w:highlight w:val="none"/>
                <w:lang w:val="en-US" w:eastAsia="zh-CN"/>
              </w:rPr>
              <w:t>现有厂区内</w:t>
            </w:r>
            <w:r>
              <w:rPr>
                <w:rFonts w:hint="default" w:ascii="Times New Roman" w:hAnsi="Times New Roman" w:eastAsia="宋体" w:cs="Times New Roman"/>
                <w:spacing w:val="4"/>
                <w:sz w:val="20"/>
                <w:szCs w:val="20"/>
                <w:highlight w:val="none"/>
              </w:rPr>
              <w:t>，</w:t>
            </w:r>
            <w:r>
              <w:rPr>
                <w:rFonts w:hint="default" w:ascii="Times New Roman" w:hAnsi="Times New Roman" w:eastAsia="宋体" w:cs="Times New Roman"/>
                <w:spacing w:val="4"/>
                <w:sz w:val="20"/>
                <w:szCs w:val="20"/>
                <w:highlight w:val="none"/>
                <w:lang w:val="en-US" w:eastAsia="zh-CN"/>
              </w:rPr>
              <w:t>主要</w:t>
            </w:r>
            <w:r>
              <w:rPr>
                <w:rFonts w:hint="eastAsia" w:ascii="Times New Roman" w:hAnsi="Times New Roman" w:eastAsia="宋体" w:cs="Times New Roman"/>
                <w:spacing w:val="4"/>
                <w:sz w:val="20"/>
                <w:szCs w:val="20"/>
                <w:highlight w:val="none"/>
                <w:lang w:val="en-US" w:eastAsia="zh-CN"/>
              </w:rPr>
              <w:t>在厂区东部生产装置区</w:t>
            </w:r>
            <w:r>
              <w:rPr>
                <w:rFonts w:hint="default" w:ascii="Times New Roman" w:hAnsi="Times New Roman" w:eastAsia="宋体" w:cs="Times New Roman"/>
                <w:spacing w:val="4"/>
                <w:sz w:val="20"/>
                <w:szCs w:val="20"/>
                <w:highlight w:val="none"/>
                <w:lang w:val="en-US" w:eastAsia="zh-CN"/>
              </w:rPr>
              <w:t>新增</w:t>
            </w:r>
            <w:r>
              <w:rPr>
                <w:rFonts w:hint="eastAsia" w:ascii="Times New Roman" w:hAnsi="Times New Roman" w:eastAsia="宋体" w:cs="Times New Roman"/>
                <w:spacing w:val="4"/>
                <w:sz w:val="20"/>
                <w:szCs w:val="20"/>
                <w:highlight w:val="none"/>
                <w:lang w:val="en-US" w:eastAsia="zh-CN"/>
              </w:rPr>
              <w:t>1套破碎设备</w:t>
            </w:r>
            <w:r>
              <w:rPr>
                <w:rFonts w:hint="default" w:ascii="Times New Roman" w:hAnsi="Times New Roman" w:eastAsia="宋体" w:cs="Times New Roman"/>
                <w:spacing w:val="4"/>
                <w:sz w:val="20"/>
                <w:szCs w:val="20"/>
                <w:highlight w:val="none"/>
                <w:lang w:val="en-US" w:eastAsia="zh-CN"/>
              </w:rPr>
              <w:t>，将</w:t>
            </w:r>
            <w:r>
              <w:rPr>
                <w:rFonts w:hint="eastAsia" w:ascii="Times New Roman" w:hAnsi="Times New Roman" w:eastAsia="宋体" w:cs="Times New Roman"/>
                <w:spacing w:val="4"/>
                <w:sz w:val="20"/>
                <w:szCs w:val="20"/>
                <w:highlight w:val="none"/>
                <w:lang w:val="en-US" w:eastAsia="zh-CN"/>
              </w:rPr>
              <w:t>厂区铁矿石年处理能力由5</w:t>
            </w:r>
            <w:r>
              <w:rPr>
                <w:rFonts w:hint="default" w:ascii="Times New Roman" w:hAnsi="Times New Roman" w:eastAsia="宋体" w:cs="Times New Roman"/>
                <w:spacing w:val="4"/>
                <w:sz w:val="20"/>
                <w:szCs w:val="20"/>
                <w:highlight w:val="none"/>
                <w:lang w:val="en-US" w:eastAsia="zh-CN"/>
              </w:rPr>
              <w:t>0万吨提升至</w:t>
            </w:r>
            <w:r>
              <w:rPr>
                <w:rFonts w:hint="eastAsia" w:ascii="Times New Roman" w:hAnsi="Times New Roman" w:eastAsia="宋体" w:cs="Times New Roman"/>
                <w:spacing w:val="4"/>
                <w:sz w:val="20"/>
                <w:szCs w:val="20"/>
                <w:highlight w:val="none"/>
                <w:lang w:val="en-US" w:eastAsia="zh-CN"/>
              </w:rPr>
              <w:t>110</w:t>
            </w:r>
            <w:r>
              <w:rPr>
                <w:rFonts w:hint="default" w:ascii="Times New Roman" w:hAnsi="Times New Roman" w:eastAsia="宋体" w:cs="Times New Roman"/>
                <w:spacing w:val="4"/>
                <w:sz w:val="20"/>
                <w:szCs w:val="20"/>
                <w:highlight w:val="none"/>
                <w:lang w:val="en-US" w:eastAsia="zh-CN"/>
              </w:rPr>
              <w:t>万吨，</w:t>
            </w:r>
            <w:r>
              <w:rPr>
                <w:rFonts w:hint="eastAsia" w:ascii="Times New Roman" w:hAnsi="Times New Roman" w:eastAsia="宋体" w:cs="Times New Roman"/>
                <w:spacing w:val="4"/>
                <w:sz w:val="20"/>
                <w:szCs w:val="20"/>
                <w:highlight w:val="none"/>
                <w:lang w:val="en-US" w:eastAsia="zh-CN"/>
              </w:rPr>
              <w:t>本项目</w:t>
            </w:r>
            <w:r>
              <w:rPr>
                <w:rFonts w:hint="default" w:ascii="Times New Roman" w:hAnsi="Times New Roman" w:eastAsia="宋体" w:cs="Times New Roman"/>
                <w:spacing w:val="4"/>
                <w:sz w:val="20"/>
                <w:szCs w:val="20"/>
                <w:highlight w:val="none"/>
                <w:lang w:val="en-US" w:eastAsia="zh-CN"/>
              </w:rPr>
              <w:t>建设完成后</w:t>
            </w:r>
            <w:r>
              <w:rPr>
                <w:rFonts w:hint="eastAsia" w:ascii="Times New Roman" w:hAnsi="Times New Roman" w:eastAsia="宋体" w:cs="Times New Roman"/>
                <w:spacing w:val="4"/>
                <w:sz w:val="20"/>
                <w:szCs w:val="20"/>
                <w:highlight w:val="none"/>
                <w:lang w:val="en-US" w:eastAsia="zh-CN"/>
              </w:rPr>
              <w:t>公司年产品位60%</w:t>
            </w:r>
            <w:r>
              <w:rPr>
                <w:rFonts w:hint="default" w:ascii="Times New Roman" w:hAnsi="Times New Roman" w:eastAsia="宋体" w:cs="Times New Roman"/>
                <w:spacing w:val="4"/>
                <w:sz w:val="20"/>
                <w:szCs w:val="20"/>
                <w:highlight w:val="none"/>
                <w:lang w:val="en-US" w:eastAsia="zh-CN"/>
              </w:rPr>
              <w:t>粗精矿</w:t>
            </w:r>
            <w:r>
              <w:rPr>
                <w:rFonts w:hint="eastAsia" w:ascii="Times New Roman" w:hAnsi="Times New Roman" w:eastAsia="宋体" w:cs="Times New Roman"/>
                <w:spacing w:val="4"/>
                <w:sz w:val="20"/>
                <w:szCs w:val="20"/>
                <w:highlight w:val="none"/>
                <w:lang w:val="en-US" w:eastAsia="zh-CN"/>
              </w:rPr>
              <w:t>40</w:t>
            </w:r>
            <w:r>
              <w:rPr>
                <w:rFonts w:hint="default" w:ascii="Times New Roman" w:hAnsi="Times New Roman" w:eastAsia="宋体" w:cs="Times New Roman"/>
                <w:spacing w:val="4"/>
                <w:sz w:val="20"/>
                <w:szCs w:val="20"/>
                <w:highlight w:val="none"/>
                <w:lang w:val="en-US" w:eastAsia="zh-CN"/>
              </w:rPr>
              <w:t>万吨</w:t>
            </w:r>
            <w:r>
              <w:rPr>
                <w:rFonts w:hint="default" w:ascii="Times New Roman" w:hAnsi="Times New Roman" w:eastAsia="宋体" w:cs="Times New Roman"/>
                <w:spacing w:val="4"/>
                <w:sz w:val="20"/>
                <w:szCs w:val="20"/>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4177" w:type="dxa"/>
            <w:gridSpan w:val="19"/>
            <w:tcBorders>
              <w:left w:val="single" w:color="000000" w:sz="10" w:space="0"/>
              <w:right w:val="single" w:color="000000" w:sz="10" w:space="0"/>
            </w:tcBorders>
            <w:vAlign w:val="top"/>
          </w:tcPr>
          <w:p>
            <w:pPr>
              <w:spacing w:before="76" w:line="228" w:lineRule="auto"/>
              <w:ind w:left="655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14:textOutline w14:w="3795" w14:cap="sq" w14:cmpd="sng">
                  <w14:solidFill>
                    <w14:srgbClr w14:val="000000"/>
                  </w14:solidFill>
                  <w14:prstDash w14:val="solid"/>
                  <w14:bevel/>
                </w14:textOutline>
              </w:rPr>
              <w:t>产</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品及产能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010" w:type="dxa"/>
            <w:gridSpan w:val="7"/>
            <w:tcBorders>
              <w:left w:val="single" w:color="000000" w:sz="10" w:space="0"/>
            </w:tcBorders>
            <w:vAlign w:val="top"/>
          </w:tcPr>
          <w:p>
            <w:pPr>
              <w:spacing w:before="77" w:line="228" w:lineRule="auto"/>
              <w:ind w:left="57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14:textOutline w14:w="3795" w14:cap="sq" w14:cmpd="sng">
                  <w14:solidFill>
                    <w14:srgbClr w14:val="000000"/>
                  </w14:solidFill>
                  <w14:prstDash w14:val="solid"/>
                  <w14:bevel/>
                </w14:textOutline>
              </w:rPr>
              <w:t>产</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品名称</w:t>
            </w:r>
          </w:p>
        </w:tc>
        <w:tc>
          <w:tcPr>
            <w:tcW w:w="2125" w:type="dxa"/>
            <w:gridSpan w:val="3"/>
            <w:vAlign w:val="top"/>
          </w:tcPr>
          <w:p>
            <w:pPr>
              <w:spacing w:before="77" w:line="228" w:lineRule="auto"/>
              <w:ind w:left="851"/>
              <w:rPr>
                <w:rFonts w:hint="eastAsia" w:ascii="Times New Roman" w:hAnsi="Times New Roman" w:eastAsia="宋体" w:cs="Times New Roman"/>
                <w:sz w:val="20"/>
                <w:szCs w:val="20"/>
                <w:highlight w:val="none"/>
                <w:lang w:val="en-US" w:eastAsia="zh-CN"/>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产</w:t>
            </w:r>
            <w:r>
              <w:rPr>
                <w:rFonts w:hint="eastAsia" w:ascii="Times New Roman" w:hAnsi="Times New Roman" w:eastAsia="宋体" w:cs="Times New Roman"/>
                <w:spacing w:val="6"/>
                <w:sz w:val="20"/>
                <w:szCs w:val="20"/>
                <w:highlight w:val="none"/>
                <w:lang w:val="en-US" w:eastAsia="zh-CN"/>
                <w14:textOutline w14:w="3795" w14:cap="sq" w14:cmpd="sng">
                  <w14:solidFill>
                    <w14:srgbClr w14:val="000000"/>
                  </w14:solidFill>
                  <w14:prstDash w14:val="solid"/>
                  <w14:bevel/>
                </w14:textOutline>
              </w:rPr>
              <w:t>能</w:t>
            </w:r>
          </w:p>
        </w:tc>
        <w:tc>
          <w:tcPr>
            <w:tcW w:w="2016" w:type="dxa"/>
            <w:gridSpan w:val="2"/>
            <w:vAlign w:val="top"/>
          </w:tcPr>
          <w:p>
            <w:pPr>
              <w:spacing w:before="78" w:line="228" w:lineRule="auto"/>
              <w:ind w:left="59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14:textOutline w14:w="3795" w14:cap="sq" w14:cmpd="sng">
                  <w14:solidFill>
                    <w14:srgbClr w14:val="000000"/>
                  </w14:solidFill>
                  <w14:prstDash w14:val="solid"/>
                  <w14:bevel/>
                </w14:textOutline>
              </w:rPr>
              <w:t>计</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量单位</w:t>
            </w:r>
          </w:p>
        </w:tc>
        <w:tc>
          <w:tcPr>
            <w:tcW w:w="3686" w:type="dxa"/>
            <w:gridSpan w:val="3"/>
            <w:vAlign w:val="top"/>
          </w:tcPr>
          <w:p>
            <w:pPr>
              <w:spacing w:before="42" w:line="278" w:lineRule="exact"/>
              <w:ind w:left="74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position w:val="1"/>
                <w:sz w:val="20"/>
                <w:szCs w:val="20"/>
                <w:highlight w:val="none"/>
                <w14:textOutline w14:w="3795" w14:cap="sq" w14:cmpd="sng">
                  <w14:solidFill>
                    <w14:srgbClr w14:val="000000"/>
                  </w14:solidFill>
                  <w14:prstDash w14:val="solid"/>
                  <w14:bevel/>
                </w14:textOutline>
              </w:rPr>
              <w:t>设</w:t>
            </w:r>
            <w:r>
              <w:rPr>
                <w:rFonts w:hint="default" w:ascii="Times New Roman" w:hAnsi="Times New Roman" w:eastAsia="宋体" w:cs="Times New Roman"/>
                <w:spacing w:val="8"/>
                <w:position w:val="1"/>
                <w:sz w:val="20"/>
                <w:szCs w:val="20"/>
                <w:highlight w:val="none"/>
                <w14:textOutline w14:w="3795" w14:cap="sq" w14:cmpd="sng">
                  <w14:solidFill>
                    <w14:srgbClr w14:val="000000"/>
                  </w14:solidFill>
                  <w14:prstDash w14:val="solid"/>
                  <w14:bevel/>
                </w14:textOutline>
              </w:rPr>
              <w:t>计年生产的时间</w:t>
            </w:r>
            <w:r>
              <w:rPr>
                <w:rFonts w:hint="default" w:ascii="Times New Roman" w:hAnsi="Times New Roman" w:eastAsia="宋体" w:cs="Times New Roman"/>
                <w:spacing w:val="8"/>
                <w:position w:val="1"/>
                <w:sz w:val="20"/>
                <w:szCs w:val="20"/>
                <w:highlight w:val="none"/>
              </w:rPr>
              <w:t xml:space="preserve"> </w:t>
            </w:r>
            <w:r>
              <w:rPr>
                <w:rFonts w:hint="default" w:ascii="Times New Roman" w:hAnsi="Times New Roman" w:eastAsia="宋体" w:cs="Times New Roman"/>
                <w:spacing w:val="8"/>
                <w:position w:val="1"/>
                <w:sz w:val="20"/>
                <w:szCs w:val="20"/>
                <w:highlight w:val="none"/>
                <w14:textOutline w14:w="3795" w14:cap="sq" w14:cmpd="sng">
                  <w14:solidFill>
                    <w14:srgbClr w14:val="000000"/>
                  </w14:solidFill>
                  <w14:prstDash w14:val="solid"/>
                  <w14:bevel/>
                </w14:textOutline>
              </w:rPr>
              <w:t>(</w:t>
            </w:r>
            <w:r>
              <w:rPr>
                <w:rFonts w:hint="default" w:ascii="Times New Roman" w:hAnsi="Times New Roman" w:eastAsia="Times New Roman" w:cs="Times New Roman"/>
                <w:b/>
                <w:bCs/>
                <w:position w:val="1"/>
                <w:sz w:val="20"/>
                <w:szCs w:val="20"/>
                <w:highlight w:val="none"/>
              </w:rPr>
              <w:t>h</w:t>
            </w:r>
            <w:r>
              <w:rPr>
                <w:rFonts w:hint="default" w:ascii="Times New Roman" w:hAnsi="Times New Roman" w:eastAsia="宋体" w:cs="Times New Roman"/>
                <w:spacing w:val="8"/>
                <w:position w:val="1"/>
                <w:sz w:val="20"/>
                <w:szCs w:val="20"/>
                <w:highlight w:val="none"/>
                <w14:textOutline w14:w="3795" w14:cap="sq" w14:cmpd="sng">
                  <w14:solidFill>
                    <w14:srgbClr w14:val="000000"/>
                  </w14:solidFill>
                  <w14:prstDash w14:val="solid"/>
                  <w14:bevel/>
                </w14:textOutline>
              </w:rPr>
              <w:t>)</w:t>
            </w:r>
          </w:p>
        </w:tc>
        <w:tc>
          <w:tcPr>
            <w:tcW w:w="4340" w:type="dxa"/>
            <w:gridSpan w:val="4"/>
            <w:tcBorders>
              <w:right w:val="single" w:color="000000" w:sz="10" w:space="0"/>
            </w:tcBorders>
            <w:vAlign w:val="top"/>
          </w:tcPr>
          <w:p>
            <w:pPr>
              <w:spacing w:before="77" w:line="226" w:lineRule="auto"/>
              <w:ind w:left="196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其</w:t>
            </w:r>
            <w:r>
              <w:rPr>
                <w:rFonts w:hint="default" w:ascii="Times New Roman" w:hAnsi="Times New Roman" w:eastAsia="宋体" w:cs="Times New Roman"/>
                <w:spacing w:val="5"/>
                <w:sz w:val="20"/>
                <w:szCs w:val="20"/>
                <w:highlight w:val="none"/>
                <w14:textOutline w14:w="3795" w14:cap="sq" w14:cmpd="sng">
                  <w14:solidFill>
                    <w14:srgbClr w14:val="000000"/>
                  </w14:solidFill>
                  <w14:prstDash w14:val="solid"/>
                  <w14:bevel/>
                </w14:textOutline>
              </w:rPr>
              <w:t>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10" w:type="dxa"/>
            <w:gridSpan w:val="7"/>
            <w:tcBorders>
              <w:left w:val="single" w:color="000000" w:sz="10" w:space="0"/>
            </w:tcBorders>
            <w:vAlign w:val="center"/>
          </w:tcPr>
          <w:p>
            <w:pPr>
              <w:spacing w:before="65" w:line="228" w:lineRule="auto"/>
              <w:ind w:left="680"/>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铁精粉</w:t>
            </w:r>
          </w:p>
        </w:tc>
        <w:tc>
          <w:tcPr>
            <w:tcW w:w="2125" w:type="dxa"/>
            <w:gridSpan w:val="3"/>
            <w:vAlign w:val="center"/>
          </w:tcPr>
          <w:p>
            <w:pPr>
              <w:spacing w:before="205" w:line="308" w:lineRule="auto"/>
              <w:ind w:left="658" w:right="117" w:hanging="553"/>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40</w:t>
            </w:r>
          </w:p>
        </w:tc>
        <w:tc>
          <w:tcPr>
            <w:tcW w:w="2016"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万t/a</w:t>
            </w:r>
          </w:p>
        </w:tc>
        <w:tc>
          <w:tcPr>
            <w:tcW w:w="3686" w:type="dxa"/>
            <w:gridSpan w:val="3"/>
            <w:vAlign w:val="center"/>
          </w:tcPr>
          <w:p>
            <w:pPr>
              <w:spacing w:before="45" w:line="274" w:lineRule="exact"/>
              <w:ind w:left="1132" w:firstLine="208" w:firstLineChars="100"/>
              <w:jc w:val="both"/>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4"/>
                <w:position w:val="1"/>
                <w:sz w:val="20"/>
                <w:szCs w:val="20"/>
                <w:highlight w:val="none"/>
                <w:lang w:val="en-US" w:eastAsia="zh-CN"/>
              </w:rPr>
              <w:t>2000</w:t>
            </w:r>
          </w:p>
        </w:tc>
        <w:tc>
          <w:tcPr>
            <w:tcW w:w="4340" w:type="dxa"/>
            <w:gridSpan w:val="4"/>
            <w:tcBorders>
              <w:right w:val="single" w:color="000000" w:sz="10" w:space="0"/>
            </w:tcBorders>
            <w:vAlign w:val="center"/>
          </w:tcPr>
          <w:p>
            <w:pPr>
              <w:spacing w:before="65" w:line="228" w:lineRule="auto"/>
              <w:ind w:left="118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4"/>
                <w:sz w:val="20"/>
                <w:szCs w:val="20"/>
                <w:highlight w:val="none"/>
                <w:lang w:val="en-US" w:eastAsia="zh-CN"/>
              </w:rPr>
              <w:t>新增铁矿石处理能力</w:t>
            </w:r>
            <w:r>
              <w:rPr>
                <w:rFonts w:hint="eastAsia" w:ascii="Times New Roman" w:hAnsi="Times New Roman" w:eastAsia="宋体" w:cs="Times New Roman"/>
                <w:spacing w:val="2"/>
                <w:sz w:val="20"/>
                <w:szCs w:val="20"/>
                <w:highlight w:val="none"/>
                <w:lang w:val="en-US" w:eastAsia="zh-CN"/>
              </w:rPr>
              <w:t>60</w:t>
            </w:r>
            <w:r>
              <w:rPr>
                <w:rFonts w:hint="default" w:ascii="Times New Roman" w:hAnsi="Times New Roman" w:eastAsia="宋体" w:cs="Times New Roman"/>
                <w:spacing w:val="2"/>
                <w:sz w:val="20"/>
                <w:szCs w:val="20"/>
                <w:highlight w:val="none"/>
              </w:rPr>
              <w:t>万</w:t>
            </w:r>
            <w:r>
              <w:rPr>
                <w:rFonts w:hint="default" w:ascii="Times New Roman" w:hAnsi="Times New Roman" w:eastAsia="宋体" w:cs="Times New Roman"/>
                <w:spacing w:val="1"/>
                <w:sz w:val="20"/>
                <w:szCs w:val="20"/>
                <w:highlight w:val="none"/>
              </w:rPr>
              <w:t>吨</w:t>
            </w:r>
            <w:r>
              <w:rPr>
                <w:rFonts w:hint="eastAsia" w:ascii="Times New Roman" w:hAnsi="Times New Roman" w:eastAsia="宋体" w:cs="Times New Roman"/>
                <w:spacing w:val="1"/>
                <w:sz w:val="20"/>
                <w:szCs w:val="20"/>
                <w:highlight w:val="none"/>
                <w:lang w:val="en-US" w:eastAsia="zh-CN"/>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4177" w:type="dxa"/>
            <w:gridSpan w:val="19"/>
            <w:tcBorders>
              <w:left w:val="single" w:color="000000" w:sz="10" w:space="0"/>
              <w:right w:val="single" w:color="000000" w:sz="10" w:space="0"/>
            </w:tcBorders>
            <w:vAlign w:val="top"/>
          </w:tcPr>
          <w:p>
            <w:pPr>
              <w:spacing w:before="79" w:line="227" w:lineRule="auto"/>
              <w:ind w:left="57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14:textOutline w14:w="3795" w14:cap="sq" w14:cmpd="sng">
                  <w14:solidFill>
                    <w14:srgbClr w14:val="000000"/>
                  </w14:solidFill>
                  <w14:prstDash w14:val="solid"/>
                  <w14:bevel/>
                </w14:textOutline>
              </w:rPr>
              <w:t>环境保护措施及主要运行参数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45" w:type="dxa"/>
            <w:tcBorders>
              <w:left w:val="single" w:color="000000" w:sz="10" w:space="0"/>
            </w:tcBorders>
            <w:textDirection w:val="tbRlV"/>
            <w:vAlign w:val="top"/>
          </w:tcPr>
          <w:p>
            <w:pPr>
              <w:spacing w:before="120" w:line="216" w:lineRule="auto"/>
              <w:ind w:left="7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14:textOutline w14:w="3795" w14:cap="sq" w14:cmpd="sng">
                  <w14:solidFill>
                    <w14:srgbClr w14:val="000000"/>
                  </w14:solidFill>
                  <w14:prstDash w14:val="solid"/>
                  <w14:bevel/>
                </w14:textOutline>
              </w:rPr>
              <w:t>类</w:t>
            </w:r>
            <w:r>
              <w:rPr>
                <w:rFonts w:hint="default" w:ascii="Times New Roman" w:hAnsi="Times New Roman" w:eastAsia="宋体" w:cs="Times New Roman"/>
                <w:spacing w:val="9"/>
                <w:sz w:val="20"/>
                <w:szCs w:val="20"/>
                <w:highlight w:val="none"/>
              </w:rPr>
              <w:t xml:space="preserve"> </w:t>
            </w: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别</w:t>
            </w:r>
          </w:p>
        </w:tc>
        <w:tc>
          <w:tcPr>
            <w:tcW w:w="870" w:type="dxa"/>
            <w:gridSpan w:val="4"/>
            <w:vAlign w:val="top"/>
          </w:tcPr>
          <w:p>
            <w:pPr>
              <w:spacing w:before="78" w:line="261" w:lineRule="auto"/>
              <w:ind w:left="324" w:right="127" w:hanging="20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工程</w:t>
            </w: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组</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z w:val="20"/>
                <w:szCs w:val="20"/>
                <w:highlight w:val="none"/>
                <w14:textOutline w14:w="3795" w14:cap="sq" w14:cmpd="sng">
                  <w14:solidFill>
                    <w14:srgbClr w14:val="000000"/>
                  </w14:solidFill>
                  <w14:prstDash w14:val="solid"/>
                  <w14:bevel/>
                </w14:textOutline>
              </w:rPr>
              <w:t>成</w:t>
            </w:r>
          </w:p>
        </w:tc>
        <w:tc>
          <w:tcPr>
            <w:tcW w:w="947" w:type="dxa"/>
            <w:gridSpan w:val="3"/>
            <w:vAlign w:val="top"/>
          </w:tcPr>
          <w:p>
            <w:pPr>
              <w:spacing w:before="78" w:line="261" w:lineRule="auto"/>
              <w:ind w:left="154" w:right="164" w:firstLine="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14:textOutline w14:w="3795" w14:cap="sq" w14:cmpd="sng">
                  <w14:solidFill>
                    <w14:srgbClr w14:val="000000"/>
                  </w14:solidFill>
                  <w14:prstDash w14:val="solid"/>
                  <w14:bevel/>
                </w14:textOutline>
              </w:rPr>
              <w:t>原辅材</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料</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组分</w:t>
            </w:r>
          </w:p>
        </w:tc>
        <w:tc>
          <w:tcPr>
            <w:tcW w:w="2010" w:type="dxa"/>
            <w:gridSpan w:val="3"/>
            <w:vAlign w:val="top"/>
          </w:tcPr>
          <w:p>
            <w:pPr>
              <w:spacing w:before="238" w:line="229" w:lineRule="auto"/>
              <w:ind w:left="69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污染物</w:t>
            </w:r>
          </w:p>
        </w:tc>
        <w:tc>
          <w:tcPr>
            <w:tcW w:w="3065" w:type="dxa"/>
            <w:gridSpan w:val="2"/>
            <w:vAlign w:val="top"/>
          </w:tcPr>
          <w:p>
            <w:pPr>
              <w:spacing w:before="238" w:line="229" w:lineRule="auto"/>
              <w:ind w:left="11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14:textOutline w14:w="3795" w14:cap="sq" w14:cmpd="sng">
                  <w14:solidFill>
                    <w14:srgbClr w14:val="000000"/>
                  </w14:solidFill>
                  <w14:prstDash w14:val="solid"/>
                  <w14:bevel/>
                </w14:textOutline>
              </w:rPr>
              <w:t>环</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保措施</w:t>
            </w:r>
          </w:p>
        </w:tc>
        <w:tc>
          <w:tcPr>
            <w:tcW w:w="1212" w:type="dxa"/>
            <w:vAlign w:val="top"/>
          </w:tcPr>
          <w:p>
            <w:pPr>
              <w:spacing w:before="239" w:line="228" w:lineRule="auto"/>
              <w:ind w:left="29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产</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生量</w:t>
            </w:r>
          </w:p>
        </w:tc>
        <w:tc>
          <w:tcPr>
            <w:tcW w:w="1622" w:type="dxa"/>
            <w:gridSpan w:val="2"/>
            <w:vAlign w:val="top"/>
          </w:tcPr>
          <w:p>
            <w:pPr>
              <w:spacing w:before="238" w:line="229" w:lineRule="auto"/>
              <w:ind w:left="4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14:textOutline w14:w="3795" w14:cap="sq" w14:cmpd="sng">
                  <w14:solidFill>
                    <w14:srgbClr w14:val="000000"/>
                  </w14:solidFill>
                  <w14:prstDash w14:val="solid"/>
                  <w14:bevel/>
                </w14:textOutline>
              </w:rPr>
              <w:t>排</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放浓度</w:t>
            </w:r>
          </w:p>
        </w:tc>
        <w:tc>
          <w:tcPr>
            <w:tcW w:w="1095" w:type="dxa"/>
            <w:vAlign w:val="top"/>
          </w:tcPr>
          <w:p>
            <w:pPr>
              <w:spacing w:before="238" w:line="230" w:lineRule="auto"/>
              <w:ind w:left="24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14:textOutline w14:w="3795" w14:cap="sq" w14:cmpd="sng">
                  <w14:solidFill>
                    <w14:srgbClr w14:val="000000"/>
                  </w14:solidFill>
                  <w14:prstDash w14:val="solid"/>
                  <w14:bevel/>
                </w14:textOutline>
              </w:rPr>
              <w:t>排</w:t>
            </w:r>
            <w:r>
              <w:rPr>
                <w:rFonts w:hint="default" w:ascii="Times New Roman" w:hAnsi="Times New Roman" w:eastAsia="宋体" w:cs="Times New Roman"/>
                <w:spacing w:val="7"/>
                <w:sz w:val="20"/>
                <w:szCs w:val="20"/>
                <w:highlight w:val="none"/>
                <w14:textOutline w14:w="3795" w14:cap="sq" w14:cmpd="sng">
                  <w14:solidFill>
                    <w14:srgbClr w14:val="000000"/>
                  </w14:solidFill>
                  <w14:prstDash w14:val="solid"/>
                  <w14:bevel/>
                </w14:textOutline>
              </w:rPr>
              <w:t>放量</w:t>
            </w:r>
          </w:p>
        </w:tc>
        <w:tc>
          <w:tcPr>
            <w:tcW w:w="2126" w:type="dxa"/>
            <w:vAlign w:val="top"/>
          </w:tcPr>
          <w:p>
            <w:pPr>
              <w:spacing w:before="239" w:line="228" w:lineRule="auto"/>
              <w:ind w:left="65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14:textOutline w14:w="3795" w14:cap="sq" w14:cmpd="sng">
                  <w14:solidFill>
                    <w14:srgbClr w14:val="000000"/>
                  </w14:solidFill>
                  <w14:prstDash w14:val="solid"/>
                  <w14:bevel/>
                </w14:textOutline>
              </w:rPr>
              <w:t>执</w:t>
            </w:r>
            <w:r>
              <w:rPr>
                <w:rFonts w:hint="default" w:ascii="Times New Roman" w:hAnsi="Times New Roman" w:eastAsia="宋体" w:cs="Times New Roman"/>
                <w:spacing w:val="8"/>
                <w:sz w:val="20"/>
                <w:szCs w:val="20"/>
                <w:highlight w:val="none"/>
                <w14:textOutline w14:w="3795" w14:cap="sq" w14:cmpd="sng">
                  <w14:solidFill>
                    <w14:srgbClr w14:val="000000"/>
                  </w14:solidFill>
                  <w14:prstDash w14:val="solid"/>
                  <w14:bevel/>
                </w14:textOutline>
              </w:rPr>
              <w:t>行标准</w:t>
            </w:r>
          </w:p>
        </w:tc>
        <w:tc>
          <w:tcPr>
            <w:tcW w:w="785" w:type="dxa"/>
            <w:tcBorders>
              <w:right w:val="single" w:color="000000" w:sz="10" w:space="0"/>
            </w:tcBorders>
            <w:vAlign w:val="top"/>
          </w:tcPr>
          <w:p>
            <w:pPr>
              <w:spacing w:before="238" w:line="230" w:lineRule="auto"/>
              <w:ind w:left="19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备</w:t>
            </w:r>
            <w:r>
              <w:rPr>
                <w:rFonts w:hint="default" w:ascii="Times New Roman" w:hAnsi="Times New Roman" w:eastAsia="宋体" w:cs="Times New Roman"/>
                <w:spacing w:val="3"/>
                <w:sz w:val="20"/>
                <w:szCs w:val="20"/>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45" w:type="dxa"/>
            <w:vMerge w:val="restart"/>
            <w:tcBorders>
              <w:left w:val="single" w:color="000000" w:sz="10" w:space="0"/>
              <w:bottom w:val="nil"/>
            </w:tcBorders>
            <w:textDirection w:val="tbRlV"/>
            <w:vAlign w:val="top"/>
          </w:tcPr>
          <w:p>
            <w:pPr>
              <w:spacing w:before="120" w:line="216" w:lineRule="auto"/>
              <w:ind w:left="88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废</w:t>
            </w:r>
            <w:r>
              <w:rPr>
                <w:rFonts w:hint="default" w:ascii="Times New Roman" w:hAnsi="Times New Roman" w:eastAsia="宋体" w:cs="Times New Roman"/>
                <w:spacing w:val="10"/>
                <w:sz w:val="20"/>
                <w:szCs w:val="20"/>
                <w:highlight w:val="none"/>
              </w:rPr>
              <w:t xml:space="preserve"> 气</w:t>
            </w:r>
          </w:p>
        </w:tc>
        <w:tc>
          <w:tcPr>
            <w:tcW w:w="870" w:type="dxa"/>
            <w:gridSpan w:val="4"/>
            <w:vMerge w:val="restart"/>
            <w:tcBorders>
              <w:bottom w:val="nil"/>
            </w:tcBorders>
            <w:vAlign w:val="center"/>
          </w:tcPr>
          <w:p>
            <w:pPr>
              <w:spacing w:before="244" w:line="303" w:lineRule="auto"/>
              <w:ind w:left="113" w:right="129"/>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破碎、</w:t>
            </w:r>
            <w:r>
              <w:rPr>
                <w:rFonts w:hint="default" w:ascii="Times New Roman" w:hAnsi="Times New Roman" w:eastAsia="宋体" w:cs="Times New Roman"/>
                <w:sz w:val="20"/>
                <w:szCs w:val="20"/>
                <w:highlight w:val="none"/>
              </w:rPr>
              <w:t xml:space="preserve"> </w:t>
            </w:r>
            <w:r>
              <w:rPr>
                <w:rFonts w:hint="eastAsia" w:ascii="Times New Roman" w:hAnsi="Times New Roman" w:eastAsia="宋体" w:cs="Times New Roman"/>
                <w:spacing w:val="7"/>
                <w:sz w:val="20"/>
                <w:szCs w:val="20"/>
                <w:highlight w:val="none"/>
                <w:lang w:val="en-US" w:eastAsia="zh-CN"/>
              </w:rPr>
              <w:t>筛分</w:t>
            </w:r>
            <w:r>
              <w:rPr>
                <w:rFonts w:hint="default" w:ascii="Times New Roman" w:hAnsi="Times New Roman" w:eastAsia="宋体" w:cs="Times New Roman"/>
                <w:spacing w:val="6"/>
                <w:sz w:val="20"/>
                <w:szCs w:val="20"/>
                <w:highlight w:val="none"/>
              </w:rPr>
              <w:t>等</w:t>
            </w:r>
          </w:p>
        </w:tc>
        <w:tc>
          <w:tcPr>
            <w:tcW w:w="947" w:type="dxa"/>
            <w:gridSpan w:val="3"/>
            <w:vMerge w:val="restart"/>
            <w:tcBorders>
              <w:bottom w:val="nil"/>
            </w:tcBorders>
            <w:vAlign w:val="center"/>
          </w:tcPr>
          <w:p>
            <w:pPr>
              <w:spacing w:before="65" w:line="228" w:lineRule="auto"/>
              <w:ind w:left="153"/>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铁矿石</w:t>
            </w:r>
          </w:p>
        </w:tc>
        <w:tc>
          <w:tcPr>
            <w:tcW w:w="2010" w:type="dxa"/>
            <w:gridSpan w:val="3"/>
            <w:vAlign w:val="top"/>
          </w:tcPr>
          <w:p>
            <w:pPr>
              <w:spacing w:line="332" w:lineRule="auto"/>
              <w:rPr>
                <w:rFonts w:hint="default" w:ascii="Times New Roman" w:hAnsi="Times New Roman" w:cs="Times New Roman"/>
                <w:sz w:val="21"/>
                <w:highlight w:val="none"/>
              </w:rPr>
            </w:pPr>
          </w:p>
          <w:p>
            <w:pPr>
              <w:spacing w:before="65" w:line="228" w:lineRule="auto"/>
              <w:ind w:left="16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有</w:t>
            </w:r>
            <w:r>
              <w:rPr>
                <w:rFonts w:hint="default" w:ascii="Times New Roman" w:hAnsi="Times New Roman" w:eastAsia="宋体" w:cs="Times New Roman"/>
                <w:spacing w:val="8"/>
                <w:sz w:val="20"/>
                <w:szCs w:val="20"/>
                <w:highlight w:val="none"/>
              </w:rPr>
              <w:t>组织排放颗粒物</w:t>
            </w:r>
          </w:p>
        </w:tc>
        <w:tc>
          <w:tcPr>
            <w:tcW w:w="3065" w:type="dxa"/>
            <w:gridSpan w:val="2"/>
            <w:vAlign w:val="top"/>
          </w:tcPr>
          <w:p>
            <w:pPr>
              <w:spacing w:before="48" w:line="274" w:lineRule="exact"/>
              <w:ind w:left="11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6"/>
                <w:position w:val="1"/>
                <w:sz w:val="20"/>
                <w:szCs w:val="20"/>
                <w:highlight w:val="none"/>
              </w:rPr>
              <w:t>集</w:t>
            </w:r>
            <w:r>
              <w:rPr>
                <w:rFonts w:hint="default" w:ascii="Times New Roman" w:hAnsi="Times New Roman" w:eastAsia="宋体" w:cs="Times New Roman"/>
                <w:spacing w:val="11"/>
                <w:position w:val="1"/>
                <w:sz w:val="20"/>
                <w:szCs w:val="20"/>
                <w:highlight w:val="none"/>
              </w:rPr>
              <w:t>气</w:t>
            </w:r>
            <w:r>
              <w:rPr>
                <w:rFonts w:hint="default" w:ascii="Times New Roman" w:hAnsi="Times New Roman" w:eastAsia="宋体" w:cs="Times New Roman"/>
                <w:spacing w:val="8"/>
                <w:position w:val="1"/>
                <w:sz w:val="20"/>
                <w:szCs w:val="20"/>
                <w:highlight w:val="none"/>
              </w:rPr>
              <w:t>罩</w:t>
            </w:r>
            <w:r>
              <w:rPr>
                <w:rFonts w:hint="default" w:ascii="Times New Roman" w:hAnsi="Times New Roman" w:eastAsia="Times New Roman" w:cs="Times New Roman"/>
                <w:spacing w:val="8"/>
                <w:position w:val="1"/>
                <w:sz w:val="20"/>
                <w:szCs w:val="20"/>
                <w:highlight w:val="none"/>
              </w:rPr>
              <w:t>+</w:t>
            </w:r>
            <w:r>
              <w:rPr>
                <w:rFonts w:hint="default" w:ascii="Times New Roman" w:hAnsi="Times New Roman" w:eastAsia="宋体" w:cs="Times New Roman"/>
                <w:spacing w:val="8"/>
                <w:position w:val="1"/>
                <w:sz w:val="20"/>
                <w:szCs w:val="20"/>
                <w:highlight w:val="none"/>
              </w:rPr>
              <w:t>离线清灰脉冲布袋除尘</w:t>
            </w:r>
          </w:p>
          <w:p>
            <w:pPr>
              <w:spacing w:before="44" w:line="275" w:lineRule="exact"/>
              <w:ind w:left="11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5"/>
                <w:position w:val="1"/>
                <w:sz w:val="20"/>
                <w:szCs w:val="20"/>
                <w:highlight w:val="none"/>
              </w:rPr>
              <w:t>器</w:t>
            </w:r>
            <w:r>
              <w:rPr>
                <w:rFonts w:hint="default" w:ascii="Times New Roman" w:hAnsi="Times New Roman" w:eastAsia="Times New Roman" w:cs="Times New Roman"/>
                <w:spacing w:val="8"/>
                <w:position w:val="1"/>
                <w:sz w:val="20"/>
                <w:szCs w:val="20"/>
                <w:highlight w:val="none"/>
              </w:rPr>
              <w:t>+19</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8"/>
                <w:position w:val="1"/>
                <w:sz w:val="20"/>
                <w:szCs w:val="20"/>
                <w:highlight w:val="none"/>
              </w:rPr>
              <w:t xml:space="preserve"> </w:t>
            </w:r>
            <w:r>
              <w:rPr>
                <w:rFonts w:hint="default" w:ascii="Times New Roman" w:hAnsi="Times New Roman" w:eastAsia="宋体" w:cs="Times New Roman"/>
                <w:spacing w:val="8"/>
                <w:position w:val="1"/>
                <w:sz w:val="20"/>
                <w:szCs w:val="20"/>
                <w:highlight w:val="none"/>
              </w:rPr>
              <w:t>高排气筒，滤料为覆膜</w:t>
            </w:r>
          </w:p>
          <w:p>
            <w:pPr>
              <w:spacing w:before="47" w:line="274" w:lineRule="exact"/>
              <w:ind w:left="187"/>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10"/>
                <w:position w:val="1"/>
                <w:sz w:val="20"/>
                <w:szCs w:val="20"/>
                <w:highlight w:val="none"/>
              </w:rPr>
              <w:t>针</w:t>
            </w:r>
            <w:r>
              <w:rPr>
                <w:rFonts w:hint="default" w:ascii="Times New Roman" w:hAnsi="Times New Roman" w:eastAsia="宋体" w:cs="Times New Roman"/>
                <w:spacing w:val="9"/>
                <w:position w:val="1"/>
                <w:sz w:val="20"/>
                <w:szCs w:val="20"/>
                <w:highlight w:val="none"/>
              </w:rPr>
              <w:t>刺毡，过滤风速＜</w:t>
            </w:r>
            <w:r>
              <w:rPr>
                <w:rFonts w:hint="default" w:ascii="Times New Roman" w:hAnsi="Times New Roman" w:eastAsia="Times New Roman" w:cs="Times New Roman"/>
                <w:spacing w:val="9"/>
                <w:position w:val="1"/>
                <w:sz w:val="20"/>
                <w:szCs w:val="20"/>
                <w:highlight w:val="none"/>
              </w:rPr>
              <w:t>0.8</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9"/>
                <w:position w:val="1"/>
                <w:sz w:val="20"/>
                <w:szCs w:val="20"/>
                <w:highlight w:val="none"/>
              </w:rPr>
              <w:t>/</w:t>
            </w:r>
            <w:r>
              <w:rPr>
                <w:rFonts w:hint="default" w:ascii="Times New Roman" w:hAnsi="Times New Roman" w:eastAsia="Times New Roman" w:cs="Times New Roman"/>
                <w:position w:val="1"/>
                <w:sz w:val="20"/>
                <w:szCs w:val="20"/>
                <w:highlight w:val="none"/>
              </w:rPr>
              <w:t>min</w:t>
            </w:r>
          </w:p>
        </w:tc>
        <w:tc>
          <w:tcPr>
            <w:tcW w:w="1212" w:type="dxa"/>
            <w:vAlign w:val="top"/>
          </w:tcPr>
          <w:p>
            <w:pPr>
              <w:spacing w:line="308" w:lineRule="auto"/>
              <w:rPr>
                <w:rFonts w:hint="default" w:ascii="Times New Roman" w:hAnsi="Times New Roman" w:cs="Times New Roman"/>
                <w:sz w:val="21"/>
                <w:highlight w:val="none"/>
              </w:rPr>
            </w:pPr>
          </w:p>
          <w:p>
            <w:pPr>
              <w:spacing w:before="58" w:line="274" w:lineRule="exact"/>
              <w:ind w:left="352"/>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position w:val="1"/>
                <w:sz w:val="20"/>
                <w:szCs w:val="20"/>
                <w:highlight w:val="none"/>
                <w:lang w:val="en-US" w:eastAsia="zh-CN"/>
              </w:rPr>
              <w:t>404.7</w:t>
            </w:r>
            <w:r>
              <w:rPr>
                <w:rFonts w:hint="default" w:ascii="Times New Roman" w:hAnsi="Times New Roman" w:eastAsia="Times New Roman" w:cs="Times New Roman"/>
                <w:position w:val="1"/>
                <w:sz w:val="20"/>
                <w:szCs w:val="20"/>
                <w:highlight w:val="none"/>
              </w:rPr>
              <w:t>t</w:t>
            </w:r>
            <w:r>
              <w:rPr>
                <w:rFonts w:hint="default" w:ascii="Times New Roman" w:hAnsi="Times New Roman" w:eastAsia="Times New Roman" w:cs="Times New Roman"/>
                <w:spacing w:val="3"/>
                <w:position w:val="1"/>
                <w:sz w:val="20"/>
                <w:szCs w:val="20"/>
                <w:highlight w:val="none"/>
              </w:rPr>
              <w:t>/</w:t>
            </w:r>
            <w:r>
              <w:rPr>
                <w:rFonts w:hint="default" w:ascii="Times New Roman" w:hAnsi="Times New Roman" w:eastAsia="Times New Roman" w:cs="Times New Roman"/>
                <w:position w:val="1"/>
                <w:sz w:val="20"/>
                <w:szCs w:val="20"/>
                <w:highlight w:val="none"/>
              </w:rPr>
              <w:t>a</w:t>
            </w:r>
          </w:p>
        </w:tc>
        <w:tc>
          <w:tcPr>
            <w:tcW w:w="1622" w:type="dxa"/>
            <w:gridSpan w:val="2"/>
            <w:vAlign w:val="center"/>
          </w:tcPr>
          <w:p>
            <w:pPr>
              <w:spacing w:before="209" w:line="274" w:lineRule="exact"/>
              <w:ind w:left="130" w:firstLine="400" w:firstLineChars="200"/>
              <w:jc w:val="both"/>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position w:val="2"/>
                <w:sz w:val="20"/>
                <w:szCs w:val="20"/>
                <w:highlight w:val="none"/>
                <w:lang w:val="en-US" w:eastAsia="zh-CN"/>
              </w:rPr>
              <w:t>5.06</w:t>
            </w:r>
            <w:r>
              <w:rPr>
                <w:rFonts w:hint="default" w:ascii="Times New Roman" w:hAnsi="Times New Roman" w:eastAsia="Times New Roman" w:cs="Times New Roman"/>
                <w:position w:val="2"/>
                <w:sz w:val="20"/>
                <w:szCs w:val="20"/>
                <w:highlight w:val="none"/>
              </w:rPr>
              <w:t>mg</w:t>
            </w:r>
            <w:r>
              <w:rPr>
                <w:rFonts w:hint="default" w:ascii="Times New Roman" w:hAnsi="Times New Roman" w:eastAsia="Times New Roman" w:cs="Times New Roman"/>
                <w:spacing w:val="4"/>
                <w:position w:val="2"/>
                <w:sz w:val="20"/>
                <w:szCs w:val="20"/>
                <w:highlight w:val="none"/>
              </w:rPr>
              <w:t>/</w:t>
            </w:r>
            <w:r>
              <w:rPr>
                <w:rFonts w:hint="eastAsia" w:ascii="Times New Roman" w:hAnsi="Times New Roman" w:eastAsia="宋体" w:cs="Times New Roman"/>
                <w:spacing w:val="4"/>
                <w:position w:val="2"/>
                <w:sz w:val="20"/>
                <w:szCs w:val="20"/>
                <w:highlight w:val="none"/>
                <w:lang w:val="en-US" w:eastAsia="zh-CN"/>
              </w:rPr>
              <w:t>m</w:t>
            </w:r>
            <w:r>
              <w:rPr>
                <w:rFonts w:hint="eastAsia" w:ascii="Times New Roman" w:hAnsi="Times New Roman" w:eastAsia="宋体" w:cs="Times New Roman"/>
                <w:spacing w:val="4"/>
                <w:position w:val="2"/>
                <w:sz w:val="20"/>
                <w:szCs w:val="20"/>
                <w:highlight w:val="none"/>
                <w:vertAlign w:val="superscript"/>
                <w:lang w:val="en-US" w:eastAsia="zh-CN"/>
              </w:rPr>
              <w:t>3</w:t>
            </w:r>
          </w:p>
        </w:tc>
        <w:tc>
          <w:tcPr>
            <w:tcW w:w="1095" w:type="dxa"/>
            <w:vAlign w:val="top"/>
          </w:tcPr>
          <w:p>
            <w:pPr>
              <w:spacing w:line="308" w:lineRule="auto"/>
              <w:rPr>
                <w:rFonts w:hint="default" w:ascii="Times New Roman" w:hAnsi="Times New Roman" w:cs="Times New Roman"/>
                <w:sz w:val="21"/>
                <w:highlight w:val="none"/>
              </w:rPr>
            </w:pPr>
          </w:p>
          <w:p>
            <w:pPr>
              <w:spacing w:before="58" w:line="274" w:lineRule="exact"/>
              <w:ind w:left="220"/>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position w:val="2"/>
                <w:sz w:val="20"/>
                <w:szCs w:val="20"/>
                <w:highlight w:val="none"/>
                <w:lang w:val="en-US" w:eastAsia="zh-CN"/>
              </w:rPr>
              <w:t>0.4045</w:t>
            </w:r>
            <w:r>
              <w:rPr>
                <w:rFonts w:hint="default" w:ascii="Times New Roman" w:hAnsi="Times New Roman" w:eastAsia="Times New Roman" w:cs="Times New Roman"/>
                <w:position w:val="2"/>
                <w:sz w:val="20"/>
                <w:szCs w:val="20"/>
                <w:highlight w:val="none"/>
              </w:rPr>
              <w:t>t</w:t>
            </w:r>
            <w:r>
              <w:rPr>
                <w:rFonts w:hint="default" w:ascii="Times New Roman" w:hAnsi="Times New Roman" w:eastAsia="Times New Roman" w:cs="Times New Roman"/>
                <w:spacing w:val="3"/>
                <w:position w:val="2"/>
                <w:sz w:val="20"/>
                <w:szCs w:val="20"/>
                <w:highlight w:val="none"/>
              </w:rPr>
              <w:t>/</w:t>
            </w:r>
            <w:r>
              <w:rPr>
                <w:rFonts w:hint="default" w:ascii="Times New Roman" w:hAnsi="Times New Roman" w:eastAsia="Times New Roman" w:cs="Times New Roman"/>
                <w:position w:val="2"/>
                <w:sz w:val="20"/>
                <w:szCs w:val="20"/>
                <w:highlight w:val="none"/>
              </w:rPr>
              <w:t>a</w:t>
            </w:r>
          </w:p>
        </w:tc>
        <w:tc>
          <w:tcPr>
            <w:tcW w:w="2126" w:type="dxa"/>
            <w:vMerge w:val="restart"/>
            <w:tcBorders>
              <w:bottom w:val="nil"/>
            </w:tcBorders>
            <w:vAlign w:val="center"/>
          </w:tcPr>
          <w:p>
            <w:pPr>
              <w:spacing w:before="83" w:line="296" w:lineRule="auto"/>
              <w:ind w:left="448" w:right="105" w:hanging="309"/>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w:t>
            </w:r>
            <w:r>
              <w:rPr>
                <w:rFonts w:hint="default" w:ascii="Times New Roman" w:hAnsi="Times New Roman" w:eastAsia="宋体" w:cs="Times New Roman"/>
                <w:spacing w:val="8"/>
                <w:sz w:val="20"/>
                <w:szCs w:val="20"/>
                <w:highlight w:val="none"/>
              </w:rPr>
              <w:t>铁矿采选工业污染</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7"/>
                <w:sz w:val="20"/>
                <w:szCs w:val="20"/>
                <w:highlight w:val="none"/>
              </w:rPr>
              <w:t>物排放标准</w:t>
            </w:r>
            <w:r>
              <w:rPr>
                <w:rFonts w:hint="default" w:ascii="Times New Roman" w:hAnsi="Times New Roman" w:eastAsia="宋体" w:cs="Times New Roman"/>
                <w:spacing w:val="5"/>
                <w:sz w:val="20"/>
                <w:szCs w:val="20"/>
                <w:highlight w:val="none"/>
              </w:rPr>
              <w:t>》</w:t>
            </w:r>
          </w:p>
          <w:p>
            <w:pPr>
              <w:spacing w:before="1" w:line="261" w:lineRule="auto"/>
              <w:ind w:left="396" w:right="93" w:hanging="264"/>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0"/>
                <w:sz w:val="20"/>
                <w:szCs w:val="20"/>
                <w:highlight w:val="none"/>
              </w:rPr>
              <w:t>(</w:t>
            </w:r>
            <w:r>
              <w:rPr>
                <w:rFonts w:hint="default" w:ascii="Times New Roman" w:hAnsi="Times New Roman" w:eastAsia="Times New Roman" w:cs="Times New Roman"/>
                <w:sz w:val="20"/>
                <w:szCs w:val="20"/>
                <w:highlight w:val="none"/>
              </w:rPr>
              <w:t>GB</w:t>
            </w:r>
            <w:r>
              <w:rPr>
                <w:rFonts w:hint="default" w:ascii="Times New Roman" w:hAnsi="Times New Roman" w:eastAsia="Times New Roman" w:cs="Times New Roman"/>
                <w:spacing w:val="10"/>
                <w:sz w:val="20"/>
                <w:szCs w:val="20"/>
                <w:highlight w:val="none"/>
              </w:rPr>
              <w:t>28661-2012</w:t>
            </w:r>
            <w:r>
              <w:rPr>
                <w:rFonts w:hint="default" w:ascii="Times New Roman" w:hAnsi="Times New Roman" w:eastAsia="宋体" w:cs="Times New Roman"/>
                <w:spacing w:val="10"/>
                <w:sz w:val="20"/>
                <w:szCs w:val="20"/>
                <w:highlight w:val="none"/>
              </w:rPr>
              <w:t>) 表</w:t>
            </w:r>
            <w:r>
              <w:rPr>
                <w:rFonts w:hint="default" w:ascii="Times New Roman" w:hAnsi="Times New Roman" w:eastAsia="宋体" w:cs="Times New Roman"/>
                <w:sz w:val="20"/>
                <w:szCs w:val="20"/>
                <w:highlight w:val="none"/>
              </w:rPr>
              <w:t xml:space="preserve"> </w:t>
            </w:r>
            <w:r>
              <w:rPr>
                <w:rFonts w:hint="default" w:ascii="Times New Roman" w:hAnsi="Times New Roman" w:eastAsia="Times New Roman" w:cs="Times New Roman"/>
                <w:spacing w:val="-8"/>
                <w:sz w:val="20"/>
                <w:szCs w:val="20"/>
                <w:highlight w:val="none"/>
              </w:rPr>
              <w:t>6</w:t>
            </w:r>
            <w:r>
              <w:rPr>
                <w:rFonts w:hint="default" w:ascii="Times New Roman" w:hAnsi="Times New Roman" w:eastAsia="Times New Roman" w:cs="Times New Roman"/>
                <w:spacing w:val="-6"/>
                <w:sz w:val="20"/>
                <w:szCs w:val="20"/>
                <w:highlight w:val="none"/>
              </w:rPr>
              <w:t xml:space="preserve"> </w:t>
            </w:r>
            <w:r>
              <w:rPr>
                <w:rFonts w:hint="default" w:ascii="Times New Roman" w:hAnsi="Times New Roman" w:eastAsia="宋体" w:cs="Times New Roman"/>
                <w:spacing w:val="-4"/>
                <w:sz w:val="20"/>
                <w:szCs w:val="20"/>
                <w:highlight w:val="none"/>
              </w:rPr>
              <w:t xml:space="preserve">、表 </w:t>
            </w:r>
            <w:r>
              <w:rPr>
                <w:rFonts w:hint="default" w:ascii="Times New Roman" w:hAnsi="Times New Roman" w:eastAsia="Times New Roman" w:cs="Times New Roman"/>
                <w:spacing w:val="-4"/>
                <w:sz w:val="20"/>
                <w:szCs w:val="20"/>
                <w:highlight w:val="none"/>
              </w:rPr>
              <w:t xml:space="preserve">7 </w:t>
            </w:r>
            <w:r>
              <w:rPr>
                <w:rFonts w:hint="default" w:ascii="Times New Roman" w:hAnsi="Times New Roman" w:eastAsia="宋体" w:cs="Times New Roman"/>
                <w:spacing w:val="-4"/>
                <w:sz w:val="20"/>
                <w:szCs w:val="20"/>
                <w:highlight w:val="none"/>
              </w:rPr>
              <w:t>中限值</w:t>
            </w:r>
          </w:p>
        </w:tc>
        <w:tc>
          <w:tcPr>
            <w:tcW w:w="785" w:type="dxa"/>
            <w:vMerge w:val="restart"/>
            <w:tcBorders>
              <w:bottom w:val="nil"/>
              <w:right w:val="single" w:color="000000" w:sz="10" w:space="0"/>
            </w:tcBorders>
            <w:vAlign w:val="top"/>
          </w:tcPr>
          <w:p>
            <w:pPr>
              <w:spacing w:line="250" w:lineRule="auto"/>
              <w:rPr>
                <w:rFonts w:hint="default" w:ascii="Times New Roman" w:hAnsi="Times New Roman" w:cs="Times New Roman"/>
                <w:sz w:val="21"/>
                <w:highlight w:val="none"/>
              </w:rPr>
            </w:pPr>
          </w:p>
          <w:p>
            <w:pPr>
              <w:spacing w:line="250" w:lineRule="auto"/>
              <w:rPr>
                <w:rFonts w:hint="default" w:ascii="Times New Roman" w:hAnsi="Times New Roman" w:cs="Times New Roman"/>
                <w:sz w:val="21"/>
                <w:highlight w:val="none"/>
              </w:rPr>
            </w:pPr>
          </w:p>
          <w:p>
            <w:pPr>
              <w:spacing w:before="65" w:line="231" w:lineRule="auto"/>
              <w:ind w:left="19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排</w:t>
            </w:r>
            <w:r>
              <w:rPr>
                <w:rFonts w:hint="default" w:ascii="Times New Roman" w:hAnsi="Times New Roman" w:eastAsia="宋体" w:cs="Times New Roman"/>
                <w:spacing w:val="4"/>
                <w:sz w:val="20"/>
                <w:szCs w:val="20"/>
                <w:highlight w:val="none"/>
              </w:rPr>
              <w:t>至</w:t>
            </w:r>
          </w:p>
          <w:p>
            <w:pPr>
              <w:spacing w:before="69" w:line="229" w:lineRule="auto"/>
              <w:ind w:left="19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环</w:t>
            </w:r>
            <w:r>
              <w:rPr>
                <w:rFonts w:hint="default" w:ascii="Times New Roman" w:hAnsi="Times New Roman" w:eastAsia="宋体" w:cs="Times New Roman"/>
                <w:spacing w:val="4"/>
                <w:sz w:val="20"/>
                <w:szCs w:val="20"/>
                <w:highlight w:val="none"/>
              </w:rPr>
              <w:t>境</w:t>
            </w:r>
          </w:p>
          <w:p>
            <w:pPr>
              <w:spacing w:before="73" w:line="228" w:lineRule="auto"/>
              <w:ind w:left="19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空</w:t>
            </w:r>
            <w:r>
              <w:rPr>
                <w:rFonts w:hint="default" w:ascii="Times New Roman" w:hAnsi="Times New Roman" w:eastAsia="宋体" w:cs="Times New Roman"/>
                <w:spacing w:val="1"/>
                <w:sz w:val="20"/>
                <w:szCs w:val="20"/>
                <w:highlight w:val="none"/>
              </w:rPr>
              <w:t>气</w:t>
            </w:r>
          </w:p>
          <w:p>
            <w:pPr>
              <w:spacing w:before="72" w:line="229" w:lineRule="auto"/>
              <w:ind w:left="317"/>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45" w:type="dxa"/>
            <w:vMerge w:val="continue"/>
            <w:tcBorders>
              <w:top w:val="nil"/>
              <w:left w:val="single" w:color="000000" w:sz="10" w:space="0"/>
              <w:bottom w:val="nil"/>
            </w:tcBorders>
            <w:textDirection w:val="tbRlV"/>
            <w:vAlign w:val="top"/>
          </w:tcPr>
          <w:p>
            <w:pPr>
              <w:rPr>
                <w:rFonts w:hint="default" w:ascii="Times New Roman" w:hAnsi="Times New Roman" w:cs="Times New Roman"/>
                <w:sz w:val="21"/>
                <w:highlight w:val="none"/>
              </w:rPr>
            </w:pPr>
          </w:p>
        </w:tc>
        <w:tc>
          <w:tcPr>
            <w:tcW w:w="870" w:type="dxa"/>
            <w:gridSpan w:val="4"/>
            <w:vMerge w:val="continue"/>
            <w:tcBorders>
              <w:top w:val="nil"/>
            </w:tcBorders>
            <w:vAlign w:val="top"/>
          </w:tcPr>
          <w:p>
            <w:pPr>
              <w:rPr>
                <w:rFonts w:hint="default" w:ascii="Times New Roman" w:hAnsi="Times New Roman" w:cs="Times New Roman"/>
                <w:sz w:val="21"/>
                <w:highlight w:val="none"/>
              </w:rPr>
            </w:pPr>
          </w:p>
        </w:tc>
        <w:tc>
          <w:tcPr>
            <w:tcW w:w="947" w:type="dxa"/>
            <w:gridSpan w:val="3"/>
            <w:vMerge w:val="continue"/>
            <w:tcBorders>
              <w:top w:val="nil"/>
            </w:tcBorders>
            <w:vAlign w:val="top"/>
          </w:tcPr>
          <w:p>
            <w:pPr>
              <w:rPr>
                <w:rFonts w:hint="default" w:ascii="Times New Roman" w:hAnsi="Times New Roman" w:cs="Times New Roman"/>
                <w:sz w:val="21"/>
                <w:highlight w:val="none"/>
              </w:rPr>
            </w:pPr>
          </w:p>
        </w:tc>
        <w:tc>
          <w:tcPr>
            <w:tcW w:w="2010" w:type="dxa"/>
            <w:gridSpan w:val="3"/>
            <w:vAlign w:val="center"/>
          </w:tcPr>
          <w:p>
            <w:pPr>
              <w:spacing w:before="80" w:line="226" w:lineRule="auto"/>
              <w:ind w:left="166"/>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无</w:t>
            </w:r>
            <w:r>
              <w:rPr>
                <w:rFonts w:hint="default" w:ascii="Times New Roman" w:hAnsi="Times New Roman" w:eastAsia="宋体" w:cs="Times New Roman"/>
                <w:spacing w:val="8"/>
                <w:sz w:val="20"/>
                <w:szCs w:val="20"/>
                <w:highlight w:val="none"/>
              </w:rPr>
              <w:t>组织排放颗粒物</w:t>
            </w:r>
          </w:p>
        </w:tc>
        <w:tc>
          <w:tcPr>
            <w:tcW w:w="3065" w:type="dxa"/>
            <w:gridSpan w:val="2"/>
            <w:vAlign w:val="center"/>
          </w:tcPr>
          <w:p>
            <w:pPr>
              <w:spacing w:before="49" w:line="274" w:lineRule="exact"/>
              <w:ind w:firstLine="216" w:firstLineChars="100"/>
              <w:jc w:val="center"/>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8"/>
                <w:position w:val="1"/>
                <w:sz w:val="20"/>
                <w:szCs w:val="20"/>
                <w:highlight w:val="none"/>
                <w:lang w:val="en-US" w:eastAsia="zh-CN"/>
              </w:rPr>
              <w:t>生产车间全</w:t>
            </w:r>
            <w:r>
              <w:rPr>
                <w:rFonts w:hint="default" w:ascii="Times New Roman" w:hAnsi="Times New Roman" w:eastAsia="宋体" w:cs="Times New Roman"/>
                <w:spacing w:val="8"/>
                <w:position w:val="1"/>
                <w:sz w:val="20"/>
                <w:szCs w:val="20"/>
                <w:highlight w:val="none"/>
              </w:rPr>
              <w:t>封闭+喷雾抑尘</w:t>
            </w:r>
            <w:r>
              <w:rPr>
                <w:rFonts w:hint="eastAsia" w:ascii="Times New Roman" w:hAnsi="Times New Roman" w:eastAsia="宋体" w:cs="Times New Roman"/>
                <w:spacing w:val="8"/>
                <w:position w:val="1"/>
                <w:sz w:val="20"/>
                <w:szCs w:val="20"/>
                <w:highlight w:val="none"/>
                <w:lang w:eastAsia="zh-CN"/>
              </w:rPr>
              <w:t>，</w:t>
            </w:r>
            <w:r>
              <w:rPr>
                <w:rFonts w:hint="eastAsia" w:ascii="Times New Roman" w:hAnsi="Times New Roman" w:eastAsia="宋体" w:cs="Times New Roman"/>
                <w:spacing w:val="8"/>
                <w:position w:val="1"/>
                <w:sz w:val="20"/>
                <w:szCs w:val="20"/>
                <w:highlight w:val="none"/>
              </w:rPr>
              <w:t>原料</w:t>
            </w:r>
            <w:r>
              <w:rPr>
                <w:rFonts w:hint="eastAsia" w:ascii="Times New Roman" w:hAnsi="Times New Roman" w:eastAsia="宋体" w:cs="Times New Roman"/>
                <w:spacing w:val="8"/>
                <w:position w:val="1"/>
                <w:sz w:val="20"/>
                <w:szCs w:val="20"/>
                <w:highlight w:val="none"/>
                <w:lang w:val="en-US" w:eastAsia="zh-CN"/>
              </w:rPr>
              <w:t>不在厂区</w:t>
            </w:r>
            <w:r>
              <w:rPr>
                <w:rFonts w:hint="eastAsia" w:ascii="Times New Roman" w:hAnsi="Times New Roman" w:eastAsia="宋体" w:cs="Times New Roman"/>
                <w:spacing w:val="8"/>
                <w:position w:val="1"/>
                <w:sz w:val="20"/>
                <w:szCs w:val="20"/>
                <w:highlight w:val="none"/>
              </w:rPr>
              <w:t>堆存，设置建</w:t>
            </w:r>
            <w:r>
              <w:rPr>
                <w:rFonts w:hint="eastAsia" w:ascii="Times New Roman" w:hAnsi="Times New Roman" w:eastAsia="宋体" w:cs="Times New Roman"/>
                <w:spacing w:val="8"/>
                <w:position w:val="1"/>
                <w:sz w:val="20"/>
                <w:szCs w:val="20"/>
                <w:highlight w:val="none"/>
                <w:lang w:val="en-US" w:eastAsia="zh-CN"/>
              </w:rPr>
              <w:t>有</w:t>
            </w:r>
            <w:r>
              <w:rPr>
                <w:rFonts w:hint="eastAsia" w:ascii="Times New Roman" w:hAnsi="Times New Roman" w:eastAsia="宋体" w:cs="Times New Roman"/>
                <w:spacing w:val="8"/>
                <w:position w:val="1"/>
                <w:sz w:val="20"/>
                <w:szCs w:val="20"/>
                <w:highlight w:val="none"/>
              </w:rPr>
              <w:t>三面围挡并带顶的</w:t>
            </w:r>
            <w:r>
              <w:rPr>
                <w:rFonts w:hint="eastAsia" w:ascii="Times New Roman" w:hAnsi="Times New Roman" w:eastAsia="宋体" w:cs="Times New Roman"/>
                <w:spacing w:val="8"/>
                <w:position w:val="1"/>
                <w:sz w:val="20"/>
                <w:szCs w:val="20"/>
                <w:highlight w:val="none"/>
                <w:lang w:val="en-US" w:eastAsia="zh-CN"/>
              </w:rPr>
              <w:t>原</w:t>
            </w:r>
            <w:r>
              <w:rPr>
                <w:rFonts w:hint="eastAsia" w:ascii="Times New Roman" w:hAnsi="Times New Roman" w:eastAsia="宋体" w:cs="Times New Roman"/>
                <w:spacing w:val="8"/>
                <w:position w:val="1"/>
                <w:sz w:val="20"/>
                <w:szCs w:val="20"/>
                <w:highlight w:val="none"/>
              </w:rPr>
              <w:t>料棚，料棚进深尺度不小于8米，受料仓设置除尘器或喷淋抑尘装置</w:t>
            </w:r>
            <w:r>
              <w:rPr>
                <w:rFonts w:hint="eastAsia" w:ascii="Times New Roman" w:hAnsi="Times New Roman" w:eastAsia="宋体" w:cs="Times New Roman"/>
                <w:spacing w:val="8"/>
                <w:position w:val="1"/>
                <w:sz w:val="20"/>
                <w:szCs w:val="20"/>
                <w:highlight w:val="none"/>
                <w:lang w:eastAsia="zh-CN"/>
              </w:rPr>
              <w:t>，</w:t>
            </w:r>
            <w:r>
              <w:rPr>
                <w:rFonts w:hint="eastAsia" w:ascii="Times New Roman" w:hAnsi="Times New Roman" w:eastAsia="宋体" w:cs="Times New Roman"/>
                <w:spacing w:val="8"/>
                <w:position w:val="1"/>
                <w:sz w:val="20"/>
                <w:szCs w:val="20"/>
                <w:highlight w:val="none"/>
                <w:lang w:val="en-US" w:eastAsia="zh-CN"/>
              </w:rPr>
              <w:t>运输车辆直接将原料卸入受料仓，不在厂区堆存</w:t>
            </w:r>
            <w:r>
              <w:rPr>
                <w:rFonts w:hint="eastAsia" w:ascii="Times New Roman" w:hAnsi="Times New Roman" w:eastAsia="宋体" w:cs="Times New Roman"/>
                <w:spacing w:val="8"/>
                <w:position w:val="1"/>
                <w:sz w:val="20"/>
                <w:szCs w:val="20"/>
                <w:highlight w:val="none"/>
              </w:rPr>
              <w:t>。</w:t>
            </w:r>
          </w:p>
        </w:tc>
        <w:tc>
          <w:tcPr>
            <w:tcW w:w="1212" w:type="dxa"/>
            <w:vAlign w:val="center"/>
          </w:tcPr>
          <w:p>
            <w:pPr>
              <w:spacing w:before="49" w:line="274" w:lineRule="exact"/>
              <w:ind w:firstLine="210" w:firstLineChars="100"/>
              <w:jc w:val="both"/>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position w:val="1"/>
                <w:sz w:val="20"/>
                <w:szCs w:val="20"/>
                <w:highlight w:val="none"/>
                <w:lang w:val="en-US" w:eastAsia="zh-CN"/>
              </w:rPr>
              <w:t>102.381</w:t>
            </w:r>
            <w:r>
              <w:rPr>
                <w:rFonts w:hint="default" w:ascii="Times New Roman" w:hAnsi="Times New Roman" w:eastAsia="Times New Roman" w:cs="Times New Roman"/>
                <w:position w:val="1"/>
                <w:sz w:val="20"/>
                <w:szCs w:val="20"/>
                <w:highlight w:val="none"/>
              </w:rPr>
              <w:t>t</w:t>
            </w:r>
            <w:r>
              <w:rPr>
                <w:rFonts w:hint="default" w:ascii="Times New Roman" w:hAnsi="Times New Roman" w:eastAsia="Times New Roman" w:cs="Times New Roman"/>
                <w:spacing w:val="3"/>
                <w:position w:val="1"/>
                <w:sz w:val="20"/>
                <w:szCs w:val="20"/>
                <w:highlight w:val="none"/>
              </w:rPr>
              <w:t>/</w:t>
            </w:r>
            <w:r>
              <w:rPr>
                <w:rFonts w:hint="default" w:ascii="Times New Roman" w:hAnsi="Times New Roman" w:eastAsia="Times New Roman" w:cs="Times New Roman"/>
                <w:position w:val="1"/>
                <w:sz w:val="20"/>
                <w:szCs w:val="20"/>
                <w:highlight w:val="none"/>
              </w:rPr>
              <w:t>a</w:t>
            </w:r>
          </w:p>
        </w:tc>
        <w:tc>
          <w:tcPr>
            <w:tcW w:w="1622" w:type="dxa"/>
            <w:gridSpan w:val="2"/>
            <w:vAlign w:val="center"/>
          </w:tcPr>
          <w:p>
            <w:pPr>
              <w:spacing w:before="49" w:line="274" w:lineRule="exact"/>
              <w:ind w:left="322"/>
              <w:jc w:val="center"/>
              <w:rPr>
                <w:rFonts w:hint="default" w:ascii="Times New Roman" w:hAnsi="Times New Roman" w:eastAsia="Times New Roman" w:cs="Times New Roman"/>
                <w:sz w:val="13"/>
                <w:szCs w:val="13"/>
                <w:highlight w:val="none"/>
              </w:rPr>
            </w:pPr>
            <w:r>
              <w:rPr>
                <w:rFonts w:hint="default" w:ascii="Times New Roman" w:hAnsi="Times New Roman" w:eastAsia="宋体" w:cs="Times New Roman"/>
                <w:spacing w:val="4"/>
                <w:position w:val="1"/>
                <w:sz w:val="20"/>
                <w:szCs w:val="20"/>
                <w:highlight w:val="none"/>
              </w:rPr>
              <w:t>＜</w:t>
            </w:r>
            <w:r>
              <w:rPr>
                <w:rFonts w:hint="default" w:ascii="Times New Roman" w:hAnsi="Times New Roman" w:eastAsia="Times New Roman" w:cs="Times New Roman"/>
                <w:spacing w:val="4"/>
                <w:position w:val="1"/>
                <w:sz w:val="20"/>
                <w:szCs w:val="20"/>
                <w:highlight w:val="none"/>
              </w:rPr>
              <w:t>1.0</w:t>
            </w:r>
            <w:r>
              <w:rPr>
                <w:rFonts w:hint="default" w:ascii="Times New Roman" w:hAnsi="Times New Roman" w:eastAsia="Times New Roman" w:cs="Times New Roman"/>
                <w:position w:val="1"/>
                <w:sz w:val="20"/>
                <w:szCs w:val="20"/>
                <w:highlight w:val="none"/>
              </w:rPr>
              <w:t>mg</w:t>
            </w:r>
            <w:r>
              <w:rPr>
                <w:rFonts w:hint="default" w:ascii="Times New Roman" w:hAnsi="Times New Roman" w:eastAsia="Times New Roman" w:cs="Times New Roman"/>
                <w:spacing w:val="4"/>
                <w:position w:val="1"/>
                <w:sz w:val="20"/>
                <w:szCs w:val="20"/>
                <w:highlight w:val="none"/>
              </w:rPr>
              <w:t>/</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3"/>
                <w:position w:val="7"/>
                <w:sz w:val="13"/>
                <w:szCs w:val="13"/>
                <w:highlight w:val="none"/>
              </w:rPr>
              <w:t>3</w:t>
            </w:r>
          </w:p>
        </w:tc>
        <w:tc>
          <w:tcPr>
            <w:tcW w:w="1095" w:type="dxa"/>
            <w:vAlign w:val="center"/>
          </w:tcPr>
          <w:p>
            <w:pPr>
              <w:spacing w:before="49" w:line="274" w:lineRule="exact"/>
              <w:ind w:left="271"/>
              <w:jc w:val="center"/>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position w:val="2"/>
                <w:sz w:val="20"/>
                <w:szCs w:val="20"/>
                <w:highlight w:val="none"/>
                <w:lang w:val="en-US" w:eastAsia="zh-CN"/>
              </w:rPr>
              <w:t>0.391</w:t>
            </w:r>
            <w:r>
              <w:rPr>
                <w:rFonts w:hint="default" w:ascii="Times New Roman" w:hAnsi="Times New Roman" w:eastAsia="Times New Roman" w:cs="Times New Roman"/>
                <w:position w:val="2"/>
                <w:sz w:val="20"/>
                <w:szCs w:val="20"/>
                <w:highlight w:val="none"/>
              </w:rPr>
              <w:t>t</w:t>
            </w:r>
            <w:r>
              <w:rPr>
                <w:rFonts w:hint="default" w:ascii="Times New Roman" w:hAnsi="Times New Roman" w:eastAsia="Times New Roman" w:cs="Times New Roman"/>
                <w:spacing w:val="3"/>
                <w:position w:val="2"/>
                <w:sz w:val="20"/>
                <w:szCs w:val="20"/>
                <w:highlight w:val="none"/>
              </w:rPr>
              <w:t>/</w:t>
            </w:r>
            <w:r>
              <w:rPr>
                <w:rFonts w:hint="default" w:ascii="Times New Roman" w:hAnsi="Times New Roman" w:eastAsia="Times New Roman" w:cs="Times New Roman"/>
                <w:position w:val="2"/>
                <w:sz w:val="20"/>
                <w:szCs w:val="20"/>
                <w:highlight w:val="none"/>
              </w:rPr>
              <w:t>a</w:t>
            </w:r>
          </w:p>
        </w:tc>
        <w:tc>
          <w:tcPr>
            <w:tcW w:w="2126" w:type="dxa"/>
            <w:vMerge w:val="continue"/>
            <w:tcBorders>
              <w:top w:val="nil"/>
            </w:tcBorders>
            <w:vAlign w:val="top"/>
          </w:tcPr>
          <w:p>
            <w:pPr>
              <w:rPr>
                <w:rFonts w:hint="default" w:ascii="Times New Roman" w:hAnsi="Times New Roman" w:cs="Times New Roman"/>
                <w:sz w:val="21"/>
                <w:highlight w:val="none"/>
              </w:rPr>
            </w:pPr>
          </w:p>
        </w:tc>
        <w:tc>
          <w:tcPr>
            <w:tcW w:w="785"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445" w:type="dxa"/>
            <w:vMerge w:val="restart"/>
            <w:tcBorders>
              <w:left w:val="single" w:color="000000" w:sz="10" w:space="0"/>
              <w:bottom w:val="nil"/>
            </w:tcBorders>
            <w:textDirection w:val="tbRlV"/>
            <w:vAlign w:val="top"/>
          </w:tcPr>
          <w:p>
            <w:pPr>
              <w:spacing w:before="121" w:line="216" w:lineRule="auto"/>
              <w:ind w:left="40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废</w:t>
            </w:r>
            <w:r>
              <w:rPr>
                <w:rFonts w:hint="default" w:ascii="Times New Roman" w:hAnsi="Times New Roman" w:eastAsia="宋体" w:cs="Times New Roman"/>
                <w:spacing w:val="9"/>
                <w:sz w:val="20"/>
                <w:szCs w:val="20"/>
                <w:highlight w:val="none"/>
              </w:rPr>
              <w:t xml:space="preserve"> 水</w:t>
            </w:r>
          </w:p>
        </w:tc>
        <w:tc>
          <w:tcPr>
            <w:tcW w:w="870" w:type="dxa"/>
            <w:gridSpan w:val="4"/>
            <w:vMerge w:val="restart"/>
            <w:tcBorders>
              <w:bottom w:val="nil"/>
            </w:tcBorders>
            <w:vAlign w:val="top"/>
          </w:tcPr>
          <w:p>
            <w:pPr>
              <w:spacing w:line="333" w:lineRule="auto"/>
              <w:rPr>
                <w:rFonts w:hint="default" w:ascii="Times New Roman" w:hAnsi="Times New Roman" w:cs="Times New Roman"/>
                <w:sz w:val="21"/>
                <w:highlight w:val="none"/>
              </w:rPr>
            </w:pPr>
          </w:p>
          <w:p>
            <w:pPr>
              <w:spacing w:before="65" w:line="310" w:lineRule="auto"/>
              <w:ind w:left="219" w:right="164" w:hanging="10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球</w:t>
            </w:r>
            <w:r>
              <w:rPr>
                <w:rFonts w:hint="default" w:ascii="Times New Roman" w:hAnsi="Times New Roman" w:eastAsia="宋体" w:cs="Times New Roman"/>
                <w:spacing w:val="-4"/>
                <w:sz w:val="20"/>
                <w:szCs w:val="20"/>
                <w:highlight w:val="none"/>
              </w:rPr>
              <w:t>磨、</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5"/>
                <w:sz w:val="20"/>
                <w:szCs w:val="20"/>
                <w:highlight w:val="none"/>
              </w:rPr>
              <w:t>磁</w:t>
            </w:r>
            <w:r>
              <w:rPr>
                <w:rFonts w:hint="default" w:ascii="Times New Roman" w:hAnsi="Times New Roman" w:eastAsia="宋体" w:cs="Times New Roman"/>
                <w:spacing w:val="4"/>
                <w:sz w:val="20"/>
                <w:szCs w:val="20"/>
                <w:highlight w:val="none"/>
              </w:rPr>
              <w:t>选</w:t>
            </w:r>
          </w:p>
        </w:tc>
        <w:tc>
          <w:tcPr>
            <w:tcW w:w="947" w:type="dxa"/>
            <w:gridSpan w:val="3"/>
            <w:vMerge w:val="restart"/>
            <w:tcBorders>
              <w:bottom w:val="nil"/>
            </w:tcBorders>
            <w:vAlign w:val="top"/>
          </w:tcPr>
          <w:p>
            <w:pPr>
              <w:spacing w:line="247" w:lineRule="auto"/>
              <w:rPr>
                <w:rFonts w:hint="default" w:ascii="Times New Roman" w:hAnsi="Times New Roman" w:cs="Times New Roman"/>
                <w:sz w:val="21"/>
                <w:highlight w:val="none"/>
              </w:rPr>
            </w:pPr>
          </w:p>
          <w:p>
            <w:pPr>
              <w:spacing w:line="247" w:lineRule="auto"/>
              <w:rPr>
                <w:rFonts w:hint="default" w:ascii="Times New Roman" w:hAnsi="Times New Roman" w:cs="Times New Roman"/>
                <w:sz w:val="21"/>
                <w:highlight w:val="none"/>
              </w:rPr>
            </w:pPr>
          </w:p>
          <w:p>
            <w:pPr>
              <w:spacing w:before="65" w:line="228" w:lineRule="auto"/>
              <w:ind w:left="15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铁矿石</w:t>
            </w:r>
          </w:p>
        </w:tc>
        <w:tc>
          <w:tcPr>
            <w:tcW w:w="2010" w:type="dxa"/>
            <w:gridSpan w:val="3"/>
            <w:vAlign w:val="top"/>
          </w:tcPr>
          <w:p>
            <w:pPr>
              <w:spacing w:before="240" w:line="228" w:lineRule="auto"/>
              <w:ind w:left="68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废水量</w:t>
            </w:r>
          </w:p>
        </w:tc>
        <w:tc>
          <w:tcPr>
            <w:tcW w:w="3065" w:type="dxa"/>
            <w:gridSpan w:val="2"/>
            <w:vMerge w:val="restart"/>
            <w:tcBorders>
              <w:bottom w:val="nil"/>
            </w:tcBorders>
            <w:vAlign w:val="top"/>
          </w:tcPr>
          <w:p>
            <w:pPr>
              <w:spacing w:before="81" w:line="295" w:lineRule="auto"/>
              <w:ind w:left="107" w:right="69" w:firstLine="64"/>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11"/>
                <w:sz w:val="20"/>
                <w:szCs w:val="20"/>
                <w:highlight w:val="none"/>
                <w:lang w:val="en-US" w:eastAsia="zh-CN"/>
              </w:rPr>
              <w:t>生产</w:t>
            </w:r>
            <w:r>
              <w:rPr>
                <w:rFonts w:hint="default" w:ascii="Times New Roman" w:hAnsi="Times New Roman" w:eastAsia="宋体" w:cs="Times New Roman"/>
                <w:spacing w:val="6"/>
                <w:sz w:val="20"/>
                <w:szCs w:val="20"/>
                <w:highlight w:val="none"/>
              </w:rPr>
              <w:t>废水经浓缩罐、脱水筛脱水后</w:t>
            </w:r>
            <w:r>
              <w:rPr>
                <w:rFonts w:hint="default" w:ascii="Times New Roman" w:hAnsi="Times New Roman" w:eastAsia="宋体" w:cs="Times New Roman"/>
                <w:spacing w:val="5"/>
                <w:sz w:val="20"/>
                <w:szCs w:val="20"/>
                <w:highlight w:val="none"/>
              </w:rPr>
              <w:t>，</w:t>
            </w:r>
            <w:r>
              <w:rPr>
                <w:rFonts w:hint="default" w:ascii="Times New Roman" w:hAnsi="Times New Roman" w:eastAsia="宋体" w:cs="Times New Roman"/>
                <w:spacing w:val="9"/>
                <w:sz w:val="20"/>
                <w:szCs w:val="20"/>
                <w:highlight w:val="none"/>
              </w:rPr>
              <w:t>与精粉过滤机脱出水一起排</w:t>
            </w:r>
            <w:r>
              <w:rPr>
                <w:rFonts w:hint="default" w:ascii="Times New Roman" w:hAnsi="Times New Roman" w:eastAsia="宋体" w:cs="Times New Roman"/>
                <w:spacing w:val="8"/>
                <w:sz w:val="20"/>
                <w:szCs w:val="20"/>
                <w:highlight w:val="none"/>
              </w:rPr>
              <w:t>入</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6"/>
                <w:sz w:val="20"/>
                <w:szCs w:val="20"/>
                <w:highlight w:val="none"/>
              </w:rPr>
              <w:t>浓</w:t>
            </w:r>
            <w:r>
              <w:rPr>
                <w:rFonts w:hint="default" w:ascii="Times New Roman" w:hAnsi="Times New Roman" w:eastAsia="宋体" w:cs="Times New Roman"/>
                <w:spacing w:val="3"/>
                <w:sz w:val="20"/>
                <w:szCs w:val="20"/>
                <w:highlight w:val="none"/>
              </w:rPr>
              <w:t>密池处理后，上清液排入清水</w:t>
            </w:r>
            <w:r>
              <w:rPr>
                <w:rFonts w:hint="default" w:ascii="Times New Roman" w:hAnsi="Times New Roman" w:eastAsia="宋体" w:cs="Times New Roman"/>
                <w:spacing w:val="12"/>
                <w:sz w:val="20"/>
                <w:szCs w:val="20"/>
                <w:highlight w:val="none"/>
              </w:rPr>
              <w:t>池</w:t>
            </w:r>
            <w:r>
              <w:rPr>
                <w:rFonts w:hint="default" w:ascii="Times New Roman" w:hAnsi="Times New Roman" w:eastAsia="宋体" w:cs="Times New Roman"/>
                <w:spacing w:val="9"/>
                <w:sz w:val="20"/>
                <w:szCs w:val="20"/>
                <w:highlight w:val="none"/>
              </w:rPr>
              <w:t>，回用于生产工序，不外排</w:t>
            </w:r>
          </w:p>
        </w:tc>
        <w:tc>
          <w:tcPr>
            <w:tcW w:w="1212" w:type="dxa"/>
            <w:vAlign w:val="center"/>
          </w:tcPr>
          <w:p>
            <w:pPr>
              <w:spacing w:line="274" w:lineRule="exact"/>
              <w:ind w:left="416"/>
              <w:jc w:val="both"/>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1622" w:type="dxa"/>
            <w:gridSpan w:val="2"/>
            <w:vAlign w:val="top"/>
          </w:tcPr>
          <w:p>
            <w:pPr>
              <w:spacing w:before="209" w:line="274" w:lineRule="exact"/>
              <w:ind w:left="7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1095" w:type="dxa"/>
            <w:vAlign w:val="top"/>
          </w:tcPr>
          <w:p>
            <w:pPr>
              <w:spacing w:before="209" w:line="274" w:lineRule="exact"/>
              <w:ind w:left="31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1"/>
                <w:sz w:val="20"/>
                <w:szCs w:val="20"/>
                <w:highlight w:val="none"/>
              </w:rPr>
              <w:t>0</w:t>
            </w:r>
            <w:r>
              <w:rPr>
                <w:rFonts w:hint="default" w:ascii="Times New Roman" w:hAnsi="Times New Roman" w:eastAsia="Times New Roman" w:cs="Times New Roman"/>
                <w:position w:val="1"/>
                <w:sz w:val="20"/>
                <w:szCs w:val="20"/>
                <w:highlight w:val="none"/>
              </w:rPr>
              <w:t>m</w:t>
            </w:r>
            <w:r>
              <w:rPr>
                <w:rFonts w:hint="default" w:ascii="Times New Roman" w:hAnsi="Times New Roman" w:eastAsia="Times New Roman" w:cs="Times New Roman"/>
                <w:spacing w:val="4"/>
                <w:position w:val="7"/>
                <w:sz w:val="13"/>
                <w:szCs w:val="13"/>
                <w:highlight w:val="none"/>
              </w:rPr>
              <w:t>3</w:t>
            </w:r>
            <w:r>
              <w:rPr>
                <w:rFonts w:hint="default" w:ascii="Times New Roman" w:hAnsi="Times New Roman" w:eastAsia="Times New Roman" w:cs="Times New Roman"/>
                <w:spacing w:val="4"/>
                <w:position w:val="1"/>
                <w:sz w:val="20"/>
                <w:szCs w:val="20"/>
                <w:highlight w:val="none"/>
              </w:rPr>
              <w:t>/</w:t>
            </w:r>
            <w:r>
              <w:rPr>
                <w:rFonts w:hint="default" w:ascii="Times New Roman" w:hAnsi="Times New Roman" w:eastAsia="Times New Roman" w:cs="Times New Roman"/>
                <w:position w:val="1"/>
                <w:sz w:val="20"/>
                <w:szCs w:val="20"/>
                <w:highlight w:val="none"/>
              </w:rPr>
              <w:t>a</w:t>
            </w:r>
          </w:p>
        </w:tc>
        <w:tc>
          <w:tcPr>
            <w:tcW w:w="2126" w:type="dxa"/>
            <w:vMerge w:val="restart"/>
            <w:tcBorders>
              <w:bottom w:val="nil"/>
            </w:tcBorders>
            <w:vAlign w:val="center"/>
          </w:tcPr>
          <w:p>
            <w:pPr>
              <w:spacing w:before="37" w:line="231" w:lineRule="auto"/>
              <w:ind w:left="135"/>
              <w:jc w:val="center"/>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785" w:type="dxa"/>
            <w:vMerge w:val="restart"/>
            <w:tcBorders>
              <w:bottom w:val="nil"/>
              <w:right w:val="single" w:color="000000" w:sz="10" w:space="0"/>
            </w:tcBorders>
            <w:vAlign w:val="top"/>
          </w:tcPr>
          <w:p>
            <w:pPr>
              <w:spacing w:line="334" w:lineRule="auto"/>
              <w:rPr>
                <w:rFonts w:hint="default" w:ascii="Times New Roman" w:hAnsi="Times New Roman" w:cs="Times New Roman"/>
                <w:sz w:val="21"/>
                <w:highlight w:val="none"/>
              </w:rPr>
            </w:pPr>
          </w:p>
          <w:p>
            <w:pPr>
              <w:spacing w:before="65" w:line="319" w:lineRule="exact"/>
              <w:ind w:left="195"/>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position w:val="8"/>
                <w:sz w:val="20"/>
                <w:szCs w:val="20"/>
                <w:highlight w:val="none"/>
              </w:rPr>
              <w:t>不外</w:t>
            </w:r>
          </w:p>
          <w:p>
            <w:pPr>
              <w:spacing w:line="230" w:lineRule="auto"/>
              <w:ind w:left="297"/>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45" w:type="dxa"/>
            <w:vMerge w:val="continue"/>
            <w:tcBorders>
              <w:top w:val="nil"/>
              <w:left w:val="single" w:color="000000" w:sz="10" w:space="0"/>
            </w:tcBorders>
            <w:textDirection w:val="tbRlV"/>
            <w:vAlign w:val="top"/>
          </w:tcPr>
          <w:p>
            <w:pPr>
              <w:rPr>
                <w:rFonts w:hint="default" w:ascii="Times New Roman" w:hAnsi="Times New Roman" w:cs="Times New Roman"/>
                <w:sz w:val="21"/>
                <w:highlight w:val="none"/>
              </w:rPr>
            </w:pPr>
          </w:p>
        </w:tc>
        <w:tc>
          <w:tcPr>
            <w:tcW w:w="870" w:type="dxa"/>
            <w:gridSpan w:val="4"/>
            <w:vMerge w:val="continue"/>
            <w:tcBorders>
              <w:top w:val="nil"/>
            </w:tcBorders>
            <w:vAlign w:val="top"/>
          </w:tcPr>
          <w:p>
            <w:pPr>
              <w:rPr>
                <w:rFonts w:hint="default" w:ascii="Times New Roman" w:hAnsi="Times New Roman" w:cs="Times New Roman"/>
                <w:sz w:val="21"/>
                <w:highlight w:val="none"/>
              </w:rPr>
            </w:pPr>
          </w:p>
        </w:tc>
        <w:tc>
          <w:tcPr>
            <w:tcW w:w="947" w:type="dxa"/>
            <w:gridSpan w:val="3"/>
            <w:vMerge w:val="continue"/>
            <w:tcBorders>
              <w:top w:val="nil"/>
            </w:tcBorders>
            <w:vAlign w:val="top"/>
          </w:tcPr>
          <w:p>
            <w:pPr>
              <w:rPr>
                <w:rFonts w:hint="default" w:ascii="Times New Roman" w:hAnsi="Times New Roman" w:cs="Times New Roman"/>
                <w:sz w:val="21"/>
                <w:highlight w:val="none"/>
              </w:rPr>
            </w:pPr>
          </w:p>
        </w:tc>
        <w:tc>
          <w:tcPr>
            <w:tcW w:w="2010" w:type="dxa"/>
            <w:gridSpan w:val="3"/>
            <w:vAlign w:val="top"/>
          </w:tcPr>
          <w:p>
            <w:pPr>
              <w:spacing w:before="271" w:line="195" w:lineRule="auto"/>
              <w:ind w:left="89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sz w:val="20"/>
                <w:szCs w:val="20"/>
                <w:highlight w:val="none"/>
              </w:rPr>
              <w:t>S</w:t>
            </w:r>
            <w:r>
              <w:rPr>
                <w:rFonts w:hint="default" w:ascii="Times New Roman" w:hAnsi="Times New Roman" w:eastAsia="Times New Roman" w:cs="Times New Roman"/>
                <w:spacing w:val="-2"/>
                <w:sz w:val="20"/>
                <w:szCs w:val="20"/>
                <w:highlight w:val="none"/>
              </w:rPr>
              <w:t>S</w:t>
            </w:r>
          </w:p>
        </w:tc>
        <w:tc>
          <w:tcPr>
            <w:tcW w:w="3065" w:type="dxa"/>
            <w:gridSpan w:val="2"/>
            <w:vMerge w:val="continue"/>
            <w:tcBorders>
              <w:top w:val="nil"/>
            </w:tcBorders>
            <w:vAlign w:val="top"/>
          </w:tcPr>
          <w:p>
            <w:pPr>
              <w:rPr>
                <w:rFonts w:hint="default" w:ascii="Times New Roman" w:hAnsi="Times New Roman" w:cs="Times New Roman"/>
                <w:sz w:val="21"/>
                <w:highlight w:val="none"/>
              </w:rPr>
            </w:pPr>
          </w:p>
        </w:tc>
        <w:tc>
          <w:tcPr>
            <w:tcW w:w="1212" w:type="dxa"/>
            <w:vAlign w:val="top"/>
          </w:tcPr>
          <w:p>
            <w:pPr>
              <w:spacing w:before="205" w:line="274" w:lineRule="exact"/>
              <w:ind w:left="57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1622" w:type="dxa"/>
            <w:gridSpan w:val="2"/>
            <w:vAlign w:val="top"/>
          </w:tcPr>
          <w:p>
            <w:pPr>
              <w:spacing w:before="205" w:line="274" w:lineRule="exact"/>
              <w:ind w:left="7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1095" w:type="dxa"/>
            <w:vAlign w:val="top"/>
          </w:tcPr>
          <w:p>
            <w:pPr>
              <w:spacing w:before="205" w:line="274" w:lineRule="exact"/>
              <w:ind w:left="4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1"/>
                <w:sz w:val="20"/>
                <w:szCs w:val="20"/>
                <w:highlight w:val="none"/>
              </w:rPr>
              <w:t>0</w:t>
            </w:r>
            <w:r>
              <w:rPr>
                <w:rFonts w:hint="default" w:ascii="Times New Roman" w:hAnsi="Times New Roman" w:eastAsia="Times New Roman" w:cs="Times New Roman"/>
                <w:position w:val="1"/>
                <w:sz w:val="20"/>
                <w:szCs w:val="20"/>
                <w:highlight w:val="none"/>
              </w:rPr>
              <w:t>t</w:t>
            </w:r>
            <w:r>
              <w:rPr>
                <w:rFonts w:hint="default" w:ascii="Times New Roman" w:hAnsi="Times New Roman" w:eastAsia="Times New Roman" w:cs="Times New Roman"/>
                <w:spacing w:val="2"/>
                <w:position w:val="1"/>
                <w:sz w:val="20"/>
                <w:szCs w:val="20"/>
                <w:highlight w:val="none"/>
              </w:rPr>
              <w:t>/</w:t>
            </w:r>
            <w:r>
              <w:rPr>
                <w:rFonts w:hint="default" w:ascii="Times New Roman" w:hAnsi="Times New Roman" w:eastAsia="Times New Roman" w:cs="Times New Roman"/>
                <w:position w:val="1"/>
                <w:sz w:val="20"/>
                <w:szCs w:val="20"/>
                <w:highlight w:val="none"/>
              </w:rPr>
              <w:t>a</w:t>
            </w:r>
          </w:p>
        </w:tc>
        <w:tc>
          <w:tcPr>
            <w:tcW w:w="2126" w:type="dxa"/>
            <w:vMerge w:val="continue"/>
            <w:tcBorders>
              <w:top w:val="nil"/>
            </w:tcBorders>
            <w:vAlign w:val="top"/>
          </w:tcPr>
          <w:p>
            <w:pPr>
              <w:rPr>
                <w:rFonts w:hint="default" w:ascii="Times New Roman" w:hAnsi="Times New Roman" w:cs="Times New Roman"/>
                <w:sz w:val="21"/>
                <w:highlight w:val="none"/>
              </w:rPr>
            </w:pPr>
          </w:p>
        </w:tc>
        <w:tc>
          <w:tcPr>
            <w:tcW w:w="785" w:type="dxa"/>
            <w:vMerge w:val="continue"/>
            <w:tcBorders>
              <w:top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trPr>
        <w:tc>
          <w:tcPr>
            <w:tcW w:w="446" w:type="dxa"/>
            <w:gridSpan w:val="2"/>
            <w:tcBorders>
              <w:left w:val="single" w:color="000000" w:sz="10" w:space="0"/>
            </w:tcBorders>
            <w:textDirection w:val="tbRlV"/>
            <w:vAlign w:val="top"/>
          </w:tcPr>
          <w:p>
            <w:pPr>
              <w:spacing w:before="121" w:line="213" w:lineRule="auto"/>
              <w:ind w:firstLine="440" w:firstLineChars="200"/>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10"/>
                <w:sz w:val="20"/>
                <w:szCs w:val="20"/>
                <w:highlight w:val="none"/>
                <w:lang w:val="en-US" w:eastAsia="zh-CN"/>
              </w:rPr>
              <w:t>噪</w:t>
            </w:r>
            <w:r>
              <w:rPr>
                <w:rFonts w:hint="default" w:ascii="Times New Roman" w:hAnsi="Times New Roman" w:eastAsia="宋体" w:cs="Times New Roman"/>
                <w:spacing w:val="10"/>
                <w:sz w:val="20"/>
                <w:szCs w:val="20"/>
                <w:highlight w:val="none"/>
              </w:rPr>
              <w:t xml:space="preserve"> 声</w:t>
            </w:r>
          </w:p>
        </w:tc>
        <w:tc>
          <w:tcPr>
            <w:tcW w:w="3826" w:type="dxa"/>
            <w:gridSpan w:val="9"/>
            <w:vAlign w:val="top"/>
          </w:tcPr>
          <w:p>
            <w:pPr>
              <w:spacing w:line="269" w:lineRule="auto"/>
              <w:rPr>
                <w:rFonts w:hint="default" w:ascii="Times New Roman" w:hAnsi="Times New Roman" w:cs="Times New Roman"/>
                <w:sz w:val="21"/>
                <w:highlight w:val="none"/>
              </w:rPr>
            </w:pPr>
          </w:p>
          <w:p>
            <w:pPr>
              <w:spacing w:before="65" w:line="228" w:lineRule="auto"/>
              <w:ind w:left="10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鄂式</w:t>
            </w:r>
            <w:r>
              <w:rPr>
                <w:rFonts w:hint="default" w:ascii="Times New Roman" w:hAnsi="Times New Roman" w:eastAsia="宋体" w:cs="Times New Roman"/>
                <w:spacing w:val="8"/>
                <w:sz w:val="20"/>
                <w:szCs w:val="20"/>
                <w:highlight w:val="none"/>
              </w:rPr>
              <w:t>破</w:t>
            </w:r>
            <w:r>
              <w:rPr>
                <w:rFonts w:hint="default" w:ascii="Times New Roman" w:hAnsi="Times New Roman" w:eastAsia="宋体" w:cs="Times New Roman"/>
                <w:spacing w:val="5"/>
                <w:sz w:val="20"/>
                <w:szCs w:val="20"/>
                <w:highlight w:val="none"/>
              </w:rPr>
              <w:t>碎机、圆锥破碎机、皮带输送机、</w:t>
            </w:r>
          </w:p>
          <w:p>
            <w:pPr>
              <w:spacing w:before="72" w:line="228" w:lineRule="auto"/>
              <w:ind w:left="125"/>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16"/>
                <w:sz w:val="20"/>
                <w:szCs w:val="20"/>
                <w:highlight w:val="none"/>
                <w:lang w:val="en-US" w:eastAsia="zh-CN"/>
              </w:rPr>
              <w:t>振动筛</w:t>
            </w:r>
            <w:r>
              <w:rPr>
                <w:rFonts w:hint="default" w:ascii="Times New Roman" w:hAnsi="Times New Roman" w:eastAsia="宋体" w:cs="Times New Roman"/>
                <w:spacing w:val="9"/>
                <w:sz w:val="20"/>
                <w:szCs w:val="20"/>
                <w:highlight w:val="none"/>
              </w:rPr>
              <w:t>筛、</w:t>
            </w:r>
            <w:r>
              <w:rPr>
                <w:rFonts w:hint="eastAsia" w:ascii="Times New Roman" w:hAnsi="Times New Roman" w:eastAsia="宋体" w:cs="Times New Roman"/>
                <w:spacing w:val="9"/>
                <w:sz w:val="20"/>
                <w:szCs w:val="20"/>
                <w:highlight w:val="none"/>
                <w:lang w:val="en-US" w:eastAsia="zh-CN"/>
              </w:rPr>
              <w:t>空压机</w:t>
            </w:r>
            <w:r>
              <w:rPr>
                <w:rFonts w:hint="default" w:ascii="Times New Roman" w:hAnsi="Times New Roman" w:eastAsia="宋体" w:cs="Times New Roman"/>
                <w:spacing w:val="9"/>
                <w:sz w:val="20"/>
                <w:szCs w:val="20"/>
                <w:highlight w:val="none"/>
              </w:rPr>
              <w:t>、风机</w:t>
            </w:r>
            <w:r>
              <w:rPr>
                <w:rFonts w:hint="default" w:ascii="Times New Roman" w:hAnsi="Times New Roman" w:eastAsia="宋体" w:cs="Times New Roman"/>
                <w:spacing w:val="8"/>
                <w:sz w:val="20"/>
                <w:szCs w:val="20"/>
                <w:highlight w:val="none"/>
              </w:rPr>
              <w:t>等</w:t>
            </w:r>
            <w:r>
              <w:rPr>
                <w:rFonts w:hint="default" w:ascii="Times New Roman" w:hAnsi="Times New Roman" w:eastAsia="宋体" w:cs="Times New Roman"/>
                <w:spacing w:val="7"/>
                <w:sz w:val="20"/>
                <w:szCs w:val="20"/>
                <w:highlight w:val="none"/>
              </w:rPr>
              <w:t>运行噪声</w:t>
            </w:r>
          </w:p>
        </w:tc>
        <w:tc>
          <w:tcPr>
            <w:tcW w:w="3065" w:type="dxa"/>
            <w:gridSpan w:val="2"/>
            <w:vAlign w:val="center"/>
          </w:tcPr>
          <w:p>
            <w:pPr>
              <w:spacing w:before="75" w:line="227" w:lineRule="auto"/>
              <w:ind w:left="11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各</w:t>
            </w:r>
            <w:r>
              <w:rPr>
                <w:rFonts w:hint="default" w:ascii="Times New Roman" w:hAnsi="Times New Roman" w:eastAsia="宋体" w:cs="Times New Roman"/>
                <w:spacing w:val="9"/>
                <w:sz w:val="20"/>
                <w:szCs w:val="20"/>
                <w:highlight w:val="none"/>
              </w:rPr>
              <w:t>设备置于封闭双层夹芯车间</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0"/>
                <w:sz w:val="20"/>
                <w:szCs w:val="20"/>
                <w:highlight w:val="none"/>
              </w:rPr>
              <w:t>内，</w:t>
            </w:r>
            <w:r>
              <w:rPr>
                <w:rFonts w:hint="default" w:ascii="Times New Roman" w:hAnsi="Times New Roman" w:eastAsia="宋体" w:cs="Times New Roman"/>
                <w:spacing w:val="-5"/>
                <w:sz w:val="20"/>
                <w:szCs w:val="20"/>
                <w:highlight w:val="none"/>
              </w:rPr>
              <w:t>基础减震</w:t>
            </w:r>
            <w:r>
              <w:rPr>
                <w:rFonts w:hint="default" w:ascii="Times New Roman" w:hAnsi="Times New Roman" w:eastAsia="宋体" w:cs="Times New Roman"/>
                <w:spacing w:val="3"/>
                <w:sz w:val="20"/>
                <w:szCs w:val="20"/>
                <w:highlight w:val="none"/>
              </w:rPr>
              <w:t>等</w:t>
            </w:r>
          </w:p>
        </w:tc>
        <w:tc>
          <w:tcPr>
            <w:tcW w:w="1212" w:type="dxa"/>
            <w:vAlign w:val="top"/>
          </w:tcPr>
          <w:p>
            <w:pPr>
              <w:spacing w:line="275" w:lineRule="auto"/>
              <w:rPr>
                <w:rFonts w:hint="default" w:ascii="Times New Roman" w:hAnsi="Times New Roman" w:cs="Times New Roman"/>
                <w:sz w:val="21"/>
                <w:highlight w:val="none"/>
              </w:rPr>
            </w:pPr>
          </w:p>
          <w:p>
            <w:pPr>
              <w:spacing w:line="275" w:lineRule="auto"/>
              <w:rPr>
                <w:rFonts w:hint="default" w:ascii="Times New Roman" w:hAnsi="Times New Roman" w:cs="Times New Roman"/>
                <w:sz w:val="21"/>
                <w:highlight w:val="none"/>
              </w:rPr>
            </w:pPr>
          </w:p>
          <w:p>
            <w:pPr>
              <w:spacing w:before="58" w:line="274" w:lineRule="exact"/>
              <w:ind w:left="57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2717" w:type="dxa"/>
            <w:gridSpan w:val="3"/>
            <w:vAlign w:val="top"/>
          </w:tcPr>
          <w:p>
            <w:pPr>
              <w:spacing w:line="312" w:lineRule="auto"/>
              <w:rPr>
                <w:rFonts w:hint="default" w:ascii="Times New Roman" w:hAnsi="Times New Roman" w:cs="Times New Roman"/>
                <w:sz w:val="21"/>
                <w:highlight w:val="none"/>
              </w:rPr>
            </w:pPr>
          </w:p>
          <w:p>
            <w:pPr>
              <w:spacing w:before="65" w:line="274" w:lineRule="exact"/>
              <w:ind w:left="15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5"/>
                <w:position w:val="2"/>
                <w:sz w:val="20"/>
                <w:szCs w:val="20"/>
                <w:highlight w:val="none"/>
              </w:rPr>
              <w:t>昼</w:t>
            </w:r>
            <w:r>
              <w:rPr>
                <w:rFonts w:hint="default" w:ascii="Times New Roman" w:hAnsi="Times New Roman" w:eastAsia="宋体" w:cs="Times New Roman"/>
                <w:spacing w:val="8"/>
                <w:position w:val="2"/>
                <w:sz w:val="20"/>
                <w:szCs w:val="20"/>
                <w:highlight w:val="none"/>
              </w:rPr>
              <w:t>间低于</w:t>
            </w:r>
            <w:r>
              <w:rPr>
                <w:rFonts w:hint="default" w:ascii="Times New Roman" w:hAnsi="Times New Roman" w:eastAsia="Times New Roman" w:cs="Times New Roman"/>
                <w:spacing w:val="8"/>
                <w:position w:val="2"/>
                <w:sz w:val="20"/>
                <w:szCs w:val="20"/>
                <w:highlight w:val="none"/>
              </w:rPr>
              <w:t>60</w:t>
            </w:r>
            <w:r>
              <w:rPr>
                <w:rFonts w:hint="default" w:ascii="Times New Roman" w:hAnsi="Times New Roman" w:eastAsia="Times New Roman" w:cs="Times New Roman"/>
                <w:position w:val="2"/>
                <w:sz w:val="20"/>
                <w:szCs w:val="20"/>
                <w:highlight w:val="none"/>
              </w:rPr>
              <w:t>dB</w:t>
            </w:r>
            <w:r>
              <w:rPr>
                <w:rFonts w:hint="default" w:ascii="Times New Roman" w:hAnsi="Times New Roman" w:eastAsia="Times New Roman" w:cs="Times New Roman"/>
                <w:spacing w:val="8"/>
                <w:position w:val="2"/>
                <w:sz w:val="20"/>
                <w:szCs w:val="20"/>
                <w:highlight w:val="none"/>
              </w:rPr>
              <w:t>(</w:t>
            </w:r>
            <w:r>
              <w:rPr>
                <w:rFonts w:hint="default" w:ascii="Times New Roman" w:hAnsi="Times New Roman" w:eastAsia="Times New Roman" w:cs="Times New Roman"/>
                <w:position w:val="2"/>
                <w:sz w:val="20"/>
                <w:szCs w:val="20"/>
                <w:highlight w:val="none"/>
              </w:rPr>
              <w:t>A</w:t>
            </w:r>
            <w:r>
              <w:rPr>
                <w:rFonts w:hint="default" w:ascii="Times New Roman" w:hAnsi="Times New Roman" w:eastAsia="Times New Roman" w:cs="Times New Roman"/>
                <w:spacing w:val="8"/>
                <w:position w:val="2"/>
                <w:sz w:val="20"/>
                <w:szCs w:val="20"/>
                <w:highlight w:val="none"/>
              </w:rPr>
              <w:t>)</w:t>
            </w:r>
            <w:r>
              <w:rPr>
                <w:rFonts w:hint="default" w:ascii="Times New Roman" w:hAnsi="Times New Roman" w:eastAsia="宋体" w:cs="Times New Roman"/>
                <w:spacing w:val="8"/>
                <w:position w:val="2"/>
                <w:sz w:val="20"/>
                <w:szCs w:val="20"/>
                <w:highlight w:val="none"/>
              </w:rPr>
              <w:t>；夜间低</w:t>
            </w:r>
          </w:p>
          <w:p>
            <w:pPr>
              <w:spacing w:before="44" w:line="275" w:lineRule="exact"/>
              <w:ind w:left="869"/>
              <w:rPr>
                <w:rFonts w:hint="default" w:ascii="Times New Roman" w:hAnsi="Times New Roman" w:eastAsia="Times New Roman" w:cs="Times New Roman"/>
                <w:sz w:val="20"/>
                <w:szCs w:val="20"/>
                <w:highlight w:val="none"/>
              </w:rPr>
            </w:pPr>
            <w:r>
              <w:rPr>
                <w:rFonts w:hint="default" w:ascii="Times New Roman" w:hAnsi="Times New Roman" w:eastAsia="宋体" w:cs="Times New Roman"/>
                <w:spacing w:val="6"/>
                <w:position w:val="3"/>
                <w:sz w:val="20"/>
                <w:szCs w:val="20"/>
                <w:highlight w:val="none"/>
              </w:rPr>
              <w:t>于</w:t>
            </w:r>
            <w:r>
              <w:rPr>
                <w:rFonts w:hint="default" w:ascii="Times New Roman" w:hAnsi="Times New Roman" w:eastAsia="Times New Roman" w:cs="Times New Roman"/>
                <w:spacing w:val="6"/>
                <w:position w:val="3"/>
                <w:sz w:val="20"/>
                <w:szCs w:val="20"/>
                <w:highlight w:val="none"/>
              </w:rPr>
              <w:t xml:space="preserve">50 </w:t>
            </w:r>
            <w:r>
              <w:rPr>
                <w:rFonts w:hint="default" w:ascii="Times New Roman" w:hAnsi="Times New Roman" w:eastAsia="Times New Roman" w:cs="Times New Roman"/>
                <w:position w:val="3"/>
                <w:sz w:val="20"/>
                <w:szCs w:val="20"/>
                <w:highlight w:val="none"/>
              </w:rPr>
              <w:t>dB</w:t>
            </w:r>
            <w:r>
              <w:rPr>
                <w:rFonts w:hint="default" w:ascii="Times New Roman" w:hAnsi="Times New Roman" w:eastAsia="Times New Roman" w:cs="Times New Roman"/>
                <w:spacing w:val="6"/>
                <w:position w:val="3"/>
                <w:sz w:val="20"/>
                <w:szCs w:val="20"/>
                <w:highlight w:val="none"/>
              </w:rPr>
              <w:t>(</w:t>
            </w:r>
            <w:r>
              <w:rPr>
                <w:rFonts w:hint="default" w:ascii="Times New Roman" w:hAnsi="Times New Roman" w:eastAsia="Times New Roman" w:cs="Times New Roman"/>
                <w:position w:val="3"/>
                <w:sz w:val="20"/>
                <w:szCs w:val="20"/>
                <w:highlight w:val="none"/>
              </w:rPr>
              <w:t>A</w:t>
            </w:r>
            <w:r>
              <w:rPr>
                <w:rFonts w:hint="default" w:ascii="Times New Roman" w:hAnsi="Times New Roman" w:eastAsia="Times New Roman" w:cs="Times New Roman"/>
                <w:spacing w:val="5"/>
                <w:position w:val="3"/>
                <w:sz w:val="20"/>
                <w:szCs w:val="20"/>
                <w:highlight w:val="none"/>
              </w:rPr>
              <w:t>)</w:t>
            </w:r>
          </w:p>
        </w:tc>
        <w:tc>
          <w:tcPr>
            <w:tcW w:w="2126" w:type="dxa"/>
            <w:vAlign w:val="top"/>
          </w:tcPr>
          <w:p>
            <w:pPr>
              <w:spacing w:before="65" w:line="296" w:lineRule="auto"/>
              <w:ind w:left="352" w:right="105" w:hanging="21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w:t>
            </w:r>
            <w:r>
              <w:rPr>
                <w:rFonts w:hint="default" w:ascii="Times New Roman" w:hAnsi="Times New Roman" w:eastAsia="宋体" w:cs="Times New Roman"/>
                <w:spacing w:val="8"/>
                <w:sz w:val="20"/>
                <w:szCs w:val="20"/>
                <w:highlight w:val="none"/>
              </w:rPr>
              <w:t>工业企业厂界环境</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9"/>
                <w:sz w:val="20"/>
                <w:szCs w:val="20"/>
                <w:highlight w:val="none"/>
              </w:rPr>
              <w:t>噪</w:t>
            </w:r>
            <w:r>
              <w:rPr>
                <w:rFonts w:hint="default" w:ascii="Times New Roman" w:hAnsi="Times New Roman" w:eastAsia="宋体" w:cs="Times New Roman"/>
                <w:spacing w:val="5"/>
                <w:sz w:val="20"/>
                <w:szCs w:val="20"/>
                <w:highlight w:val="none"/>
              </w:rPr>
              <w:t>声排放标准》</w:t>
            </w:r>
          </w:p>
          <w:p>
            <w:pPr>
              <w:spacing w:line="307" w:lineRule="auto"/>
              <w:ind w:left="762" w:right="107" w:hanging="6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8"/>
                <w:sz w:val="20"/>
                <w:szCs w:val="20"/>
                <w:highlight w:val="none"/>
              </w:rPr>
              <w:t>(</w:t>
            </w:r>
            <w:r>
              <w:rPr>
                <w:rFonts w:hint="default" w:ascii="Times New Roman" w:hAnsi="Times New Roman" w:eastAsia="Times New Roman" w:cs="Times New Roman"/>
                <w:sz w:val="20"/>
                <w:szCs w:val="20"/>
                <w:highlight w:val="none"/>
              </w:rPr>
              <w:t>GB</w:t>
            </w:r>
            <w:r>
              <w:rPr>
                <w:rFonts w:hint="default" w:ascii="Times New Roman" w:hAnsi="Times New Roman" w:eastAsia="Times New Roman" w:cs="Times New Roman"/>
                <w:spacing w:val="11"/>
                <w:sz w:val="20"/>
                <w:szCs w:val="20"/>
                <w:highlight w:val="none"/>
              </w:rPr>
              <w:t>12348- 2008</w:t>
            </w:r>
            <w:r>
              <w:rPr>
                <w:rFonts w:hint="default" w:ascii="Times New Roman" w:hAnsi="Times New Roman" w:eastAsia="宋体" w:cs="Times New Roman"/>
                <w:spacing w:val="11"/>
                <w:sz w:val="20"/>
                <w:szCs w:val="20"/>
                <w:highlight w:val="none"/>
              </w:rPr>
              <w:t xml:space="preserve">) </w:t>
            </w:r>
            <w:r>
              <w:rPr>
                <w:rFonts w:hint="default" w:ascii="Times New Roman" w:hAnsi="Times New Roman" w:eastAsia="Times New Roman" w:cs="Times New Roman"/>
                <w:spacing w:val="11"/>
                <w:sz w:val="20"/>
                <w:szCs w:val="20"/>
                <w:highlight w:val="none"/>
              </w:rPr>
              <w:t>2</w:t>
            </w:r>
            <w:r>
              <w:rPr>
                <w:rFonts w:hint="default" w:ascii="Times New Roman" w:hAnsi="Times New Roman" w:eastAsia="Times New Roman" w:cs="Times New Roman"/>
                <w:sz w:val="20"/>
                <w:szCs w:val="20"/>
                <w:highlight w:val="none"/>
              </w:rPr>
              <w:t xml:space="preserve"> </w:t>
            </w:r>
            <w:r>
              <w:rPr>
                <w:rFonts w:hint="default" w:ascii="Times New Roman" w:hAnsi="Times New Roman" w:eastAsia="宋体" w:cs="Times New Roman"/>
                <w:spacing w:val="7"/>
                <w:sz w:val="20"/>
                <w:szCs w:val="20"/>
                <w:highlight w:val="none"/>
              </w:rPr>
              <w:t>类标</w:t>
            </w:r>
            <w:r>
              <w:rPr>
                <w:rFonts w:hint="default" w:ascii="Times New Roman" w:hAnsi="Times New Roman" w:eastAsia="宋体" w:cs="Times New Roman"/>
                <w:spacing w:val="6"/>
                <w:sz w:val="20"/>
                <w:szCs w:val="20"/>
                <w:highlight w:val="none"/>
              </w:rPr>
              <w:t>准</w:t>
            </w:r>
          </w:p>
        </w:tc>
        <w:tc>
          <w:tcPr>
            <w:tcW w:w="785" w:type="dxa"/>
            <w:tcBorders>
              <w:right w:val="single" w:color="000000" w:sz="10" w:space="0"/>
            </w:tcBorders>
            <w:vAlign w:val="top"/>
          </w:tcPr>
          <w:p>
            <w:pPr>
              <w:spacing w:line="241" w:lineRule="auto"/>
              <w:rPr>
                <w:rFonts w:hint="default" w:ascii="Times New Roman" w:hAnsi="Times New Roman" w:cs="Times New Roman"/>
                <w:sz w:val="21"/>
                <w:highlight w:val="none"/>
              </w:rPr>
            </w:pPr>
          </w:p>
          <w:p>
            <w:pPr>
              <w:spacing w:line="242" w:lineRule="auto"/>
              <w:rPr>
                <w:rFonts w:hint="default" w:ascii="Times New Roman" w:hAnsi="Times New Roman" w:cs="Times New Roman"/>
                <w:sz w:val="21"/>
                <w:highlight w:val="none"/>
              </w:rPr>
            </w:pPr>
          </w:p>
          <w:p>
            <w:pPr>
              <w:spacing w:before="65" w:line="319" w:lineRule="exact"/>
              <w:ind w:left="19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position w:val="8"/>
                <w:sz w:val="20"/>
                <w:szCs w:val="20"/>
                <w:highlight w:val="none"/>
              </w:rPr>
              <w:t>外</w:t>
            </w:r>
            <w:r>
              <w:rPr>
                <w:rFonts w:hint="default" w:ascii="Times New Roman" w:hAnsi="Times New Roman" w:eastAsia="宋体" w:cs="Times New Roman"/>
                <w:spacing w:val="2"/>
                <w:position w:val="8"/>
                <w:sz w:val="20"/>
                <w:szCs w:val="20"/>
                <w:highlight w:val="none"/>
              </w:rPr>
              <w:t>环</w:t>
            </w:r>
          </w:p>
          <w:p>
            <w:pPr>
              <w:spacing w:line="229" w:lineRule="auto"/>
              <w:ind w:left="298"/>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446" w:type="dxa"/>
            <w:gridSpan w:val="2"/>
            <w:vMerge w:val="restart"/>
            <w:tcBorders>
              <w:left w:val="single" w:color="000000" w:sz="10" w:space="0"/>
              <w:bottom w:val="nil"/>
            </w:tcBorders>
            <w:textDirection w:val="tbRlV"/>
            <w:vAlign w:val="top"/>
          </w:tcPr>
          <w:p>
            <w:pPr>
              <w:spacing w:before="122" w:line="217" w:lineRule="auto"/>
              <w:ind w:left="106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固</w:t>
            </w:r>
            <w:r>
              <w:rPr>
                <w:rFonts w:hint="default" w:ascii="Times New Roman" w:hAnsi="Times New Roman" w:eastAsia="宋体" w:cs="Times New Roman"/>
                <w:spacing w:val="9"/>
                <w:sz w:val="20"/>
                <w:szCs w:val="20"/>
                <w:highlight w:val="none"/>
              </w:rPr>
              <w:t xml:space="preserve"> 废</w:t>
            </w:r>
          </w:p>
        </w:tc>
        <w:tc>
          <w:tcPr>
            <w:tcW w:w="627" w:type="dxa"/>
            <w:vMerge w:val="restart"/>
            <w:tcBorders>
              <w:bottom w:val="nil"/>
            </w:tcBorders>
            <w:textDirection w:val="tbRlV"/>
            <w:vAlign w:val="top"/>
          </w:tcPr>
          <w:p>
            <w:pPr>
              <w:spacing w:before="219" w:line="221" w:lineRule="auto"/>
              <w:ind w:left="73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磁</w:t>
            </w:r>
            <w:r>
              <w:rPr>
                <w:rFonts w:hint="default" w:ascii="Times New Roman" w:hAnsi="Times New Roman" w:eastAsia="宋体" w:cs="Times New Roman"/>
                <w:spacing w:val="10"/>
                <w:sz w:val="20"/>
                <w:szCs w:val="20"/>
                <w:highlight w:val="none"/>
              </w:rPr>
              <w:t xml:space="preserve"> 选</w:t>
            </w:r>
          </w:p>
        </w:tc>
        <w:tc>
          <w:tcPr>
            <w:tcW w:w="1189" w:type="dxa"/>
            <w:gridSpan w:val="5"/>
            <w:vMerge w:val="restart"/>
            <w:tcBorders>
              <w:bottom w:val="nil"/>
            </w:tcBorders>
            <w:vAlign w:val="center"/>
          </w:tcPr>
          <w:p>
            <w:pPr>
              <w:spacing w:before="65" w:line="228" w:lineRule="auto"/>
              <w:ind w:left="275"/>
              <w:jc w:val="both"/>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生产过程</w:t>
            </w:r>
          </w:p>
        </w:tc>
        <w:tc>
          <w:tcPr>
            <w:tcW w:w="2010" w:type="dxa"/>
            <w:gridSpan w:val="3"/>
            <w:tcBorders>
              <w:bottom w:val="single" w:color="auto" w:sz="4" w:space="0"/>
            </w:tcBorders>
            <w:vAlign w:val="top"/>
          </w:tcPr>
          <w:p>
            <w:pPr>
              <w:spacing w:before="78" w:line="228" w:lineRule="auto"/>
              <w:ind w:left="794"/>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4"/>
                <w:sz w:val="20"/>
                <w:szCs w:val="20"/>
                <w:highlight w:val="none"/>
                <w:lang w:val="en-US" w:eastAsia="zh-CN"/>
              </w:rPr>
              <w:t>尾矿砂</w:t>
            </w:r>
          </w:p>
        </w:tc>
        <w:tc>
          <w:tcPr>
            <w:tcW w:w="3065" w:type="dxa"/>
            <w:gridSpan w:val="2"/>
            <w:tcBorders>
              <w:bottom w:val="single" w:color="auto" w:sz="4" w:space="0"/>
            </w:tcBorders>
            <w:vAlign w:val="top"/>
          </w:tcPr>
          <w:p>
            <w:pPr>
              <w:spacing w:before="77" w:line="228" w:lineRule="auto"/>
              <w:ind w:left="594"/>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pacing w:val="12"/>
                <w:sz w:val="20"/>
                <w:szCs w:val="20"/>
                <w:highlight w:val="none"/>
              </w:rPr>
              <w:t>外</w:t>
            </w:r>
            <w:r>
              <w:rPr>
                <w:rFonts w:hint="default" w:ascii="Times New Roman" w:hAnsi="Times New Roman" w:eastAsia="宋体" w:cs="Times New Roman"/>
                <w:spacing w:val="8"/>
                <w:sz w:val="20"/>
                <w:szCs w:val="20"/>
                <w:highlight w:val="none"/>
              </w:rPr>
              <w:t>售建材厂综合利用</w:t>
            </w:r>
          </w:p>
        </w:tc>
        <w:tc>
          <w:tcPr>
            <w:tcW w:w="1212" w:type="dxa"/>
            <w:tcBorders>
              <w:bottom w:val="single" w:color="auto" w:sz="4" w:space="0"/>
            </w:tcBorders>
            <w:vAlign w:val="top"/>
          </w:tcPr>
          <w:p>
            <w:pPr>
              <w:spacing w:before="47" w:line="274" w:lineRule="exact"/>
              <w:ind w:left="221"/>
              <w:rPr>
                <w:rFonts w:hint="default" w:ascii="Times New Roman" w:hAnsi="Times New Roman" w:eastAsia="Times New Roman" w:cs="Times New Roman"/>
                <w:sz w:val="20"/>
                <w:szCs w:val="20"/>
                <w:highlight w:val="none"/>
              </w:rPr>
            </w:pPr>
            <w:r>
              <w:rPr>
                <w:rFonts w:hint="eastAsia" w:ascii="Times New Roman" w:hAnsi="Times New Roman" w:eastAsia="Times New Roman" w:cs="Times New Roman"/>
                <w:spacing w:val="3"/>
                <w:position w:val="2"/>
                <w:sz w:val="20"/>
                <w:szCs w:val="20"/>
                <w:highlight w:val="none"/>
                <w:lang w:val="en-US" w:eastAsia="zh-CN"/>
              </w:rPr>
              <w:t>300000</w:t>
            </w:r>
            <w:r>
              <w:rPr>
                <w:rFonts w:hint="default" w:ascii="Times New Roman" w:hAnsi="Times New Roman" w:eastAsia="Times New Roman" w:cs="Times New Roman"/>
                <w:spacing w:val="3"/>
                <w:position w:val="2"/>
                <w:sz w:val="20"/>
                <w:szCs w:val="20"/>
                <w:highlight w:val="none"/>
              </w:rPr>
              <w:t>t/a</w:t>
            </w:r>
          </w:p>
        </w:tc>
        <w:tc>
          <w:tcPr>
            <w:tcW w:w="1622" w:type="dxa"/>
            <w:gridSpan w:val="2"/>
            <w:vMerge w:val="restart"/>
            <w:vAlign w:val="center"/>
          </w:tcPr>
          <w:p>
            <w:pPr>
              <w:spacing w:before="47" w:line="274" w:lineRule="exact"/>
              <w:ind w:left="784"/>
              <w:jc w:val="both"/>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1095" w:type="dxa"/>
            <w:vMerge w:val="restart"/>
            <w:vAlign w:val="center"/>
          </w:tcPr>
          <w:p>
            <w:pPr>
              <w:spacing w:before="47" w:line="274" w:lineRule="exact"/>
              <w:ind w:left="400"/>
              <w:jc w:val="both"/>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1"/>
                <w:sz w:val="20"/>
                <w:szCs w:val="20"/>
                <w:highlight w:val="none"/>
              </w:rPr>
              <w:t>0</w:t>
            </w:r>
            <w:r>
              <w:rPr>
                <w:rFonts w:hint="default" w:ascii="Times New Roman" w:hAnsi="Times New Roman" w:eastAsia="Times New Roman" w:cs="Times New Roman"/>
                <w:position w:val="1"/>
                <w:sz w:val="20"/>
                <w:szCs w:val="20"/>
                <w:highlight w:val="none"/>
              </w:rPr>
              <w:t>t</w:t>
            </w:r>
            <w:r>
              <w:rPr>
                <w:rFonts w:hint="default" w:ascii="Times New Roman" w:hAnsi="Times New Roman" w:eastAsia="Times New Roman" w:cs="Times New Roman"/>
                <w:spacing w:val="2"/>
                <w:position w:val="1"/>
                <w:sz w:val="20"/>
                <w:szCs w:val="20"/>
                <w:highlight w:val="none"/>
              </w:rPr>
              <w:t>/</w:t>
            </w:r>
            <w:r>
              <w:rPr>
                <w:rFonts w:hint="default" w:ascii="Times New Roman" w:hAnsi="Times New Roman" w:eastAsia="Times New Roman" w:cs="Times New Roman"/>
                <w:position w:val="1"/>
                <w:sz w:val="20"/>
                <w:szCs w:val="20"/>
                <w:highlight w:val="none"/>
              </w:rPr>
              <w:t>a</w:t>
            </w:r>
          </w:p>
        </w:tc>
        <w:tc>
          <w:tcPr>
            <w:tcW w:w="2126" w:type="dxa"/>
            <w:vMerge w:val="restart"/>
            <w:vAlign w:val="center"/>
          </w:tcPr>
          <w:p>
            <w:pPr>
              <w:spacing w:before="47" w:line="274" w:lineRule="exact"/>
              <w:ind w:left="1040"/>
              <w:jc w:val="both"/>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785" w:type="dxa"/>
            <w:vMerge w:val="restart"/>
            <w:tcBorders>
              <w:bottom w:val="nil"/>
              <w:right w:val="single" w:color="000000" w:sz="10" w:space="0"/>
            </w:tcBorders>
            <w:vAlign w:val="top"/>
          </w:tcPr>
          <w:p>
            <w:pPr>
              <w:spacing w:line="338" w:lineRule="auto"/>
              <w:rPr>
                <w:rFonts w:hint="default" w:ascii="Times New Roman" w:hAnsi="Times New Roman" w:cs="Times New Roman"/>
                <w:sz w:val="21"/>
                <w:highlight w:val="none"/>
              </w:rPr>
            </w:pPr>
          </w:p>
          <w:p>
            <w:pPr>
              <w:spacing w:line="338" w:lineRule="auto"/>
              <w:rPr>
                <w:rFonts w:hint="default" w:ascii="Times New Roman" w:hAnsi="Times New Roman" w:cs="Times New Roman"/>
                <w:sz w:val="21"/>
                <w:highlight w:val="none"/>
              </w:rPr>
            </w:pPr>
          </w:p>
          <w:p>
            <w:pPr>
              <w:spacing w:before="73" w:line="230" w:lineRule="auto"/>
              <w:ind w:left="297"/>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妥善处置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446" w:type="dxa"/>
            <w:gridSpan w:val="2"/>
            <w:vMerge w:val="continue"/>
            <w:tcBorders>
              <w:left w:val="single" w:color="000000" w:sz="10" w:space="0"/>
            </w:tcBorders>
            <w:textDirection w:val="tbRlV"/>
            <w:vAlign w:val="top"/>
          </w:tcPr>
          <w:p>
            <w:pPr>
              <w:spacing w:before="122" w:line="217" w:lineRule="auto"/>
              <w:ind w:left="1064"/>
              <w:rPr>
                <w:rFonts w:hint="default" w:ascii="Times New Roman" w:hAnsi="Times New Roman" w:eastAsia="宋体" w:cs="Times New Roman"/>
                <w:spacing w:val="10"/>
                <w:sz w:val="20"/>
                <w:szCs w:val="20"/>
                <w:highlight w:val="none"/>
              </w:rPr>
            </w:pPr>
          </w:p>
        </w:tc>
        <w:tc>
          <w:tcPr>
            <w:tcW w:w="627" w:type="dxa"/>
            <w:vMerge w:val="continue"/>
            <w:textDirection w:val="tbRlV"/>
            <w:vAlign w:val="top"/>
          </w:tcPr>
          <w:p>
            <w:pPr>
              <w:spacing w:before="219" w:line="221" w:lineRule="auto"/>
              <w:ind w:left="738"/>
              <w:rPr>
                <w:rFonts w:hint="default" w:ascii="Times New Roman" w:hAnsi="Times New Roman" w:eastAsia="宋体" w:cs="Times New Roman"/>
                <w:spacing w:val="11"/>
                <w:sz w:val="20"/>
                <w:szCs w:val="20"/>
                <w:highlight w:val="none"/>
              </w:rPr>
            </w:pPr>
          </w:p>
        </w:tc>
        <w:tc>
          <w:tcPr>
            <w:tcW w:w="1189" w:type="dxa"/>
            <w:gridSpan w:val="5"/>
            <w:vMerge w:val="continue"/>
            <w:vAlign w:val="center"/>
          </w:tcPr>
          <w:p>
            <w:pPr>
              <w:spacing w:before="65" w:line="228" w:lineRule="auto"/>
              <w:ind w:left="275"/>
              <w:jc w:val="both"/>
              <w:rPr>
                <w:rFonts w:hint="eastAsia" w:ascii="Times New Roman" w:hAnsi="Times New Roman" w:eastAsia="宋体" w:cs="Times New Roman"/>
                <w:sz w:val="20"/>
                <w:szCs w:val="20"/>
                <w:highlight w:val="none"/>
                <w:lang w:val="en-US" w:eastAsia="zh-CN"/>
              </w:rPr>
            </w:pPr>
          </w:p>
        </w:tc>
        <w:tc>
          <w:tcPr>
            <w:tcW w:w="2010" w:type="dxa"/>
            <w:gridSpan w:val="3"/>
            <w:tcBorders>
              <w:top w:val="single" w:color="auto" w:sz="4" w:space="0"/>
            </w:tcBorders>
            <w:vAlign w:val="center"/>
          </w:tcPr>
          <w:p>
            <w:pPr>
              <w:spacing w:before="78" w:line="228" w:lineRule="auto"/>
              <w:ind w:left="794"/>
              <w:jc w:val="both"/>
              <w:rPr>
                <w:rFonts w:hint="default" w:ascii="Times New Roman" w:hAnsi="Times New Roman" w:eastAsia="宋体" w:cs="Times New Roman"/>
                <w:spacing w:val="4"/>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泥饼</w:t>
            </w:r>
          </w:p>
        </w:tc>
        <w:tc>
          <w:tcPr>
            <w:tcW w:w="3065" w:type="dxa"/>
            <w:gridSpan w:val="2"/>
            <w:tcBorders>
              <w:top w:val="single" w:color="auto" w:sz="4" w:space="0"/>
            </w:tcBorders>
            <w:vAlign w:val="center"/>
          </w:tcPr>
          <w:p>
            <w:pPr>
              <w:spacing w:before="77" w:line="228" w:lineRule="auto"/>
              <w:ind w:left="594"/>
              <w:jc w:val="both"/>
              <w:rPr>
                <w:rFonts w:hint="default" w:ascii="Times New Roman" w:hAnsi="Times New Roman" w:eastAsia="宋体" w:cs="Times New Roman"/>
                <w:spacing w:val="12"/>
                <w:sz w:val="20"/>
                <w:szCs w:val="20"/>
                <w:highlight w:val="none"/>
              </w:rPr>
            </w:pPr>
            <w:r>
              <w:rPr>
                <w:rFonts w:hint="default" w:ascii="Times New Roman" w:hAnsi="Times New Roman" w:eastAsia="宋体" w:cs="Times New Roman"/>
                <w:spacing w:val="12"/>
                <w:sz w:val="20"/>
                <w:szCs w:val="20"/>
                <w:highlight w:val="none"/>
              </w:rPr>
              <w:t>外</w:t>
            </w:r>
            <w:r>
              <w:rPr>
                <w:rFonts w:hint="default" w:ascii="Times New Roman" w:hAnsi="Times New Roman" w:eastAsia="宋体" w:cs="Times New Roman"/>
                <w:spacing w:val="8"/>
                <w:sz w:val="20"/>
                <w:szCs w:val="20"/>
                <w:highlight w:val="none"/>
              </w:rPr>
              <w:t>售建材厂综合利用</w:t>
            </w:r>
          </w:p>
        </w:tc>
        <w:tc>
          <w:tcPr>
            <w:tcW w:w="1212" w:type="dxa"/>
            <w:tcBorders>
              <w:top w:val="single" w:color="auto" w:sz="4" w:space="0"/>
            </w:tcBorders>
            <w:vAlign w:val="top"/>
          </w:tcPr>
          <w:p>
            <w:pPr>
              <w:spacing w:before="47" w:line="274" w:lineRule="exact"/>
              <w:rPr>
                <w:rFonts w:hint="eastAsia" w:ascii="Times New Roman" w:hAnsi="Times New Roman" w:eastAsia="Times New Roman" w:cs="Times New Roman"/>
                <w:spacing w:val="3"/>
                <w:position w:val="2"/>
                <w:sz w:val="20"/>
                <w:szCs w:val="20"/>
                <w:highlight w:val="none"/>
                <w:lang w:val="en-US" w:eastAsia="zh-CN"/>
              </w:rPr>
            </w:pPr>
            <w:r>
              <w:rPr>
                <w:rFonts w:hint="eastAsia" w:ascii="Times New Roman" w:hAnsi="Times New Roman" w:eastAsia="Times New Roman" w:cs="Times New Roman"/>
                <w:spacing w:val="3"/>
                <w:position w:val="2"/>
                <w:sz w:val="20"/>
                <w:szCs w:val="20"/>
                <w:highlight w:val="none"/>
                <w:lang w:val="en-US" w:eastAsia="zh-CN"/>
              </w:rPr>
              <w:t>50085.191</w:t>
            </w:r>
            <w:r>
              <w:rPr>
                <w:rFonts w:hint="default" w:ascii="Times New Roman" w:hAnsi="Times New Roman" w:eastAsia="Times New Roman" w:cs="Times New Roman"/>
                <w:spacing w:val="3"/>
                <w:position w:val="2"/>
                <w:sz w:val="20"/>
                <w:szCs w:val="20"/>
                <w:highlight w:val="none"/>
              </w:rPr>
              <w:t xml:space="preserve"> t/a</w:t>
            </w:r>
          </w:p>
        </w:tc>
        <w:tc>
          <w:tcPr>
            <w:tcW w:w="1622" w:type="dxa"/>
            <w:gridSpan w:val="2"/>
            <w:vMerge w:val="continue"/>
            <w:vAlign w:val="top"/>
          </w:tcPr>
          <w:p>
            <w:pPr>
              <w:spacing w:before="47" w:line="274" w:lineRule="exact"/>
              <w:ind w:left="784"/>
              <w:rPr>
                <w:rFonts w:hint="default" w:ascii="Times New Roman" w:hAnsi="Times New Roman" w:eastAsia="Times New Roman" w:cs="Times New Roman"/>
                <w:spacing w:val="2"/>
                <w:position w:val="1"/>
                <w:sz w:val="20"/>
                <w:szCs w:val="20"/>
                <w:highlight w:val="none"/>
              </w:rPr>
            </w:pPr>
          </w:p>
        </w:tc>
        <w:tc>
          <w:tcPr>
            <w:tcW w:w="1095" w:type="dxa"/>
            <w:vMerge w:val="continue"/>
            <w:vAlign w:val="top"/>
          </w:tcPr>
          <w:p>
            <w:pPr>
              <w:spacing w:before="47" w:line="274" w:lineRule="exact"/>
              <w:ind w:left="400"/>
              <w:rPr>
                <w:rFonts w:hint="default" w:ascii="Times New Roman" w:hAnsi="Times New Roman" w:eastAsia="Times New Roman" w:cs="Times New Roman"/>
                <w:spacing w:val="3"/>
                <w:position w:val="1"/>
                <w:sz w:val="20"/>
                <w:szCs w:val="20"/>
                <w:highlight w:val="none"/>
              </w:rPr>
            </w:pPr>
          </w:p>
        </w:tc>
        <w:tc>
          <w:tcPr>
            <w:tcW w:w="2126" w:type="dxa"/>
            <w:vMerge w:val="continue"/>
            <w:vAlign w:val="top"/>
          </w:tcPr>
          <w:p>
            <w:pPr>
              <w:spacing w:before="47" w:line="274" w:lineRule="exact"/>
              <w:ind w:left="1040"/>
              <w:rPr>
                <w:rFonts w:hint="default" w:ascii="Times New Roman" w:hAnsi="Times New Roman" w:eastAsia="Times New Roman" w:cs="Times New Roman"/>
                <w:spacing w:val="2"/>
                <w:position w:val="1"/>
                <w:sz w:val="20"/>
                <w:szCs w:val="20"/>
                <w:highlight w:val="none"/>
              </w:rPr>
            </w:pPr>
          </w:p>
        </w:tc>
        <w:tc>
          <w:tcPr>
            <w:tcW w:w="785" w:type="dxa"/>
            <w:vMerge w:val="continue"/>
            <w:tcBorders>
              <w:right w:val="single" w:color="000000" w:sz="10" w:space="0"/>
            </w:tcBorders>
            <w:vAlign w:val="top"/>
          </w:tcPr>
          <w:p>
            <w:pPr>
              <w:spacing w:before="73" w:line="230" w:lineRule="auto"/>
              <w:ind w:left="297"/>
              <w:rPr>
                <w:rFonts w:hint="eastAsia" w:ascii="Times New Roman" w:hAnsi="Times New Roman" w:eastAsia="宋体" w:cs="Times New Roman"/>
                <w:spacing w:val="3"/>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46" w:type="dxa"/>
            <w:gridSpan w:val="2"/>
            <w:vMerge w:val="continue"/>
            <w:tcBorders>
              <w:left w:val="single" w:color="000000" w:sz="10" w:space="0"/>
            </w:tcBorders>
            <w:textDirection w:val="tbRlV"/>
            <w:vAlign w:val="top"/>
          </w:tcPr>
          <w:p>
            <w:pPr>
              <w:spacing w:before="122" w:line="217" w:lineRule="auto"/>
              <w:ind w:left="1064"/>
              <w:rPr>
                <w:rFonts w:hint="default" w:ascii="Times New Roman" w:hAnsi="Times New Roman" w:eastAsia="宋体" w:cs="Times New Roman"/>
                <w:spacing w:val="10"/>
                <w:sz w:val="20"/>
                <w:szCs w:val="20"/>
                <w:highlight w:val="none"/>
              </w:rPr>
            </w:pPr>
          </w:p>
        </w:tc>
        <w:tc>
          <w:tcPr>
            <w:tcW w:w="627" w:type="dxa"/>
            <w:vMerge w:val="continue"/>
            <w:textDirection w:val="tbRlV"/>
            <w:vAlign w:val="top"/>
          </w:tcPr>
          <w:p>
            <w:pPr>
              <w:spacing w:before="219" w:line="221" w:lineRule="auto"/>
              <w:ind w:left="738"/>
              <w:rPr>
                <w:rFonts w:hint="default" w:ascii="Times New Roman" w:hAnsi="Times New Roman" w:eastAsia="宋体" w:cs="Times New Roman"/>
                <w:spacing w:val="11"/>
                <w:sz w:val="20"/>
                <w:szCs w:val="20"/>
                <w:highlight w:val="none"/>
              </w:rPr>
            </w:pPr>
          </w:p>
        </w:tc>
        <w:tc>
          <w:tcPr>
            <w:tcW w:w="1189" w:type="dxa"/>
            <w:gridSpan w:val="5"/>
            <w:vMerge w:val="continue"/>
            <w:vAlign w:val="top"/>
          </w:tcPr>
          <w:p>
            <w:pPr>
              <w:spacing w:before="65" w:line="228" w:lineRule="auto"/>
              <w:ind w:left="275"/>
              <w:rPr>
                <w:rFonts w:hint="default" w:ascii="Times New Roman" w:hAnsi="Times New Roman" w:eastAsia="宋体" w:cs="Times New Roman"/>
                <w:spacing w:val="7"/>
                <w:sz w:val="20"/>
                <w:szCs w:val="20"/>
                <w:highlight w:val="none"/>
              </w:rPr>
            </w:pPr>
          </w:p>
        </w:tc>
        <w:tc>
          <w:tcPr>
            <w:tcW w:w="2010" w:type="dxa"/>
            <w:gridSpan w:val="3"/>
            <w:vAlign w:val="top"/>
          </w:tcPr>
          <w:p>
            <w:pPr>
              <w:spacing w:before="78" w:line="228" w:lineRule="auto"/>
              <w:ind w:left="794"/>
              <w:rPr>
                <w:rFonts w:hint="default" w:ascii="Times New Roman" w:hAnsi="Times New Roman" w:eastAsia="宋体" w:cs="Times New Roman"/>
                <w:spacing w:val="4"/>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废钢球</w:t>
            </w:r>
          </w:p>
        </w:tc>
        <w:tc>
          <w:tcPr>
            <w:tcW w:w="3065" w:type="dxa"/>
            <w:gridSpan w:val="2"/>
            <w:vAlign w:val="top"/>
          </w:tcPr>
          <w:p>
            <w:pPr>
              <w:spacing w:before="78" w:line="228" w:lineRule="auto"/>
              <w:ind w:left="702"/>
              <w:rPr>
                <w:rFonts w:hint="default" w:ascii="Times New Roman" w:hAnsi="Times New Roman" w:eastAsia="宋体" w:cs="Times New Roman"/>
                <w:spacing w:val="3"/>
                <w:sz w:val="20"/>
                <w:szCs w:val="20"/>
                <w:highlight w:val="none"/>
                <w:lang w:val="en-US" w:eastAsia="zh-CN"/>
              </w:rPr>
            </w:pPr>
            <w:r>
              <w:rPr>
                <w:rFonts w:hint="eastAsia" w:ascii="Times New Roman" w:hAnsi="Times New Roman" w:eastAsia="宋体" w:cs="Times New Roman"/>
                <w:spacing w:val="3"/>
                <w:sz w:val="20"/>
                <w:szCs w:val="20"/>
                <w:highlight w:val="none"/>
                <w:lang w:val="en-US" w:eastAsia="zh-CN"/>
              </w:rPr>
              <w:t>外售废品回收单位</w:t>
            </w:r>
          </w:p>
        </w:tc>
        <w:tc>
          <w:tcPr>
            <w:tcW w:w="1212" w:type="dxa"/>
            <w:vAlign w:val="top"/>
          </w:tcPr>
          <w:p>
            <w:pPr>
              <w:spacing w:before="47" w:line="274" w:lineRule="exact"/>
              <w:ind w:left="221"/>
              <w:rPr>
                <w:rFonts w:hint="default" w:ascii="Times New Roman" w:hAnsi="Times New Roman" w:eastAsia="Times New Roman" w:cs="Times New Roman"/>
                <w:spacing w:val="-4"/>
                <w:position w:val="2"/>
                <w:sz w:val="20"/>
                <w:szCs w:val="20"/>
                <w:highlight w:val="none"/>
              </w:rPr>
            </w:pPr>
            <w:r>
              <w:rPr>
                <w:rFonts w:hint="eastAsia" w:ascii="Times New Roman" w:hAnsi="Times New Roman" w:eastAsia="宋体" w:cs="Times New Roman"/>
                <w:spacing w:val="5"/>
                <w:position w:val="2"/>
                <w:sz w:val="20"/>
                <w:szCs w:val="20"/>
                <w:highlight w:val="none"/>
                <w:lang w:val="en-US" w:eastAsia="zh-CN"/>
              </w:rPr>
              <w:t>10.5</w:t>
            </w:r>
            <w:r>
              <w:rPr>
                <w:rFonts w:hint="default" w:ascii="Times New Roman" w:hAnsi="Times New Roman" w:eastAsia="Times New Roman" w:cs="Times New Roman"/>
                <w:position w:val="2"/>
                <w:sz w:val="20"/>
                <w:szCs w:val="20"/>
                <w:highlight w:val="none"/>
              </w:rPr>
              <w:t>t</w:t>
            </w:r>
            <w:r>
              <w:rPr>
                <w:rFonts w:hint="default" w:ascii="Times New Roman" w:hAnsi="Times New Roman" w:eastAsia="Times New Roman" w:cs="Times New Roman"/>
                <w:spacing w:val="3"/>
                <w:position w:val="2"/>
                <w:sz w:val="20"/>
                <w:szCs w:val="20"/>
                <w:highlight w:val="none"/>
              </w:rPr>
              <w:t>/</w:t>
            </w:r>
            <w:r>
              <w:rPr>
                <w:rFonts w:hint="default" w:ascii="Times New Roman" w:hAnsi="Times New Roman" w:eastAsia="Times New Roman" w:cs="Times New Roman"/>
                <w:position w:val="2"/>
                <w:sz w:val="20"/>
                <w:szCs w:val="20"/>
                <w:highlight w:val="none"/>
              </w:rPr>
              <w:t>a</w:t>
            </w:r>
          </w:p>
        </w:tc>
        <w:tc>
          <w:tcPr>
            <w:tcW w:w="1622" w:type="dxa"/>
            <w:gridSpan w:val="2"/>
            <w:vAlign w:val="top"/>
          </w:tcPr>
          <w:p>
            <w:pPr>
              <w:spacing w:before="47" w:line="274" w:lineRule="exact"/>
              <w:ind w:left="784" w:leftChars="0"/>
              <w:rPr>
                <w:rFonts w:hint="default" w:ascii="Times New Roman" w:hAnsi="Times New Roman" w:eastAsia="Times New Roman" w:cs="Times New Roman"/>
                <w:spacing w:val="2"/>
                <w:position w:val="1"/>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1095" w:type="dxa"/>
            <w:vAlign w:val="top"/>
          </w:tcPr>
          <w:p>
            <w:pPr>
              <w:spacing w:before="47" w:line="274" w:lineRule="exact"/>
              <w:ind w:left="400" w:leftChars="0"/>
              <w:rPr>
                <w:rFonts w:hint="default" w:ascii="Times New Roman" w:hAnsi="Times New Roman" w:eastAsia="Times New Roman" w:cs="Times New Roman"/>
                <w:spacing w:val="3"/>
                <w:position w:val="1"/>
                <w:sz w:val="20"/>
                <w:szCs w:val="20"/>
                <w:highlight w:val="none"/>
              </w:rPr>
            </w:pPr>
            <w:r>
              <w:rPr>
                <w:rFonts w:hint="default" w:ascii="Times New Roman" w:hAnsi="Times New Roman" w:eastAsia="Times New Roman" w:cs="Times New Roman"/>
                <w:spacing w:val="3"/>
                <w:position w:val="1"/>
                <w:sz w:val="20"/>
                <w:szCs w:val="20"/>
                <w:highlight w:val="none"/>
              </w:rPr>
              <w:t>0</w:t>
            </w:r>
            <w:r>
              <w:rPr>
                <w:rFonts w:hint="default" w:ascii="Times New Roman" w:hAnsi="Times New Roman" w:eastAsia="Times New Roman" w:cs="Times New Roman"/>
                <w:position w:val="1"/>
                <w:sz w:val="20"/>
                <w:szCs w:val="20"/>
                <w:highlight w:val="none"/>
              </w:rPr>
              <w:t>t</w:t>
            </w:r>
            <w:r>
              <w:rPr>
                <w:rFonts w:hint="default" w:ascii="Times New Roman" w:hAnsi="Times New Roman" w:eastAsia="Times New Roman" w:cs="Times New Roman"/>
                <w:spacing w:val="2"/>
                <w:position w:val="1"/>
                <w:sz w:val="20"/>
                <w:szCs w:val="20"/>
                <w:highlight w:val="none"/>
              </w:rPr>
              <w:t>/</w:t>
            </w:r>
            <w:r>
              <w:rPr>
                <w:rFonts w:hint="default" w:ascii="Times New Roman" w:hAnsi="Times New Roman" w:eastAsia="Times New Roman" w:cs="Times New Roman"/>
                <w:position w:val="1"/>
                <w:sz w:val="20"/>
                <w:szCs w:val="20"/>
                <w:highlight w:val="none"/>
              </w:rPr>
              <w:t>a</w:t>
            </w:r>
          </w:p>
        </w:tc>
        <w:tc>
          <w:tcPr>
            <w:tcW w:w="2126" w:type="dxa"/>
            <w:vAlign w:val="top"/>
          </w:tcPr>
          <w:p>
            <w:pPr>
              <w:spacing w:before="47" w:line="274" w:lineRule="exact"/>
              <w:ind w:left="1040"/>
              <w:rPr>
                <w:rFonts w:hint="default" w:ascii="Times New Roman" w:hAnsi="Times New Roman" w:eastAsia="Times New Roman" w:cs="Times New Roman"/>
                <w:spacing w:val="2"/>
                <w:position w:val="1"/>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785" w:type="dxa"/>
            <w:vMerge w:val="continue"/>
            <w:tcBorders>
              <w:right w:val="single" w:color="000000" w:sz="10" w:space="0"/>
            </w:tcBorders>
            <w:vAlign w:val="top"/>
          </w:tcPr>
          <w:p>
            <w:pPr>
              <w:spacing w:before="73" w:line="230" w:lineRule="auto"/>
              <w:ind w:left="29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46" w:type="dxa"/>
            <w:gridSpan w:val="2"/>
            <w:vMerge w:val="continue"/>
            <w:tcBorders>
              <w:left w:val="single" w:color="000000" w:sz="10" w:space="0"/>
            </w:tcBorders>
            <w:textDirection w:val="tbRlV"/>
            <w:vAlign w:val="top"/>
          </w:tcPr>
          <w:p>
            <w:pPr>
              <w:spacing w:before="122" w:line="217" w:lineRule="auto"/>
              <w:ind w:left="1064"/>
              <w:rPr>
                <w:rFonts w:hint="default" w:ascii="Times New Roman" w:hAnsi="Times New Roman" w:eastAsia="宋体" w:cs="Times New Roman"/>
                <w:spacing w:val="10"/>
                <w:sz w:val="20"/>
                <w:szCs w:val="20"/>
                <w:highlight w:val="none"/>
              </w:rPr>
            </w:pPr>
          </w:p>
        </w:tc>
        <w:tc>
          <w:tcPr>
            <w:tcW w:w="627" w:type="dxa"/>
            <w:vMerge w:val="continue"/>
            <w:textDirection w:val="tbRlV"/>
            <w:vAlign w:val="top"/>
          </w:tcPr>
          <w:p>
            <w:pPr>
              <w:spacing w:before="219" w:line="221" w:lineRule="auto"/>
              <w:ind w:left="738"/>
              <w:rPr>
                <w:rFonts w:hint="default" w:ascii="Times New Roman" w:hAnsi="Times New Roman" w:eastAsia="宋体" w:cs="Times New Roman"/>
                <w:spacing w:val="11"/>
                <w:sz w:val="20"/>
                <w:szCs w:val="20"/>
                <w:highlight w:val="none"/>
              </w:rPr>
            </w:pPr>
          </w:p>
        </w:tc>
        <w:tc>
          <w:tcPr>
            <w:tcW w:w="1189" w:type="dxa"/>
            <w:gridSpan w:val="5"/>
            <w:vMerge w:val="continue"/>
            <w:vAlign w:val="top"/>
          </w:tcPr>
          <w:p>
            <w:pPr>
              <w:spacing w:before="65" w:line="228" w:lineRule="auto"/>
              <w:ind w:left="275"/>
              <w:rPr>
                <w:rFonts w:hint="default" w:ascii="Times New Roman" w:hAnsi="Times New Roman" w:eastAsia="宋体" w:cs="Times New Roman"/>
                <w:spacing w:val="7"/>
                <w:sz w:val="20"/>
                <w:szCs w:val="20"/>
                <w:highlight w:val="none"/>
              </w:rPr>
            </w:pPr>
          </w:p>
        </w:tc>
        <w:tc>
          <w:tcPr>
            <w:tcW w:w="2010" w:type="dxa"/>
            <w:gridSpan w:val="3"/>
            <w:vAlign w:val="top"/>
          </w:tcPr>
          <w:p>
            <w:pPr>
              <w:spacing w:before="78" w:line="228" w:lineRule="auto"/>
              <w:ind w:left="794"/>
              <w:rPr>
                <w:rFonts w:hint="default" w:ascii="Times New Roman" w:hAnsi="Times New Roman" w:eastAsia="宋体" w:cs="Times New Roman"/>
                <w:spacing w:val="4"/>
                <w:sz w:val="20"/>
                <w:szCs w:val="20"/>
                <w:highlight w:val="none"/>
                <w:lang w:val="en-US" w:eastAsia="zh-CN"/>
              </w:rPr>
            </w:pPr>
            <w:r>
              <w:rPr>
                <w:rFonts w:hint="eastAsia" w:ascii="Times New Roman" w:hAnsi="Times New Roman" w:eastAsia="宋体" w:cs="Times New Roman"/>
                <w:spacing w:val="4"/>
                <w:sz w:val="20"/>
                <w:szCs w:val="20"/>
                <w:highlight w:val="none"/>
                <w:lang w:val="en-US" w:eastAsia="zh-CN"/>
              </w:rPr>
              <w:t>砂石料</w:t>
            </w:r>
          </w:p>
        </w:tc>
        <w:tc>
          <w:tcPr>
            <w:tcW w:w="3065" w:type="dxa"/>
            <w:gridSpan w:val="2"/>
            <w:vAlign w:val="top"/>
          </w:tcPr>
          <w:p>
            <w:pPr>
              <w:spacing w:before="78" w:line="228" w:lineRule="auto"/>
              <w:ind w:left="702"/>
              <w:rPr>
                <w:rFonts w:hint="eastAsia" w:ascii="Times New Roman" w:hAnsi="Times New Roman" w:eastAsia="宋体" w:cs="Times New Roman"/>
                <w:spacing w:val="3"/>
                <w:sz w:val="20"/>
                <w:szCs w:val="20"/>
                <w:highlight w:val="none"/>
                <w:lang w:val="en-US" w:eastAsia="zh-CN"/>
              </w:rPr>
            </w:pPr>
            <w:r>
              <w:rPr>
                <w:rFonts w:hint="default" w:ascii="Times New Roman" w:hAnsi="Times New Roman" w:eastAsia="宋体" w:cs="Times New Roman"/>
                <w:spacing w:val="12"/>
                <w:sz w:val="20"/>
                <w:szCs w:val="20"/>
                <w:highlight w:val="none"/>
              </w:rPr>
              <w:t>外</w:t>
            </w:r>
            <w:r>
              <w:rPr>
                <w:rFonts w:hint="default" w:ascii="Times New Roman" w:hAnsi="Times New Roman" w:eastAsia="宋体" w:cs="Times New Roman"/>
                <w:spacing w:val="8"/>
                <w:sz w:val="20"/>
                <w:szCs w:val="20"/>
                <w:highlight w:val="none"/>
              </w:rPr>
              <w:t>售建材厂综合利用</w:t>
            </w:r>
          </w:p>
        </w:tc>
        <w:tc>
          <w:tcPr>
            <w:tcW w:w="1212" w:type="dxa"/>
            <w:vAlign w:val="top"/>
          </w:tcPr>
          <w:p>
            <w:pPr>
              <w:spacing w:before="47" w:line="274" w:lineRule="exact"/>
              <w:ind w:left="221"/>
              <w:rPr>
                <w:rFonts w:hint="eastAsia" w:ascii="Times New Roman" w:hAnsi="Times New Roman" w:eastAsia="宋体" w:cs="Times New Roman"/>
                <w:spacing w:val="5"/>
                <w:position w:val="2"/>
                <w:sz w:val="20"/>
                <w:szCs w:val="20"/>
                <w:highlight w:val="none"/>
                <w:lang w:val="en-US" w:eastAsia="zh-CN"/>
              </w:rPr>
            </w:pPr>
            <w:r>
              <w:rPr>
                <w:rFonts w:hint="eastAsia" w:ascii="Times New Roman" w:hAnsi="Times New Roman" w:eastAsia="Times New Roman" w:cs="Times New Roman"/>
                <w:spacing w:val="3"/>
                <w:position w:val="2"/>
                <w:sz w:val="20"/>
                <w:szCs w:val="20"/>
                <w:highlight w:val="none"/>
                <w:lang w:val="en-US" w:eastAsia="zh-CN"/>
              </w:rPr>
              <w:t>350000</w:t>
            </w:r>
            <w:r>
              <w:rPr>
                <w:rFonts w:hint="default" w:ascii="Times New Roman" w:hAnsi="Times New Roman" w:eastAsia="Times New Roman" w:cs="Times New Roman"/>
                <w:spacing w:val="3"/>
                <w:position w:val="2"/>
                <w:sz w:val="20"/>
                <w:szCs w:val="20"/>
                <w:highlight w:val="none"/>
              </w:rPr>
              <w:t>t/a</w:t>
            </w:r>
          </w:p>
        </w:tc>
        <w:tc>
          <w:tcPr>
            <w:tcW w:w="1622" w:type="dxa"/>
            <w:gridSpan w:val="2"/>
            <w:vAlign w:val="top"/>
          </w:tcPr>
          <w:p>
            <w:pPr>
              <w:spacing w:before="47" w:line="274" w:lineRule="exact"/>
              <w:ind w:left="784" w:leftChars="0"/>
              <w:rPr>
                <w:rFonts w:hint="default" w:ascii="Times New Roman" w:hAnsi="Times New Roman" w:eastAsia="Times New Roman" w:cs="Times New Roman"/>
                <w:spacing w:val="2"/>
                <w:position w:val="1"/>
                <w:sz w:val="20"/>
                <w:szCs w:val="20"/>
                <w:highlight w:val="none"/>
              </w:rPr>
            </w:pPr>
          </w:p>
        </w:tc>
        <w:tc>
          <w:tcPr>
            <w:tcW w:w="1095" w:type="dxa"/>
            <w:vAlign w:val="top"/>
          </w:tcPr>
          <w:p>
            <w:pPr>
              <w:spacing w:before="47" w:line="274" w:lineRule="exact"/>
              <w:ind w:left="400" w:leftChars="0"/>
              <w:rPr>
                <w:rFonts w:hint="default" w:ascii="Times New Roman" w:hAnsi="Times New Roman" w:eastAsia="Times New Roman" w:cs="Times New Roman"/>
                <w:spacing w:val="3"/>
                <w:position w:val="1"/>
                <w:sz w:val="20"/>
                <w:szCs w:val="20"/>
                <w:highlight w:val="none"/>
              </w:rPr>
            </w:pPr>
          </w:p>
        </w:tc>
        <w:tc>
          <w:tcPr>
            <w:tcW w:w="2126" w:type="dxa"/>
            <w:vAlign w:val="top"/>
          </w:tcPr>
          <w:p>
            <w:pPr>
              <w:spacing w:before="47" w:line="274" w:lineRule="exact"/>
              <w:ind w:left="1040"/>
              <w:rPr>
                <w:rFonts w:hint="default" w:ascii="Times New Roman" w:hAnsi="Times New Roman" w:eastAsia="Times New Roman" w:cs="Times New Roman"/>
                <w:spacing w:val="2"/>
                <w:position w:val="1"/>
                <w:sz w:val="20"/>
                <w:szCs w:val="20"/>
                <w:highlight w:val="none"/>
              </w:rPr>
            </w:pPr>
          </w:p>
        </w:tc>
        <w:tc>
          <w:tcPr>
            <w:tcW w:w="785" w:type="dxa"/>
            <w:vMerge w:val="continue"/>
            <w:tcBorders>
              <w:right w:val="single" w:color="000000" w:sz="10" w:space="0"/>
            </w:tcBorders>
            <w:vAlign w:val="top"/>
          </w:tcPr>
          <w:p>
            <w:pPr>
              <w:spacing w:before="73" w:line="230" w:lineRule="auto"/>
              <w:ind w:left="297"/>
              <w:rPr>
                <w:rFonts w:hint="default" w:ascii="Times New Roman" w:hAnsi="Times New Roman" w:eastAsia="宋体" w:cs="Times New Roman"/>
                <w:sz w:val="20"/>
                <w:szCs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46" w:type="dxa"/>
            <w:gridSpan w:val="2"/>
            <w:vMerge w:val="continue"/>
            <w:tcBorders>
              <w:top w:val="nil"/>
              <w:left w:val="single" w:color="000000" w:sz="10" w:space="0"/>
              <w:bottom w:val="nil"/>
            </w:tcBorders>
            <w:textDirection w:val="tbRlV"/>
            <w:vAlign w:val="top"/>
          </w:tcPr>
          <w:p>
            <w:pPr>
              <w:rPr>
                <w:rFonts w:hint="default" w:ascii="Times New Roman" w:hAnsi="Times New Roman" w:cs="Times New Roman"/>
                <w:sz w:val="21"/>
                <w:highlight w:val="none"/>
              </w:rPr>
            </w:pPr>
          </w:p>
        </w:tc>
        <w:tc>
          <w:tcPr>
            <w:tcW w:w="627" w:type="dxa"/>
            <w:vMerge w:val="continue"/>
            <w:tcBorders>
              <w:top w:val="nil"/>
              <w:bottom w:val="nil"/>
            </w:tcBorders>
            <w:textDirection w:val="tbRlV"/>
            <w:vAlign w:val="top"/>
          </w:tcPr>
          <w:p>
            <w:pPr>
              <w:rPr>
                <w:rFonts w:hint="default" w:ascii="Times New Roman" w:hAnsi="Times New Roman" w:cs="Times New Roman"/>
                <w:sz w:val="21"/>
                <w:highlight w:val="none"/>
              </w:rPr>
            </w:pPr>
          </w:p>
        </w:tc>
        <w:tc>
          <w:tcPr>
            <w:tcW w:w="1189" w:type="dxa"/>
            <w:gridSpan w:val="5"/>
            <w:vMerge w:val="continue"/>
            <w:tcBorders>
              <w:top w:val="nil"/>
            </w:tcBorders>
            <w:vAlign w:val="top"/>
          </w:tcPr>
          <w:p>
            <w:pPr>
              <w:rPr>
                <w:rFonts w:hint="default" w:ascii="Times New Roman" w:hAnsi="Times New Roman" w:cs="Times New Roman"/>
                <w:sz w:val="21"/>
                <w:highlight w:val="none"/>
              </w:rPr>
            </w:pPr>
          </w:p>
        </w:tc>
        <w:tc>
          <w:tcPr>
            <w:tcW w:w="2010" w:type="dxa"/>
            <w:gridSpan w:val="3"/>
            <w:vAlign w:val="center"/>
          </w:tcPr>
          <w:p>
            <w:pPr>
              <w:spacing w:before="78" w:line="228" w:lineRule="auto"/>
              <w:ind w:left="702"/>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3"/>
                <w:sz w:val="20"/>
                <w:szCs w:val="20"/>
                <w:highlight w:val="none"/>
              </w:rPr>
              <w:t>除尘</w:t>
            </w:r>
            <w:r>
              <w:rPr>
                <w:rFonts w:hint="default" w:ascii="Times New Roman" w:hAnsi="Times New Roman" w:eastAsia="宋体" w:cs="Times New Roman"/>
                <w:spacing w:val="2"/>
                <w:sz w:val="20"/>
                <w:szCs w:val="20"/>
                <w:highlight w:val="none"/>
              </w:rPr>
              <w:t>灰</w:t>
            </w:r>
          </w:p>
        </w:tc>
        <w:tc>
          <w:tcPr>
            <w:tcW w:w="3065" w:type="dxa"/>
            <w:gridSpan w:val="2"/>
            <w:vAlign w:val="top"/>
          </w:tcPr>
          <w:p>
            <w:pPr>
              <w:spacing w:before="78" w:line="228" w:lineRule="auto"/>
              <w:rPr>
                <w:rFonts w:hint="default" w:ascii="Times New Roman" w:hAnsi="Times New Roman" w:eastAsia="宋体" w:cs="Times New Roman"/>
                <w:spacing w:val="3"/>
                <w:sz w:val="20"/>
                <w:szCs w:val="20"/>
                <w:highlight w:val="none"/>
              </w:rPr>
            </w:pPr>
            <w:r>
              <w:rPr>
                <w:rFonts w:hint="eastAsia" w:ascii="Times New Roman" w:hAnsi="Times New Roman" w:eastAsia="宋体" w:cs="Times New Roman"/>
                <w:spacing w:val="3"/>
                <w:sz w:val="20"/>
                <w:szCs w:val="20"/>
                <w:highlight w:val="none"/>
                <w:lang w:val="en-US" w:eastAsia="zh-CN"/>
              </w:rPr>
              <w:t>灰仓底部设水箱，卸灰至水箱内，由渣浆泵打入球磨机回用于生产</w:t>
            </w:r>
          </w:p>
        </w:tc>
        <w:tc>
          <w:tcPr>
            <w:tcW w:w="1212" w:type="dxa"/>
            <w:vAlign w:val="center"/>
          </w:tcPr>
          <w:p>
            <w:pPr>
              <w:spacing w:before="47" w:line="274" w:lineRule="exact"/>
              <w:ind w:left="222" w:firstLine="210" w:firstLineChars="100"/>
              <w:jc w:val="both"/>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5"/>
                <w:position w:val="2"/>
                <w:sz w:val="20"/>
                <w:szCs w:val="20"/>
                <w:highlight w:val="none"/>
                <w:lang w:val="en-US" w:eastAsia="zh-CN"/>
              </w:rPr>
              <w:t>370</w:t>
            </w:r>
            <w:r>
              <w:rPr>
                <w:rFonts w:hint="default" w:ascii="Times New Roman" w:hAnsi="Times New Roman" w:eastAsia="Times New Roman" w:cs="Times New Roman"/>
                <w:position w:val="2"/>
                <w:sz w:val="20"/>
                <w:szCs w:val="20"/>
                <w:highlight w:val="none"/>
              </w:rPr>
              <w:t>t</w:t>
            </w:r>
            <w:r>
              <w:rPr>
                <w:rFonts w:hint="default" w:ascii="Times New Roman" w:hAnsi="Times New Roman" w:eastAsia="Times New Roman" w:cs="Times New Roman"/>
                <w:spacing w:val="3"/>
                <w:position w:val="2"/>
                <w:sz w:val="20"/>
                <w:szCs w:val="20"/>
                <w:highlight w:val="none"/>
              </w:rPr>
              <w:t>/</w:t>
            </w:r>
            <w:r>
              <w:rPr>
                <w:rFonts w:hint="default" w:ascii="Times New Roman" w:hAnsi="Times New Roman" w:eastAsia="Times New Roman" w:cs="Times New Roman"/>
                <w:position w:val="2"/>
                <w:sz w:val="20"/>
                <w:szCs w:val="20"/>
                <w:highlight w:val="none"/>
              </w:rPr>
              <w:t>a</w:t>
            </w:r>
          </w:p>
        </w:tc>
        <w:tc>
          <w:tcPr>
            <w:tcW w:w="1622" w:type="dxa"/>
            <w:gridSpan w:val="2"/>
            <w:vAlign w:val="top"/>
          </w:tcPr>
          <w:p>
            <w:pPr>
              <w:spacing w:before="47" w:line="274" w:lineRule="exact"/>
              <w:ind w:left="7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1095" w:type="dxa"/>
            <w:vAlign w:val="top"/>
          </w:tcPr>
          <w:p>
            <w:pPr>
              <w:spacing w:before="47" w:line="274" w:lineRule="exact"/>
              <w:ind w:left="4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1"/>
                <w:sz w:val="20"/>
                <w:szCs w:val="20"/>
                <w:highlight w:val="none"/>
              </w:rPr>
              <w:t>0</w:t>
            </w:r>
            <w:r>
              <w:rPr>
                <w:rFonts w:hint="default" w:ascii="Times New Roman" w:hAnsi="Times New Roman" w:eastAsia="Times New Roman" w:cs="Times New Roman"/>
                <w:position w:val="1"/>
                <w:sz w:val="20"/>
                <w:szCs w:val="20"/>
                <w:highlight w:val="none"/>
              </w:rPr>
              <w:t>t</w:t>
            </w:r>
            <w:r>
              <w:rPr>
                <w:rFonts w:hint="default" w:ascii="Times New Roman" w:hAnsi="Times New Roman" w:eastAsia="Times New Roman" w:cs="Times New Roman"/>
                <w:spacing w:val="2"/>
                <w:position w:val="1"/>
                <w:sz w:val="20"/>
                <w:szCs w:val="20"/>
                <w:highlight w:val="none"/>
              </w:rPr>
              <w:t>/</w:t>
            </w:r>
            <w:r>
              <w:rPr>
                <w:rFonts w:hint="default" w:ascii="Times New Roman" w:hAnsi="Times New Roman" w:eastAsia="Times New Roman" w:cs="Times New Roman"/>
                <w:position w:val="1"/>
                <w:sz w:val="20"/>
                <w:szCs w:val="20"/>
                <w:highlight w:val="none"/>
              </w:rPr>
              <w:t>a</w:t>
            </w:r>
          </w:p>
        </w:tc>
        <w:tc>
          <w:tcPr>
            <w:tcW w:w="2126" w:type="dxa"/>
            <w:vAlign w:val="top"/>
          </w:tcPr>
          <w:p>
            <w:pPr>
              <w:spacing w:before="47" w:line="274" w:lineRule="exact"/>
              <w:ind w:left="104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785"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46" w:type="dxa"/>
            <w:gridSpan w:val="2"/>
            <w:vMerge w:val="continue"/>
            <w:tcBorders>
              <w:top w:val="nil"/>
              <w:left w:val="single" w:color="000000" w:sz="10" w:space="0"/>
              <w:bottom w:val="nil"/>
            </w:tcBorders>
            <w:textDirection w:val="tbRlV"/>
            <w:vAlign w:val="top"/>
          </w:tcPr>
          <w:p>
            <w:pPr>
              <w:rPr>
                <w:rFonts w:hint="default" w:ascii="Times New Roman" w:hAnsi="Times New Roman" w:cs="Times New Roman"/>
                <w:sz w:val="21"/>
                <w:highlight w:val="none"/>
              </w:rPr>
            </w:pPr>
          </w:p>
        </w:tc>
        <w:tc>
          <w:tcPr>
            <w:tcW w:w="627" w:type="dxa"/>
            <w:vMerge w:val="continue"/>
            <w:tcBorders>
              <w:top w:val="nil"/>
              <w:bottom w:val="nil"/>
            </w:tcBorders>
            <w:textDirection w:val="tbRlV"/>
            <w:vAlign w:val="top"/>
          </w:tcPr>
          <w:p>
            <w:pPr>
              <w:rPr>
                <w:rFonts w:hint="default" w:ascii="Times New Roman" w:hAnsi="Times New Roman" w:cs="Times New Roman"/>
                <w:sz w:val="21"/>
                <w:highlight w:val="none"/>
              </w:rPr>
            </w:pPr>
          </w:p>
        </w:tc>
        <w:tc>
          <w:tcPr>
            <w:tcW w:w="1189" w:type="dxa"/>
            <w:gridSpan w:val="5"/>
            <w:vMerge w:val="restart"/>
            <w:vAlign w:val="top"/>
          </w:tcPr>
          <w:p>
            <w:pPr>
              <w:spacing w:before="240" w:line="228" w:lineRule="auto"/>
              <w:ind w:left="275"/>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pacing w:val="7"/>
                <w:sz w:val="20"/>
                <w:szCs w:val="20"/>
                <w:highlight w:val="none"/>
                <w:lang w:val="en-US" w:eastAsia="zh-CN"/>
              </w:rPr>
              <w:t>设备维护</w:t>
            </w:r>
          </w:p>
        </w:tc>
        <w:tc>
          <w:tcPr>
            <w:tcW w:w="2010" w:type="dxa"/>
            <w:gridSpan w:val="3"/>
            <w:vAlign w:val="top"/>
          </w:tcPr>
          <w:p>
            <w:pPr>
              <w:spacing w:before="240" w:line="228" w:lineRule="auto"/>
              <w:ind w:left="58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废</w:t>
            </w:r>
            <w:r>
              <w:rPr>
                <w:rFonts w:hint="default" w:ascii="Times New Roman" w:hAnsi="Times New Roman" w:eastAsia="宋体" w:cs="Times New Roman"/>
                <w:spacing w:val="7"/>
                <w:sz w:val="20"/>
                <w:szCs w:val="20"/>
                <w:highlight w:val="none"/>
              </w:rPr>
              <w:t>矿物油</w:t>
            </w:r>
          </w:p>
        </w:tc>
        <w:tc>
          <w:tcPr>
            <w:tcW w:w="3065" w:type="dxa"/>
            <w:gridSpan w:val="2"/>
            <w:vAlign w:val="top"/>
          </w:tcPr>
          <w:p>
            <w:pPr>
              <w:spacing w:before="78" w:line="261" w:lineRule="auto"/>
              <w:ind w:left="1221" w:right="106" w:hanging="111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危</w:t>
            </w:r>
            <w:r>
              <w:rPr>
                <w:rFonts w:hint="default" w:ascii="Times New Roman" w:hAnsi="Times New Roman" w:eastAsia="宋体" w:cs="Times New Roman"/>
                <w:spacing w:val="3"/>
                <w:sz w:val="20"/>
                <w:szCs w:val="20"/>
                <w:highlight w:val="none"/>
              </w:rPr>
              <w:t>废间暂存，定期送危废处理单</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7"/>
                <w:sz w:val="20"/>
                <w:szCs w:val="20"/>
                <w:highlight w:val="none"/>
              </w:rPr>
              <w:t>位处</w:t>
            </w:r>
            <w:r>
              <w:rPr>
                <w:rFonts w:hint="default" w:ascii="Times New Roman" w:hAnsi="Times New Roman" w:eastAsia="宋体" w:cs="Times New Roman"/>
                <w:spacing w:val="6"/>
                <w:sz w:val="20"/>
                <w:szCs w:val="20"/>
                <w:highlight w:val="none"/>
              </w:rPr>
              <w:t>理</w:t>
            </w:r>
          </w:p>
        </w:tc>
        <w:tc>
          <w:tcPr>
            <w:tcW w:w="1212" w:type="dxa"/>
            <w:vAlign w:val="top"/>
          </w:tcPr>
          <w:p>
            <w:pPr>
              <w:spacing w:before="209" w:line="274" w:lineRule="exact"/>
              <w:ind w:left="376"/>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position w:val="2"/>
                <w:sz w:val="20"/>
                <w:szCs w:val="20"/>
                <w:highlight w:val="none"/>
              </w:rPr>
              <w:t>0</w:t>
            </w:r>
            <w:r>
              <w:rPr>
                <w:rFonts w:hint="default" w:ascii="Times New Roman" w:hAnsi="Times New Roman" w:eastAsia="Times New Roman" w:cs="Times New Roman"/>
                <w:spacing w:val="3"/>
                <w:position w:val="2"/>
                <w:sz w:val="20"/>
                <w:szCs w:val="20"/>
                <w:highlight w:val="none"/>
              </w:rPr>
              <w:t>.2</w:t>
            </w:r>
            <w:r>
              <w:rPr>
                <w:rFonts w:hint="default" w:ascii="Times New Roman" w:hAnsi="Times New Roman" w:eastAsia="Times New Roman" w:cs="Times New Roman"/>
                <w:position w:val="2"/>
                <w:sz w:val="20"/>
                <w:szCs w:val="20"/>
                <w:highlight w:val="none"/>
              </w:rPr>
              <w:t>t</w:t>
            </w:r>
            <w:r>
              <w:rPr>
                <w:rFonts w:hint="default" w:ascii="Times New Roman" w:hAnsi="Times New Roman" w:eastAsia="Times New Roman" w:cs="Times New Roman"/>
                <w:spacing w:val="3"/>
                <w:position w:val="2"/>
                <w:sz w:val="20"/>
                <w:szCs w:val="20"/>
                <w:highlight w:val="none"/>
              </w:rPr>
              <w:t>/</w:t>
            </w:r>
            <w:r>
              <w:rPr>
                <w:rFonts w:hint="default" w:ascii="Times New Roman" w:hAnsi="Times New Roman" w:eastAsia="Times New Roman" w:cs="Times New Roman"/>
                <w:position w:val="2"/>
                <w:sz w:val="20"/>
                <w:szCs w:val="20"/>
                <w:highlight w:val="none"/>
              </w:rPr>
              <w:t>a</w:t>
            </w:r>
          </w:p>
        </w:tc>
        <w:tc>
          <w:tcPr>
            <w:tcW w:w="1622" w:type="dxa"/>
            <w:gridSpan w:val="2"/>
            <w:vAlign w:val="top"/>
          </w:tcPr>
          <w:p>
            <w:pPr>
              <w:spacing w:before="209" w:line="274" w:lineRule="exact"/>
              <w:ind w:left="78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1095" w:type="dxa"/>
            <w:vAlign w:val="top"/>
          </w:tcPr>
          <w:p>
            <w:pPr>
              <w:spacing w:before="209" w:line="274" w:lineRule="exact"/>
              <w:ind w:left="4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3"/>
                <w:position w:val="1"/>
                <w:sz w:val="20"/>
                <w:szCs w:val="20"/>
                <w:highlight w:val="none"/>
              </w:rPr>
              <w:t>0</w:t>
            </w:r>
            <w:r>
              <w:rPr>
                <w:rFonts w:hint="default" w:ascii="Times New Roman" w:hAnsi="Times New Roman" w:eastAsia="Times New Roman" w:cs="Times New Roman"/>
                <w:position w:val="1"/>
                <w:sz w:val="20"/>
                <w:szCs w:val="20"/>
                <w:highlight w:val="none"/>
              </w:rPr>
              <w:t>t</w:t>
            </w:r>
            <w:r>
              <w:rPr>
                <w:rFonts w:hint="default" w:ascii="Times New Roman" w:hAnsi="Times New Roman" w:eastAsia="Times New Roman" w:cs="Times New Roman"/>
                <w:spacing w:val="2"/>
                <w:position w:val="1"/>
                <w:sz w:val="20"/>
                <w:szCs w:val="20"/>
                <w:highlight w:val="none"/>
              </w:rPr>
              <w:t>/</w:t>
            </w:r>
            <w:r>
              <w:rPr>
                <w:rFonts w:hint="default" w:ascii="Times New Roman" w:hAnsi="Times New Roman" w:eastAsia="Times New Roman" w:cs="Times New Roman"/>
                <w:position w:val="1"/>
                <w:sz w:val="20"/>
                <w:szCs w:val="20"/>
                <w:highlight w:val="none"/>
              </w:rPr>
              <w:t>a</w:t>
            </w:r>
          </w:p>
        </w:tc>
        <w:tc>
          <w:tcPr>
            <w:tcW w:w="2126" w:type="dxa"/>
            <w:vAlign w:val="top"/>
          </w:tcPr>
          <w:p>
            <w:pPr>
              <w:spacing w:before="209" w:line="274" w:lineRule="exact"/>
              <w:ind w:left="104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785"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46" w:type="dxa"/>
            <w:gridSpan w:val="2"/>
            <w:vMerge w:val="continue"/>
            <w:tcBorders>
              <w:top w:val="nil"/>
              <w:left w:val="single" w:color="000000" w:sz="10" w:space="0"/>
              <w:bottom w:val="single" w:color="auto" w:sz="4" w:space="0"/>
            </w:tcBorders>
            <w:textDirection w:val="tbRlV"/>
            <w:vAlign w:val="top"/>
          </w:tcPr>
          <w:p>
            <w:pPr>
              <w:rPr>
                <w:rFonts w:hint="default" w:ascii="Times New Roman" w:hAnsi="Times New Roman" w:cs="Times New Roman"/>
                <w:sz w:val="21"/>
                <w:highlight w:val="none"/>
              </w:rPr>
            </w:pPr>
          </w:p>
        </w:tc>
        <w:tc>
          <w:tcPr>
            <w:tcW w:w="627" w:type="dxa"/>
            <w:vMerge w:val="continue"/>
            <w:tcBorders>
              <w:top w:val="nil"/>
            </w:tcBorders>
            <w:textDirection w:val="tbRlV"/>
            <w:vAlign w:val="top"/>
          </w:tcPr>
          <w:p>
            <w:pPr>
              <w:rPr>
                <w:rFonts w:hint="default" w:ascii="Times New Roman" w:hAnsi="Times New Roman" w:cs="Times New Roman"/>
                <w:sz w:val="21"/>
                <w:highlight w:val="none"/>
              </w:rPr>
            </w:pPr>
          </w:p>
        </w:tc>
        <w:tc>
          <w:tcPr>
            <w:tcW w:w="1189" w:type="dxa"/>
            <w:gridSpan w:val="5"/>
            <w:vMerge w:val="continue"/>
            <w:vAlign w:val="top"/>
          </w:tcPr>
          <w:p>
            <w:pPr>
              <w:spacing w:before="81" w:line="225" w:lineRule="auto"/>
              <w:ind w:left="382"/>
              <w:rPr>
                <w:rFonts w:hint="default" w:ascii="Times New Roman" w:hAnsi="Times New Roman" w:eastAsia="宋体" w:cs="Times New Roman"/>
                <w:sz w:val="20"/>
                <w:szCs w:val="20"/>
                <w:highlight w:val="none"/>
              </w:rPr>
            </w:pPr>
          </w:p>
        </w:tc>
        <w:tc>
          <w:tcPr>
            <w:tcW w:w="2010" w:type="dxa"/>
            <w:gridSpan w:val="3"/>
            <w:vAlign w:val="top"/>
          </w:tcPr>
          <w:p>
            <w:pPr>
              <w:spacing w:before="81" w:line="225" w:lineRule="auto"/>
              <w:ind w:left="68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废油桶</w:t>
            </w:r>
          </w:p>
        </w:tc>
        <w:tc>
          <w:tcPr>
            <w:tcW w:w="3065" w:type="dxa"/>
            <w:gridSpan w:val="2"/>
            <w:vAlign w:val="top"/>
          </w:tcPr>
          <w:p>
            <w:pPr>
              <w:spacing w:before="81" w:line="225" w:lineRule="auto"/>
              <w:ind w:left="38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rPr>
              <w:t>危废</w:t>
            </w:r>
            <w:r>
              <w:rPr>
                <w:rFonts w:hint="default" w:ascii="Times New Roman" w:hAnsi="Times New Roman" w:eastAsia="宋体" w:cs="Times New Roman"/>
                <w:sz w:val="20"/>
                <w:szCs w:val="20"/>
                <w:highlight w:val="none"/>
              </w:rPr>
              <w:t>间暂存， 由厂家回收</w:t>
            </w:r>
          </w:p>
        </w:tc>
        <w:tc>
          <w:tcPr>
            <w:tcW w:w="1212" w:type="dxa"/>
            <w:vAlign w:val="top"/>
          </w:tcPr>
          <w:p>
            <w:pPr>
              <w:spacing w:before="81" w:line="225" w:lineRule="auto"/>
              <w:ind w:left="335"/>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1"/>
                <w:sz w:val="20"/>
                <w:szCs w:val="20"/>
                <w:highlight w:val="none"/>
              </w:rPr>
              <w:t>1~2</w:t>
            </w:r>
            <w:r>
              <w:rPr>
                <w:rFonts w:hint="default" w:ascii="Times New Roman" w:hAnsi="Times New Roman" w:eastAsia="Times New Roman" w:cs="Times New Roman"/>
                <w:sz w:val="20"/>
                <w:szCs w:val="20"/>
                <w:highlight w:val="none"/>
              </w:rPr>
              <w:t xml:space="preserve"> </w:t>
            </w:r>
            <w:r>
              <w:rPr>
                <w:rFonts w:hint="default" w:ascii="Times New Roman" w:hAnsi="Times New Roman" w:eastAsia="宋体" w:cs="Times New Roman"/>
                <w:sz w:val="20"/>
                <w:szCs w:val="20"/>
                <w:highlight w:val="none"/>
              </w:rPr>
              <w:t>个</w:t>
            </w:r>
          </w:p>
        </w:tc>
        <w:tc>
          <w:tcPr>
            <w:tcW w:w="1622" w:type="dxa"/>
            <w:gridSpan w:val="2"/>
            <w:vAlign w:val="top"/>
          </w:tcPr>
          <w:p>
            <w:pPr>
              <w:rPr>
                <w:rFonts w:hint="default" w:ascii="Times New Roman" w:hAnsi="Times New Roman" w:cs="Times New Roman"/>
                <w:sz w:val="21"/>
                <w:highlight w:val="none"/>
              </w:rPr>
            </w:pPr>
          </w:p>
        </w:tc>
        <w:tc>
          <w:tcPr>
            <w:tcW w:w="1095" w:type="dxa"/>
            <w:vAlign w:val="top"/>
          </w:tcPr>
          <w:p>
            <w:pPr>
              <w:spacing w:before="81" w:line="225" w:lineRule="auto"/>
              <w:ind w:left="376"/>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3"/>
                <w:sz w:val="20"/>
                <w:szCs w:val="20"/>
                <w:highlight w:val="none"/>
              </w:rPr>
              <w:t>0</w:t>
            </w:r>
            <w:r>
              <w:rPr>
                <w:rFonts w:hint="default" w:ascii="Times New Roman" w:hAnsi="Times New Roman" w:eastAsia="Times New Roman" w:cs="Times New Roman"/>
                <w:spacing w:val="2"/>
                <w:sz w:val="20"/>
                <w:szCs w:val="20"/>
                <w:highlight w:val="none"/>
              </w:rPr>
              <w:t xml:space="preserve"> </w:t>
            </w:r>
            <w:r>
              <w:rPr>
                <w:rFonts w:hint="default" w:ascii="Times New Roman" w:hAnsi="Times New Roman" w:eastAsia="宋体" w:cs="Times New Roman"/>
                <w:spacing w:val="2"/>
                <w:sz w:val="20"/>
                <w:szCs w:val="20"/>
                <w:highlight w:val="none"/>
              </w:rPr>
              <w:t>个</w:t>
            </w:r>
          </w:p>
        </w:tc>
        <w:tc>
          <w:tcPr>
            <w:tcW w:w="2126" w:type="dxa"/>
            <w:vAlign w:val="top"/>
          </w:tcPr>
          <w:p>
            <w:pPr>
              <w:spacing w:before="50" w:line="274" w:lineRule="exact"/>
              <w:ind w:left="104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position w:val="1"/>
                <w:sz w:val="20"/>
                <w:szCs w:val="20"/>
                <w:highlight w:val="none"/>
              </w:rPr>
              <w:t>/</w:t>
            </w:r>
          </w:p>
        </w:tc>
        <w:tc>
          <w:tcPr>
            <w:tcW w:w="785"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07" w:type="dxa"/>
            <w:gridSpan w:val="6"/>
            <w:tcBorders>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8" w:lineRule="auto"/>
              <w:ind w:left="646"/>
              <w:jc w:val="both"/>
              <w:textAlignment w:val="baseline"/>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防渗</w:t>
            </w:r>
          </w:p>
        </w:tc>
        <w:tc>
          <w:tcPr>
            <w:tcW w:w="12470" w:type="dxa"/>
            <w:gridSpan w:val="13"/>
            <w:tcBorders>
              <w:right w:val="single" w:color="000000" w:sz="10" w:space="0"/>
            </w:tcBorders>
            <w:vAlign w:val="top"/>
          </w:tcPr>
          <w:p>
            <w:pPr>
              <w:spacing w:before="81" w:line="270" w:lineRule="auto"/>
              <w:ind w:left="3886" w:right="139" w:hanging="3735"/>
              <w:rPr>
                <w:rFonts w:hint="default" w:ascii="Times New Roman" w:hAnsi="Times New Roman" w:eastAsia="Times New Roman" w:cs="Times New Roman"/>
                <w:sz w:val="20"/>
                <w:szCs w:val="20"/>
                <w:highlight w:val="none"/>
              </w:rPr>
            </w:pPr>
            <w:r>
              <w:rPr>
                <w:rFonts w:hint="eastAsia" w:ascii="Times New Roman" w:hAnsi="Times New Roman" w:eastAsia="宋体" w:cs="Times New Roman"/>
                <w:spacing w:val="9"/>
                <w:sz w:val="20"/>
                <w:szCs w:val="20"/>
                <w:highlight w:val="none"/>
                <w:lang w:val="en-US" w:eastAsia="zh-CN"/>
              </w:rPr>
              <w:t>5#</w:t>
            </w:r>
            <w:r>
              <w:rPr>
                <w:rFonts w:hint="default" w:ascii="Times New Roman" w:hAnsi="Times New Roman" w:eastAsia="宋体" w:cs="Times New Roman"/>
                <w:spacing w:val="9"/>
                <w:sz w:val="20"/>
                <w:szCs w:val="20"/>
                <w:highlight w:val="none"/>
              </w:rPr>
              <w:t>生产车间地面采用混凝</w:t>
            </w:r>
            <w:r>
              <w:rPr>
                <w:rFonts w:hint="default" w:ascii="Times New Roman" w:hAnsi="Times New Roman" w:eastAsia="宋体" w:cs="Times New Roman"/>
                <w:spacing w:val="3"/>
                <w:sz w:val="20"/>
                <w:szCs w:val="20"/>
                <w:highlight w:val="none"/>
              </w:rPr>
              <w:t xml:space="preserve">土浇筑防渗，厚度为 </w:t>
            </w:r>
            <w:r>
              <w:rPr>
                <w:rFonts w:hint="default" w:ascii="Times New Roman" w:hAnsi="Times New Roman" w:eastAsia="Times New Roman" w:cs="Times New Roman"/>
                <w:spacing w:val="3"/>
                <w:sz w:val="20"/>
                <w:szCs w:val="20"/>
                <w:highlight w:val="none"/>
              </w:rPr>
              <w:t>20</w:t>
            </w:r>
            <w:r>
              <w:rPr>
                <w:rFonts w:hint="default" w:ascii="Times New Roman" w:hAnsi="Times New Roman" w:eastAsia="Times New Roman" w:cs="Times New Roman"/>
                <w:sz w:val="20"/>
                <w:szCs w:val="20"/>
                <w:highlight w:val="none"/>
              </w:rPr>
              <w:t>cm</w:t>
            </w:r>
            <w:r>
              <w:rPr>
                <w:rFonts w:hint="default" w:ascii="Times New Roman" w:hAnsi="Times New Roman" w:eastAsia="Times New Roman" w:cs="Times New Roman"/>
                <w:spacing w:val="3"/>
                <w:sz w:val="20"/>
                <w:szCs w:val="20"/>
                <w:highlight w:val="none"/>
              </w:rPr>
              <w:t xml:space="preserve"> </w:t>
            </w:r>
            <w:r>
              <w:rPr>
                <w:rFonts w:hint="default" w:ascii="Times New Roman" w:hAnsi="Times New Roman" w:eastAsia="宋体" w:cs="Times New Roman"/>
                <w:spacing w:val="3"/>
                <w:sz w:val="20"/>
                <w:szCs w:val="20"/>
                <w:highlight w:val="none"/>
              </w:rPr>
              <w:t xml:space="preserve">，渗透系数小于 </w:t>
            </w:r>
            <w:r>
              <w:rPr>
                <w:rFonts w:hint="default" w:ascii="Times New Roman" w:hAnsi="Times New Roman" w:eastAsia="Times New Roman" w:cs="Times New Roman"/>
                <w:spacing w:val="3"/>
                <w:sz w:val="20"/>
                <w:szCs w:val="20"/>
                <w:highlight w:val="none"/>
              </w:rPr>
              <w:t>10</w:t>
            </w:r>
            <w:r>
              <w:rPr>
                <w:rFonts w:hint="default" w:ascii="Times New Roman" w:hAnsi="Times New Roman" w:eastAsia="Times New Roman" w:cs="Times New Roman"/>
                <w:spacing w:val="3"/>
                <w:position w:val="6"/>
                <w:sz w:val="13"/>
                <w:szCs w:val="13"/>
                <w:highlight w:val="none"/>
              </w:rPr>
              <w:t xml:space="preserve">-7 </w:t>
            </w:r>
            <w:r>
              <w:rPr>
                <w:rFonts w:hint="default" w:ascii="Times New Roman" w:hAnsi="Times New Roman" w:eastAsia="Times New Roman" w:cs="Times New Roman"/>
                <w:sz w:val="20"/>
                <w:szCs w:val="20"/>
                <w:highlight w:val="none"/>
              </w:rPr>
              <w:t>cm</w:t>
            </w:r>
            <w:r>
              <w:rPr>
                <w:rFonts w:hint="default" w:ascii="Times New Roman" w:hAnsi="Times New Roman" w:eastAsia="Times New Roman" w:cs="Times New Roman"/>
                <w:spacing w:val="1"/>
                <w:sz w:val="20"/>
                <w:szCs w:val="20"/>
                <w:highlight w:val="none"/>
              </w:rPr>
              <w:t>/</w:t>
            </w:r>
            <w:r>
              <w:rPr>
                <w:rFonts w:hint="default" w:ascii="Times New Roman" w:hAnsi="Times New Roman" w:eastAsia="Times New Roman" w:cs="Times New Roman"/>
                <w:sz w:val="20"/>
                <w:szCs w:val="20"/>
                <w:highlight w:val="none"/>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707" w:type="dxa"/>
            <w:gridSpan w:val="6"/>
            <w:tcBorders>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8" w:lineRule="auto"/>
              <w:ind w:left="425"/>
              <w:jc w:val="both"/>
              <w:textAlignment w:val="baseline"/>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视</w:t>
            </w:r>
            <w:r>
              <w:rPr>
                <w:rFonts w:hint="default" w:ascii="Times New Roman" w:hAnsi="Times New Roman" w:eastAsia="宋体" w:cs="Times New Roman"/>
                <w:spacing w:val="7"/>
                <w:sz w:val="20"/>
                <w:szCs w:val="20"/>
                <w:highlight w:val="none"/>
              </w:rPr>
              <w:t>频监控</w:t>
            </w:r>
          </w:p>
        </w:tc>
        <w:tc>
          <w:tcPr>
            <w:tcW w:w="12470" w:type="dxa"/>
            <w:gridSpan w:val="13"/>
            <w:tcBorders>
              <w:right w:val="single" w:color="000000" w:sz="10" w:space="0"/>
            </w:tcBorders>
            <w:vAlign w:val="top"/>
          </w:tcPr>
          <w:p>
            <w:pPr>
              <w:spacing w:before="80" w:line="260" w:lineRule="auto"/>
              <w:ind w:left="4452" w:right="139" w:hanging="4305"/>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9"/>
                <w:sz w:val="20"/>
                <w:szCs w:val="20"/>
                <w:highlight w:val="none"/>
                <w:lang w:val="en-US" w:eastAsia="zh-CN"/>
              </w:rPr>
              <w:t>新建5#</w:t>
            </w:r>
            <w:r>
              <w:rPr>
                <w:rFonts w:hint="default" w:ascii="Times New Roman" w:hAnsi="Times New Roman" w:eastAsia="宋体" w:cs="Times New Roman"/>
                <w:spacing w:val="9"/>
                <w:sz w:val="20"/>
                <w:szCs w:val="20"/>
                <w:highlight w:val="none"/>
              </w:rPr>
              <w:t>生产车间内</w:t>
            </w:r>
            <w:r>
              <w:rPr>
                <w:rFonts w:hint="eastAsia" w:ascii="Times New Roman" w:hAnsi="Times New Roman" w:eastAsia="宋体" w:cs="Times New Roman"/>
                <w:spacing w:val="9"/>
                <w:sz w:val="20"/>
                <w:szCs w:val="20"/>
                <w:highlight w:val="none"/>
                <w:lang w:val="en-US" w:eastAsia="zh-CN"/>
              </w:rPr>
              <w:t>及</w:t>
            </w:r>
            <w:r>
              <w:rPr>
                <w:rFonts w:hint="default" w:ascii="Times New Roman" w:hAnsi="Times New Roman" w:eastAsia="宋体" w:cs="Times New Roman"/>
                <w:spacing w:val="9"/>
                <w:sz w:val="20"/>
                <w:szCs w:val="20"/>
                <w:highlight w:val="none"/>
              </w:rPr>
              <w:t>布袋除尘器等位置设置视频监控，并</w:t>
            </w:r>
            <w:r>
              <w:rPr>
                <w:rFonts w:hint="default" w:ascii="Times New Roman" w:hAnsi="Times New Roman" w:eastAsia="宋体" w:cs="Times New Roman"/>
                <w:spacing w:val="16"/>
                <w:sz w:val="20"/>
                <w:szCs w:val="20"/>
                <w:highlight w:val="none"/>
              </w:rPr>
              <w:t>与</w:t>
            </w:r>
            <w:r>
              <w:rPr>
                <w:rFonts w:hint="default" w:ascii="Times New Roman" w:hAnsi="Times New Roman" w:eastAsia="宋体" w:cs="Times New Roman"/>
                <w:spacing w:val="9"/>
                <w:sz w:val="20"/>
                <w:szCs w:val="20"/>
                <w:highlight w:val="none"/>
              </w:rPr>
              <w:t>唐</w:t>
            </w:r>
            <w:r>
              <w:rPr>
                <w:rFonts w:hint="default" w:ascii="Times New Roman" w:hAnsi="Times New Roman" w:eastAsia="宋体" w:cs="Times New Roman"/>
                <w:spacing w:val="8"/>
                <w:sz w:val="20"/>
                <w:szCs w:val="20"/>
                <w:highlight w:val="none"/>
              </w:rPr>
              <w:t>山市环境保护局遵化市分局联网。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07" w:type="dxa"/>
            <w:gridSpan w:val="6"/>
            <w:tcBorders>
              <w:left w:val="single" w:color="000000" w:sz="10" w:space="0"/>
            </w:tcBorders>
            <w:vAlign w:val="top"/>
          </w:tcPr>
          <w:p>
            <w:pPr>
              <w:spacing w:before="92" w:line="228" w:lineRule="auto"/>
              <w:ind w:left="42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环</w:t>
            </w:r>
            <w:r>
              <w:rPr>
                <w:rFonts w:hint="default" w:ascii="Times New Roman" w:hAnsi="Times New Roman" w:eastAsia="宋体" w:cs="Times New Roman"/>
                <w:spacing w:val="7"/>
                <w:sz w:val="20"/>
                <w:szCs w:val="20"/>
                <w:highlight w:val="none"/>
              </w:rPr>
              <w:t>境管理</w:t>
            </w:r>
          </w:p>
        </w:tc>
        <w:tc>
          <w:tcPr>
            <w:tcW w:w="12470" w:type="dxa"/>
            <w:gridSpan w:val="13"/>
            <w:tcBorders>
              <w:right w:val="single" w:color="000000" w:sz="10" w:space="0"/>
            </w:tcBorders>
            <w:vAlign w:val="top"/>
          </w:tcPr>
          <w:p>
            <w:pPr>
              <w:spacing w:before="91" w:line="227" w:lineRule="auto"/>
              <w:ind w:left="67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8"/>
                <w:sz w:val="20"/>
                <w:szCs w:val="20"/>
                <w:highlight w:val="none"/>
              </w:rPr>
              <w:t>设置专</w:t>
            </w:r>
            <w:r>
              <w:rPr>
                <w:rFonts w:hint="default" w:ascii="Times New Roman" w:hAnsi="Times New Roman" w:eastAsia="宋体" w:cs="Times New Roman"/>
                <w:spacing w:val="10"/>
                <w:sz w:val="20"/>
                <w:szCs w:val="20"/>
                <w:highlight w:val="none"/>
              </w:rPr>
              <w:t>职</w:t>
            </w:r>
            <w:r>
              <w:rPr>
                <w:rFonts w:hint="default" w:ascii="Times New Roman" w:hAnsi="Times New Roman" w:eastAsia="宋体" w:cs="Times New Roman"/>
                <w:spacing w:val="9"/>
                <w:sz w:val="20"/>
                <w:szCs w:val="20"/>
                <w:highlight w:val="none"/>
              </w:rPr>
              <w:t>环保管理人员，建立企业环境管理制度，建立环保设施运行台帐，落实环境污染报告制度、环保事故管理制度。</w:t>
            </w:r>
          </w:p>
        </w:tc>
      </w:tr>
    </w:tbl>
    <w:p>
      <w:pPr>
        <w:rPr>
          <w:rFonts w:hint="default" w:ascii="Times New Roman" w:hAnsi="Times New Roman" w:cs="Times New Roman"/>
          <w:sz w:val="21"/>
          <w:highlight w:val="none"/>
        </w:rPr>
      </w:pPr>
    </w:p>
    <w:p>
      <w:pPr>
        <w:rPr>
          <w:rFonts w:hint="default" w:ascii="Times New Roman" w:hAnsi="Times New Roman" w:eastAsia="宋体" w:cs="Times New Roman"/>
          <w:highlight w:val="none"/>
          <w:lang w:val="en-US" w:eastAsia="zh-CN"/>
        </w:rPr>
        <w:sectPr>
          <w:headerReference r:id="rId129" w:type="default"/>
          <w:footerReference r:id="rId130" w:type="default"/>
          <w:pgSz w:w="16839" w:h="11906"/>
          <w:pgMar w:top="1167" w:right="1317" w:bottom="1282" w:left="1317" w:header="897" w:footer="1015"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宋体" w:cs="Times New Roman"/>
          <w:highlight w:val="none"/>
          <w:lang w:val="en-US" w:eastAsia="zh-CN"/>
        </w:rPr>
        <w:t>注：本项目新增废石加工粉尘排放量为0.09t/a。</w:t>
      </w:r>
    </w:p>
    <w:p>
      <w:pPr>
        <w:spacing w:line="391" w:lineRule="auto"/>
        <w:rPr>
          <w:rFonts w:hint="default" w:ascii="Times New Roman" w:hAnsi="Times New Roman" w:cs="Times New Roman"/>
          <w:sz w:val="21"/>
          <w:highlight w:val="none"/>
        </w:rPr>
      </w:pPr>
      <w:r>
        <w:rPr>
          <w:rFonts w:hint="default" w:ascii="Times New Roman" w:hAnsi="Times New Roman" w:cs="Times New Roman"/>
          <w:highlight w:val="none"/>
        </w:rPr>
        <w:pict>
          <v:rect id="_x0000_s1399" o:spid="_x0000_s1399" o:spt="1" style="position:absolute;left:0pt;margin-left:89.85pt;margin-top:776.35pt;height:3.65pt;width:415.65pt;mso-position-horizontal-relative:page;mso-position-vertical-relative:page;z-index:251837440;mso-width-relative:page;mso-height-relative:page;" fillcolor="#FFFFFF" filled="t" stroked="f" coordsize="21600,21600" o:allowincell="f">
            <v:path/>
            <v:fill on="t" color2="#FFFFFF" focussize="0,0"/>
            <v:stroke on="f"/>
            <v:imagedata o:title=""/>
            <o:lock v:ext="edit" aspectratio="f"/>
          </v:rect>
        </w:pict>
      </w:r>
      <w:r>
        <w:rPr>
          <w:rFonts w:hint="default" w:ascii="Times New Roman" w:hAnsi="Times New Roman" w:cs="Times New Roman"/>
          <w:highlight w:val="none"/>
        </w:rPr>
        <w:pict>
          <v:shape id="_x0000_s1400" o:spid="_x0000_s1400" style="position:absolute;left:0pt;margin-left:89.85pt;margin-top:59.05pt;height:0.75pt;width:415.65pt;mso-position-horizontal-relative:page;mso-position-vertical-relative:page;z-index:251838464;mso-width-relative:page;mso-height-relative:page;" fillcolor="#000000" filled="t" stroked="f" coordsize="8312,15" o:allowincell="f" path="m0,0l8312,0,8312,14,0,14,0,0xe">
            <v:path/>
            <v:fill on="t" focussize="0,0"/>
            <v:stroke on="f"/>
            <v:imagedata o:title=""/>
            <o:lock v:ext="edit"/>
          </v:shape>
        </w:pict>
      </w:r>
    </w:p>
    <w:p>
      <w:pPr>
        <w:spacing w:before="75" w:line="228" w:lineRule="auto"/>
        <w:ind w:left="131"/>
        <w:outlineLvl w:val="2"/>
        <w:rPr>
          <w:rFonts w:hint="default" w:ascii="Times New Roman" w:hAnsi="Times New Roman" w:eastAsia="宋体" w:cs="Times New Roman"/>
          <w:sz w:val="23"/>
          <w:szCs w:val="23"/>
          <w:highlight w:val="none"/>
        </w:rPr>
      </w:pPr>
      <w:bookmarkStart w:id="793" w:name="_Toc9383"/>
      <w:bookmarkStart w:id="794" w:name="_Toc32529"/>
      <w:bookmarkStart w:id="795" w:name="_Toc1672"/>
      <w:r>
        <w:rPr>
          <w:rFonts w:hint="default" w:ascii="Times New Roman" w:hAnsi="Times New Roman" w:eastAsia="Times New Roman" w:cs="Times New Roman"/>
          <w:b/>
          <w:bCs/>
          <w:spacing w:val="14"/>
          <w:sz w:val="23"/>
          <w:szCs w:val="23"/>
          <w:highlight w:val="none"/>
        </w:rPr>
        <w:t>8</w:t>
      </w:r>
      <w:r>
        <w:rPr>
          <w:rFonts w:hint="default" w:ascii="Times New Roman" w:hAnsi="Times New Roman" w:eastAsia="Times New Roman" w:cs="Times New Roman"/>
          <w:b/>
          <w:bCs/>
          <w:spacing w:val="7"/>
          <w:sz w:val="23"/>
          <w:szCs w:val="23"/>
          <w:highlight w:val="none"/>
        </w:rPr>
        <w:t>.2.4</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建设单位公开信息内容</w:t>
      </w:r>
      <w:bookmarkEnd w:id="793"/>
      <w:bookmarkEnd w:id="794"/>
      <w:bookmarkEnd w:id="795"/>
    </w:p>
    <w:p>
      <w:pPr>
        <w:spacing w:line="258" w:lineRule="auto"/>
        <w:rPr>
          <w:rFonts w:hint="default" w:ascii="Times New Roman" w:hAnsi="Times New Roman" w:cs="Times New Roman"/>
          <w:sz w:val="21"/>
          <w:highlight w:val="none"/>
        </w:rPr>
      </w:pPr>
    </w:p>
    <w:p>
      <w:pPr>
        <w:spacing w:before="75" w:line="228" w:lineRule="auto"/>
        <w:ind w:left="196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6"/>
          <w:sz w:val="23"/>
          <w:szCs w:val="23"/>
          <w:highlight w:val="none"/>
        </w:rPr>
        <w:t>8</w:t>
      </w:r>
      <w:r>
        <w:rPr>
          <w:rFonts w:hint="default" w:ascii="Times New Roman" w:hAnsi="Times New Roman" w:eastAsia="Times New Roman" w:cs="Times New Roman"/>
          <w:b/>
          <w:bCs/>
          <w:spacing w:val="4"/>
          <w:sz w:val="23"/>
          <w:szCs w:val="23"/>
          <w:highlight w:val="none"/>
        </w:rPr>
        <w:t>.2-2</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建设单位公开信息内容一览表</w:t>
      </w:r>
    </w:p>
    <w:p>
      <w:pPr>
        <w:spacing w:line="20" w:lineRule="exact"/>
        <w:rPr>
          <w:rFonts w:hint="default" w:ascii="Times New Roman" w:hAnsi="Times New Roman" w:cs="Times New Roman"/>
          <w:highlight w:val="none"/>
        </w:rPr>
      </w:pPr>
    </w:p>
    <w:tbl>
      <w:tblPr>
        <w:tblStyle w:val="19"/>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9"/>
        <w:gridCol w:w="1636"/>
        <w:gridCol w:w="62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39" w:type="dxa"/>
            <w:tcBorders>
              <w:left w:val="single" w:color="000000" w:sz="10" w:space="0"/>
              <w:right w:val="single" w:color="000000" w:sz="4" w:space="0"/>
            </w:tcBorders>
            <w:textDirection w:val="tbRlV"/>
            <w:vAlign w:val="top"/>
          </w:tcPr>
          <w:p>
            <w:pPr>
              <w:spacing w:before="215" w:line="218" w:lineRule="auto"/>
              <w:ind w:left="5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序</w:t>
            </w:r>
            <w:r>
              <w:rPr>
                <w:rFonts w:hint="default" w:ascii="Times New Roman" w:hAnsi="Times New Roman" w:eastAsia="宋体" w:cs="Times New Roman"/>
                <w:spacing w:val="-6"/>
                <w:sz w:val="20"/>
                <w:szCs w:val="20"/>
                <w:highlight w:val="none"/>
              </w:rPr>
              <w:t xml:space="preserve"> 号</w:t>
            </w:r>
          </w:p>
        </w:tc>
        <w:tc>
          <w:tcPr>
            <w:tcW w:w="1636" w:type="dxa"/>
            <w:tcBorders>
              <w:left w:val="single" w:color="000000" w:sz="4" w:space="0"/>
              <w:right w:val="single" w:color="000000" w:sz="4" w:space="0"/>
            </w:tcBorders>
            <w:vAlign w:val="top"/>
          </w:tcPr>
          <w:p>
            <w:pPr>
              <w:spacing w:before="192" w:line="228" w:lineRule="auto"/>
              <w:ind w:left="40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公</w:t>
            </w:r>
            <w:r>
              <w:rPr>
                <w:rFonts w:hint="default" w:ascii="Times New Roman" w:hAnsi="Times New Roman" w:eastAsia="宋体" w:cs="Times New Roman"/>
                <w:spacing w:val="5"/>
                <w:sz w:val="20"/>
                <w:szCs w:val="20"/>
                <w:highlight w:val="none"/>
              </w:rPr>
              <w:t>开信息</w:t>
            </w:r>
          </w:p>
        </w:tc>
        <w:tc>
          <w:tcPr>
            <w:tcW w:w="6256" w:type="dxa"/>
            <w:tcBorders>
              <w:left w:val="single" w:color="000000" w:sz="4" w:space="0"/>
              <w:right w:val="single" w:color="000000" w:sz="10" w:space="0"/>
            </w:tcBorders>
            <w:vAlign w:val="top"/>
          </w:tcPr>
          <w:p>
            <w:pPr>
              <w:spacing w:before="192" w:line="228" w:lineRule="auto"/>
              <w:ind w:left="294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39" w:type="dxa"/>
            <w:tcBorders>
              <w:left w:val="single" w:color="000000" w:sz="10" w:space="0"/>
              <w:right w:val="single" w:color="000000" w:sz="4" w:space="0"/>
            </w:tcBorders>
            <w:vAlign w:val="top"/>
          </w:tcPr>
          <w:p>
            <w:pPr>
              <w:spacing w:before="205" w:line="195" w:lineRule="auto"/>
              <w:ind w:left="27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1636" w:type="dxa"/>
            <w:tcBorders>
              <w:left w:val="single" w:color="000000" w:sz="4" w:space="0"/>
              <w:right w:val="single" w:color="000000" w:sz="4" w:space="0"/>
            </w:tcBorders>
            <w:vAlign w:val="top"/>
          </w:tcPr>
          <w:p>
            <w:pPr>
              <w:spacing w:before="170" w:line="228" w:lineRule="auto"/>
              <w:ind w:left="39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基</w:t>
            </w:r>
            <w:r>
              <w:rPr>
                <w:rFonts w:hint="default" w:ascii="Times New Roman" w:hAnsi="Times New Roman" w:eastAsia="宋体" w:cs="Times New Roman"/>
                <w:spacing w:val="7"/>
                <w:sz w:val="20"/>
                <w:szCs w:val="20"/>
                <w:highlight w:val="none"/>
              </w:rPr>
              <w:t>础信息</w:t>
            </w:r>
          </w:p>
        </w:tc>
        <w:tc>
          <w:tcPr>
            <w:tcW w:w="6256" w:type="dxa"/>
            <w:tcBorders>
              <w:left w:val="single" w:color="000000" w:sz="4" w:space="0"/>
              <w:right w:val="single" w:color="000000" w:sz="10" w:space="0"/>
            </w:tcBorders>
            <w:vAlign w:val="top"/>
          </w:tcPr>
          <w:p>
            <w:pPr>
              <w:spacing w:before="35" w:line="239" w:lineRule="auto"/>
              <w:ind w:left="921" w:right="96" w:hanging="81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单位名称、组织机构代码、法定代表人、生产地址、联系方式，</w:t>
            </w:r>
            <w:r>
              <w:rPr>
                <w:rFonts w:hint="default" w:ascii="Times New Roman" w:hAnsi="Times New Roman" w:eastAsia="宋体" w:cs="Times New Roman"/>
                <w:spacing w:val="7"/>
                <w:sz w:val="20"/>
                <w:szCs w:val="20"/>
                <w:highlight w:val="none"/>
              </w:rPr>
              <w:t>以</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18"/>
                <w:sz w:val="20"/>
                <w:szCs w:val="20"/>
                <w:highlight w:val="none"/>
              </w:rPr>
              <w:t>及</w:t>
            </w:r>
            <w:r>
              <w:rPr>
                <w:rFonts w:hint="default" w:ascii="Times New Roman" w:hAnsi="Times New Roman" w:eastAsia="宋体" w:cs="Times New Roman"/>
                <w:spacing w:val="12"/>
                <w:sz w:val="20"/>
                <w:szCs w:val="20"/>
                <w:highlight w:val="none"/>
              </w:rPr>
              <w:t>生</w:t>
            </w:r>
            <w:r>
              <w:rPr>
                <w:rFonts w:hint="default" w:ascii="Times New Roman" w:hAnsi="Times New Roman" w:eastAsia="宋体" w:cs="Times New Roman"/>
                <w:spacing w:val="9"/>
                <w:sz w:val="20"/>
                <w:szCs w:val="20"/>
                <w:highlight w:val="none"/>
              </w:rPr>
              <w:t>产经营和管理服务的主要内容、产品及规模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639" w:type="dxa"/>
            <w:tcBorders>
              <w:left w:val="single" w:color="000000" w:sz="10" w:space="0"/>
              <w:right w:val="single" w:color="000000" w:sz="4" w:space="0"/>
            </w:tcBorders>
            <w:vAlign w:val="top"/>
          </w:tcPr>
          <w:p>
            <w:pPr>
              <w:spacing w:line="284" w:lineRule="auto"/>
              <w:rPr>
                <w:rFonts w:hint="default" w:ascii="Times New Roman" w:hAnsi="Times New Roman" w:cs="Times New Roman"/>
                <w:sz w:val="21"/>
                <w:highlight w:val="none"/>
              </w:rPr>
            </w:pPr>
          </w:p>
          <w:p>
            <w:pPr>
              <w:spacing w:before="58" w:line="195" w:lineRule="auto"/>
              <w:ind w:left="253"/>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1636" w:type="dxa"/>
            <w:tcBorders>
              <w:left w:val="single" w:color="000000" w:sz="4" w:space="0"/>
              <w:right w:val="single" w:color="000000" w:sz="4" w:space="0"/>
            </w:tcBorders>
            <w:vAlign w:val="top"/>
          </w:tcPr>
          <w:p>
            <w:pPr>
              <w:spacing w:line="241" w:lineRule="auto"/>
              <w:rPr>
                <w:rFonts w:hint="default" w:ascii="Times New Roman" w:hAnsi="Times New Roman" w:cs="Times New Roman"/>
                <w:sz w:val="21"/>
                <w:highlight w:val="none"/>
              </w:rPr>
            </w:pPr>
          </w:p>
          <w:p>
            <w:pPr>
              <w:spacing w:before="65" w:line="228" w:lineRule="auto"/>
              <w:ind w:left="39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排</w:t>
            </w:r>
            <w:r>
              <w:rPr>
                <w:rFonts w:hint="default" w:ascii="Times New Roman" w:hAnsi="Times New Roman" w:eastAsia="宋体" w:cs="Times New Roman"/>
                <w:spacing w:val="7"/>
                <w:sz w:val="20"/>
                <w:szCs w:val="20"/>
                <w:highlight w:val="none"/>
              </w:rPr>
              <w:t>污信息</w:t>
            </w:r>
          </w:p>
        </w:tc>
        <w:tc>
          <w:tcPr>
            <w:tcW w:w="6256" w:type="dxa"/>
            <w:tcBorders>
              <w:left w:val="single" w:color="000000" w:sz="4" w:space="0"/>
              <w:right w:val="single" w:color="000000" w:sz="10" w:space="0"/>
            </w:tcBorders>
            <w:vAlign w:val="top"/>
          </w:tcPr>
          <w:p>
            <w:pPr>
              <w:spacing w:before="37" w:line="228" w:lineRule="auto"/>
              <w:ind w:left="10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主</w:t>
            </w:r>
            <w:r>
              <w:rPr>
                <w:rFonts w:hint="default" w:ascii="Times New Roman" w:hAnsi="Times New Roman" w:eastAsia="宋体" w:cs="Times New Roman"/>
                <w:spacing w:val="8"/>
                <w:sz w:val="20"/>
                <w:szCs w:val="20"/>
                <w:highlight w:val="none"/>
              </w:rPr>
              <w:t>要污染物及特征污染物的名称、排放方式、排放口数量和分布情</w:t>
            </w:r>
          </w:p>
          <w:p>
            <w:pPr>
              <w:spacing w:before="23" w:line="229" w:lineRule="auto"/>
              <w:ind w:left="10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况</w:t>
            </w:r>
            <w:r>
              <w:rPr>
                <w:rFonts w:hint="default" w:ascii="Times New Roman" w:hAnsi="Times New Roman" w:eastAsia="宋体" w:cs="Times New Roman"/>
                <w:spacing w:val="8"/>
                <w:sz w:val="20"/>
                <w:szCs w:val="20"/>
                <w:highlight w:val="none"/>
              </w:rPr>
              <w:t>、排放浓度和总量、超标情况，以及执行的污染物排放标准、核</w:t>
            </w:r>
          </w:p>
          <w:p>
            <w:pPr>
              <w:spacing w:before="25" w:line="225" w:lineRule="auto"/>
              <w:ind w:left="250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定</w:t>
            </w:r>
            <w:r>
              <w:rPr>
                <w:rFonts w:hint="default" w:ascii="Times New Roman" w:hAnsi="Times New Roman" w:eastAsia="宋体" w:cs="Times New Roman"/>
                <w:spacing w:val="7"/>
                <w:sz w:val="20"/>
                <w:szCs w:val="20"/>
                <w:highlight w:val="none"/>
              </w:rPr>
              <w:t>的排放总量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639" w:type="dxa"/>
            <w:tcBorders>
              <w:left w:val="single" w:color="000000" w:sz="10" w:space="0"/>
              <w:right w:val="single" w:color="000000" w:sz="4" w:space="0"/>
            </w:tcBorders>
            <w:vAlign w:val="top"/>
          </w:tcPr>
          <w:p>
            <w:pPr>
              <w:spacing w:before="164" w:line="195" w:lineRule="auto"/>
              <w:ind w:left="25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1636" w:type="dxa"/>
            <w:tcBorders>
              <w:left w:val="single" w:color="000000" w:sz="4" w:space="0"/>
              <w:right w:val="single" w:color="000000" w:sz="4" w:space="0"/>
            </w:tcBorders>
            <w:vAlign w:val="top"/>
          </w:tcPr>
          <w:p>
            <w:pPr>
              <w:spacing w:before="128" w:line="229" w:lineRule="auto"/>
              <w:ind w:left="18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污染防治设</w:t>
            </w:r>
            <w:r>
              <w:rPr>
                <w:rFonts w:hint="default" w:ascii="Times New Roman" w:hAnsi="Times New Roman" w:eastAsia="宋体" w:cs="Times New Roman"/>
                <w:spacing w:val="7"/>
                <w:sz w:val="20"/>
                <w:szCs w:val="20"/>
                <w:highlight w:val="none"/>
              </w:rPr>
              <w:t>施</w:t>
            </w:r>
          </w:p>
        </w:tc>
        <w:tc>
          <w:tcPr>
            <w:tcW w:w="6256" w:type="dxa"/>
            <w:tcBorders>
              <w:left w:val="single" w:color="000000" w:sz="4" w:space="0"/>
              <w:right w:val="single" w:color="000000" w:sz="10" w:space="0"/>
            </w:tcBorders>
            <w:vAlign w:val="top"/>
          </w:tcPr>
          <w:p>
            <w:pPr>
              <w:spacing w:before="128" w:line="229" w:lineRule="auto"/>
              <w:ind w:left="165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0"/>
                <w:sz w:val="20"/>
                <w:szCs w:val="20"/>
                <w:highlight w:val="none"/>
              </w:rPr>
              <w:t>污</w:t>
            </w:r>
            <w:r>
              <w:rPr>
                <w:rFonts w:hint="default" w:ascii="Times New Roman" w:hAnsi="Times New Roman" w:eastAsia="宋体" w:cs="Times New Roman"/>
                <w:spacing w:val="9"/>
                <w:sz w:val="20"/>
                <w:szCs w:val="20"/>
                <w:highlight w:val="none"/>
              </w:rPr>
              <w:t>染防治设施的建设和运行情况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39" w:type="dxa"/>
            <w:tcBorders>
              <w:left w:val="single" w:color="000000" w:sz="10" w:space="0"/>
              <w:right w:val="single" w:color="000000" w:sz="4" w:space="0"/>
            </w:tcBorders>
            <w:vAlign w:val="top"/>
          </w:tcPr>
          <w:p>
            <w:pPr>
              <w:spacing w:before="166" w:line="195" w:lineRule="auto"/>
              <w:ind w:left="25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4</w:t>
            </w:r>
          </w:p>
        </w:tc>
        <w:tc>
          <w:tcPr>
            <w:tcW w:w="1636" w:type="dxa"/>
            <w:tcBorders>
              <w:left w:val="single" w:color="000000" w:sz="4" w:space="0"/>
              <w:right w:val="single" w:color="000000" w:sz="4" w:space="0"/>
            </w:tcBorders>
            <w:vAlign w:val="top"/>
          </w:tcPr>
          <w:p>
            <w:pPr>
              <w:spacing w:before="127" w:line="228" w:lineRule="auto"/>
              <w:ind w:left="39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环</w:t>
            </w:r>
            <w:r>
              <w:rPr>
                <w:rFonts w:hint="default" w:ascii="Times New Roman" w:hAnsi="Times New Roman" w:eastAsia="宋体" w:cs="Times New Roman"/>
                <w:spacing w:val="7"/>
                <w:sz w:val="20"/>
                <w:szCs w:val="20"/>
                <w:highlight w:val="none"/>
              </w:rPr>
              <w:t>保手续</w:t>
            </w:r>
          </w:p>
        </w:tc>
        <w:tc>
          <w:tcPr>
            <w:tcW w:w="6256" w:type="dxa"/>
            <w:tcBorders>
              <w:left w:val="single" w:color="000000" w:sz="4" w:space="0"/>
              <w:right w:val="single" w:color="000000" w:sz="10" w:space="0"/>
            </w:tcBorders>
            <w:vAlign w:val="top"/>
          </w:tcPr>
          <w:p>
            <w:pPr>
              <w:spacing w:before="128" w:line="226" w:lineRule="auto"/>
              <w:ind w:left="7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8"/>
                <w:sz w:val="20"/>
                <w:szCs w:val="20"/>
                <w:highlight w:val="none"/>
              </w:rPr>
              <w:t>建</w:t>
            </w:r>
            <w:r>
              <w:rPr>
                <w:rFonts w:hint="default" w:ascii="Times New Roman" w:hAnsi="Times New Roman" w:eastAsia="宋体" w:cs="Times New Roman"/>
                <w:spacing w:val="11"/>
                <w:sz w:val="20"/>
                <w:szCs w:val="20"/>
                <w:highlight w:val="none"/>
              </w:rPr>
              <w:t>设</w:t>
            </w:r>
            <w:r>
              <w:rPr>
                <w:rFonts w:hint="default" w:ascii="Times New Roman" w:hAnsi="Times New Roman" w:eastAsia="宋体" w:cs="Times New Roman"/>
                <w:spacing w:val="9"/>
                <w:sz w:val="20"/>
                <w:szCs w:val="20"/>
                <w:highlight w:val="none"/>
              </w:rPr>
              <w:t>项目环境影响评价及其他环境保护行政许可情况</w:t>
            </w:r>
          </w:p>
        </w:tc>
      </w:tr>
    </w:tbl>
    <w:p>
      <w:pPr>
        <w:spacing w:before="315" w:line="230" w:lineRule="auto"/>
        <w:ind w:left="131"/>
        <w:outlineLvl w:val="2"/>
        <w:rPr>
          <w:rFonts w:hint="default" w:ascii="Times New Roman" w:hAnsi="Times New Roman" w:eastAsia="宋体" w:cs="Times New Roman"/>
          <w:sz w:val="23"/>
          <w:szCs w:val="23"/>
          <w:highlight w:val="none"/>
        </w:rPr>
      </w:pPr>
      <w:bookmarkStart w:id="796" w:name="_Toc14407"/>
      <w:bookmarkStart w:id="797" w:name="_Toc18834"/>
      <w:bookmarkStart w:id="798" w:name="_Toc5467"/>
      <w:r>
        <w:rPr>
          <w:rFonts w:hint="default" w:ascii="Times New Roman" w:hAnsi="Times New Roman" w:eastAsia="Times New Roman" w:cs="Times New Roman"/>
          <w:b/>
          <w:bCs/>
          <w:spacing w:val="9"/>
          <w:sz w:val="23"/>
          <w:szCs w:val="23"/>
          <w:highlight w:val="none"/>
        </w:rPr>
        <w:t>8</w:t>
      </w:r>
      <w:r>
        <w:rPr>
          <w:rFonts w:hint="default" w:ascii="Times New Roman" w:hAnsi="Times New Roman" w:eastAsia="Times New Roman" w:cs="Times New Roman"/>
          <w:b/>
          <w:bCs/>
          <w:spacing w:val="6"/>
          <w:sz w:val="23"/>
          <w:szCs w:val="23"/>
          <w:highlight w:val="none"/>
        </w:rPr>
        <w:t>.2.5</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排污口规范化</w:t>
      </w:r>
      <w:bookmarkEnd w:id="796"/>
      <w:bookmarkEnd w:id="797"/>
      <w:bookmarkEnd w:id="798"/>
    </w:p>
    <w:p>
      <w:pPr>
        <w:spacing w:line="256" w:lineRule="auto"/>
        <w:rPr>
          <w:rFonts w:hint="default" w:ascii="Times New Roman" w:hAnsi="Times New Roman" w:cs="Times New Roman"/>
          <w:sz w:val="21"/>
          <w:highlight w:val="none"/>
        </w:rPr>
      </w:pPr>
    </w:p>
    <w:p>
      <w:pPr>
        <w:spacing w:before="75" w:line="402" w:lineRule="auto"/>
        <w:ind w:left="132" w:right="120" w:firstLine="48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
          <w:sz w:val="23"/>
          <w:szCs w:val="23"/>
          <w:highlight w:val="none"/>
        </w:rPr>
        <w:t>按照《环境保护图</w:t>
      </w:r>
      <w:r>
        <w:rPr>
          <w:rFonts w:hint="default" w:ascii="Times New Roman" w:hAnsi="Times New Roman" w:eastAsia="宋体" w:cs="Times New Roman"/>
          <w:sz w:val="23"/>
          <w:szCs w:val="23"/>
          <w:highlight w:val="none"/>
        </w:rPr>
        <w:t>形标志</w:t>
      </w:r>
      <w:r>
        <w:rPr>
          <w:rFonts w:hint="default" w:ascii="Times New Roman" w:hAnsi="Times New Roman" w:eastAsia="Times New Roman" w:cs="Times New Roman"/>
          <w:sz w:val="23"/>
          <w:szCs w:val="23"/>
          <w:highlight w:val="none"/>
        </w:rPr>
        <w:t>—</w:t>
      </w:r>
      <w:r>
        <w:rPr>
          <w:rFonts w:hint="default" w:ascii="Times New Roman" w:hAnsi="Times New Roman" w:eastAsia="宋体" w:cs="Times New Roman"/>
          <w:sz w:val="23"/>
          <w:szCs w:val="23"/>
          <w:highlight w:val="none"/>
        </w:rPr>
        <w:t>排放口 (源) 》  (</w:t>
      </w:r>
      <w:r>
        <w:rPr>
          <w:rFonts w:hint="default" w:ascii="Times New Roman" w:hAnsi="Times New Roman" w:eastAsia="Times New Roman" w:cs="Times New Roman"/>
          <w:sz w:val="23"/>
          <w:szCs w:val="23"/>
          <w:highlight w:val="none"/>
        </w:rPr>
        <w:t>GB15562. 1- 1995</w:t>
      </w:r>
      <w:r>
        <w:rPr>
          <w:rFonts w:hint="default" w:ascii="Times New Roman" w:hAnsi="Times New Roman" w:eastAsia="宋体" w:cs="Times New Roman"/>
          <w:sz w:val="23"/>
          <w:szCs w:val="23"/>
          <w:highlight w:val="none"/>
        </w:rPr>
        <w:t xml:space="preserve">) 要求，并参 </w:t>
      </w:r>
      <w:r>
        <w:rPr>
          <w:rFonts w:hint="default" w:ascii="Times New Roman" w:hAnsi="Times New Roman" w:eastAsia="宋体" w:cs="Times New Roman"/>
          <w:spacing w:val="14"/>
          <w:sz w:val="23"/>
          <w:szCs w:val="23"/>
          <w:highlight w:val="none"/>
        </w:rPr>
        <w:t>考</w:t>
      </w:r>
      <w:r>
        <w:rPr>
          <w:rFonts w:hint="default" w:ascii="Times New Roman" w:hAnsi="Times New Roman" w:eastAsia="宋体" w:cs="Times New Roman"/>
          <w:spacing w:val="9"/>
          <w:sz w:val="23"/>
          <w:szCs w:val="23"/>
          <w:highlight w:val="none"/>
        </w:rPr>
        <w:t>其它相关规定，提出以下废气排放口规范化建设要求：</w:t>
      </w:r>
    </w:p>
    <w:p>
      <w:pPr>
        <w:spacing w:before="2" w:line="400" w:lineRule="auto"/>
        <w:ind w:left="131" w:right="122"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①</w:t>
      </w:r>
      <w:r>
        <w:rPr>
          <w:rFonts w:hint="default" w:ascii="Times New Roman" w:hAnsi="Times New Roman" w:eastAsia="宋体" w:cs="Times New Roman"/>
          <w:spacing w:val="7"/>
          <w:sz w:val="23"/>
          <w:szCs w:val="23"/>
          <w:highlight w:val="none"/>
        </w:rPr>
        <w:t>排气筒应设置便于采样、监测的采样口和采样监测平台。当采样平台设置</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在离地</w:t>
      </w:r>
      <w:r>
        <w:rPr>
          <w:rFonts w:hint="default" w:ascii="Times New Roman" w:hAnsi="Times New Roman" w:eastAsia="宋体" w:cs="Times New Roman"/>
          <w:spacing w:val="10"/>
          <w:sz w:val="23"/>
          <w:szCs w:val="23"/>
          <w:highlight w:val="none"/>
        </w:rPr>
        <w:t>面</w:t>
      </w:r>
      <w:r>
        <w:rPr>
          <w:rFonts w:hint="default" w:ascii="Times New Roman" w:hAnsi="Times New Roman" w:eastAsia="宋体" w:cs="Times New Roman"/>
          <w:spacing w:val="6"/>
          <w:sz w:val="23"/>
          <w:szCs w:val="23"/>
          <w:highlight w:val="none"/>
        </w:rPr>
        <w:t>高度</w:t>
      </w:r>
      <w:r>
        <w:rPr>
          <w:rFonts w:hint="default" w:ascii="Times New Roman" w:hAnsi="Times New Roman" w:eastAsia="Times New Roman" w:cs="Times New Roman"/>
          <w:spacing w:val="6"/>
          <w:sz w:val="23"/>
          <w:szCs w:val="23"/>
          <w:highlight w:val="none"/>
        </w:rPr>
        <w:t>≥5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 xml:space="preserve">的位置时，应有通往平台的 </w:t>
      </w:r>
      <w:r>
        <w:rPr>
          <w:rFonts w:hint="default" w:ascii="Times New Roman" w:hAnsi="Times New Roman" w:eastAsia="Times New Roman" w:cs="Times New Roman"/>
          <w:sz w:val="23"/>
          <w:szCs w:val="23"/>
          <w:highlight w:val="none"/>
        </w:rPr>
        <w:t>Z</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rPr>
        <w:t>字梯</w:t>
      </w:r>
      <w:r>
        <w:rPr>
          <w:rFonts w:hint="default" w:ascii="Times New Roman" w:hAnsi="Times New Roman" w:eastAsia="Times New Roman" w:cs="Times New Roman"/>
          <w:spacing w:val="6"/>
          <w:sz w:val="23"/>
          <w:szCs w:val="23"/>
          <w:highlight w:val="none"/>
        </w:rPr>
        <w:t>/</w:t>
      </w:r>
      <w:r>
        <w:rPr>
          <w:rFonts w:hint="default" w:ascii="Times New Roman" w:hAnsi="Times New Roman" w:eastAsia="宋体" w:cs="Times New Roman"/>
          <w:spacing w:val="6"/>
          <w:sz w:val="23"/>
          <w:szCs w:val="23"/>
          <w:highlight w:val="none"/>
        </w:rPr>
        <w:t>旋梯</w:t>
      </w:r>
      <w:r>
        <w:rPr>
          <w:rFonts w:hint="default" w:ascii="Times New Roman" w:hAnsi="Times New Roman" w:eastAsia="Times New Roman" w:cs="Times New Roman"/>
          <w:spacing w:val="6"/>
          <w:sz w:val="23"/>
          <w:szCs w:val="23"/>
          <w:highlight w:val="none"/>
        </w:rPr>
        <w:t>/</w:t>
      </w:r>
      <w:r>
        <w:rPr>
          <w:rFonts w:hint="default" w:ascii="Times New Roman" w:hAnsi="Times New Roman" w:eastAsia="宋体" w:cs="Times New Roman"/>
          <w:spacing w:val="6"/>
          <w:sz w:val="23"/>
          <w:szCs w:val="23"/>
          <w:highlight w:val="none"/>
        </w:rPr>
        <w:t>升降梯。</w:t>
      </w:r>
    </w:p>
    <w:p>
      <w:pPr>
        <w:spacing w:before="1" w:line="401" w:lineRule="auto"/>
        <w:ind w:left="131" w:right="122"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②</w:t>
      </w:r>
      <w:r>
        <w:rPr>
          <w:rFonts w:hint="default" w:ascii="Times New Roman" w:hAnsi="Times New Roman" w:eastAsia="宋体" w:cs="Times New Roman"/>
          <w:spacing w:val="7"/>
          <w:sz w:val="23"/>
          <w:szCs w:val="23"/>
          <w:highlight w:val="none"/>
        </w:rPr>
        <w:t>采样孔、点数目和位置应按《固定污染源排气中颗粒物测定与气态污染物</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采样方法》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1"/>
          <w:sz w:val="23"/>
          <w:szCs w:val="23"/>
          <w:highlight w:val="none"/>
        </w:rPr>
        <w:t>/</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1"/>
          <w:sz w:val="23"/>
          <w:szCs w:val="23"/>
          <w:highlight w:val="none"/>
        </w:rPr>
        <w:t>1</w:t>
      </w:r>
      <w:r>
        <w:rPr>
          <w:rFonts w:hint="default" w:ascii="Times New Roman" w:hAnsi="Times New Roman" w:eastAsia="Times New Roman" w:cs="Times New Roman"/>
          <w:sz w:val="23"/>
          <w:szCs w:val="23"/>
          <w:highlight w:val="none"/>
        </w:rPr>
        <w:t>6157- 1996</w:t>
      </w:r>
      <w:r>
        <w:rPr>
          <w:rFonts w:hint="default" w:ascii="Times New Roman" w:hAnsi="Times New Roman" w:eastAsia="宋体" w:cs="Times New Roman"/>
          <w:sz w:val="23"/>
          <w:szCs w:val="23"/>
          <w:highlight w:val="none"/>
        </w:rPr>
        <w:t>) 的规定设置。</w:t>
      </w:r>
    </w:p>
    <w:p>
      <w:pPr>
        <w:spacing w:before="1" w:line="225" w:lineRule="auto"/>
        <w:ind w:left="610"/>
        <w:rPr>
          <w:rFonts w:hint="default" w:ascii="Times New Roman" w:hAnsi="Times New Roman" w:eastAsia="宋体" w:cs="Times New Roman"/>
          <w:spacing w:val="9"/>
          <w:sz w:val="23"/>
          <w:szCs w:val="23"/>
          <w:highlight w:val="none"/>
        </w:rPr>
      </w:pPr>
      <w:r>
        <w:rPr>
          <w:rFonts w:hint="default" w:ascii="Times New Roman" w:hAnsi="Times New Roman" w:eastAsia="宋体" w:cs="Times New Roman"/>
          <w:spacing w:val="18"/>
          <w:sz w:val="23"/>
          <w:szCs w:val="23"/>
          <w:highlight w:val="none"/>
        </w:rPr>
        <w:t>③</w:t>
      </w:r>
      <w:r>
        <w:rPr>
          <w:rFonts w:hint="default" w:ascii="Times New Roman" w:hAnsi="Times New Roman" w:eastAsia="宋体" w:cs="Times New Roman"/>
          <w:spacing w:val="12"/>
          <w:sz w:val="23"/>
          <w:szCs w:val="23"/>
          <w:highlight w:val="none"/>
        </w:rPr>
        <w:t>废</w:t>
      </w:r>
      <w:r>
        <w:rPr>
          <w:rFonts w:hint="default" w:ascii="Times New Roman" w:hAnsi="Times New Roman" w:eastAsia="宋体" w:cs="Times New Roman"/>
          <w:spacing w:val="9"/>
          <w:sz w:val="23"/>
          <w:szCs w:val="23"/>
          <w:highlight w:val="none"/>
        </w:rPr>
        <w:t>气排放口的环境保护图形标志牌应设在排气筒附近地面醒目处。</w:t>
      </w:r>
    </w:p>
    <w:p>
      <w:pPr>
        <w:pStyle w:val="3"/>
        <w:rPr>
          <w:rFonts w:hint="default" w:ascii="Times New Roman" w:hAnsi="Times New Roman" w:eastAsia="宋体" w:cs="Times New Roman"/>
          <w:spacing w:val="9"/>
          <w:sz w:val="23"/>
          <w:szCs w:val="23"/>
          <w:highlight w:val="none"/>
        </w:rPr>
      </w:pPr>
      <w:r>
        <w:rPr>
          <w:highlight w:val="none"/>
        </w:rPr>
        <w:drawing>
          <wp:inline distT="0" distB="0" distL="114300" distR="114300">
            <wp:extent cx="5699760" cy="2381885"/>
            <wp:effectExtent l="0" t="0" r="15240"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9"/>
                    <a:stretch>
                      <a:fillRect/>
                    </a:stretch>
                  </pic:blipFill>
                  <pic:spPr>
                    <a:xfrm>
                      <a:off x="0" y="0"/>
                      <a:ext cx="5699760" cy="2381885"/>
                    </a:xfrm>
                    <a:prstGeom prst="rect">
                      <a:avLst/>
                    </a:prstGeom>
                    <a:noFill/>
                    <a:ln>
                      <a:noFill/>
                    </a:ln>
                  </pic:spPr>
                </pic:pic>
              </a:graphicData>
            </a:graphic>
          </wp:inline>
        </w:drawing>
      </w:r>
    </w:p>
    <w:p>
      <w:pPr>
        <w:pStyle w:val="3"/>
        <w:rPr>
          <w:rFonts w:hint="default"/>
          <w:highlight w:val="none"/>
        </w:rPr>
      </w:pPr>
    </w:p>
    <w:p>
      <w:pPr>
        <w:pStyle w:val="2"/>
        <w:rPr>
          <w:rFonts w:hint="default"/>
          <w:highlight w:val="none"/>
        </w:rPr>
      </w:pPr>
    </w:p>
    <w:p>
      <w:pPr>
        <w:spacing w:before="304" w:line="221" w:lineRule="auto"/>
        <w:ind w:left="132"/>
        <w:outlineLvl w:val="1"/>
        <w:rPr>
          <w:rFonts w:hint="default" w:ascii="Times New Roman" w:hAnsi="Times New Roman" w:eastAsia="宋体" w:cs="Times New Roman"/>
          <w:sz w:val="28"/>
          <w:szCs w:val="28"/>
          <w:highlight w:val="none"/>
        </w:rPr>
      </w:pPr>
      <w:bookmarkStart w:id="799" w:name="_Toc13688"/>
      <w:bookmarkStart w:id="800" w:name="_Toc25261"/>
      <w:bookmarkStart w:id="801" w:name="_Toc7314"/>
      <w:r>
        <w:rPr>
          <w:rFonts w:hint="default" w:ascii="Times New Roman" w:hAnsi="Times New Roman" w:eastAsia="Times New Roman" w:cs="Times New Roman"/>
          <w:b/>
          <w:bCs/>
          <w:spacing w:val="-1"/>
          <w:sz w:val="28"/>
          <w:szCs w:val="28"/>
          <w:highlight w:val="none"/>
        </w:rPr>
        <w:t>8.3</w:t>
      </w:r>
      <w:r>
        <w:rPr>
          <w:rFonts w:hint="default" w:ascii="Times New Roman" w:hAnsi="Times New Roman" w:eastAsia="Times New Roman" w:cs="Times New Roman"/>
          <w:spacing w:val="-1"/>
          <w:sz w:val="28"/>
          <w:szCs w:val="28"/>
          <w:highlight w:val="none"/>
        </w:rPr>
        <w:t xml:space="preserve">  </w:t>
      </w:r>
      <w:r>
        <w:rPr>
          <w:rFonts w:hint="default" w:ascii="Times New Roman" w:hAnsi="Times New Roman" w:eastAsia="宋体" w:cs="Times New Roman"/>
          <w:spacing w:val="-1"/>
          <w:sz w:val="28"/>
          <w:szCs w:val="28"/>
          <w:highlight w:val="none"/>
          <w14:textOutline w14:w="5103" w14:cap="sq" w14:cmpd="sng">
            <w14:solidFill>
              <w14:srgbClr w14:val="000000"/>
            </w14:solidFill>
            <w14:prstDash w14:val="solid"/>
            <w14:bevel/>
          </w14:textOutline>
        </w:rPr>
        <w:t>污染</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源监测</w:t>
      </w:r>
      <w:bookmarkEnd w:id="799"/>
      <w:bookmarkEnd w:id="800"/>
      <w:bookmarkEnd w:id="801"/>
    </w:p>
    <w:p>
      <w:pPr>
        <w:spacing w:line="245" w:lineRule="auto"/>
        <w:rPr>
          <w:rFonts w:hint="default" w:ascii="Times New Roman" w:hAnsi="Times New Roman" w:cs="Times New Roman"/>
          <w:sz w:val="21"/>
          <w:highlight w:val="none"/>
        </w:rPr>
      </w:pPr>
    </w:p>
    <w:p>
      <w:pPr>
        <w:spacing w:before="75" w:line="401" w:lineRule="auto"/>
        <w:ind w:left="133" w:right="122"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根据项目的建设情况，运营期应组织实施污染源监测计划。污染源监测计划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由</w:t>
      </w:r>
      <w:r>
        <w:rPr>
          <w:rFonts w:hint="default" w:ascii="Times New Roman" w:hAnsi="Times New Roman" w:eastAsia="宋体" w:cs="Times New Roman"/>
          <w:spacing w:val="7"/>
          <w:sz w:val="23"/>
          <w:szCs w:val="23"/>
          <w:highlight w:val="none"/>
        </w:rPr>
        <w:t>建设单位负责实施，可委托地方有资质环境监测部门进行，监测内容以环境空</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气</w:t>
      </w:r>
      <w:r>
        <w:rPr>
          <w:rFonts w:hint="default" w:ascii="Times New Roman" w:hAnsi="Times New Roman" w:eastAsia="宋体" w:cs="Times New Roman"/>
          <w:spacing w:val="7"/>
          <w:sz w:val="23"/>
          <w:szCs w:val="23"/>
          <w:highlight w:val="none"/>
        </w:rPr>
        <w:t>、声环境为主，监测点一般布设在项目废气处理装置排气筒、厂界处，运营期</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该公司污染源监测计划见</w:t>
      </w:r>
      <w:r>
        <w:rPr>
          <w:rFonts w:hint="default" w:ascii="Times New Roman" w:hAnsi="Times New Roman" w:eastAsia="宋体" w:cs="Times New Roman"/>
          <w:sz w:val="23"/>
          <w:szCs w:val="23"/>
          <w:highlight w:val="none"/>
        </w:rPr>
        <w:t xml:space="preserve">表 </w:t>
      </w:r>
      <w:r>
        <w:rPr>
          <w:rFonts w:hint="default" w:ascii="Times New Roman" w:hAnsi="Times New Roman" w:eastAsia="Times New Roman" w:cs="Times New Roman"/>
          <w:sz w:val="23"/>
          <w:szCs w:val="23"/>
          <w:highlight w:val="none"/>
        </w:rPr>
        <w:t xml:space="preserve">8.3- 1 </w:t>
      </w:r>
      <w:r>
        <w:rPr>
          <w:rFonts w:hint="default" w:ascii="Times New Roman" w:hAnsi="Times New Roman" w:eastAsia="宋体" w:cs="Times New Roman"/>
          <w:sz w:val="23"/>
          <w:szCs w:val="23"/>
          <w:highlight w:val="none"/>
        </w:rPr>
        <w:t>，</w:t>
      </w:r>
      <w:r>
        <w:rPr>
          <w:rFonts w:hint="default" w:ascii="Times New Roman" w:hAnsi="Times New Roman" w:eastAsia="Times New Roman" w:cs="Times New Roman"/>
          <w:sz w:val="23"/>
          <w:szCs w:val="23"/>
          <w:highlight w:val="none"/>
        </w:rPr>
        <w:t>8.3-2</w:t>
      </w:r>
      <w:r>
        <w:rPr>
          <w:rFonts w:hint="default" w:ascii="Times New Roman" w:hAnsi="Times New Roman" w:eastAsia="宋体" w:cs="Times New Roman"/>
          <w:sz w:val="23"/>
          <w:szCs w:val="23"/>
          <w:highlight w:val="none"/>
        </w:rPr>
        <w:t>。</w:t>
      </w:r>
    </w:p>
    <w:p>
      <w:pPr>
        <w:spacing w:line="227" w:lineRule="auto"/>
        <w:ind w:left="947"/>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8"/>
          <w:sz w:val="23"/>
          <w:szCs w:val="23"/>
          <w:highlight w:val="none"/>
        </w:rPr>
        <w:t>8.3-1</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运营期</w:t>
      </w:r>
      <w:r>
        <w:rPr>
          <w:rFonts w:hint="eastAsia" w:ascii="Times New Roman" w:hAnsi="Times New Roman" w:eastAsia="宋体" w:cs="Times New Roman"/>
          <w:spacing w:val="4"/>
          <w:sz w:val="23"/>
          <w:szCs w:val="23"/>
          <w:highlight w:val="none"/>
          <w:lang w:val="en-US" w:eastAsia="zh-CN"/>
          <w14:textOutline w14:w="4358" w14:cap="sq" w14:cmpd="sng">
            <w14:solidFill>
              <w14:srgbClr w14:val="000000"/>
            </w14:solidFill>
            <w14:prstDash w14:val="solid"/>
            <w14:bevel/>
          </w14:textOutline>
        </w:rPr>
        <w:t>全厂</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污染源监测计划一览表</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(废气、噪声)</w:t>
      </w:r>
    </w:p>
    <w:p>
      <w:pPr>
        <w:spacing w:line="23" w:lineRule="exact"/>
        <w:rPr>
          <w:rFonts w:hint="default" w:ascii="Times New Roman" w:hAnsi="Times New Roman" w:cs="Times New Roman"/>
          <w:highlight w:val="none"/>
        </w:rPr>
      </w:pPr>
    </w:p>
    <w:tbl>
      <w:tblPr>
        <w:tblStyle w:val="19"/>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1877"/>
        <w:gridCol w:w="1930"/>
        <w:gridCol w:w="2813"/>
        <w:gridCol w:w="11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2598" w:type="dxa"/>
            <w:gridSpan w:val="2"/>
            <w:tcBorders>
              <w:left w:val="single" w:color="000000" w:sz="10" w:space="0"/>
            </w:tcBorders>
            <w:vAlign w:val="top"/>
          </w:tcPr>
          <w:p>
            <w:pPr>
              <w:spacing w:before="119" w:line="228" w:lineRule="auto"/>
              <w:ind w:left="108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类</w:t>
            </w:r>
            <w:r>
              <w:rPr>
                <w:rFonts w:hint="default" w:ascii="Times New Roman" w:hAnsi="Times New Roman" w:eastAsia="宋体" w:cs="Times New Roman"/>
                <w:spacing w:val="4"/>
                <w:sz w:val="20"/>
                <w:szCs w:val="20"/>
                <w:highlight w:val="none"/>
              </w:rPr>
              <w:t>别</w:t>
            </w:r>
          </w:p>
        </w:tc>
        <w:tc>
          <w:tcPr>
            <w:tcW w:w="1930" w:type="dxa"/>
            <w:vAlign w:val="top"/>
          </w:tcPr>
          <w:p>
            <w:pPr>
              <w:spacing w:before="119" w:line="228" w:lineRule="auto"/>
              <w:ind w:left="55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监测项目</w:t>
            </w:r>
          </w:p>
        </w:tc>
        <w:tc>
          <w:tcPr>
            <w:tcW w:w="2813" w:type="dxa"/>
            <w:vAlign w:val="top"/>
          </w:tcPr>
          <w:p>
            <w:pPr>
              <w:spacing w:before="119" w:line="229" w:lineRule="auto"/>
              <w:ind w:left="99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监测地点</w:t>
            </w:r>
          </w:p>
        </w:tc>
        <w:tc>
          <w:tcPr>
            <w:tcW w:w="1190" w:type="dxa"/>
            <w:tcBorders>
              <w:right w:val="single" w:color="000000" w:sz="10" w:space="0"/>
            </w:tcBorders>
            <w:vAlign w:val="top"/>
          </w:tcPr>
          <w:p>
            <w:pPr>
              <w:spacing w:before="119" w:line="228" w:lineRule="auto"/>
              <w:ind w:left="18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监测频率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21" w:type="dxa"/>
            <w:vMerge w:val="restart"/>
            <w:tcBorders>
              <w:left w:val="single" w:color="000000" w:sz="10" w:space="0"/>
              <w:bottom w:val="nil"/>
            </w:tcBorders>
            <w:vAlign w:val="top"/>
          </w:tcPr>
          <w:p>
            <w:pPr>
              <w:spacing w:before="298" w:line="228" w:lineRule="auto"/>
              <w:ind w:left="14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废气</w:t>
            </w:r>
          </w:p>
        </w:tc>
        <w:tc>
          <w:tcPr>
            <w:tcW w:w="1877" w:type="dxa"/>
            <w:vAlign w:val="top"/>
          </w:tcPr>
          <w:p>
            <w:pPr>
              <w:spacing w:before="94" w:line="229" w:lineRule="auto"/>
              <w:ind w:left="41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无组织排</w:t>
            </w:r>
            <w:r>
              <w:rPr>
                <w:rFonts w:hint="default" w:ascii="Times New Roman" w:hAnsi="Times New Roman" w:eastAsia="宋体" w:cs="Times New Roman"/>
                <w:spacing w:val="7"/>
                <w:sz w:val="20"/>
                <w:szCs w:val="20"/>
                <w:highlight w:val="none"/>
              </w:rPr>
              <w:t>放</w:t>
            </w:r>
          </w:p>
        </w:tc>
        <w:tc>
          <w:tcPr>
            <w:tcW w:w="1930" w:type="dxa"/>
            <w:vAlign w:val="top"/>
          </w:tcPr>
          <w:p>
            <w:pPr>
              <w:spacing w:before="95" w:line="228" w:lineRule="auto"/>
              <w:ind w:left="65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颗粒物</w:t>
            </w:r>
          </w:p>
        </w:tc>
        <w:tc>
          <w:tcPr>
            <w:tcW w:w="2813" w:type="dxa"/>
            <w:vAlign w:val="top"/>
          </w:tcPr>
          <w:p>
            <w:pPr>
              <w:spacing w:before="94" w:line="229" w:lineRule="auto"/>
              <w:ind w:left="47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4"/>
                <w:sz w:val="20"/>
                <w:szCs w:val="20"/>
                <w:highlight w:val="none"/>
              </w:rPr>
              <w:t>厂</w:t>
            </w:r>
            <w:r>
              <w:rPr>
                <w:rFonts w:hint="default" w:ascii="Times New Roman" w:hAnsi="Times New Roman" w:eastAsia="宋体" w:cs="Times New Roman"/>
                <w:spacing w:val="8"/>
                <w:sz w:val="20"/>
                <w:szCs w:val="20"/>
                <w:highlight w:val="none"/>
              </w:rPr>
              <w:t>界外无组织监控点</w:t>
            </w:r>
          </w:p>
        </w:tc>
        <w:tc>
          <w:tcPr>
            <w:tcW w:w="1190" w:type="dxa"/>
            <w:vMerge w:val="restart"/>
            <w:tcBorders>
              <w:bottom w:val="nil"/>
              <w:right w:val="single" w:color="000000" w:sz="10" w:space="0"/>
            </w:tcBorders>
            <w:vAlign w:val="top"/>
          </w:tcPr>
          <w:p>
            <w:pPr>
              <w:spacing w:before="299" w:line="228" w:lineRule="auto"/>
              <w:ind w:left="187"/>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9"/>
                <w:sz w:val="20"/>
                <w:szCs w:val="20"/>
                <w:highlight w:val="none"/>
                <w:lang w:val="en-US" w:eastAsia="zh-CN"/>
              </w:rPr>
              <w:t>每</w:t>
            </w:r>
            <w:r>
              <w:rPr>
                <w:rFonts w:hint="default" w:ascii="Times New Roman" w:hAnsi="Times New Roman" w:eastAsia="宋体" w:cs="Times New Roman"/>
                <w:spacing w:val="8"/>
                <w:sz w:val="20"/>
                <w:szCs w:val="20"/>
                <w:highlight w:val="none"/>
              </w:rPr>
              <w:t>年一次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21" w:type="dxa"/>
            <w:vMerge w:val="continue"/>
            <w:tcBorders>
              <w:top w:val="nil"/>
              <w:left w:val="single" w:color="000000" w:sz="10" w:space="0"/>
            </w:tcBorders>
            <w:vAlign w:val="top"/>
          </w:tcPr>
          <w:p>
            <w:pPr>
              <w:rPr>
                <w:rFonts w:hint="default" w:ascii="Times New Roman" w:hAnsi="Times New Roman" w:cs="Times New Roman"/>
                <w:sz w:val="21"/>
                <w:highlight w:val="none"/>
              </w:rPr>
            </w:pPr>
          </w:p>
        </w:tc>
        <w:tc>
          <w:tcPr>
            <w:tcW w:w="1877" w:type="dxa"/>
            <w:vAlign w:val="center"/>
          </w:tcPr>
          <w:p>
            <w:pPr>
              <w:spacing w:before="97" w:line="228" w:lineRule="auto"/>
              <w:ind w:left="20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破碎、筛分废</w:t>
            </w:r>
            <w:r>
              <w:rPr>
                <w:rFonts w:hint="default" w:ascii="Times New Roman" w:hAnsi="Times New Roman" w:eastAsia="宋体" w:cs="Times New Roman"/>
                <w:spacing w:val="7"/>
                <w:sz w:val="20"/>
                <w:szCs w:val="20"/>
                <w:highlight w:val="none"/>
              </w:rPr>
              <w:t>气</w:t>
            </w:r>
          </w:p>
        </w:tc>
        <w:tc>
          <w:tcPr>
            <w:tcW w:w="1930" w:type="dxa"/>
            <w:vAlign w:val="center"/>
          </w:tcPr>
          <w:p>
            <w:pPr>
              <w:spacing w:before="97" w:line="228" w:lineRule="auto"/>
              <w:ind w:left="654"/>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颗粒物</w:t>
            </w:r>
          </w:p>
        </w:tc>
        <w:tc>
          <w:tcPr>
            <w:tcW w:w="2813" w:type="dxa"/>
            <w:vAlign w:val="top"/>
          </w:tcPr>
          <w:p>
            <w:pPr>
              <w:spacing w:before="96" w:line="228" w:lineRule="auto"/>
              <w:ind w:left="590"/>
              <w:rPr>
                <w:rFonts w:hint="default" w:ascii="Times New Roman" w:hAnsi="Times New Roman" w:eastAsia="宋体" w:cs="Times New Roman"/>
                <w:spacing w:val="7"/>
                <w:sz w:val="20"/>
                <w:szCs w:val="20"/>
                <w:highlight w:val="none"/>
              </w:rPr>
            </w:pPr>
            <w:r>
              <w:rPr>
                <w:rFonts w:hint="default" w:ascii="Times New Roman" w:hAnsi="Times New Roman" w:eastAsia="宋体" w:cs="Times New Roman"/>
                <w:spacing w:val="8"/>
                <w:sz w:val="20"/>
                <w:szCs w:val="20"/>
                <w:highlight w:val="none"/>
              </w:rPr>
              <w:t>除</w:t>
            </w:r>
            <w:r>
              <w:rPr>
                <w:rFonts w:hint="default" w:ascii="Times New Roman" w:hAnsi="Times New Roman" w:eastAsia="宋体" w:cs="Times New Roman"/>
                <w:spacing w:val="7"/>
                <w:sz w:val="20"/>
                <w:szCs w:val="20"/>
                <w:highlight w:val="none"/>
              </w:rPr>
              <w:t>尘器排气筒出口</w:t>
            </w:r>
          </w:p>
          <w:p>
            <w:pPr>
              <w:spacing w:before="96" w:line="228" w:lineRule="auto"/>
              <w:ind w:left="590"/>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pacing w:val="7"/>
                <w:sz w:val="20"/>
                <w:szCs w:val="20"/>
                <w:highlight w:val="none"/>
                <w:lang w:eastAsia="zh-CN"/>
              </w:rPr>
              <w:t>（</w:t>
            </w:r>
            <w:r>
              <w:rPr>
                <w:rFonts w:hint="eastAsia" w:ascii="Times New Roman" w:hAnsi="Times New Roman" w:eastAsia="宋体" w:cs="Times New Roman"/>
                <w:spacing w:val="7"/>
                <w:sz w:val="20"/>
                <w:szCs w:val="20"/>
                <w:highlight w:val="none"/>
                <w:lang w:val="en-US" w:eastAsia="zh-CN"/>
              </w:rPr>
              <w:t>1~6#排气筒</w:t>
            </w:r>
            <w:r>
              <w:rPr>
                <w:rFonts w:hint="eastAsia" w:ascii="Times New Roman" w:hAnsi="Times New Roman" w:eastAsia="宋体" w:cs="Times New Roman"/>
                <w:spacing w:val="7"/>
                <w:sz w:val="20"/>
                <w:szCs w:val="20"/>
                <w:highlight w:val="none"/>
                <w:lang w:eastAsia="zh-CN"/>
              </w:rPr>
              <w:t>）</w:t>
            </w:r>
          </w:p>
        </w:tc>
        <w:tc>
          <w:tcPr>
            <w:tcW w:w="1190" w:type="dxa"/>
            <w:vMerge w:val="continue"/>
            <w:tcBorders>
              <w:top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21" w:type="dxa"/>
            <w:tcBorders>
              <w:left w:val="single" w:color="000000" w:sz="10" w:space="0"/>
            </w:tcBorders>
            <w:vAlign w:val="top"/>
          </w:tcPr>
          <w:p>
            <w:pPr>
              <w:spacing w:before="96" w:line="229" w:lineRule="auto"/>
              <w:ind w:left="15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
                <w:sz w:val="20"/>
                <w:szCs w:val="20"/>
                <w:highlight w:val="none"/>
              </w:rPr>
              <w:t>噪</w:t>
            </w:r>
            <w:r>
              <w:rPr>
                <w:rFonts w:hint="default" w:ascii="Times New Roman" w:hAnsi="Times New Roman" w:eastAsia="宋体" w:cs="Times New Roman"/>
                <w:sz w:val="20"/>
                <w:szCs w:val="20"/>
                <w:highlight w:val="none"/>
              </w:rPr>
              <w:t>声</w:t>
            </w:r>
          </w:p>
        </w:tc>
        <w:tc>
          <w:tcPr>
            <w:tcW w:w="1877" w:type="dxa"/>
            <w:vAlign w:val="top"/>
          </w:tcPr>
          <w:p>
            <w:pPr>
              <w:spacing w:before="96" w:line="229" w:lineRule="auto"/>
              <w:ind w:left="51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厂</w:t>
            </w:r>
            <w:r>
              <w:rPr>
                <w:rFonts w:hint="default" w:ascii="Times New Roman" w:hAnsi="Times New Roman" w:eastAsia="宋体" w:cs="Times New Roman"/>
                <w:spacing w:val="6"/>
                <w:sz w:val="20"/>
                <w:szCs w:val="20"/>
                <w:highlight w:val="none"/>
              </w:rPr>
              <w:t>界噪声</w:t>
            </w:r>
          </w:p>
        </w:tc>
        <w:tc>
          <w:tcPr>
            <w:tcW w:w="1930" w:type="dxa"/>
            <w:vAlign w:val="top"/>
          </w:tcPr>
          <w:p>
            <w:pPr>
              <w:spacing w:before="96" w:line="228" w:lineRule="auto"/>
              <w:ind w:left="21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等效</w:t>
            </w:r>
            <w:r>
              <w:rPr>
                <w:rFonts w:hint="default" w:ascii="Times New Roman" w:hAnsi="Times New Roman" w:eastAsia="宋体" w:cs="Times New Roman"/>
                <w:spacing w:val="1"/>
                <w:sz w:val="20"/>
                <w:szCs w:val="20"/>
                <w:highlight w:val="none"/>
              </w:rPr>
              <w:t xml:space="preserve">连续 </w:t>
            </w:r>
            <w:r>
              <w:rPr>
                <w:rFonts w:hint="default" w:ascii="Times New Roman" w:hAnsi="Times New Roman" w:eastAsia="Times New Roman" w:cs="Times New Roman"/>
                <w:sz w:val="20"/>
                <w:szCs w:val="20"/>
                <w:highlight w:val="none"/>
              </w:rPr>
              <w:t>A</w:t>
            </w:r>
            <w:r>
              <w:rPr>
                <w:rFonts w:hint="default" w:ascii="Times New Roman" w:hAnsi="Times New Roman" w:eastAsia="Times New Roman" w:cs="Times New Roman"/>
                <w:spacing w:val="1"/>
                <w:sz w:val="20"/>
                <w:szCs w:val="20"/>
                <w:highlight w:val="none"/>
              </w:rPr>
              <w:t xml:space="preserve"> </w:t>
            </w:r>
            <w:r>
              <w:rPr>
                <w:rFonts w:hint="default" w:ascii="Times New Roman" w:hAnsi="Times New Roman" w:eastAsia="宋体" w:cs="Times New Roman"/>
                <w:spacing w:val="1"/>
                <w:sz w:val="20"/>
                <w:szCs w:val="20"/>
                <w:highlight w:val="none"/>
              </w:rPr>
              <w:t>声级</w:t>
            </w:r>
          </w:p>
        </w:tc>
        <w:tc>
          <w:tcPr>
            <w:tcW w:w="2813" w:type="dxa"/>
            <w:vAlign w:val="top"/>
          </w:tcPr>
          <w:p>
            <w:pPr>
              <w:spacing w:before="96" w:line="229" w:lineRule="auto"/>
              <w:ind w:left="91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2"/>
                <w:sz w:val="20"/>
                <w:szCs w:val="20"/>
                <w:highlight w:val="none"/>
              </w:rPr>
              <w:t xml:space="preserve">厂界 </w:t>
            </w:r>
            <w:r>
              <w:rPr>
                <w:rFonts w:hint="default" w:ascii="Times New Roman" w:hAnsi="Times New Roman" w:eastAsia="Times New Roman" w:cs="Times New Roman"/>
                <w:spacing w:val="-1"/>
                <w:sz w:val="20"/>
                <w:szCs w:val="20"/>
                <w:highlight w:val="none"/>
              </w:rPr>
              <w:t xml:space="preserve">1m </w:t>
            </w:r>
            <w:r>
              <w:rPr>
                <w:rFonts w:hint="default" w:ascii="Times New Roman" w:hAnsi="Times New Roman" w:eastAsia="宋体" w:cs="Times New Roman"/>
                <w:spacing w:val="-1"/>
                <w:sz w:val="20"/>
                <w:szCs w:val="20"/>
                <w:highlight w:val="none"/>
              </w:rPr>
              <w:t>处</w:t>
            </w:r>
          </w:p>
        </w:tc>
        <w:tc>
          <w:tcPr>
            <w:tcW w:w="1190" w:type="dxa"/>
            <w:tcBorders>
              <w:right w:val="single" w:color="000000" w:sz="10" w:space="0"/>
            </w:tcBorders>
            <w:vAlign w:val="top"/>
          </w:tcPr>
          <w:p>
            <w:pPr>
              <w:spacing w:before="96" w:line="228" w:lineRule="auto"/>
              <w:ind w:left="187"/>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9"/>
                <w:sz w:val="20"/>
                <w:szCs w:val="20"/>
                <w:highlight w:val="none"/>
                <w:lang w:val="en-US" w:eastAsia="zh-CN"/>
              </w:rPr>
              <w:t>每季</w:t>
            </w:r>
            <w:r>
              <w:rPr>
                <w:rFonts w:hint="default" w:ascii="Times New Roman" w:hAnsi="Times New Roman" w:eastAsia="宋体" w:cs="Times New Roman"/>
                <w:spacing w:val="8"/>
                <w:sz w:val="20"/>
                <w:szCs w:val="20"/>
                <w:highlight w:val="none"/>
              </w:rPr>
              <w:t>一次</w:t>
            </w:r>
          </w:p>
        </w:tc>
      </w:tr>
    </w:tbl>
    <w:p>
      <w:pPr>
        <w:spacing w:line="14" w:lineRule="exact"/>
        <w:rPr>
          <w:rFonts w:hint="default" w:ascii="Times New Roman" w:hAnsi="Times New Roman" w:cs="Times New Roman"/>
          <w:highlight w:val="none"/>
        </w:rPr>
      </w:pPr>
    </w:p>
    <w:tbl>
      <w:tblPr>
        <w:tblStyle w:val="19"/>
        <w:tblW w:w="860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31"/>
        <w:gridCol w:w="1696"/>
        <w:gridCol w:w="1131"/>
        <w:gridCol w:w="1131"/>
        <w:gridCol w:w="847"/>
        <w:gridCol w:w="989"/>
        <w:gridCol w:w="10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8600" w:type="dxa"/>
            <w:gridSpan w:val="8"/>
            <w:tcBorders>
              <w:left w:val="nil"/>
              <w:right w:val="nil"/>
            </w:tcBorders>
            <w:vAlign w:val="top"/>
          </w:tcPr>
          <w:p>
            <w:pPr>
              <w:spacing w:line="355" w:lineRule="auto"/>
              <w:rPr>
                <w:rFonts w:hint="default" w:ascii="Times New Roman" w:hAnsi="Times New Roman" w:cs="Times New Roman"/>
                <w:sz w:val="21"/>
                <w:highlight w:val="none"/>
              </w:rPr>
            </w:pPr>
          </w:p>
          <w:p>
            <w:pPr>
              <w:spacing w:before="75" w:line="228" w:lineRule="auto"/>
              <w:ind w:left="150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8"/>
                <w:sz w:val="23"/>
                <w:szCs w:val="23"/>
                <w:highlight w:val="none"/>
              </w:rPr>
              <w:t xml:space="preserve"> </w:t>
            </w:r>
            <w:r>
              <w:rPr>
                <w:rFonts w:hint="default" w:ascii="Times New Roman" w:hAnsi="Times New Roman" w:eastAsia="Times New Roman" w:cs="Times New Roman"/>
                <w:b/>
                <w:bCs/>
                <w:spacing w:val="8"/>
                <w:sz w:val="23"/>
                <w:szCs w:val="23"/>
                <w:highlight w:val="none"/>
              </w:rPr>
              <w:t>8.3</w:t>
            </w:r>
            <w:r>
              <w:rPr>
                <w:rFonts w:hint="default" w:ascii="Times New Roman" w:hAnsi="Times New Roman" w:eastAsia="Times New Roman" w:cs="Times New Roman"/>
                <w:b/>
                <w:bCs/>
                <w:spacing w:val="7"/>
                <w:sz w:val="23"/>
                <w:szCs w:val="23"/>
                <w:highlight w:val="none"/>
              </w:rPr>
              <w:t>-</w:t>
            </w:r>
            <w:r>
              <w:rPr>
                <w:rFonts w:hint="default" w:ascii="Times New Roman" w:hAnsi="Times New Roman" w:eastAsia="Times New Roman" w:cs="Times New Roman"/>
                <w:b/>
                <w:bCs/>
                <w:spacing w:val="4"/>
                <w:sz w:val="23"/>
                <w:szCs w:val="23"/>
                <w:highlight w:val="none"/>
              </w:rPr>
              <w:t>2</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运营期污染源监测计划一览表</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宋体" w:cs="Times New Roman"/>
                <w:spacing w:val="4"/>
                <w:sz w:val="23"/>
                <w:szCs w:val="23"/>
                <w:highlight w:val="none"/>
                <w14:textOutline w14:w="4358" w14:cap="sq" w14:cmpd="sng">
                  <w14:solidFill>
                    <w14:srgbClr w14:val="000000"/>
                  </w14:solidFill>
                  <w14:prstDash w14:val="solid"/>
                  <w14:bevel/>
                </w14:textOutline>
              </w:rPr>
              <w:t>(地下水)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581" w:type="dxa"/>
            <w:vMerge w:val="restart"/>
            <w:tcBorders>
              <w:left w:val="single" w:color="000000" w:sz="10" w:space="0"/>
              <w:bottom w:val="nil"/>
            </w:tcBorders>
            <w:textDirection w:val="tbRlV"/>
            <w:vAlign w:val="top"/>
          </w:tcPr>
          <w:p>
            <w:pPr>
              <w:spacing w:before="187" w:line="216" w:lineRule="auto"/>
              <w:ind w:left="8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井</w:t>
            </w:r>
            <w:r>
              <w:rPr>
                <w:rFonts w:hint="default" w:ascii="Times New Roman" w:hAnsi="Times New Roman" w:eastAsia="宋体" w:cs="Times New Roman"/>
                <w:spacing w:val="9"/>
                <w:sz w:val="20"/>
                <w:szCs w:val="20"/>
                <w:highlight w:val="none"/>
              </w:rPr>
              <w:t xml:space="preserve"> 编 号</w:t>
            </w:r>
          </w:p>
        </w:tc>
        <w:tc>
          <w:tcPr>
            <w:tcW w:w="1131" w:type="dxa"/>
            <w:vMerge w:val="restart"/>
            <w:tcBorders>
              <w:bottom w:val="nil"/>
            </w:tcBorders>
            <w:vAlign w:val="top"/>
          </w:tcPr>
          <w:p>
            <w:pPr>
              <w:spacing w:before="247" w:line="310" w:lineRule="auto"/>
              <w:ind w:left="462" w:right="155" w:hanging="32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和厂区关</w:t>
            </w:r>
            <w:r>
              <w:rPr>
                <w:rFonts w:hint="default" w:ascii="Times New Roman" w:hAnsi="Times New Roman" w:eastAsia="宋体" w:cs="Times New Roman"/>
                <w:sz w:val="20"/>
                <w:szCs w:val="20"/>
                <w:highlight w:val="none"/>
              </w:rPr>
              <w:t xml:space="preserve"> 系</w:t>
            </w:r>
          </w:p>
        </w:tc>
        <w:tc>
          <w:tcPr>
            <w:tcW w:w="1696" w:type="dxa"/>
            <w:vMerge w:val="restart"/>
            <w:tcBorders>
              <w:bottom w:val="nil"/>
            </w:tcBorders>
            <w:vAlign w:val="top"/>
          </w:tcPr>
          <w:p>
            <w:pPr>
              <w:spacing w:line="340" w:lineRule="auto"/>
              <w:rPr>
                <w:rFonts w:hint="default" w:ascii="Times New Roman" w:hAnsi="Times New Roman" w:cs="Times New Roman"/>
                <w:sz w:val="21"/>
                <w:highlight w:val="none"/>
              </w:rPr>
            </w:pPr>
          </w:p>
          <w:p>
            <w:pPr>
              <w:spacing w:before="65" w:line="229" w:lineRule="auto"/>
              <w:ind w:left="32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8"/>
                <w:sz w:val="20"/>
                <w:szCs w:val="20"/>
                <w:highlight w:val="none"/>
              </w:rPr>
              <w:t>监测井功</w:t>
            </w:r>
            <w:r>
              <w:rPr>
                <w:rFonts w:hint="default" w:ascii="Times New Roman" w:hAnsi="Times New Roman" w:eastAsia="宋体" w:cs="Times New Roman"/>
                <w:spacing w:val="7"/>
                <w:sz w:val="20"/>
                <w:szCs w:val="20"/>
                <w:highlight w:val="none"/>
              </w:rPr>
              <w:t>能</w:t>
            </w:r>
          </w:p>
        </w:tc>
        <w:tc>
          <w:tcPr>
            <w:tcW w:w="2262" w:type="dxa"/>
            <w:gridSpan w:val="2"/>
            <w:vAlign w:val="top"/>
          </w:tcPr>
          <w:p>
            <w:pPr>
              <w:spacing w:before="97" w:line="230" w:lineRule="auto"/>
              <w:ind w:left="71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绝对位</w:t>
            </w:r>
            <w:r>
              <w:rPr>
                <w:rFonts w:hint="default" w:ascii="Times New Roman" w:hAnsi="Times New Roman" w:eastAsia="宋体" w:cs="Times New Roman"/>
                <w:spacing w:val="6"/>
                <w:sz w:val="20"/>
                <w:szCs w:val="20"/>
                <w:highlight w:val="none"/>
              </w:rPr>
              <w:t>置</w:t>
            </w:r>
          </w:p>
        </w:tc>
        <w:tc>
          <w:tcPr>
            <w:tcW w:w="847" w:type="dxa"/>
            <w:vAlign w:val="top"/>
          </w:tcPr>
          <w:p>
            <w:pPr>
              <w:spacing w:before="98" w:line="229" w:lineRule="auto"/>
              <w:ind w:left="22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5"/>
                <w:sz w:val="20"/>
                <w:szCs w:val="20"/>
                <w:highlight w:val="none"/>
              </w:rPr>
              <w:t>井</w:t>
            </w:r>
            <w:r>
              <w:rPr>
                <w:rFonts w:hint="default" w:ascii="Times New Roman" w:hAnsi="Times New Roman" w:eastAsia="宋体" w:cs="Times New Roman"/>
                <w:spacing w:val="4"/>
                <w:sz w:val="20"/>
                <w:szCs w:val="20"/>
                <w:highlight w:val="none"/>
              </w:rPr>
              <w:t>深</w:t>
            </w:r>
          </w:p>
        </w:tc>
        <w:tc>
          <w:tcPr>
            <w:tcW w:w="989" w:type="dxa"/>
            <w:vMerge w:val="restart"/>
            <w:tcBorders>
              <w:bottom w:val="nil"/>
            </w:tcBorders>
            <w:vAlign w:val="top"/>
          </w:tcPr>
          <w:p>
            <w:pPr>
              <w:spacing w:before="245" w:line="310" w:lineRule="auto"/>
              <w:ind w:left="405" w:right="169" w:hanging="21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监</w:t>
            </w:r>
            <w:r>
              <w:rPr>
                <w:rFonts w:hint="default" w:ascii="Times New Roman" w:hAnsi="Times New Roman" w:eastAsia="宋体" w:cs="Times New Roman"/>
                <w:spacing w:val="6"/>
                <w:sz w:val="20"/>
                <w:szCs w:val="20"/>
                <w:highlight w:val="none"/>
              </w:rPr>
              <w:t>测因</w:t>
            </w:r>
            <w:r>
              <w:rPr>
                <w:rFonts w:hint="default" w:ascii="Times New Roman" w:hAnsi="Times New Roman" w:eastAsia="宋体" w:cs="Times New Roman"/>
                <w:sz w:val="20"/>
                <w:szCs w:val="20"/>
                <w:highlight w:val="none"/>
              </w:rPr>
              <w:t xml:space="preserve"> 子</w:t>
            </w:r>
          </w:p>
        </w:tc>
        <w:tc>
          <w:tcPr>
            <w:tcW w:w="1094" w:type="dxa"/>
            <w:vMerge w:val="restart"/>
            <w:tcBorders>
              <w:bottom w:val="nil"/>
              <w:right w:val="single" w:color="000000" w:sz="10" w:space="0"/>
            </w:tcBorders>
            <w:vAlign w:val="top"/>
          </w:tcPr>
          <w:p>
            <w:pPr>
              <w:spacing w:line="341" w:lineRule="auto"/>
              <w:rPr>
                <w:rFonts w:hint="default" w:ascii="Times New Roman" w:hAnsi="Times New Roman" w:cs="Times New Roman"/>
                <w:sz w:val="21"/>
                <w:highlight w:val="none"/>
              </w:rPr>
            </w:pPr>
          </w:p>
          <w:p>
            <w:pPr>
              <w:spacing w:before="65" w:line="228" w:lineRule="auto"/>
              <w:ind w:left="13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监测频率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581" w:type="dxa"/>
            <w:vMerge w:val="continue"/>
            <w:tcBorders>
              <w:top w:val="nil"/>
              <w:left w:val="single" w:color="000000" w:sz="10" w:space="0"/>
            </w:tcBorders>
            <w:textDirection w:val="tbRlV"/>
            <w:vAlign w:val="top"/>
          </w:tcPr>
          <w:p>
            <w:pPr>
              <w:rPr>
                <w:rFonts w:hint="default" w:ascii="Times New Roman" w:hAnsi="Times New Roman" w:cs="Times New Roman"/>
                <w:sz w:val="21"/>
                <w:highlight w:val="none"/>
              </w:rPr>
            </w:pPr>
          </w:p>
        </w:tc>
        <w:tc>
          <w:tcPr>
            <w:tcW w:w="1131" w:type="dxa"/>
            <w:vMerge w:val="continue"/>
            <w:tcBorders>
              <w:top w:val="nil"/>
            </w:tcBorders>
            <w:vAlign w:val="top"/>
          </w:tcPr>
          <w:p>
            <w:pPr>
              <w:rPr>
                <w:rFonts w:hint="default" w:ascii="Times New Roman" w:hAnsi="Times New Roman" w:cs="Times New Roman"/>
                <w:sz w:val="21"/>
                <w:highlight w:val="none"/>
              </w:rPr>
            </w:pPr>
          </w:p>
        </w:tc>
        <w:tc>
          <w:tcPr>
            <w:tcW w:w="1696" w:type="dxa"/>
            <w:vMerge w:val="continue"/>
            <w:tcBorders>
              <w:top w:val="nil"/>
            </w:tcBorders>
            <w:vAlign w:val="top"/>
          </w:tcPr>
          <w:p>
            <w:pPr>
              <w:rPr>
                <w:rFonts w:hint="default" w:ascii="Times New Roman" w:hAnsi="Times New Roman" w:cs="Times New Roman"/>
                <w:sz w:val="21"/>
                <w:highlight w:val="none"/>
              </w:rPr>
            </w:pPr>
          </w:p>
        </w:tc>
        <w:tc>
          <w:tcPr>
            <w:tcW w:w="1131" w:type="dxa"/>
            <w:vAlign w:val="top"/>
          </w:tcPr>
          <w:p>
            <w:pPr>
              <w:spacing w:before="259" w:line="192" w:lineRule="auto"/>
              <w:ind w:left="48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X</w:t>
            </w:r>
          </w:p>
        </w:tc>
        <w:tc>
          <w:tcPr>
            <w:tcW w:w="1131" w:type="dxa"/>
            <w:vAlign w:val="top"/>
          </w:tcPr>
          <w:p>
            <w:pPr>
              <w:spacing w:before="259" w:line="192" w:lineRule="auto"/>
              <w:ind w:left="492"/>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4"/>
                <w:sz w:val="20"/>
                <w:szCs w:val="20"/>
                <w:highlight w:val="none"/>
              </w:rPr>
              <w:t>Y</w:t>
            </w:r>
          </w:p>
        </w:tc>
        <w:tc>
          <w:tcPr>
            <w:tcW w:w="847" w:type="dxa"/>
            <w:vAlign w:val="top"/>
          </w:tcPr>
          <w:p>
            <w:pPr>
              <w:spacing w:line="243" w:lineRule="auto"/>
              <w:rPr>
                <w:rFonts w:hint="default" w:ascii="Times New Roman" w:hAnsi="Times New Roman" w:cs="Times New Roman"/>
                <w:sz w:val="21"/>
                <w:highlight w:val="none"/>
              </w:rPr>
            </w:pPr>
          </w:p>
          <w:p>
            <w:pPr>
              <w:spacing w:before="58" w:line="141" w:lineRule="exact"/>
              <w:ind w:left="34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5"/>
                <w:sz w:val="20"/>
                <w:szCs w:val="20"/>
                <w:highlight w:val="none"/>
              </w:rPr>
              <w:t>m</w:t>
            </w:r>
          </w:p>
        </w:tc>
        <w:tc>
          <w:tcPr>
            <w:tcW w:w="989" w:type="dxa"/>
            <w:vMerge w:val="continue"/>
            <w:tcBorders>
              <w:top w:val="nil"/>
            </w:tcBorders>
            <w:vAlign w:val="top"/>
          </w:tcPr>
          <w:p>
            <w:pPr>
              <w:rPr>
                <w:rFonts w:hint="default" w:ascii="Times New Roman" w:hAnsi="Times New Roman" w:cs="Times New Roman"/>
                <w:sz w:val="21"/>
                <w:highlight w:val="none"/>
              </w:rPr>
            </w:pPr>
          </w:p>
        </w:tc>
        <w:tc>
          <w:tcPr>
            <w:tcW w:w="1094" w:type="dxa"/>
            <w:vMerge w:val="continue"/>
            <w:tcBorders>
              <w:top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81" w:type="dxa"/>
            <w:tcBorders>
              <w:left w:val="single" w:color="000000" w:sz="10" w:space="0"/>
            </w:tcBorders>
            <w:vAlign w:val="top"/>
          </w:tcPr>
          <w:p>
            <w:pPr>
              <w:spacing w:before="274" w:line="195" w:lineRule="auto"/>
              <w:ind w:left="11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JC</w:t>
            </w:r>
            <w:r>
              <w:rPr>
                <w:rFonts w:hint="default" w:ascii="Times New Roman" w:hAnsi="Times New Roman" w:eastAsia="Times New Roman" w:cs="Times New Roman"/>
                <w:spacing w:val="9"/>
                <w:sz w:val="20"/>
                <w:szCs w:val="20"/>
                <w:highlight w:val="none"/>
              </w:rPr>
              <w:t>1</w:t>
            </w:r>
          </w:p>
        </w:tc>
        <w:tc>
          <w:tcPr>
            <w:tcW w:w="1131" w:type="dxa"/>
            <w:vAlign w:val="top"/>
          </w:tcPr>
          <w:p>
            <w:pPr>
              <w:spacing w:before="239" w:line="229" w:lineRule="auto"/>
              <w:ind w:lef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厂</w:t>
            </w:r>
            <w:r>
              <w:rPr>
                <w:rFonts w:hint="default" w:ascii="Times New Roman" w:hAnsi="Times New Roman" w:eastAsia="宋体" w:cs="Times New Roman"/>
                <w:spacing w:val="6"/>
                <w:sz w:val="20"/>
                <w:szCs w:val="20"/>
                <w:highlight w:val="none"/>
              </w:rPr>
              <w:t>区上游</w:t>
            </w:r>
          </w:p>
        </w:tc>
        <w:tc>
          <w:tcPr>
            <w:tcW w:w="1696" w:type="dxa"/>
            <w:vAlign w:val="top"/>
          </w:tcPr>
          <w:p>
            <w:pPr>
              <w:spacing w:before="77" w:line="262" w:lineRule="auto"/>
              <w:ind w:left="742" w:right="115" w:hanging="62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2"/>
                <w:sz w:val="20"/>
                <w:szCs w:val="20"/>
                <w:highlight w:val="none"/>
              </w:rPr>
              <w:t>地</w:t>
            </w:r>
            <w:r>
              <w:rPr>
                <w:rFonts w:hint="default" w:ascii="Times New Roman" w:hAnsi="Times New Roman" w:eastAsia="宋体" w:cs="Times New Roman"/>
                <w:spacing w:val="8"/>
                <w:sz w:val="20"/>
                <w:szCs w:val="20"/>
                <w:highlight w:val="none"/>
              </w:rPr>
              <w:t>下水上游背景</w:t>
            </w:r>
            <w:r>
              <w:rPr>
                <w:rFonts w:hint="default" w:ascii="Times New Roman" w:hAnsi="Times New Roman" w:eastAsia="宋体" w:cs="Times New Roman"/>
                <w:sz w:val="20"/>
                <w:szCs w:val="20"/>
                <w:highlight w:val="none"/>
              </w:rPr>
              <w:t xml:space="preserve"> 值</w:t>
            </w:r>
          </w:p>
        </w:tc>
        <w:tc>
          <w:tcPr>
            <w:tcW w:w="1131" w:type="dxa"/>
            <w:vAlign w:val="top"/>
          </w:tcPr>
          <w:p>
            <w:pPr>
              <w:spacing w:before="274" w:line="195" w:lineRule="auto"/>
              <w:ind w:left="14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2</w:t>
            </w:r>
            <w:r>
              <w:rPr>
                <w:rFonts w:hint="default" w:ascii="Times New Roman" w:hAnsi="Times New Roman" w:eastAsia="Times New Roman" w:cs="Times New Roman"/>
                <w:spacing w:val="4"/>
                <w:sz w:val="20"/>
                <w:szCs w:val="20"/>
                <w:highlight w:val="none"/>
              </w:rPr>
              <w:t>0582894</w:t>
            </w:r>
          </w:p>
        </w:tc>
        <w:tc>
          <w:tcPr>
            <w:tcW w:w="1131" w:type="dxa"/>
            <w:vAlign w:val="top"/>
          </w:tcPr>
          <w:p>
            <w:pPr>
              <w:spacing w:before="274" w:line="195" w:lineRule="auto"/>
              <w:ind w:left="2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4</w:t>
            </w:r>
            <w:r>
              <w:rPr>
                <w:rFonts w:hint="default" w:ascii="Times New Roman" w:hAnsi="Times New Roman" w:eastAsia="Times New Roman" w:cs="Times New Roman"/>
                <w:spacing w:val="4"/>
                <w:sz w:val="20"/>
                <w:szCs w:val="20"/>
                <w:highlight w:val="none"/>
              </w:rPr>
              <w:t>456514</w:t>
            </w:r>
          </w:p>
        </w:tc>
        <w:tc>
          <w:tcPr>
            <w:tcW w:w="847" w:type="dxa"/>
            <w:vAlign w:val="top"/>
          </w:tcPr>
          <w:p>
            <w:pPr>
              <w:spacing w:before="274" w:line="195" w:lineRule="auto"/>
              <w:ind w:left="3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989" w:type="dxa"/>
            <w:vMerge w:val="restart"/>
            <w:tcBorders>
              <w:bottom w:val="nil"/>
            </w:tcBorders>
            <w:vAlign w:val="top"/>
          </w:tcPr>
          <w:p>
            <w:pPr>
              <w:spacing w:before="278" w:line="293" w:lineRule="auto"/>
              <w:ind w:left="180" w:right="192" w:firstLine="85"/>
              <w:rPr>
                <w:rFonts w:hint="default" w:ascii="Times New Roman" w:hAnsi="Times New Roman" w:eastAsia="宋体" w:cs="Times New Roman"/>
                <w:sz w:val="20"/>
                <w:szCs w:val="20"/>
                <w:highlight w:val="none"/>
              </w:rPr>
            </w:pPr>
            <w:r>
              <w:rPr>
                <w:rFonts w:hint="default" w:ascii="Times New Roman" w:hAnsi="Times New Roman" w:eastAsia="Times New Roman" w:cs="Times New Roman"/>
                <w:spacing w:val="-3"/>
                <w:sz w:val="20"/>
                <w:szCs w:val="20"/>
                <w:highlight w:val="none"/>
              </w:rPr>
              <w:t>pH</w:t>
            </w:r>
            <w:r>
              <w:rPr>
                <w:rFonts w:hint="default" w:ascii="Times New Roman" w:hAnsi="Times New Roman" w:eastAsia="Times New Roman" w:cs="Times New Roman"/>
                <w:spacing w:val="-6"/>
                <w:sz w:val="20"/>
                <w:szCs w:val="20"/>
                <w:highlight w:val="none"/>
              </w:rPr>
              <w:t xml:space="preserve"> </w:t>
            </w:r>
            <w:r>
              <w:rPr>
                <w:rFonts w:hint="default" w:ascii="Times New Roman" w:hAnsi="Times New Roman" w:eastAsia="宋体" w:cs="Times New Roman"/>
                <w:spacing w:val="-3"/>
                <w:sz w:val="20"/>
                <w:szCs w:val="20"/>
                <w:highlight w:val="none"/>
              </w:rPr>
              <w:t>、</w:t>
            </w:r>
            <w:r>
              <w:rPr>
                <w:rFonts w:hint="default" w:ascii="Times New Roman" w:hAnsi="Times New Roman" w:eastAsia="宋体" w:cs="Times New Roman"/>
                <w:sz w:val="20"/>
                <w:szCs w:val="20"/>
                <w:highlight w:val="none"/>
              </w:rPr>
              <w:t xml:space="preserve"> </w:t>
            </w:r>
          </w:p>
          <w:p>
            <w:pPr>
              <w:spacing w:before="2" w:line="295" w:lineRule="auto"/>
              <w:ind w:left="120" w:right="67" w:firstLine="128"/>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0"/>
                <w:highlight w:val="none"/>
                <w:lang w:val="en-US" w:eastAsia="zh-CN"/>
              </w:rPr>
              <w:t>石油类、</w:t>
            </w:r>
            <w:r>
              <w:rPr>
                <w:rFonts w:hint="default" w:ascii="Times New Roman" w:hAnsi="Times New Roman" w:eastAsia="Times New Roman" w:cs="Times New Roman"/>
                <w:position w:val="-1"/>
                <w:sz w:val="13"/>
                <w:szCs w:val="13"/>
                <w:highlight w:val="none"/>
              </w:rPr>
              <w:t xml:space="preserve">     </w:t>
            </w:r>
            <w:r>
              <w:rPr>
                <w:rFonts w:hint="default" w:ascii="Times New Roman" w:hAnsi="Times New Roman" w:eastAsia="宋体" w:cs="Times New Roman"/>
                <w:spacing w:val="-11"/>
                <w:sz w:val="20"/>
                <w:szCs w:val="20"/>
                <w:highlight w:val="none"/>
              </w:rPr>
              <w:t>铁</w:t>
            </w:r>
            <w:r>
              <w:rPr>
                <w:rFonts w:hint="default" w:ascii="Times New Roman" w:hAnsi="Times New Roman" w:eastAsia="宋体" w:cs="Times New Roman"/>
                <w:spacing w:val="-8"/>
                <w:sz w:val="20"/>
                <w:szCs w:val="20"/>
                <w:highlight w:val="none"/>
              </w:rPr>
              <w:t>、溶解</w:t>
            </w:r>
            <w:r>
              <w:rPr>
                <w:rFonts w:hint="default" w:ascii="Times New Roman" w:hAnsi="Times New Roman" w:eastAsia="宋体" w:cs="Times New Roman"/>
                <w:sz w:val="20"/>
                <w:szCs w:val="20"/>
                <w:highlight w:val="none"/>
              </w:rPr>
              <w:t xml:space="preserve"> </w:t>
            </w:r>
            <w:r>
              <w:rPr>
                <w:rFonts w:hint="default" w:ascii="Times New Roman" w:hAnsi="Times New Roman" w:eastAsia="宋体" w:cs="Times New Roman"/>
                <w:spacing w:val="-2"/>
                <w:sz w:val="20"/>
                <w:szCs w:val="20"/>
                <w:highlight w:val="none"/>
              </w:rPr>
              <w:t>性</w:t>
            </w:r>
            <w:r>
              <w:rPr>
                <w:rFonts w:hint="default" w:ascii="Times New Roman" w:hAnsi="Times New Roman" w:eastAsia="宋体" w:cs="Times New Roman"/>
                <w:spacing w:val="-1"/>
                <w:sz w:val="20"/>
                <w:szCs w:val="20"/>
                <w:highlight w:val="none"/>
              </w:rPr>
              <w:t>固体、</w:t>
            </w:r>
          </w:p>
          <w:p>
            <w:pPr>
              <w:spacing w:line="227" w:lineRule="auto"/>
              <w:ind w:left="194"/>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耗</w:t>
            </w:r>
            <w:r>
              <w:rPr>
                <w:rFonts w:hint="default" w:ascii="Times New Roman" w:hAnsi="Times New Roman" w:eastAsia="宋体" w:cs="Times New Roman"/>
                <w:spacing w:val="6"/>
                <w:sz w:val="20"/>
                <w:szCs w:val="20"/>
                <w:highlight w:val="none"/>
              </w:rPr>
              <w:t>氧量</w:t>
            </w:r>
          </w:p>
        </w:tc>
        <w:tc>
          <w:tcPr>
            <w:tcW w:w="1094" w:type="dxa"/>
            <w:vMerge w:val="restart"/>
            <w:tcBorders>
              <w:bottom w:val="nil"/>
              <w:right w:val="single" w:color="000000" w:sz="10" w:space="0"/>
            </w:tcBorders>
            <w:vAlign w:val="top"/>
          </w:tcPr>
          <w:p>
            <w:pPr>
              <w:spacing w:before="78" w:line="229" w:lineRule="auto"/>
              <w:ind w:left="138"/>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厂</w:t>
            </w:r>
            <w:r>
              <w:rPr>
                <w:rFonts w:hint="default" w:ascii="Times New Roman" w:hAnsi="Times New Roman" w:eastAsia="宋体" w:cs="Times New Roman"/>
                <w:spacing w:val="6"/>
                <w:sz w:val="20"/>
                <w:szCs w:val="20"/>
                <w:highlight w:val="none"/>
              </w:rPr>
              <w:t>区下游</w:t>
            </w:r>
          </w:p>
          <w:p>
            <w:pPr>
              <w:spacing w:before="71" w:line="228" w:lineRule="auto"/>
              <w:ind w:left="13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监测点每</w:t>
            </w:r>
          </w:p>
          <w:p>
            <w:pPr>
              <w:spacing w:before="74" w:line="228" w:lineRule="auto"/>
              <w:ind w:left="241"/>
              <w:rPr>
                <w:rFonts w:hint="default" w:ascii="Times New Roman" w:hAnsi="Times New Roman" w:eastAsia="宋体" w:cs="Times New Roman"/>
                <w:sz w:val="20"/>
                <w:szCs w:val="20"/>
                <w:highlight w:val="none"/>
              </w:rPr>
            </w:pPr>
            <w:r>
              <w:rPr>
                <w:rFonts w:hint="eastAsia" w:ascii="Times New Roman" w:hAnsi="Times New Roman" w:eastAsia="宋体" w:cs="Times New Roman"/>
                <w:spacing w:val="7"/>
                <w:sz w:val="20"/>
                <w:szCs w:val="20"/>
                <w:highlight w:val="none"/>
                <w:lang w:val="en-US" w:eastAsia="zh-CN"/>
              </w:rPr>
              <w:t>半年</w:t>
            </w:r>
            <w:r>
              <w:rPr>
                <w:rFonts w:hint="default" w:ascii="Times New Roman" w:hAnsi="Times New Roman" w:eastAsia="宋体" w:cs="Times New Roman"/>
                <w:spacing w:val="6"/>
                <w:sz w:val="20"/>
                <w:szCs w:val="20"/>
                <w:highlight w:val="none"/>
              </w:rPr>
              <w:t>一</w:t>
            </w:r>
          </w:p>
          <w:p>
            <w:pPr>
              <w:spacing w:before="72" w:line="228" w:lineRule="auto"/>
              <w:ind w:left="141"/>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次，厂</w:t>
            </w:r>
            <w:r>
              <w:rPr>
                <w:rFonts w:hint="default" w:ascii="Times New Roman" w:hAnsi="Times New Roman" w:eastAsia="宋体" w:cs="Times New Roman"/>
                <w:spacing w:val="5"/>
                <w:sz w:val="20"/>
                <w:szCs w:val="20"/>
                <w:highlight w:val="none"/>
              </w:rPr>
              <w:t>区</w:t>
            </w:r>
          </w:p>
          <w:p>
            <w:pPr>
              <w:spacing w:before="71" w:line="229" w:lineRule="auto"/>
              <w:ind w:left="137"/>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上游监</w:t>
            </w:r>
            <w:r>
              <w:rPr>
                <w:rFonts w:hint="default" w:ascii="Times New Roman" w:hAnsi="Times New Roman" w:eastAsia="宋体" w:cs="Times New Roman"/>
                <w:spacing w:val="6"/>
                <w:sz w:val="20"/>
                <w:szCs w:val="20"/>
                <w:highlight w:val="none"/>
              </w:rPr>
              <w:t>测</w:t>
            </w:r>
          </w:p>
          <w:p>
            <w:pPr>
              <w:spacing w:before="74" w:line="228" w:lineRule="auto"/>
              <w:ind w:left="142"/>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7"/>
                <w:sz w:val="20"/>
                <w:szCs w:val="20"/>
                <w:highlight w:val="none"/>
              </w:rPr>
              <w:t>点</w:t>
            </w:r>
            <w:r>
              <w:rPr>
                <w:rFonts w:hint="default" w:ascii="Times New Roman" w:hAnsi="Times New Roman" w:eastAsia="宋体" w:cs="Times New Roman"/>
                <w:spacing w:val="5"/>
                <w:sz w:val="20"/>
                <w:szCs w:val="20"/>
                <w:highlight w:val="none"/>
              </w:rPr>
              <w:t>每年度</w:t>
            </w:r>
          </w:p>
          <w:p>
            <w:pPr>
              <w:spacing w:before="72" w:line="236" w:lineRule="auto"/>
              <w:ind w:left="350"/>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一</w:t>
            </w:r>
            <w:r>
              <w:rPr>
                <w:rFonts w:hint="default" w:ascii="Times New Roman" w:hAnsi="Times New Roman" w:eastAsia="宋体" w:cs="Times New Roman"/>
                <w:spacing w:val="5"/>
                <w:sz w:val="20"/>
                <w:szCs w:val="20"/>
                <w:highlight w:val="none"/>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1" w:type="dxa"/>
            <w:tcBorders>
              <w:left w:val="single" w:color="000000" w:sz="10" w:space="0"/>
            </w:tcBorders>
            <w:vAlign w:val="top"/>
          </w:tcPr>
          <w:p>
            <w:pPr>
              <w:spacing w:before="123" w:line="195" w:lineRule="auto"/>
              <w:ind w:left="11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JC</w:t>
            </w:r>
            <w:r>
              <w:rPr>
                <w:rFonts w:hint="default" w:ascii="Times New Roman" w:hAnsi="Times New Roman" w:eastAsia="Times New Roman" w:cs="Times New Roman"/>
                <w:spacing w:val="9"/>
                <w:sz w:val="20"/>
                <w:szCs w:val="20"/>
                <w:highlight w:val="none"/>
              </w:rPr>
              <w:t>2</w:t>
            </w:r>
          </w:p>
        </w:tc>
        <w:tc>
          <w:tcPr>
            <w:tcW w:w="1131" w:type="dxa"/>
            <w:vAlign w:val="top"/>
          </w:tcPr>
          <w:p>
            <w:pPr>
              <w:spacing w:before="88" w:line="228" w:lineRule="auto"/>
              <w:ind w:left="249"/>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6"/>
                <w:sz w:val="20"/>
                <w:szCs w:val="20"/>
                <w:highlight w:val="none"/>
              </w:rPr>
              <w:t>厂区内</w:t>
            </w:r>
          </w:p>
        </w:tc>
        <w:tc>
          <w:tcPr>
            <w:tcW w:w="1696" w:type="dxa"/>
            <w:vAlign w:val="top"/>
          </w:tcPr>
          <w:p>
            <w:pPr>
              <w:spacing w:before="88" w:line="228" w:lineRule="auto"/>
              <w:ind w:left="1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污</w:t>
            </w:r>
            <w:r>
              <w:rPr>
                <w:rFonts w:hint="default" w:ascii="Times New Roman" w:hAnsi="Times New Roman" w:eastAsia="宋体" w:cs="Times New Roman"/>
                <w:spacing w:val="8"/>
                <w:sz w:val="20"/>
                <w:szCs w:val="20"/>
                <w:highlight w:val="none"/>
              </w:rPr>
              <w:t>染扩散监测点</w:t>
            </w:r>
          </w:p>
        </w:tc>
        <w:tc>
          <w:tcPr>
            <w:tcW w:w="1131" w:type="dxa"/>
            <w:vAlign w:val="top"/>
          </w:tcPr>
          <w:p>
            <w:pPr>
              <w:spacing w:before="104" w:line="195" w:lineRule="auto"/>
              <w:ind w:left="14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2</w:t>
            </w:r>
            <w:r>
              <w:rPr>
                <w:rFonts w:hint="default" w:ascii="Times New Roman" w:hAnsi="Times New Roman" w:eastAsia="Times New Roman" w:cs="Times New Roman"/>
                <w:spacing w:val="4"/>
                <w:sz w:val="20"/>
                <w:szCs w:val="20"/>
                <w:highlight w:val="none"/>
              </w:rPr>
              <w:t>0582890</w:t>
            </w:r>
          </w:p>
        </w:tc>
        <w:tc>
          <w:tcPr>
            <w:tcW w:w="1131" w:type="dxa"/>
            <w:vAlign w:val="top"/>
          </w:tcPr>
          <w:p>
            <w:pPr>
              <w:spacing w:before="104" w:line="195" w:lineRule="auto"/>
              <w:ind w:left="2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4</w:t>
            </w:r>
            <w:r>
              <w:rPr>
                <w:rFonts w:hint="default" w:ascii="Times New Roman" w:hAnsi="Times New Roman" w:eastAsia="Times New Roman" w:cs="Times New Roman"/>
                <w:spacing w:val="4"/>
                <w:sz w:val="20"/>
                <w:szCs w:val="20"/>
                <w:highlight w:val="none"/>
              </w:rPr>
              <w:t>456327</w:t>
            </w:r>
          </w:p>
        </w:tc>
        <w:tc>
          <w:tcPr>
            <w:tcW w:w="847" w:type="dxa"/>
            <w:vAlign w:val="top"/>
          </w:tcPr>
          <w:p>
            <w:pPr>
              <w:spacing w:before="123" w:line="195" w:lineRule="auto"/>
              <w:ind w:left="33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6</w:t>
            </w:r>
            <w:r>
              <w:rPr>
                <w:rFonts w:hint="default" w:ascii="Times New Roman" w:hAnsi="Times New Roman" w:eastAsia="Times New Roman" w:cs="Times New Roman"/>
                <w:sz w:val="20"/>
                <w:szCs w:val="20"/>
                <w:highlight w:val="none"/>
              </w:rPr>
              <w:t>0</w:t>
            </w:r>
          </w:p>
        </w:tc>
        <w:tc>
          <w:tcPr>
            <w:tcW w:w="989" w:type="dxa"/>
            <w:vMerge w:val="continue"/>
            <w:tcBorders>
              <w:top w:val="nil"/>
              <w:bottom w:val="nil"/>
            </w:tcBorders>
            <w:vAlign w:val="top"/>
          </w:tcPr>
          <w:p>
            <w:pPr>
              <w:rPr>
                <w:rFonts w:hint="default" w:ascii="Times New Roman" w:hAnsi="Times New Roman" w:cs="Times New Roman"/>
                <w:sz w:val="21"/>
                <w:highlight w:val="none"/>
              </w:rPr>
            </w:pPr>
          </w:p>
        </w:tc>
        <w:tc>
          <w:tcPr>
            <w:tcW w:w="1094" w:type="dxa"/>
            <w:vMerge w:val="continue"/>
            <w:tcBorders>
              <w:top w:val="nil"/>
              <w:bottom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81" w:type="dxa"/>
            <w:tcBorders>
              <w:left w:val="single" w:color="000000" w:sz="10" w:space="0"/>
            </w:tcBorders>
            <w:vAlign w:val="top"/>
          </w:tcPr>
          <w:p>
            <w:pPr>
              <w:spacing w:line="256" w:lineRule="auto"/>
              <w:rPr>
                <w:rFonts w:hint="default" w:ascii="Times New Roman" w:hAnsi="Times New Roman" w:cs="Times New Roman"/>
                <w:sz w:val="21"/>
                <w:highlight w:val="none"/>
              </w:rPr>
            </w:pPr>
          </w:p>
          <w:p>
            <w:pPr>
              <w:spacing w:line="256" w:lineRule="auto"/>
              <w:rPr>
                <w:rFonts w:hint="default" w:ascii="Times New Roman" w:hAnsi="Times New Roman" w:cs="Times New Roman"/>
                <w:sz w:val="21"/>
                <w:highlight w:val="none"/>
              </w:rPr>
            </w:pPr>
          </w:p>
          <w:p>
            <w:pPr>
              <w:spacing w:before="58" w:line="195" w:lineRule="auto"/>
              <w:ind w:left="115"/>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JC</w:t>
            </w:r>
            <w:r>
              <w:rPr>
                <w:rFonts w:hint="default" w:ascii="Times New Roman" w:hAnsi="Times New Roman" w:eastAsia="Times New Roman" w:cs="Times New Roman"/>
                <w:spacing w:val="9"/>
                <w:sz w:val="20"/>
                <w:szCs w:val="20"/>
                <w:highlight w:val="none"/>
              </w:rPr>
              <w:t>3</w:t>
            </w:r>
          </w:p>
        </w:tc>
        <w:tc>
          <w:tcPr>
            <w:tcW w:w="1131" w:type="dxa"/>
            <w:vAlign w:val="top"/>
          </w:tcPr>
          <w:p>
            <w:pPr>
              <w:spacing w:line="469" w:lineRule="auto"/>
              <w:rPr>
                <w:rFonts w:hint="default" w:ascii="Times New Roman" w:hAnsi="Times New Roman" w:cs="Times New Roman"/>
                <w:sz w:val="21"/>
                <w:highlight w:val="none"/>
              </w:rPr>
            </w:pPr>
          </w:p>
          <w:p>
            <w:pPr>
              <w:spacing w:before="65" w:line="229" w:lineRule="auto"/>
              <w:ind w:left="143"/>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9"/>
                <w:sz w:val="20"/>
                <w:szCs w:val="20"/>
                <w:highlight w:val="none"/>
              </w:rPr>
              <w:t>厂</w:t>
            </w:r>
            <w:r>
              <w:rPr>
                <w:rFonts w:hint="default" w:ascii="Times New Roman" w:hAnsi="Times New Roman" w:eastAsia="宋体" w:cs="Times New Roman"/>
                <w:spacing w:val="6"/>
                <w:sz w:val="20"/>
                <w:szCs w:val="20"/>
                <w:highlight w:val="none"/>
              </w:rPr>
              <w:t>区下游</w:t>
            </w:r>
          </w:p>
        </w:tc>
        <w:tc>
          <w:tcPr>
            <w:tcW w:w="1696" w:type="dxa"/>
            <w:vAlign w:val="top"/>
          </w:tcPr>
          <w:p>
            <w:pPr>
              <w:spacing w:line="470" w:lineRule="auto"/>
              <w:rPr>
                <w:rFonts w:hint="default" w:ascii="Times New Roman" w:hAnsi="Times New Roman" w:cs="Times New Roman"/>
                <w:sz w:val="21"/>
                <w:highlight w:val="none"/>
              </w:rPr>
            </w:pPr>
          </w:p>
          <w:p>
            <w:pPr>
              <w:spacing w:before="65" w:line="228" w:lineRule="auto"/>
              <w:ind w:left="116"/>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11"/>
                <w:sz w:val="20"/>
                <w:szCs w:val="20"/>
                <w:highlight w:val="none"/>
              </w:rPr>
              <w:t>污</w:t>
            </w:r>
            <w:r>
              <w:rPr>
                <w:rFonts w:hint="default" w:ascii="Times New Roman" w:hAnsi="Times New Roman" w:eastAsia="宋体" w:cs="Times New Roman"/>
                <w:spacing w:val="8"/>
                <w:sz w:val="20"/>
                <w:szCs w:val="20"/>
                <w:highlight w:val="none"/>
              </w:rPr>
              <w:t>染扩散监测点</w:t>
            </w:r>
          </w:p>
        </w:tc>
        <w:tc>
          <w:tcPr>
            <w:tcW w:w="1131" w:type="dxa"/>
            <w:vAlign w:val="top"/>
          </w:tcPr>
          <w:p>
            <w:pPr>
              <w:spacing w:line="256" w:lineRule="auto"/>
              <w:rPr>
                <w:rFonts w:hint="default" w:ascii="Times New Roman" w:hAnsi="Times New Roman" w:cs="Times New Roman"/>
                <w:sz w:val="21"/>
                <w:highlight w:val="none"/>
              </w:rPr>
            </w:pPr>
          </w:p>
          <w:p>
            <w:pPr>
              <w:spacing w:line="256" w:lineRule="auto"/>
              <w:rPr>
                <w:rFonts w:hint="default" w:ascii="Times New Roman" w:hAnsi="Times New Roman" w:cs="Times New Roman"/>
                <w:sz w:val="21"/>
                <w:highlight w:val="none"/>
              </w:rPr>
            </w:pPr>
          </w:p>
          <w:p>
            <w:pPr>
              <w:spacing w:before="58" w:line="195" w:lineRule="auto"/>
              <w:ind w:left="147"/>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6"/>
                <w:sz w:val="20"/>
                <w:szCs w:val="20"/>
                <w:highlight w:val="none"/>
              </w:rPr>
              <w:t>2</w:t>
            </w:r>
            <w:r>
              <w:rPr>
                <w:rFonts w:hint="default" w:ascii="Times New Roman" w:hAnsi="Times New Roman" w:eastAsia="Times New Roman" w:cs="Times New Roman"/>
                <w:spacing w:val="4"/>
                <w:sz w:val="20"/>
                <w:szCs w:val="20"/>
                <w:highlight w:val="none"/>
              </w:rPr>
              <w:t>0582752</w:t>
            </w:r>
          </w:p>
        </w:tc>
        <w:tc>
          <w:tcPr>
            <w:tcW w:w="1131" w:type="dxa"/>
            <w:vAlign w:val="top"/>
          </w:tcPr>
          <w:p>
            <w:pPr>
              <w:spacing w:line="256" w:lineRule="auto"/>
              <w:rPr>
                <w:rFonts w:hint="default" w:ascii="Times New Roman" w:hAnsi="Times New Roman" w:cs="Times New Roman"/>
                <w:sz w:val="21"/>
                <w:highlight w:val="none"/>
              </w:rPr>
            </w:pPr>
          </w:p>
          <w:p>
            <w:pPr>
              <w:spacing w:line="256" w:lineRule="auto"/>
              <w:rPr>
                <w:rFonts w:hint="default" w:ascii="Times New Roman" w:hAnsi="Times New Roman" w:cs="Times New Roman"/>
                <w:sz w:val="21"/>
                <w:highlight w:val="none"/>
              </w:rPr>
            </w:pPr>
          </w:p>
          <w:p>
            <w:pPr>
              <w:spacing w:before="58" w:line="195" w:lineRule="auto"/>
              <w:ind w:left="200"/>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8"/>
                <w:sz w:val="20"/>
                <w:szCs w:val="20"/>
                <w:highlight w:val="none"/>
              </w:rPr>
              <w:t>4</w:t>
            </w:r>
            <w:r>
              <w:rPr>
                <w:rFonts w:hint="default" w:ascii="Times New Roman" w:hAnsi="Times New Roman" w:eastAsia="Times New Roman" w:cs="Times New Roman"/>
                <w:spacing w:val="4"/>
                <w:sz w:val="20"/>
                <w:szCs w:val="20"/>
                <w:highlight w:val="none"/>
              </w:rPr>
              <w:t>456257</w:t>
            </w:r>
          </w:p>
        </w:tc>
        <w:tc>
          <w:tcPr>
            <w:tcW w:w="847" w:type="dxa"/>
            <w:vAlign w:val="top"/>
          </w:tcPr>
          <w:p>
            <w:pPr>
              <w:spacing w:line="256" w:lineRule="auto"/>
              <w:rPr>
                <w:rFonts w:hint="default" w:ascii="Times New Roman" w:hAnsi="Times New Roman" w:cs="Times New Roman"/>
                <w:sz w:val="21"/>
                <w:highlight w:val="none"/>
              </w:rPr>
            </w:pPr>
          </w:p>
          <w:p>
            <w:pPr>
              <w:spacing w:line="256" w:lineRule="auto"/>
              <w:rPr>
                <w:rFonts w:hint="default" w:ascii="Times New Roman" w:hAnsi="Times New Roman" w:cs="Times New Roman"/>
                <w:sz w:val="21"/>
                <w:highlight w:val="none"/>
              </w:rPr>
            </w:pPr>
          </w:p>
          <w:p>
            <w:pPr>
              <w:spacing w:before="58" w:line="195" w:lineRule="auto"/>
              <w:ind w:left="334"/>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2"/>
                <w:sz w:val="20"/>
                <w:szCs w:val="20"/>
                <w:highlight w:val="none"/>
              </w:rPr>
              <w:t>8</w:t>
            </w:r>
            <w:r>
              <w:rPr>
                <w:rFonts w:hint="default" w:ascii="Times New Roman" w:hAnsi="Times New Roman" w:eastAsia="Times New Roman" w:cs="Times New Roman"/>
                <w:spacing w:val="-1"/>
                <w:sz w:val="20"/>
                <w:szCs w:val="20"/>
                <w:highlight w:val="none"/>
              </w:rPr>
              <w:t>0</w:t>
            </w:r>
          </w:p>
        </w:tc>
        <w:tc>
          <w:tcPr>
            <w:tcW w:w="989" w:type="dxa"/>
            <w:vMerge w:val="continue"/>
            <w:tcBorders>
              <w:top w:val="nil"/>
            </w:tcBorders>
            <w:vAlign w:val="top"/>
          </w:tcPr>
          <w:p>
            <w:pPr>
              <w:rPr>
                <w:rFonts w:hint="default" w:ascii="Times New Roman" w:hAnsi="Times New Roman" w:cs="Times New Roman"/>
                <w:sz w:val="21"/>
                <w:highlight w:val="none"/>
              </w:rPr>
            </w:pPr>
          </w:p>
        </w:tc>
        <w:tc>
          <w:tcPr>
            <w:tcW w:w="1094" w:type="dxa"/>
            <w:vMerge w:val="continue"/>
            <w:tcBorders>
              <w:top w:val="nil"/>
              <w:right w:val="single" w:color="000000" w:sz="10" w:space="0"/>
            </w:tcBorders>
            <w:vAlign w:val="top"/>
          </w:tcPr>
          <w:p>
            <w:pPr>
              <w:rPr>
                <w:rFonts w:hint="default" w:ascii="Times New Roman" w:hAnsi="Times New Roman" w:cs="Times New Roman"/>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2" w:hRule="atLeast"/>
        </w:trPr>
        <w:tc>
          <w:tcPr>
            <w:tcW w:w="8600" w:type="dxa"/>
            <w:gridSpan w:val="8"/>
            <w:tcBorders>
              <w:left w:val="nil"/>
              <w:right w:val="nil"/>
            </w:tcBorders>
            <w:vAlign w:val="top"/>
          </w:tcPr>
          <w:p>
            <w:pPr>
              <w:spacing w:before="291" w:line="221" w:lineRule="auto"/>
              <w:ind w:left="155"/>
              <w:outlineLvl w:val="1"/>
              <w:rPr>
                <w:rFonts w:hint="default" w:ascii="Times New Roman" w:hAnsi="Times New Roman" w:eastAsia="宋体" w:cs="Times New Roman"/>
                <w:sz w:val="28"/>
                <w:szCs w:val="28"/>
                <w:highlight w:val="none"/>
              </w:rPr>
            </w:pPr>
            <w:bookmarkStart w:id="802" w:name="_Toc3274"/>
            <w:bookmarkStart w:id="803" w:name="_Toc15686"/>
            <w:bookmarkStart w:id="804" w:name="_Toc28378"/>
            <w:r>
              <w:rPr>
                <w:rFonts w:hint="default" w:ascii="Times New Roman" w:hAnsi="Times New Roman" w:eastAsia="Times New Roman" w:cs="Times New Roman"/>
                <w:b/>
                <w:bCs/>
                <w:spacing w:val="1"/>
                <w:sz w:val="28"/>
                <w:szCs w:val="28"/>
                <w:highlight w:val="none"/>
              </w:rPr>
              <w:t>8</w:t>
            </w:r>
            <w:r>
              <w:rPr>
                <w:rFonts w:hint="default" w:ascii="Times New Roman" w:hAnsi="Times New Roman" w:eastAsia="Times New Roman" w:cs="Times New Roman"/>
                <w:b/>
                <w:bCs/>
                <w:sz w:val="28"/>
                <w:szCs w:val="28"/>
                <w:highlight w:val="none"/>
              </w:rPr>
              <w:t>.4</w:t>
            </w:r>
            <w:r>
              <w:rPr>
                <w:rFonts w:hint="default" w:ascii="Times New Roman" w:hAnsi="Times New Roman" w:eastAsia="Times New Roman" w:cs="Times New Roman"/>
                <w:sz w:val="28"/>
                <w:szCs w:val="28"/>
                <w:highlight w:val="none"/>
              </w:rPr>
              <w:t xml:space="preserve">  </w:t>
            </w:r>
            <w:r>
              <w:rPr>
                <w:rFonts w:hint="default" w:ascii="Times New Roman" w:hAnsi="Times New Roman" w:eastAsia="宋体" w:cs="Times New Roman"/>
                <w:sz w:val="28"/>
                <w:szCs w:val="28"/>
                <w:highlight w:val="none"/>
                <w14:textOutline w14:w="5103" w14:cap="sq" w14:cmpd="sng">
                  <w14:solidFill>
                    <w14:srgbClr w14:val="000000"/>
                  </w14:solidFill>
                  <w14:prstDash w14:val="solid"/>
                  <w14:bevel/>
                </w14:textOutline>
              </w:rPr>
              <w:t>建设项目竣工环保验收内容</w:t>
            </w:r>
            <w:bookmarkEnd w:id="802"/>
            <w:bookmarkEnd w:id="803"/>
            <w:bookmarkEnd w:id="804"/>
          </w:p>
          <w:p>
            <w:pPr>
              <w:spacing w:line="244" w:lineRule="auto"/>
              <w:rPr>
                <w:rFonts w:hint="default" w:ascii="Times New Roman" w:hAnsi="Times New Roman" w:cs="Times New Roman"/>
                <w:sz w:val="21"/>
                <w:highlight w:val="none"/>
              </w:rPr>
            </w:pPr>
          </w:p>
          <w:p>
            <w:pPr>
              <w:spacing w:before="75" w:line="406" w:lineRule="auto"/>
              <w:ind w:left="153" w:right="63" w:firstLine="48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4"/>
                <w:sz w:val="23"/>
                <w:szCs w:val="23"/>
                <w:highlight w:val="none"/>
              </w:rPr>
              <w:t>依据建设项目</w:t>
            </w:r>
            <w:r>
              <w:rPr>
                <w:rFonts w:hint="default" w:ascii="Times New Roman" w:hAnsi="Times New Roman" w:eastAsia="宋体" w:cs="Times New Roman"/>
                <w:spacing w:val="2"/>
                <w:sz w:val="23"/>
                <w:szCs w:val="23"/>
                <w:highlight w:val="none"/>
              </w:rPr>
              <w:t>管理办法，环境保护设施必须与主体工程同时设计、同时施工、</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6"/>
                <w:sz w:val="23"/>
                <w:szCs w:val="23"/>
                <w:highlight w:val="none"/>
              </w:rPr>
              <w:t>同时投入使用，建设完成后，应对环境保护设施进行验收。环境保护</w:t>
            </w:r>
            <w:r>
              <w:rPr>
                <w:rFonts w:hint="default" w:ascii="Times New Roman" w:hAnsi="Times New Roman" w:eastAsia="Times New Roman" w:cs="Times New Roman"/>
                <w:spacing w:val="16"/>
                <w:sz w:val="23"/>
                <w:szCs w:val="23"/>
                <w:highlight w:val="none"/>
              </w:rPr>
              <w:t>“</w:t>
            </w:r>
            <w:r>
              <w:rPr>
                <w:rFonts w:hint="default" w:ascii="Times New Roman" w:hAnsi="Times New Roman" w:eastAsia="宋体" w:cs="Times New Roman"/>
                <w:spacing w:val="16"/>
                <w:sz w:val="23"/>
                <w:szCs w:val="23"/>
                <w:highlight w:val="none"/>
              </w:rPr>
              <w:t>三同时</w:t>
            </w:r>
            <w:r>
              <w:rPr>
                <w:rFonts w:hint="default" w:ascii="Times New Roman" w:hAnsi="Times New Roman" w:eastAsia="Times New Roman" w:cs="Times New Roman"/>
                <w:spacing w:val="16"/>
                <w:sz w:val="23"/>
                <w:szCs w:val="23"/>
                <w:highlight w:val="none"/>
              </w:rPr>
              <w:t>”</w:t>
            </w:r>
            <w:r>
              <w:rPr>
                <w:rFonts w:hint="default" w:ascii="Times New Roman" w:hAnsi="Times New Roman" w:eastAsia="Times New Roman" w:cs="Times New Roman"/>
                <w:sz w:val="23"/>
                <w:szCs w:val="23"/>
                <w:highlight w:val="none"/>
              </w:rPr>
              <w:t xml:space="preserve"> </w:t>
            </w:r>
            <w:r>
              <w:rPr>
                <w:rFonts w:hint="default" w:ascii="Times New Roman" w:hAnsi="Times New Roman" w:eastAsia="宋体" w:cs="Times New Roman"/>
                <w:spacing w:val="-3"/>
                <w:sz w:val="23"/>
                <w:szCs w:val="23"/>
                <w:highlight w:val="none"/>
              </w:rPr>
              <w:t xml:space="preserve">验收内容见表 </w:t>
            </w:r>
            <w:r>
              <w:rPr>
                <w:rFonts w:hint="default" w:ascii="Times New Roman" w:hAnsi="Times New Roman" w:eastAsia="Times New Roman" w:cs="Times New Roman"/>
                <w:spacing w:val="-3"/>
                <w:sz w:val="23"/>
                <w:szCs w:val="23"/>
                <w:highlight w:val="none"/>
              </w:rPr>
              <w:t>8.4- 1</w:t>
            </w:r>
            <w:r>
              <w:rPr>
                <w:rFonts w:hint="default" w:ascii="Times New Roman" w:hAnsi="Times New Roman" w:eastAsia="宋体" w:cs="Times New Roman"/>
                <w:spacing w:val="-2"/>
                <w:sz w:val="23"/>
                <w:szCs w:val="23"/>
                <w:highlight w:val="none"/>
              </w:rPr>
              <w:t>。</w:t>
            </w:r>
          </w:p>
        </w:tc>
      </w:tr>
    </w:tbl>
    <w:p>
      <w:pPr>
        <w:spacing w:line="14" w:lineRule="exact"/>
        <w:rPr>
          <w:rFonts w:hint="default" w:ascii="Times New Roman" w:hAnsi="Times New Roman" w:cs="Times New Roman"/>
          <w:sz w:val="2"/>
          <w:highlight w:val="none"/>
        </w:rPr>
      </w:pPr>
    </w:p>
    <w:p>
      <w:pPr>
        <w:rPr>
          <w:rFonts w:hint="default" w:ascii="Times New Roman" w:hAnsi="Times New Roman" w:cs="Times New Roman"/>
          <w:highlight w:val="none"/>
        </w:rPr>
        <w:sectPr>
          <w:headerReference r:id="rId131" w:type="default"/>
          <w:footerReference r:id="rId132" w:type="default"/>
          <w:pgSz w:w="11906" w:h="16839"/>
          <w:pgMar w:top="1167" w:right="1640" w:bottom="1282" w:left="1639" w:header="897" w:footer="1015" w:gutter="0"/>
          <w:pgBorders>
            <w:top w:val="none" w:sz="0" w:space="0"/>
            <w:left w:val="none" w:sz="0" w:space="0"/>
            <w:bottom w:val="none" w:sz="0" w:space="0"/>
            <w:right w:val="none" w:sz="0" w:space="0"/>
          </w:pgBorders>
          <w:pgNumType w:fmt="decimal"/>
          <w:cols w:space="720" w:num="1"/>
        </w:sectPr>
      </w:pPr>
    </w:p>
    <w:p>
      <w:pPr>
        <w:spacing w:before="226" w:line="228" w:lineRule="auto"/>
        <w:ind w:left="4829"/>
        <w:rPr>
          <w:rFonts w:hint="default" w:ascii="Times New Roman" w:hAnsi="Times New Roman" w:eastAsia="宋体" w:cs="Times New Roman"/>
          <w:sz w:val="23"/>
          <w:szCs w:val="23"/>
          <w:highlight w:val="none"/>
        </w:rPr>
      </w:pPr>
      <w:r>
        <w:rPr>
          <w:rFonts w:hint="default" w:ascii="Times New Roman" w:hAnsi="Times New Roman" w:cs="Times New Roman"/>
          <w:highlight w:val="none"/>
        </w:rPr>
        <w:pict>
          <v:shape id="_x0000_s1401" o:spid="_x0000_s1401" style="position:absolute;left:0pt;margin-left:36pt;margin-top:44.85pt;height:0.75pt;width:769.95pt;mso-position-horizontal-relative:page;mso-position-vertical-relative:page;z-index:251839488;mso-width-relative:page;mso-height-relative:page;" fillcolor="#000000" filled="t" stroked="f" coordsize="15399,15" o:allowincell="f" path="m0,0l15398,0,15398,14,0,14,0,0xe">
            <v:path/>
            <v:fill on="t" focussize="0,0"/>
            <v:stroke on="f"/>
            <v:imagedata o:title=""/>
            <o:lock v:ext="edit"/>
          </v:shape>
        </w:pict>
      </w:r>
      <w:r>
        <w:rPr>
          <w:rFonts w:hint="default" w:ascii="Times New Roman" w:hAnsi="Times New Roman" w:eastAsia="宋体" w:cs="Times New Roman"/>
          <w:spacing w:val="10"/>
          <w:sz w:val="23"/>
          <w:szCs w:val="23"/>
          <w:highlight w:val="none"/>
          <w14:textOutline w14:w="4358" w14:cap="sq" w14:cmpd="sng">
            <w14:solidFill>
              <w14:srgbClr w14:val="000000"/>
            </w14:solidFill>
            <w14:prstDash w14:val="solid"/>
            <w14:bevel/>
          </w14:textOutline>
        </w:rPr>
        <w:t>表</w:t>
      </w:r>
      <w:r>
        <w:rPr>
          <w:rFonts w:hint="default" w:ascii="Times New Roman" w:hAnsi="Times New Roman" w:eastAsia="宋体" w:cs="Times New Roman"/>
          <w:spacing w:val="10"/>
          <w:sz w:val="23"/>
          <w:szCs w:val="23"/>
          <w:highlight w:val="none"/>
        </w:rPr>
        <w:t xml:space="preserve"> </w:t>
      </w:r>
      <w:r>
        <w:rPr>
          <w:rFonts w:hint="default" w:ascii="Times New Roman" w:hAnsi="Times New Roman" w:eastAsia="Times New Roman" w:cs="Times New Roman"/>
          <w:b/>
          <w:bCs/>
          <w:spacing w:val="10"/>
          <w:sz w:val="23"/>
          <w:szCs w:val="23"/>
          <w:highlight w:val="none"/>
        </w:rPr>
        <w:t>8</w:t>
      </w:r>
      <w:r>
        <w:rPr>
          <w:rFonts w:hint="default" w:ascii="Times New Roman" w:hAnsi="Times New Roman" w:eastAsia="Times New Roman" w:cs="Times New Roman"/>
          <w:b/>
          <w:bCs/>
          <w:spacing w:val="8"/>
          <w:sz w:val="23"/>
          <w:szCs w:val="23"/>
          <w:highlight w:val="none"/>
        </w:rPr>
        <w:t>.</w:t>
      </w:r>
      <w:r>
        <w:rPr>
          <w:rFonts w:hint="default" w:ascii="Times New Roman" w:hAnsi="Times New Roman" w:eastAsia="Times New Roman" w:cs="Times New Roman"/>
          <w:b/>
          <w:bCs/>
          <w:spacing w:val="5"/>
          <w:sz w:val="23"/>
          <w:szCs w:val="23"/>
          <w:highlight w:val="none"/>
        </w:rPr>
        <w:t>4-1</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建设项目环境保护</w:t>
      </w:r>
      <w:r>
        <w:rPr>
          <w:rFonts w:hint="default" w:ascii="Times New Roman" w:hAnsi="Times New Roman" w:eastAsia="Times New Roman" w:cs="Times New Roman"/>
          <w:b/>
          <w:bCs/>
          <w:spacing w:val="5"/>
          <w:sz w:val="23"/>
          <w:szCs w:val="23"/>
          <w:highlight w:val="none"/>
        </w:rPr>
        <w:t>“</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三同时</w:t>
      </w:r>
      <w:r>
        <w:rPr>
          <w:rFonts w:hint="default" w:ascii="Times New Roman" w:hAnsi="Times New Roman" w:eastAsia="Times New Roman" w:cs="Times New Roman"/>
          <w:b/>
          <w:bCs/>
          <w:spacing w:val="5"/>
          <w:sz w:val="23"/>
          <w:szCs w:val="23"/>
          <w:highlight w:val="none"/>
        </w:rPr>
        <w:t>”</w:t>
      </w:r>
      <w:r>
        <w:rPr>
          <w:rFonts w:hint="default" w:ascii="Times New Roman" w:hAnsi="Times New Roman" w:eastAsia="宋体" w:cs="Times New Roman"/>
          <w:spacing w:val="5"/>
          <w:sz w:val="23"/>
          <w:szCs w:val="23"/>
          <w:highlight w:val="none"/>
          <w14:textOutline w14:w="4358" w14:cap="sq" w14:cmpd="sng">
            <w14:solidFill>
              <w14:srgbClr w14:val="000000"/>
            </w14:solidFill>
            <w14:prstDash w14:val="solid"/>
            <w14:bevel/>
          </w14:textOutline>
        </w:rPr>
        <w:t>验收内容一览表</w:t>
      </w:r>
    </w:p>
    <w:p>
      <w:pPr>
        <w:spacing w:line="20" w:lineRule="exact"/>
        <w:rPr>
          <w:rFonts w:hint="default" w:ascii="Times New Roman" w:hAnsi="Times New Roman" w:cs="Times New Roman"/>
          <w:highlight w:val="none"/>
        </w:rPr>
      </w:pPr>
    </w:p>
    <w:tbl>
      <w:tblPr>
        <w:tblStyle w:val="15"/>
        <w:tblW w:w="1547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52"/>
        <w:gridCol w:w="635"/>
        <w:gridCol w:w="1650"/>
        <w:gridCol w:w="3003"/>
        <w:gridCol w:w="2195"/>
        <w:gridCol w:w="879"/>
        <w:gridCol w:w="740"/>
        <w:gridCol w:w="1037"/>
        <w:gridCol w:w="1034"/>
        <w:gridCol w:w="1480"/>
        <w:gridCol w:w="23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737" w:type="dxa"/>
            <w:gridSpan w:val="3"/>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bookmarkStart w:id="805" w:name="_Hlk8077101"/>
            <w:r>
              <w:rPr>
                <w:rFonts w:hint="default" w:ascii="Times New Roman" w:hAnsi="Times New Roman" w:cs="Times New Roman"/>
                <w:snapToGrid w:val="0"/>
                <w:sz w:val="20"/>
                <w:szCs w:val="20"/>
                <w:highlight w:val="none"/>
              </w:rPr>
              <w:t>污染源</w:t>
            </w:r>
          </w:p>
        </w:tc>
        <w:tc>
          <w:tcPr>
            <w:tcW w:w="5198" w:type="dxa"/>
            <w:gridSpan w:val="2"/>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治理措施</w:t>
            </w:r>
          </w:p>
        </w:tc>
        <w:tc>
          <w:tcPr>
            <w:tcW w:w="879" w:type="dxa"/>
            <w:vAlign w:val="center"/>
          </w:tcPr>
          <w:p>
            <w:pPr>
              <w:autoSpaceDE w:val="0"/>
              <w:autoSpaceDN w:val="0"/>
              <w:adjustRightInd w:val="0"/>
              <w:snapToGrid w:val="0"/>
              <w:spacing w:line="240" w:lineRule="auto"/>
              <w:ind w:firstLine="0" w:firstLineChars="0"/>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治理对象</w:t>
            </w:r>
          </w:p>
        </w:tc>
        <w:tc>
          <w:tcPr>
            <w:tcW w:w="740" w:type="dxa"/>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数量</w:t>
            </w:r>
          </w:p>
        </w:tc>
        <w:tc>
          <w:tcPr>
            <w:tcW w:w="1037" w:type="dxa"/>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处理能力</w:t>
            </w:r>
          </w:p>
        </w:tc>
        <w:tc>
          <w:tcPr>
            <w:tcW w:w="1034" w:type="dxa"/>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处理效率</w:t>
            </w:r>
          </w:p>
        </w:tc>
        <w:tc>
          <w:tcPr>
            <w:tcW w:w="1480" w:type="dxa"/>
            <w:vAlign w:val="center"/>
          </w:tcPr>
          <w:p>
            <w:pPr>
              <w:autoSpaceDE w:val="0"/>
              <w:autoSpaceDN w:val="0"/>
              <w:adjustRightInd w:val="0"/>
              <w:snapToGrid w:val="0"/>
              <w:spacing w:line="240" w:lineRule="auto"/>
              <w:ind w:firstLineChars="111"/>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处理效果</w:t>
            </w:r>
          </w:p>
        </w:tc>
        <w:tc>
          <w:tcPr>
            <w:tcW w:w="2374" w:type="dxa"/>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restart"/>
            <w:vAlign w:val="center"/>
          </w:tcPr>
          <w:p>
            <w:pPr>
              <w:autoSpaceDE w:val="0"/>
              <w:autoSpaceDN w:val="0"/>
              <w:adjustRightInd w:val="0"/>
              <w:snapToGrid w:val="0"/>
              <w:spacing w:line="240" w:lineRule="auto"/>
              <w:ind w:firstLine="0" w:firstLineChars="0"/>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废气</w:t>
            </w:r>
          </w:p>
        </w:tc>
        <w:tc>
          <w:tcPr>
            <w:tcW w:w="635" w:type="dxa"/>
            <w:vMerge w:val="restart"/>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eastAsia" w:ascii="Times New Roman" w:hAnsi="Times New Roman" w:eastAsia="宋体" w:cs="Times New Roman"/>
                <w:snapToGrid w:val="0"/>
                <w:sz w:val="20"/>
                <w:szCs w:val="20"/>
                <w:highlight w:val="none"/>
                <w:lang w:eastAsia="zh-CN"/>
              </w:rPr>
            </w:pPr>
            <w:r>
              <w:rPr>
                <w:rFonts w:hint="default" w:ascii="Times New Roman" w:hAnsi="Times New Roman" w:eastAsia="宋体" w:cs="Times New Roman"/>
                <w:snapToGrid w:val="0"/>
                <w:sz w:val="20"/>
                <w:szCs w:val="20"/>
                <w:highlight w:val="none"/>
                <w:lang w:val="en-US" w:eastAsia="zh-CN"/>
              </w:rPr>
              <w:t>5#</w:t>
            </w:r>
            <w:r>
              <w:rPr>
                <w:rFonts w:hint="eastAsia" w:ascii="Times New Roman" w:hAnsi="Times New Roman" w:eastAsia="宋体" w:cs="Times New Roman"/>
                <w:snapToGrid w:val="0"/>
                <w:sz w:val="20"/>
                <w:szCs w:val="20"/>
                <w:highlight w:val="none"/>
                <w:lang w:val="en-US" w:eastAsia="zh-CN"/>
              </w:rPr>
              <w:t>生产</w:t>
            </w:r>
          </w:p>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车间</w:t>
            </w:r>
          </w:p>
        </w:tc>
        <w:tc>
          <w:tcPr>
            <w:tcW w:w="1650"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颚破工序</w:t>
            </w:r>
          </w:p>
        </w:tc>
        <w:tc>
          <w:tcPr>
            <w:tcW w:w="3003" w:type="dxa"/>
            <w:vAlign w:val="center"/>
          </w:tcPr>
          <w:p>
            <w:pPr>
              <w:widowControl/>
              <w:adjustRightInd w:val="0"/>
              <w:snapToGrid w:val="0"/>
              <w:spacing w:line="240" w:lineRule="auto"/>
              <w:ind w:firstLine="0" w:firstLineChars="0"/>
              <w:jc w:val="both"/>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入料口皮质软帘封闭；出料口设置集气罩+集尘管道</w:t>
            </w:r>
          </w:p>
        </w:tc>
        <w:tc>
          <w:tcPr>
            <w:tcW w:w="2195" w:type="dxa"/>
            <w:vMerge w:val="restart"/>
            <w:vAlign w:val="center"/>
          </w:tcPr>
          <w:p>
            <w:pPr>
              <w:autoSpaceDE w:val="0"/>
              <w:autoSpaceDN w:val="0"/>
              <w:adjustRightInd w:val="0"/>
              <w:snapToGrid w:val="0"/>
              <w:ind w:firstLine="0" w:firstLineChars="0"/>
              <w:jc w:val="center"/>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1套脉冲布袋除尘器+</w:t>
            </w:r>
            <w:r>
              <w:rPr>
                <w:rFonts w:hint="eastAsia" w:ascii="Times New Roman" w:hAnsi="Times New Roman" w:eastAsia="宋体" w:cs="Times New Roman"/>
                <w:snapToGrid w:val="0"/>
                <w:sz w:val="20"/>
                <w:szCs w:val="20"/>
                <w:highlight w:val="none"/>
                <w:lang w:val="en-US" w:eastAsia="zh-CN"/>
              </w:rPr>
              <w:t>19</w:t>
            </w:r>
            <w:r>
              <w:rPr>
                <w:rFonts w:hint="default" w:ascii="Times New Roman" w:hAnsi="Times New Roman" w:cs="Times New Roman"/>
                <w:snapToGrid w:val="0"/>
                <w:sz w:val="20"/>
                <w:szCs w:val="20"/>
                <w:highlight w:val="none"/>
              </w:rPr>
              <w:t>m高排气筒</w:t>
            </w:r>
          </w:p>
        </w:tc>
        <w:tc>
          <w:tcPr>
            <w:tcW w:w="879" w:type="dxa"/>
            <w:vMerge w:val="restart"/>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颗粒物</w:t>
            </w:r>
          </w:p>
        </w:tc>
        <w:tc>
          <w:tcPr>
            <w:tcW w:w="740" w:type="dxa"/>
            <w:vMerge w:val="restart"/>
            <w:vAlign w:val="center"/>
          </w:tcPr>
          <w:p>
            <w:pPr>
              <w:autoSpaceDE w:val="0"/>
              <w:autoSpaceDN w:val="0"/>
              <w:adjustRightInd w:val="0"/>
              <w:snapToGrid w:val="0"/>
              <w:ind w:firstLineChars="111"/>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1套</w:t>
            </w:r>
          </w:p>
        </w:tc>
        <w:tc>
          <w:tcPr>
            <w:tcW w:w="1037" w:type="dxa"/>
            <w:vMerge w:val="restart"/>
            <w:vAlign w:val="center"/>
          </w:tcPr>
          <w:p>
            <w:pPr>
              <w:autoSpaceDE w:val="0"/>
              <w:autoSpaceDN w:val="0"/>
              <w:adjustRightInd w:val="0"/>
              <w:snapToGrid w:val="0"/>
              <w:ind w:firstLine="0" w:firstLineChars="0"/>
              <w:rPr>
                <w:rFonts w:hint="eastAsia" w:ascii="Times New Roman" w:hAnsi="Times New Roman" w:eastAsia="宋体" w:cs="Times New Roman"/>
                <w:snapToGrid w:val="0"/>
                <w:sz w:val="20"/>
                <w:szCs w:val="20"/>
                <w:highlight w:val="none"/>
                <w:lang w:eastAsia="zh-CN"/>
              </w:rPr>
            </w:pPr>
            <w:r>
              <w:rPr>
                <w:rFonts w:hint="default" w:ascii="Times New Roman" w:hAnsi="Times New Roman" w:cs="Times New Roman"/>
                <w:snapToGrid w:val="0"/>
                <w:sz w:val="20"/>
                <w:szCs w:val="20"/>
                <w:highlight w:val="none"/>
              </w:rPr>
              <w:t>40000m</w:t>
            </w:r>
            <w:r>
              <w:rPr>
                <w:rFonts w:hint="default" w:ascii="Times New Roman" w:hAnsi="Times New Roman" w:cs="Times New Roman"/>
                <w:snapToGrid w:val="0"/>
                <w:sz w:val="20"/>
                <w:szCs w:val="20"/>
                <w:highlight w:val="none"/>
                <w:vertAlign w:val="superscript"/>
              </w:rPr>
              <w:t>3</w:t>
            </w:r>
            <w:r>
              <w:rPr>
                <w:rFonts w:hint="default" w:ascii="Times New Roman" w:hAnsi="Times New Roman" w:cs="Times New Roman"/>
                <w:snapToGrid w:val="0"/>
                <w:sz w:val="20"/>
                <w:szCs w:val="20"/>
                <w:highlight w:val="none"/>
              </w:rPr>
              <w:t>/h</w:t>
            </w:r>
            <w:r>
              <w:rPr>
                <w:rFonts w:hint="eastAsia" w:ascii="Times New Roman" w:hAnsi="Times New Roman" w:eastAsia="宋体" w:cs="Times New Roman"/>
                <w:snapToGrid w:val="0"/>
                <w:sz w:val="20"/>
                <w:szCs w:val="20"/>
                <w:highlight w:val="none"/>
                <w:lang w:eastAsia="zh-CN"/>
              </w:rPr>
              <w:t>（</w:t>
            </w:r>
            <w:r>
              <w:rPr>
                <w:rFonts w:hint="eastAsia" w:ascii="Times New Roman" w:hAnsi="Times New Roman" w:eastAsia="宋体" w:cs="Times New Roman"/>
                <w:snapToGrid w:val="0"/>
                <w:sz w:val="20"/>
                <w:szCs w:val="20"/>
                <w:highlight w:val="none"/>
                <w:lang w:val="en-US" w:eastAsia="zh-CN"/>
              </w:rPr>
              <w:t>5#生产线现有</w:t>
            </w:r>
            <w:r>
              <w:rPr>
                <w:rFonts w:hint="eastAsia" w:ascii="Times New Roman" w:hAnsi="Times New Roman" w:eastAsia="宋体" w:cs="Times New Roman"/>
                <w:snapToGrid w:val="0"/>
                <w:sz w:val="20"/>
                <w:szCs w:val="20"/>
                <w:highlight w:val="none"/>
                <w:lang w:eastAsia="zh-CN"/>
              </w:rPr>
              <w:t>）</w:t>
            </w:r>
          </w:p>
        </w:tc>
        <w:tc>
          <w:tcPr>
            <w:tcW w:w="1034" w:type="dxa"/>
            <w:vMerge w:val="restart"/>
            <w:vAlign w:val="center"/>
          </w:tcPr>
          <w:p>
            <w:pPr>
              <w:autoSpaceDE w:val="0"/>
              <w:autoSpaceDN w:val="0"/>
              <w:adjustRightInd w:val="0"/>
              <w:snapToGrid w:val="0"/>
              <w:ind w:firstLineChars="111"/>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99</w:t>
            </w:r>
            <w:r>
              <w:rPr>
                <w:rFonts w:hint="default" w:ascii="Times New Roman" w:hAnsi="Times New Roman" w:eastAsia="宋体" w:cs="Times New Roman"/>
                <w:snapToGrid w:val="0"/>
                <w:sz w:val="20"/>
                <w:szCs w:val="20"/>
                <w:highlight w:val="none"/>
                <w:lang w:val="en-US" w:eastAsia="zh-CN"/>
              </w:rPr>
              <w:t>.9</w:t>
            </w:r>
            <w:r>
              <w:rPr>
                <w:rFonts w:hint="default" w:ascii="Times New Roman" w:hAnsi="Times New Roman" w:cs="Times New Roman"/>
                <w:snapToGrid w:val="0"/>
                <w:sz w:val="20"/>
                <w:szCs w:val="20"/>
                <w:highlight w:val="none"/>
              </w:rPr>
              <w:t>%</w:t>
            </w:r>
          </w:p>
        </w:tc>
        <w:tc>
          <w:tcPr>
            <w:tcW w:w="1480" w:type="dxa"/>
            <w:vMerge w:val="restart"/>
            <w:vAlign w:val="center"/>
          </w:tcPr>
          <w:p>
            <w:pPr>
              <w:autoSpaceDE w:val="0"/>
              <w:autoSpaceDN w:val="0"/>
              <w:adjustRightInd w:val="0"/>
              <w:snapToGrid w:val="0"/>
              <w:ind w:firstLineChars="111"/>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≤10mg/m</w:t>
            </w:r>
            <w:r>
              <w:rPr>
                <w:rFonts w:hint="default" w:ascii="Times New Roman" w:hAnsi="Times New Roman" w:cs="Times New Roman"/>
                <w:snapToGrid w:val="0"/>
                <w:sz w:val="20"/>
                <w:szCs w:val="20"/>
                <w:highlight w:val="none"/>
                <w:vertAlign w:val="superscript"/>
              </w:rPr>
              <w:t>3</w:t>
            </w:r>
          </w:p>
        </w:tc>
        <w:tc>
          <w:tcPr>
            <w:tcW w:w="2374" w:type="dxa"/>
            <w:vMerge w:val="restart"/>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《铁矿采选工业污染物排放标准》（GB28661-2012）表6中特别限值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continue"/>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p>
        </w:tc>
        <w:tc>
          <w:tcPr>
            <w:tcW w:w="635" w:type="dxa"/>
            <w:vMerge w:val="continue"/>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650"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eastAsia" w:ascii="Times New Roman" w:hAnsi="Times New Roman" w:eastAsia="宋体" w:cs="Times New Roman"/>
                <w:snapToGrid w:val="0"/>
                <w:sz w:val="20"/>
                <w:szCs w:val="20"/>
                <w:highlight w:val="none"/>
                <w:lang w:val="en-US" w:eastAsia="zh-CN"/>
              </w:rPr>
              <w:t>干选</w:t>
            </w:r>
          </w:p>
        </w:tc>
        <w:tc>
          <w:tcPr>
            <w:tcW w:w="3003" w:type="dxa"/>
            <w:vAlign w:val="center"/>
          </w:tcPr>
          <w:p>
            <w:pPr>
              <w:widowControl/>
              <w:adjustRightInd w:val="0"/>
              <w:snapToGrid w:val="0"/>
              <w:spacing w:line="240" w:lineRule="auto"/>
              <w:ind w:firstLine="0" w:firstLineChars="0"/>
              <w:jc w:val="both"/>
              <w:textAlignment w:val="auto"/>
              <w:rPr>
                <w:rFonts w:hint="default" w:ascii="Times New Roman" w:hAnsi="Times New Roman" w:eastAsia="宋体" w:cs="Times New Roman"/>
                <w:snapToGrid w:val="0"/>
                <w:sz w:val="20"/>
                <w:szCs w:val="20"/>
                <w:highlight w:val="none"/>
                <w:lang w:val="en-US" w:eastAsia="zh-CN"/>
              </w:rPr>
            </w:pPr>
            <w:r>
              <w:rPr>
                <w:rFonts w:hint="default" w:ascii="Times New Roman" w:hAnsi="Times New Roman" w:cs="Times New Roman"/>
                <w:snapToGrid w:val="0"/>
                <w:sz w:val="20"/>
                <w:szCs w:val="20"/>
                <w:highlight w:val="none"/>
              </w:rPr>
              <w:t>入料口、出料口设集气罩</w:t>
            </w:r>
          </w:p>
        </w:tc>
        <w:tc>
          <w:tcPr>
            <w:tcW w:w="2195"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879"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740"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037"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034"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480"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2374"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continue"/>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p>
        </w:tc>
        <w:tc>
          <w:tcPr>
            <w:tcW w:w="635" w:type="dxa"/>
            <w:vMerge w:val="continue"/>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650"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破碎粉尘集尘过程逸散</w:t>
            </w:r>
          </w:p>
        </w:tc>
        <w:tc>
          <w:tcPr>
            <w:tcW w:w="3003" w:type="dxa"/>
            <w:vAlign w:val="center"/>
          </w:tcPr>
          <w:p>
            <w:pPr>
              <w:widowControl/>
              <w:autoSpaceDE w:val="0"/>
              <w:autoSpaceDN w:val="0"/>
              <w:adjustRightInd w:val="0"/>
              <w:snapToGrid w:val="0"/>
              <w:spacing w:line="240" w:lineRule="auto"/>
              <w:ind w:firstLine="0" w:firstLineChars="0"/>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破碎车间封闭+喷雾抑尘</w:t>
            </w:r>
          </w:p>
        </w:tc>
        <w:tc>
          <w:tcPr>
            <w:tcW w:w="2195" w:type="dxa"/>
            <w:vMerge w:val="continue"/>
            <w:tcBorders>
              <w:bottom w:val="single" w:color="auto" w:sz="2" w:space="0"/>
            </w:tcBorders>
            <w:vAlign w:val="center"/>
          </w:tcPr>
          <w:p>
            <w:pPr>
              <w:widowControl/>
              <w:adjustRightInd w:val="0"/>
              <w:snapToGrid w:val="0"/>
              <w:spacing w:line="240" w:lineRule="auto"/>
              <w:ind w:firstLine="0" w:firstLineChars="0"/>
              <w:jc w:val="both"/>
              <w:textAlignment w:val="auto"/>
              <w:rPr>
                <w:rFonts w:hint="default" w:ascii="Times New Roman" w:hAnsi="Times New Roman" w:cs="Times New Roman"/>
                <w:snapToGrid w:val="0"/>
                <w:sz w:val="20"/>
                <w:szCs w:val="20"/>
                <w:highlight w:val="none"/>
              </w:rPr>
            </w:pPr>
          </w:p>
        </w:tc>
        <w:tc>
          <w:tcPr>
            <w:tcW w:w="879"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740" w:type="dxa"/>
            <w:vMerge w:val="continue"/>
            <w:tcBorders>
              <w:bottom w:val="single" w:color="auto" w:sz="2"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037" w:type="dxa"/>
            <w:vMerge w:val="continue"/>
            <w:tcBorders>
              <w:bottom w:val="single" w:color="auto" w:sz="2"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034" w:type="dxa"/>
            <w:vMerge w:val="continue"/>
            <w:tcBorders>
              <w:bottom w:val="single" w:color="auto" w:sz="2"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480" w:type="dxa"/>
            <w:vMerge w:val="continue"/>
            <w:tcBorders>
              <w:bottom w:val="single" w:color="auto" w:sz="2"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2374"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continue"/>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p>
        </w:tc>
        <w:tc>
          <w:tcPr>
            <w:tcW w:w="635" w:type="dxa"/>
            <w:vMerge w:val="continue"/>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650" w:type="dxa"/>
            <w:vAlign w:val="center"/>
          </w:tcPr>
          <w:p>
            <w:pPr>
              <w:widowControl/>
              <w:autoSpaceDE w:val="0"/>
              <w:autoSpaceDN w:val="0"/>
              <w:adjustRightInd w:val="0"/>
              <w:snapToGrid w:val="0"/>
              <w:spacing w:line="240" w:lineRule="auto"/>
              <w:ind w:firstLine="0" w:firstLineChars="0"/>
              <w:jc w:val="center"/>
              <w:textAlignment w:val="auto"/>
              <w:rPr>
                <w:rFonts w:hint="eastAsia" w:ascii="Times New Roman" w:hAnsi="Times New Roman" w:eastAsia="宋体" w:cs="Times New Roman"/>
                <w:snapToGrid w:val="0"/>
                <w:sz w:val="20"/>
                <w:szCs w:val="20"/>
                <w:highlight w:val="none"/>
                <w:lang w:eastAsia="zh-CN"/>
              </w:rPr>
            </w:pPr>
            <w:r>
              <w:rPr>
                <w:rFonts w:hint="default" w:ascii="Times New Roman" w:hAnsi="Times New Roman" w:cs="Times New Roman"/>
                <w:snapToGrid w:val="0"/>
                <w:sz w:val="20"/>
                <w:szCs w:val="20"/>
                <w:highlight w:val="none"/>
              </w:rPr>
              <w:t>原料卸车过程</w:t>
            </w:r>
          </w:p>
        </w:tc>
        <w:tc>
          <w:tcPr>
            <w:tcW w:w="3003" w:type="dxa"/>
            <w:vAlign w:val="center"/>
          </w:tcPr>
          <w:p>
            <w:pPr>
              <w:widowControl/>
              <w:autoSpaceDE w:val="0"/>
              <w:autoSpaceDN w:val="0"/>
              <w:adjustRightInd w:val="0"/>
              <w:snapToGrid w:val="0"/>
              <w:spacing w:line="240" w:lineRule="auto"/>
              <w:ind w:firstLine="0" w:firstLineChars="0"/>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原料</w:t>
            </w:r>
            <w:r>
              <w:rPr>
                <w:rFonts w:hint="eastAsia" w:ascii="Times New Roman" w:hAnsi="Times New Roman" w:cs="Times New Roman"/>
                <w:snapToGrid w:val="0"/>
                <w:sz w:val="20"/>
                <w:szCs w:val="20"/>
                <w:highlight w:val="none"/>
                <w:lang w:val="en-US" w:eastAsia="zh-CN"/>
              </w:rPr>
              <w:t>位于全封闭生产车间内</w:t>
            </w:r>
            <w:r>
              <w:rPr>
                <w:rFonts w:hint="default" w:ascii="Times New Roman" w:hAnsi="Times New Roman" w:cs="Times New Roman"/>
                <w:snapToGrid w:val="0"/>
                <w:sz w:val="20"/>
                <w:szCs w:val="20"/>
                <w:highlight w:val="none"/>
              </w:rPr>
              <w:t>，</w:t>
            </w:r>
            <w:r>
              <w:rPr>
                <w:rFonts w:hint="default" w:ascii="Times New Roman" w:hAnsi="Times New Roman" w:cs="Times New Roman"/>
                <w:snapToGrid w:val="0"/>
                <w:sz w:val="20"/>
                <w:szCs w:val="20"/>
                <w:highlight w:val="none"/>
                <w:lang w:val="en-US" w:eastAsia="zh-CN"/>
              </w:rPr>
              <w:t>受料仓设喷雾抑尘装置</w:t>
            </w:r>
          </w:p>
        </w:tc>
        <w:tc>
          <w:tcPr>
            <w:tcW w:w="2195" w:type="dxa"/>
            <w:vMerge w:val="continue"/>
            <w:tcBorders>
              <w:bottom w:val="single" w:color="auto" w:sz="4" w:space="0"/>
            </w:tcBorders>
            <w:vAlign w:val="center"/>
          </w:tcPr>
          <w:p>
            <w:pPr>
              <w:widowControl/>
              <w:adjustRightInd w:val="0"/>
              <w:snapToGrid w:val="0"/>
              <w:spacing w:line="240" w:lineRule="auto"/>
              <w:ind w:firstLine="0" w:firstLineChars="0"/>
              <w:jc w:val="both"/>
              <w:textAlignment w:val="auto"/>
              <w:rPr>
                <w:rFonts w:hint="default" w:ascii="Times New Roman" w:hAnsi="Times New Roman" w:cs="Times New Roman"/>
                <w:snapToGrid w:val="0"/>
                <w:sz w:val="20"/>
                <w:szCs w:val="20"/>
                <w:highlight w:val="none"/>
              </w:rPr>
            </w:pPr>
          </w:p>
        </w:tc>
        <w:tc>
          <w:tcPr>
            <w:tcW w:w="879"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740" w:type="dxa"/>
            <w:vMerge w:val="continue"/>
            <w:tcBorders>
              <w:bottom w:val="single" w:color="auto" w:sz="4"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037" w:type="dxa"/>
            <w:vMerge w:val="continue"/>
            <w:tcBorders>
              <w:bottom w:val="single" w:color="auto" w:sz="4"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034" w:type="dxa"/>
            <w:vMerge w:val="continue"/>
            <w:tcBorders>
              <w:bottom w:val="single" w:color="auto" w:sz="4"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480" w:type="dxa"/>
            <w:vMerge w:val="continue"/>
            <w:tcBorders>
              <w:bottom w:val="single" w:color="auto" w:sz="2"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2374"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continue"/>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p>
        </w:tc>
        <w:tc>
          <w:tcPr>
            <w:tcW w:w="635" w:type="dxa"/>
            <w:vMerge w:val="continue"/>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650" w:type="dxa"/>
            <w:vAlign w:val="center"/>
          </w:tcPr>
          <w:p>
            <w:pPr>
              <w:widowControl/>
              <w:autoSpaceDE w:val="0"/>
              <w:autoSpaceDN w:val="0"/>
              <w:adjustRightInd w:val="0"/>
              <w:snapToGrid w:val="0"/>
              <w:spacing w:line="240" w:lineRule="auto"/>
              <w:ind w:firstLine="0" w:firstLineChars="0"/>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物料转运封闭通廊</w:t>
            </w:r>
          </w:p>
        </w:tc>
        <w:tc>
          <w:tcPr>
            <w:tcW w:w="5198" w:type="dxa"/>
            <w:gridSpan w:val="2"/>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eastAsia" w:ascii="Times New Roman" w:hAnsi="Times New Roman" w:eastAsia="宋体" w:cs="Times New Roman"/>
                <w:snapToGrid w:val="0"/>
                <w:sz w:val="20"/>
                <w:szCs w:val="20"/>
                <w:highlight w:val="none"/>
                <w:lang w:val="en-US" w:eastAsia="zh-CN"/>
              </w:rPr>
              <w:t>皮带全封闭</w:t>
            </w:r>
          </w:p>
        </w:tc>
        <w:tc>
          <w:tcPr>
            <w:tcW w:w="879"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740"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7"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4" w:type="dxa"/>
            <w:vAlign w:val="center"/>
          </w:tcPr>
          <w:p>
            <w:pPr>
              <w:widowControl/>
              <w:autoSpaceDE w:val="0"/>
              <w:autoSpaceDN w:val="0"/>
              <w:spacing w:line="240" w:lineRule="atLeast"/>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9</w:t>
            </w:r>
            <w:r>
              <w:rPr>
                <w:rFonts w:hint="eastAsia" w:ascii="Times New Roman" w:hAnsi="Times New Roman" w:eastAsia="宋体" w:cs="Times New Roman"/>
                <w:snapToGrid w:val="0"/>
                <w:sz w:val="20"/>
                <w:szCs w:val="20"/>
                <w:highlight w:val="none"/>
                <w:lang w:val="en-US" w:eastAsia="zh-CN"/>
              </w:rPr>
              <w:t>9</w:t>
            </w:r>
            <w:r>
              <w:rPr>
                <w:rFonts w:hint="default" w:ascii="Times New Roman" w:hAnsi="Times New Roman" w:cs="Times New Roman"/>
                <w:snapToGrid w:val="0"/>
                <w:sz w:val="20"/>
                <w:szCs w:val="20"/>
                <w:highlight w:val="none"/>
              </w:rPr>
              <w:t>%</w:t>
            </w:r>
          </w:p>
        </w:tc>
        <w:tc>
          <w:tcPr>
            <w:tcW w:w="1480" w:type="dxa"/>
            <w:vMerge w:val="restart"/>
            <w:tcBorders>
              <w:top w:val="single" w:color="auto" w:sz="2"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厂界无组织监控点浓度</w:t>
            </w:r>
          </w:p>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z w:val="20"/>
                <w:szCs w:val="20"/>
                <w:highlight w:val="none"/>
              </w:rPr>
              <w:t>≤1.0</w:t>
            </w:r>
            <w:r>
              <w:rPr>
                <w:rFonts w:hint="default" w:ascii="Times New Roman" w:hAnsi="Times New Roman" w:cs="Times New Roman"/>
                <w:snapToGrid w:val="0"/>
                <w:sz w:val="20"/>
                <w:szCs w:val="20"/>
                <w:highlight w:val="none"/>
              </w:rPr>
              <w:t>mg/m</w:t>
            </w:r>
            <w:r>
              <w:rPr>
                <w:rFonts w:hint="default" w:ascii="Times New Roman" w:hAnsi="Times New Roman" w:cs="Times New Roman"/>
                <w:snapToGrid w:val="0"/>
                <w:sz w:val="20"/>
                <w:szCs w:val="20"/>
                <w:highlight w:val="none"/>
                <w:vertAlign w:val="superscript"/>
              </w:rPr>
              <w:t>3</w:t>
            </w:r>
          </w:p>
        </w:tc>
        <w:tc>
          <w:tcPr>
            <w:tcW w:w="2374" w:type="dxa"/>
            <w:vMerge w:val="restart"/>
            <w:tcBorders>
              <w:top w:val="single" w:color="auto" w:sz="2"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z w:val="20"/>
                <w:szCs w:val="20"/>
                <w:highlight w:val="none"/>
              </w:rPr>
              <w:t>铁矿采选工业污染物排放标准》（GB28661-2012）表7中无组织排放浓度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continue"/>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p>
        </w:tc>
        <w:tc>
          <w:tcPr>
            <w:tcW w:w="2285" w:type="dxa"/>
            <w:gridSpan w:val="2"/>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0"/>
                <w:szCs w:val="20"/>
                <w:highlight w:val="none"/>
                <w:lang w:val="en-US" w:eastAsia="zh-CN"/>
              </w:rPr>
            </w:pPr>
            <w:r>
              <w:rPr>
                <w:rFonts w:hint="eastAsia" w:ascii="Times New Roman" w:hAnsi="Times New Roman" w:eastAsia="宋体" w:cs="Times New Roman"/>
                <w:snapToGrid w:val="0"/>
                <w:sz w:val="20"/>
                <w:szCs w:val="20"/>
                <w:highlight w:val="none"/>
                <w:lang w:val="en-US" w:eastAsia="zh-CN"/>
              </w:rPr>
              <w:t>物料转运</w:t>
            </w:r>
          </w:p>
        </w:tc>
        <w:tc>
          <w:tcPr>
            <w:tcW w:w="5198" w:type="dxa"/>
            <w:gridSpan w:val="2"/>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精粉库及厂区门口设置车辆清洗装置</w:t>
            </w:r>
          </w:p>
        </w:tc>
        <w:tc>
          <w:tcPr>
            <w:tcW w:w="879"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740"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7"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4" w:type="dxa"/>
            <w:vAlign w:val="center"/>
          </w:tcPr>
          <w:p>
            <w:pPr>
              <w:widowControl/>
              <w:autoSpaceDE w:val="0"/>
              <w:autoSpaceDN w:val="0"/>
              <w:spacing w:line="240" w:lineRule="atLeast"/>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95%</w:t>
            </w:r>
          </w:p>
        </w:tc>
        <w:tc>
          <w:tcPr>
            <w:tcW w:w="1480" w:type="dxa"/>
            <w:vMerge w:val="continue"/>
            <w:tcBorders>
              <w:top w:val="single" w:color="auto" w:sz="2"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z w:val="20"/>
                <w:szCs w:val="20"/>
                <w:highlight w:val="none"/>
              </w:rPr>
            </w:pPr>
          </w:p>
        </w:tc>
        <w:tc>
          <w:tcPr>
            <w:tcW w:w="2374" w:type="dxa"/>
            <w:vMerge w:val="continue"/>
            <w:tcBorders>
              <w:top w:val="single" w:color="auto" w:sz="2"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continue"/>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p>
        </w:tc>
        <w:tc>
          <w:tcPr>
            <w:tcW w:w="2285" w:type="dxa"/>
            <w:gridSpan w:val="2"/>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转运皮带</w:t>
            </w:r>
          </w:p>
        </w:tc>
        <w:tc>
          <w:tcPr>
            <w:tcW w:w="5198" w:type="dxa"/>
            <w:gridSpan w:val="2"/>
            <w:shd w:val="clear" w:color="auto" w:fill="auto"/>
            <w:vAlign w:val="center"/>
          </w:tcPr>
          <w:p>
            <w:pPr>
              <w:spacing w:line="240" w:lineRule="auto"/>
              <w:ind w:firstLine="0" w:firstLineChars="0"/>
              <w:rPr>
                <w:rFonts w:hint="default" w:ascii="Times New Roman" w:hAnsi="Times New Roman" w:cs="Times New Roman"/>
                <w:snapToGrid w:val="0"/>
                <w:sz w:val="20"/>
                <w:szCs w:val="20"/>
                <w:highlight w:val="none"/>
              </w:rPr>
            </w:pPr>
            <w:r>
              <w:rPr>
                <w:rFonts w:hint="default" w:ascii="Times New Roman" w:hAnsi="Times New Roman" w:cs="Times New Roman"/>
                <w:sz w:val="20"/>
                <w:szCs w:val="20"/>
                <w:highlight w:val="none"/>
                <w:lang w:val="en-US" w:eastAsia="zh-CN"/>
              </w:rPr>
              <w:t>经厂区现有干排系统处理后回用于球磨磁选工序、不外排</w:t>
            </w:r>
          </w:p>
        </w:tc>
        <w:tc>
          <w:tcPr>
            <w:tcW w:w="879" w:type="dxa"/>
            <w:vMerge w:val="continue"/>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SS</w:t>
            </w:r>
          </w:p>
        </w:tc>
        <w:tc>
          <w:tcPr>
            <w:tcW w:w="740"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7"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4" w:type="dxa"/>
            <w:vAlign w:val="center"/>
          </w:tcPr>
          <w:p>
            <w:pPr>
              <w:widowControl/>
              <w:autoSpaceDE w:val="0"/>
              <w:autoSpaceDN w:val="0"/>
              <w:spacing w:line="240" w:lineRule="atLeast"/>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480" w:type="dxa"/>
            <w:vMerge w:val="continue"/>
            <w:tcBorders>
              <w:top w:val="single" w:color="auto" w:sz="2"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z w:val="20"/>
                <w:szCs w:val="20"/>
                <w:highlight w:val="none"/>
              </w:rPr>
            </w:pPr>
          </w:p>
        </w:tc>
        <w:tc>
          <w:tcPr>
            <w:tcW w:w="2374" w:type="dxa"/>
            <w:vMerge w:val="continue"/>
            <w:tcBorders>
              <w:top w:val="single" w:color="auto" w:sz="2" w:space="0"/>
            </w:tcBorders>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continue"/>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p>
        </w:tc>
        <w:tc>
          <w:tcPr>
            <w:tcW w:w="2285" w:type="dxa"/>
            <w:gridSpan w:val="2"/>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运输车辆</w:t>
            </w:r>
          </w:p>
        </w:tc>
        <w:tc>
          <w:tcPr>
            <w:tcW w:w="5198" w:type="dxa"/>
            <w:gridSpan w:val="2"/>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0"/>
                <w:szCs w:val="20"/>
                <w:highlight w:val="none"/>
                <w:lang w:val="en-US" w:eastAsia="zh-CN"/>
              </w:rPr>
            </w:pPr>
            <w:r>
              <w:rPr>
                <w:rFonts w:hint="eastAsia" w:ascii="Times New Roman" w:hAnsi="Times New Roman" w:eastAsia="宋体" w:cs="Times New Roman"/>
                <w:snapToGrid w:val="0"/>
                <w:sz w:val="20"/>
                <w:szCs w:val="20"/>
                <w:highlight w:val="none"/>
                <w:lang w:val="en-US" w:eastAsia="zh-CN"/>
              </w:rPr>
              <w:t>依托厂区现有洗车平台</w:t>
            </w:r>
          </w:p>
        </w:tc>
        <w:tc>
          <w:tcPr>
            <w:tcW w:w="879"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噪声</w:t>
            </w:r>
          </w:p>
        </w:tc>
        <w:tc>
          <w:tcPr>
            <w:tcW w:w="740"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7"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4" w:type="dxa"/>
            <w:vAlign w:val="center"/>
          </w:tcPr>
          <w:p>
            <w:pPr>
              <w:widowControl/>
              <w:autoSpaceDE w:val="0"/>
              <w:autoSpaceDN w:val="0"/>
              <w:spacing w:line="240" w:lineRule="atLeast"/>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480"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2374"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Align w:val="center"/>
          </w:tcPr>
          <w:p>
            <w:pPr>
              <w:autoSpaceDE w:val="0"/>
              <w:autoSpaceDN w:val="0"/>
              <w:adjustRightInd w:val="0"/>
              <w:snapToGrid w:val="0"/>
              <w:spacing w:line="240" w:lineRule="auto"/>
              <w:ind w:firstLine="0" w:firstLineChars="0"/>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废水</w:t>
            </w:r>
          </w:p>
        </w:tc>
        <w:tc>
          <w:tcPr>
            <w:tcW w:w="2285" w:type="dxa"/>
            <w:gridSpan w:val="2"/>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lang w:val="en-US" w:eastAsia="zh-CN"/>
              </w:rPr>
              <w:t>生产</w:t>
            </w:r>
            <w:r>
              <w:rPr>
                <w:rFonts w:hint="default" w:ascii="Times New Roman" w:hAnsi="Times New Roman" w:cs="Times New Roman"/>
                <w:snapToGrid w:val="0"/>
                <w:sz w:val="20"/>
                <w:szCs w:val="20"/>
                <w:highlight w:val="none"/>
              </w:rPr>
              <w:t>废水</w:t>
            </w:r>
          </w:p>
        </w:tc>
        <w:tc>
          <w:tcPr>
            <w:tcW w:w="5198" w:type="dxa"/>
            <w:gridSpan w:val="2"/>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bCs/>
                <w:sz w:val="20"/>
                <w:szCs w:val="20"/>
                <w:highlight w:val="none"/>
                <w:lang w:val="en-US" w:eastAsia="zh-CN" w:bidi="ar-SA"/>
              </w:rPr>
            </w:pPr>
            <w:r>
              <w:rPr>
                <w:rFonts w:hint="default" w:ascii="Times New Roman" w:hAnsi="Times New Roman" w:cs="Times New Roman"/>
                <w:snapToGrid w:val="0"/>
                <w:sz w:val="20"/>
                <w:szCs w:val="20"/>
                <w:highlight w:val="none"/>
              </w:rPr>
              <w:t>返回球磨系统</w:t>
            </w:r>
          </w:p>
        </w:tc>
        <w:tc>
          <w:tcPr>
            <w:tcW w:w="879"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除尘灰</w:t>
            </w:r>
          </w:p>
        </w:tc>
        <w:tc>
          <w:tcPr>
            <w:tcW w:w="1777" w:type="dxa"/>
            <w:gridSpan w:val="2"/>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lang w:val="en-US" w:eastAsia="zh-CN"/>
              </w:rPr>
            </w:pPr>
            <w:r>
              <w:rPr>
                <w:rFonts w:hint="default" w:ascii="Times New Roman" w:hAnsi="Times New Roman" w:cs="Times New Roman"/>
                <w:snapToGrid w:val="0"/>
                <w:sz w:val="20"/>
                <w:szCs w:val="20"/>
                <w:highlight w:val="none"/>
                <w:lang w:val="en-US" w:eastAsia="zh-CN"/>
              </w:rPr>
              <w:t>依托厂区现有</w:t>
            </w:r>
          </w:p>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0"/>
                <w:szCs w:val="20"/>
                <w:highlight w:val="none"/>
                <w:lang w:val="en-US" w:eastAsia="zh-CN"/>
              </w:rPr>
            </w:pPr>
            <w:r>
              <w:rPr>
                <w:rFonts w:hint="default" w:ascii="Times New Roman" w:hAnsi="Times New Roman" w:cs="Times New Roman"/>
                <w:snapToGrid w:val="0"/>
                <w:sz w:val="20"/>
                <w:szCs w:val="20"/>
                <w:highlight w:val="none"/>
                <w:lang w:val="en-US" w:eastAsia="zh-CN"/>
              </w:rPr>
              <w:t>干排设施</w:t>
            </w:r>
          </w:p>
        </w:tc>
        <w:tc>
          <w:tcPr>
            <w:tcW w:w="1034" w:type="dxa"/>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480"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全部循环利用，不外排</w:t>
            </w:r>
          </w:p>
        </w:tc>
        <w:tc>
          <w:tcPr>
            <w:tcW w:w="2374" w:type="dxa"/>
            <w:vAlign w:val="center"/>
          </w:tcPr>
          <w:p>
            <w:pPr>
              <w:autoSpaceDE w:val="0"/>
              <w:autoSpaceDN w:val="0"/>
              <w:adjustRightInd w:val="0"/>
              <w:snapToGrid w:val="0"/>
              <w:ind w:firstLine="360"/>
              <w:jc w:val="center"/>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Align w:val="center"/>
          </w:tcPr>
          <w:p>
            <w:pPr>
              <w:autoSpaceDE w:val="0"/>
              <w:autoSpaceDN w:val="0"/>
              <w:adjustRightInd w:val="0"/>
              <w:snapToGrid w:val="0"/>
              <w:spacing w:line="240" w:lineRule="auto"/>
              <w:ind w:firstLine="0" w:firstLineChars="0"/>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噪声</w:t>
            </w:r>
          </w:p>
        </w:tc>
        <w:tc>
          <w:tcPr>
            <w:tcW w:w="2285" w:type="dxa"/>
            <w:gridSpan w:val="2"/>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颚式破碎机、</w:t>
            </w:r>
            <w:r>
              <w:rPr>
                <w:rFonts w:hint="default" w:ascii="Times New Roman" w:hAnsi="Times New Roman" w:cs="Times New Roman"/>
                <w:snapToGrid w:val="0"/>
                <w:sz w:val="20"/>
                <w:szCs w:val="20"/>
                <w:highlight w:val="none"/>
                <w:lang w:val="en-US" w:eastAsia="zh-CN"/>
              </w:rPr>
              <w:t>圆锥</w:t>
            </w:r>
            <w:r>
              <w:rPr>
                <w:rFonts w:hint="default" w:ascii="Times New Roman" w:hAnsi="Times New Roman" w:cs="Times New Roman"/>
                <w:snapToGrid w:val="0"/>
                <w:sz w:val="20"/>
                <w:szCs w:val="20"/>
                <w:highlight w:val="none"/>
              </w:rPr>
              <w:t>破碎机、皮带输送机、</w:t>
            </w:r>
            <w:r>
              <w:rPr>
                <w:rFonts w:hint="default" w:ascii="Times New Roman" w:hAnsi="Times New Roman" w:cs="Times New Roman"/>
                <w:snapToGrid w:val="0"/>
                <w:sz w:val="20"/>
                <w:szCs w:val="20"/>
                <w:highlight w:val="none"/>
                <w:lang w:val="en-US" w:eastAsia="zh-CN"/>
              </w:rPr>
              <w:t>振动筛</w:t>
            </w:r>
            <w:r>
              <w:rPr>
                <w:rFonts w:hint="default" w:ascii="Times New Roman" w:hAnsi="Times New Roman" w:cs="Times New Roman"/>
                <w:snapToGrid w:val="0"/>
                <w:sz w:val="20"/>
                <w:szCs w:val="20"/>
                <w:highlight w:val="none"/>
              </w:rPr>
              <w:t>、风机等</w:t>
            </w:r>
          </w:p>
        </w:tc>
        <w:tc>
          <w:tcPr>
            <w:tcW w:w="5198" w:type="dxa"/>
            <w:gridSpan w:val="2"/>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0"/>
                <w:szCs w:val="20"/>
                <w:highlight w:val="none"/>
                <w:lang w:val="en-US" w:eastAsia="zh-CN"/>
              </w:rPr>
            </w:pPr>
            <w:r>
              <w:rPr>
                <w:rFonts w:hint="default" w:ascii="Times New Roman" w:hAnsi="Times New Roman" w:cs="Times New Roman"/>
                <w:snapToGrid w:val="0"/>
                <w:sz w:val="20"/>
                <w:szCs w:val="20"/>
                <w:highlight w:val="none"/>
              </w:rPr>
              <w:t>各设备置于封闭车间内，</w:t>
            </w:r>
            <w:r>
              <w:rPr>
                <w:rFonts w:hint="eastAsia" w:ascii="Times New Roman" w:hAnsi="Times New Roman" w:eastAsia="宋体" w:cs="Times New Roman"/>
                <w:snapToGrid w:val="0"/>
                <w:sz w:val="20"/>
                <w:szCs w:val="20"/>
                <w:highlight w:val="none"/>
                <w:lang w:val="en-US" w:eastAsia="zh-CN"/>
              </w:rPr>
              <w:t>基础减振</w:t>
            </w:r>
            <w:r>
              <w:rPr>
                <w:rFonts w:hint="default" w:ascii="Times New Roman" w:hAnsi="Times New Roman" w:cs="Times New Roman"/>
                <w:snapToGrid w:val="0"/>
                <w:sz w:val="20"/>
                <w:szCs w:val="20"/>
                <w:highlight w:val="none"/>
              </w:rPr>
              <w:t>等</w:t>
            </w:r>
            <w:r>
              <w:rPr>
                <w:rFonts w:hint="eastAsia" w:ascii="Times New Roman" w:hAnsi="Times New Roman" w:eastAsia="宋体" w:cs="Times New Roman"/>
                <w:snapToGrid w:val="0"/>
                <w:sz w:val="20"/>
                <w:szCs w:val="20"/>
                <w:highlight w:val="none"/>
                <w:lang w:val="en-US" w:eastAsia="zh-CN"/>
              </w:rPr>
              <w:t>降噪措施</w:t>
            </w:r>
          </w:p>
        </w:tc>
        <w:tc>
          <w:tcPr>
            <w:tcW w:w="879"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lang w:val="en-US" w:eastAsia="zh-CN"/>
              </w:rPr>
              <w:t>尾矿</w:t>
            </w:r>
          </w:p>
        </w:tc>
        <w:tc>
          <w:tcPr>
            <w:tcW w:w="740" w:type="dxa"/>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7"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4"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综合降噪</w:t>
            </w:r>
            <w:r>
              <w:rPr>
                <w:rFonts w:hint="eastAsia" w:ascii="Times New Roman" w:hAnsi="Times New Roman" w:eastAsia="宋体" w:cs="Times New Roman"/>
                <w:snapToGrid w:val="0"/>
                <w:sz w:val="20"/>
                <w:szCs w:val="20"/>
                <w:highlight w:val="none"/>
                <w:lang w:val="en-US" w:eastAsia="zh-CN"/>
              </w:rPr>
              <w:t>25</w:t>
            </w:r>
            <w:r>
              <w:rPr>
                <w:rFonts w:hint="default" w:ascii="Times New Roman" w:hAnsi="Times New Roman" w:cs="Times New Roman"/>
                <w:snapToGrid w:val="0"/>
                <w:sz w:val="20"/>
                <w:szCs w:val="20"/>
                <w:highlight w:val="none"/>
              </w:rPr>
              <w:t>dB(A)以上</w:t>
            </w:r>
          </w:p>
        </w:tc>
        <w:tc>
          <w:tcPr>
            <w:tcW w:w="1480"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0"/>
                <w:szCs w:val="20"/>
                <w:highlight w:val="none"/>
                <w:lang w:val="en-US" w:eastAsia="zh-CN"/>
              </w:rPr>
            </w:pPr>
            <w:r>
              <w:rPr>
                <w:rFonts w:hint="eastAsia" w:ascii="Times New Roman" w:hAnsi="Times New Roman" w:eastAsia="宋体" w:cs="Times New Roman"/>
                <w:snapToGrid w:val="0"/>
                <w:sz w:val="20"/>
                <w:szCs w:val="20"/>
                <w:highlight w:val="none"/>
                <w:lang w:val="en-US" w:eastAsia="zh-CN"/>
              </w:rPr>
              <w:t>达标排放</w:t>
            </w:r>
          </w:p>
        </w:tc>
        <w:tc>
          <w:tcPr>
            <w:tcW w:w="2374"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《工业企业厂界环境噪声排放标准》（GB12348- 2008）2类标准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restart"/>
            <w:vAlign w:val="center"/>
          </w:tcPr>
          <w:p>
            <w:pPr>
              <w:autoSpaceDE w:val="0"/>
              <w:autoSpaceDN w:val="0"/>
              <w:adjustRightInd w:val="0"/>
              <w:snapToGrid w:val="0"/>
              <w:spacing w:line="240" w:lineRule="auto"/>
              <w:ind w:firstLine="0" w:firstLineChars="0"/>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固废</w:t>
            </w:r>
          </w:p>
        </w:tc>
        <w:tc>
          <w:tcPr>
            <w:tcW w:w="2285" w:type="dxa"/>
            <w:gridSpan w:val="2"/>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除尘器收尘</w:t>
            </w:r>
          </w:p>
        </w:tc>
        <w:tc>
          <w:tcPr>
            <w:tcW w:w="5198" w:type="dxa"/>
            <w:gridSpan w:val="2"/>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eastAsia" w:ascii="Times New Roman" w:hAnsi="Times New Roman" w:eastAsia="宋体" w:cs="Times New Roman"/>
                <w:snapToGrid w:val="0"/>
                <w:sz w:val="20"/>
                <w:szCs w:val="20"/>
                <w:highlight w:val="none"/>
                <w:lang w:val="en-US" w:eastAsia="zh-CN"/>
              </w:rPr>
              <w:t>外售废品回收单位</w:t>
            </w:r>
          </w:p>
        </w:tc>
        <w:tc>
          <w:tcPr>
            <w:tcW w:w="879"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eastAsia" w:ascii="Times New Roman" w:hAnsi="Times New Roman" w:cs="Times New Roman"/>
                <w:snapToGrid w:val="0"/>
                <w:sz w:val="20"/>
                <w:szCs w:val="20"/>
                <w:highlight w:val="none"/>
                <w:lang w:val="en-US" w:eastAsia="zh-CN"/>
              </w:rPr>
              <w:t>废钢球</w:t>
            </w:r>
          </w:p>
        </w:tc>
        <w:tc>
          <w:tcPr>
            <w:tcW w:w="740" w:type="dxa"/>
            <w:shd w:val="clear" w:color="auto" w:fill="auto"/>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7" w:type="dxa"/>
            <w:shd w:val="clear" w:color="auto" w:fill="auto"/>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4" w:type="dxa"/>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480" w:type="dxa"/>
            <w:vMerge w:val="restart"/>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lang w:val="en-US" w:eastAsia="zh-CN"/>
              </w:rPr>
            </w:pPr>
            <w:r>
              <w:rPr>
                <w:rFonts w:hint="default" w:ascii="Times New Roman" w:hAnsi="Times New Roman" w:cs="Times New Roman"/>
                <w:snapToGrid w:val="0"/>
                <w:sz w:val="20"/>
                <w:szCs w:val="20"/>
                <w:highlight w:val="none"/>
                <w:lang w:val="en-US" w:eastAsia="zh-CN"/>
              </w:rPr>
              <w:t>全部得到妥善</w:t>
            </w:r>
          </w:p>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0"/>
                <w:szCs w:val="20"/>
                <w:highlight w:val="none"/>
                <w:lang w:val="en-US" w:eastAsia="zh-CN"/>
              </w:rPr>
            </w:pPr>
            <w:r>
              <w:rPr>
                <w:rFonts w:hint="default" w:ascii="Times New Roman" w:hAnsi="Times New Roman" w:cs="Times New Roman"/>
                <w:snapToGrid w:val="0"/>
                <w:sz w:val="20"/>
                <w:szCs w:val="20"/>
                <w:highlight w:val="none"/>
                <w:lang w:val="en-US" w:eastAsia="zh-CN"/>
              </w:rPr>
              <w:t>处置</w:t>
            </w:r>
          </w:p>
        </w:tc>
        <w:tc>
          <w:tcPr>
            <w:tcW w:w="2374" w:type="dxa"/>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continue"/>
            <w:vAlign w:val="center"/>
          </w:tcPr>
          <w:p>
            <w:pPr>
              <w:autoSpaceDE w:val="0"/>
              <w:autoSpaceDN w:val="0"/>
              <w:adjustRightInd w:val="0"/>
              <w:snapToGrid w:val="0"/>
              <w:spacing w:line="240" w:lineRule="auto"/>
              <w:ind w:firstLine="0" w:firstLineChars="0"/>
              <w:rPr>
                <w:rFonts w:hint="default" w:ascii="Times New Roman" w:hAnsi="Times New Roman" w:cs="Times New Roman"/>
                <w:snapToGrid w:val="0"/>
                <w:sz w:val="20"/>
                <w:szCs w:val="20"/>
                <w:highlight w:val="none"/>
              </w:rPr>
            </w:pPr>
          </w:p>
        </w:tc>
        <w:tc>
          <w:tcPr>
            <w:tcW w:w="2285" w:type="dxa"/>
            <w:gridSpan w:val="2"/>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生产过程</w:t>
            </w:r>
          </w:p>
        </w:tc>
        <w:tc>
          <w:tcPr>
            <w:tcW w:w="5198" w:type="dxa"/>
            <w:gridSpan w:val="2"/>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eastAsia" w:ascii="Times New Roman" w:hAnsi="Times New Roman" w:eastAsia="宋体" w:cs="Times New Roman"/>
                <w:snapToGrid w:val="0"/>
                <w:sz w:val="20"/>
                <w:szCs w:val="20"/>
                <w:highlight w:val="none"/>
                <w:lang w:val="en-US" w:eastAsia="zh-CN"/>
              </w:rPr>
            </w:pPr>
            <w:r>
              <w:rPr>
                <w:rFonts w:hint="eastAsia" w:ascii="Times New Roman" w:hAnsi="Times New Roman" w:eastAsia="宋体" w:cs="Times New Roman"/>
                <w:snapToGrid w:val="0"/>
                <w:sz w:val="20"/>
                <w:szCs w:val="20"/>
                <w:highlight w:val="none"/>
                <w:lang w:val="en-US" w:eastAsia="zh-CN"/>
              </w:rPr>
              <w:t>尾矿砂、泥饼、砂石料</w:t>
            </w:r>
            <w:r>
              <w:rPr>
                <w:rFonts w:hint="default" w:ascii="Times New Roman" w:hAnsi="Times New Roman" w:eastAsia="宋体" w:cs="Times New Roman"/>
                <w:snapToGrid w:val="0"/>
                <w:sz w:val="20"/>
                <w:szCs w:val="20"/>
                <w:highlight w:val="none"/>
                <w:lang w:val="en-US" w:eastAsia="zh-CN"/>
              </w:rPr>
              <w:t>作为建筑材料外售</w:t>
            </w:r>
          </w:p>
        </w:tc>
        <w:tc>
          <w:tcPr>
            <w:tcW w:w="879" w:type="dxa"/>
            <w:vAlign w:val="center"/>
          </w:tcPr>
          <w:p>
            <w:pPr>
              <w:widowControl/>
              <w:autoSpaceDE w:val="0"/>
              <w:autoSpaceDN w:val="0"/>
              <w:adjustRightInd w:val="0"/>
              <w:snapToGrid w:val="0"/>
              <w:spacing w:line="240" w:lineRule="auto"/>
              <w:ind w:firstLine="0" w:firstLineChars="0"/>
              <w:jc w:val="center"/>
              <w:textAlignment w:val="auto"/>
              <w:rPr>
                <w:rFonts w:hint="eastAsia" w:ascii="Times New Roman" w:hAnsi="Times New Roman" w:cs="Times New Roman"/>
                <w:snapToGrid w:val="0"/>
                <w:sz w:val="20"/>
                <w:szCs w:val="20"/>
                <w:highlight w:val="none"/>
                <w:lang w:val="en-US" w:eastAsia="zh-CN"/>
              </w:rPr>
            </w:pPr>
          </w:p>
        </w:tc>
        <w:tc>
          <w:tcPr>
            <w:tcW w:w="740" w:type="dxa"/>
            <w:shd w:val="clear" w:color="auto" w:fill="auto"/>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037" w:type="dxa"/>
            <w:shd w:val="clear" w:color="auto" w:fill="auto"/>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034" w:type="dxa"/>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480"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lang w:val="en-US" w:eastAsia="zh-CN"/>
              </w:rPr>
            </w:pPr>
          </w:p>
        </w:tc>
        <w:tc>
          <w:tcPr>
            <w:tcW w:w="2374" w:type="dxa"/>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continue"/>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p>
        </w:tc>
        <w:tc>
          <w:tcPr>
            <w:tcW w:w="2285" w:type="dxa"/>
            <w:gridSpan w:val="2"/>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eastAsia" w:ascii="Times New Roman" w:hAnsi="Times New Roman" w:eastAsia="宋体" w:cs="Times New Roman"/>
                <w:snapToGrid w:val="0"/>
                <w:sz w:val="20"/>
                <w:szCs w:val="20"/>
                <w:highlight w:val="none"/>
                <w:lang w:val="en-US" w:eastAsia="zh-CN"/>
              </w:rPr>
              <w:t>球磨机运行</w:t>
            </w:r>
          </w:p>
        </w:tc>
        <w:tc>
          <w:tcPr>
            <w:tcW w:w="5198" w:type="dxa"/>
            <w:gridSpan w:val="2"/>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0"/>
                <w:szCs w:val="20"/>
                <w:highlight w:val="none"/>
                <w:lang w:val="en-US" w:eastAsia="zh-CN"/>
              </w:rPr>
            </w:pPr>
            <w:r>
              <w:rPr>
                <w:rFonts w:hint="default" w:ascii="Times New Roman" w:hAnsi="Times New Roman" w:cs="Times New Roman"/>
                <w:snapToGrid w:val="0"/>
                <w:sz w:val="20"/>
                <w:szCs w:val="20"/>
                <w:highlight w:val="none"/>
              </w:rPr>
              <w:t>用耐腐蚀的容器储存，暂存在危废储存间内，定期委托有危废处理资质的单位进行处理</w:t>
            </w:r>
          </w:p>
        </w:tc>
        <w:tc>
          <w:tcPr>
            <w:tcW w:w="879"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0"/>
                <w:szCs w:val="20"/>
                <w:highlight w:val="none"/>
                <w:lang w:eastAsia="zh-CN"/>
              </w:rPr>
            </w:pPr>
            <w:r>
              <w:rPr>
                <w:rFonts w:hint="default" w:ascii="Times New Roman" w:hAnsi="Times New Roman" w:cs="Times New Roman"/>
                <w:snapToGrid w:val="0"/>
                <w:sz w:val="20"/>
                <w:szCs w:val="20"/>
                <w:highlight w:val="none"/>
              </w:rPr>
              <w:t>废矿物油</w:t>
            </w:r>
          </w:p>
        </w:tc>
        <w:tc>
          <w:tcPr>
            <w:tcW w:w="740" w:type="dxa"/>
            <w:shd w:val="clear" w:color="auto" w:fill="auto"/>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7" w:type="dxa"/>
            <w:shd w:val="clear" w:color="auto" w:fill="auto"/>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034" w:type="dxa"/>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c>
          <w:tcPr>
            <w:tcW w:w="1480"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2374" w:type="dxa"/>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52" w:type="dxa"/>
            <w:vMerge w:val="continue"/>
            <w:vAlign w:val="center"/>
          </w:tcPr>
          <w:p>
            <w:pPr>
              <w:autoSpaceDE w:val="0"/>
              <w:autoSpaceDN w:val="0"/>
              <w:adjustRightInd w:val="0"/>
              <w:snapToGrid w:val="0"/>
              <w:spacing w:line="240" w:lineRule="auto"/>
              <w:ind w:firstLine="360"/>
              <w:jc w:val="center"/>
              <w:rPr>
                <w:rFonts w:hint="default" w:ascii="Times New Roman" w:hAnsi="Times New Roman" w:cs="Times New Roman"/>
                <w:snapToGrid w:val="0"/>
                <w:sz w:val="20"/>
                <w:szCs w:val="20"/>
                <w:highlight w:val="none"/>
              </w:rPr>
            </w:pPr>
          </w:p>
        </w:tc>
        <w:tc>
          <w:tcPr>
            <w:tcW w:w="2285" w:type="dxa"/>
            <w:gridSpan w:val="2"/>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0"/>
                <w:szCs w:val="20"/>
                <w:highlight w:val="none"/>
                <w:lang w:val="en-US" w:eastAsia="zh-CN"/>
              </w:rPr>
            </w:pPr>
            <w:r>
              <w:rPr>
                <w:rFonts w:hint="default" w:ascii="Times New Roman" w:hAnsi="Times New Roman" w:cs="Times New Roman"/>
                <w:snapToGrid w:val="0"/>
                <w:sz w:val="20"/>
                <w:szCs w:val="20"/>
                <w:highlight w:val="none"/>
                <w:lang w:val="en-US" w:eastAsia="zh-CN"/>
              </w:rPr>
              <w:t>设备维护保养</w:t>
            </w:r>
          </w:p>
        </w:tc>
        <w:tc>
          <w:tcPr>
            <w:tcW w:w="5198" w:type="dxa"/>
            <w:gridSpan w:val="2"/>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宋体" w:cs="Times New Roman"/>
                <w:snapToGrid w:val="0"/>
                <w:sz w:val="20"/>
                <w:szCs w:val="20"/>
                <w:highlight w:val="none"/>
                <w:lang w:val="en-US" w:eastAsia="zh-CN"/>
              </w:rPr>
            </w:pPr>
            <w:r>
              <w:rPr>
                <w:rFonts w:hint="default" w:ascii="Times New Roman" w:hAnsi="Times New Roman" w:cs="Times New Roman"/>
                <w:snapToGrid w:val="0"/>
                <w:sz w:val="20"/>
                <w:szCs w:val="20"/>
                <w:highlight w:val="none"/>
              </w:rPr>
              <w:t>暂存在危废储存间内，委托有资质单位处置</w:t>
            </w:r>
          </w:p>
        </w:tc>
        <w:tc>
          <w:tcPr>
            <w:tcW w:w="879" w:type="dxa"/>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lang w:val="en-US" w:eastAsia="zh-CN"/>
              </w:rPr>
            </w:pPr>
            <w:r>
              <w:rPr>
                <w:rFonts w:hint="default" w:ascii="Times New Roman" w:hAnsi="Times New Roman" w:cs="Times New Roman"/>
                <w:snapToGrid w:val="0"/>
                <w:sz w:val="20"/>
                <w:szCs w:val="20"/>
                <w:highlight w:val="none"/>
              </w:rPr>
              <w:t>废油桶</w:t>
            </w:r>
          </w:p>
        </w:tc>
        <w:tc>
          <w:tcPr>
            <w:tcW w:w="740" w:type="dxa"/>
            <w:shd w:val="clear" w:color="auto" w:fill="auto"/>
            <w:vAlign w:val="center"/>
          </w:tcPr>
          <w:p>
            <w:pPr>
              <w:widowControl/>
              <w:adjustRightInd w:val="0"/>
              <w:snapToGrid w:val="0"/>
              <w:spacing w:line="240" w:lineRule="auto"/>
              <w:ind w:firstLine="0" w:firstLineChars="0"/>
              <w:jc w:val="center"/>
              <w:textAlignment w:val="auto"/>
              <w:rPr>
                <w:rFonts w:hint="default" w:ascii="Times New Roman" w:hAnsi="Times New Roman" w:eastAsia="Arial" w:cs="Times New Roman"/>
                <w:snapToGrid w:val="0"/>
                <w:color w:val="000000"/>
                <w:kern w:val="0"/>
                <w:sz w:val="20"/>
                <w:szCs w:val="20"/>
                <w:highlight w:val="none"/>
              </w:rPr>
            </w:pPr>
            <w:r>
              <w:rPr>
                <w:rFonts w:hint="default" w:ascii="Times New Roman" w:hAnsi="Times New Roman" w:cs="Times New Roman"/>
                <w:snapToGrid w:val="0"/>
                <w:sz w:val="20"/>
                <w:szCs w:val="20"/>
                <w:highlight w:val="none"/>
              </w:rPr>
              <w:t>/</w:t>
            </w:r>
          </w:p>
        </w:tc>
        <w:tc>
          <w:tcPr>
            <w:tcW w:w="1037" w:type="dxa"/>
            <w:shd w:val="clear" w:color="auto" w:fill="auto"/>
            <w:vAlign w:val="center"/>
          </w:tcPr>
          <w:p>
            <w:pPr>
              <w:widowControl/>
              <w:adjustRightInd w:val="0"/>
              <w:snapToGrid w:val="0"/>
              <w:spacing w:line="240" w:lineRule="auto"/>
              <w:ind w:firstLine="0" w:firstLineChars="0"/>
              <w:jc w:val="center"/>
              <w:textAlignment w:val="auto"/>
              <w:rPr>
                <w:rFonts w:hint="default" w:ascii="Times New Roman" w:hAnsi="Times New Roman" w:eastAsia="Arial" w:cs="Times New Roman"/>
                <w:snapToGrid w:val="0"/>
                <w:color w:val="000000"/>
                <w:kern w:val="0"/>
                <w:sz w:val="20"/>
                <w:szCs w:val="20"/>
                <w:highlight w:val="none"/>
              </w:rPr>
            </w:pPr>
            <w:r>
              <w:rPr>
                <w:rFonts w:hint="default" w:ascii="Times New Roman" w:hAnsi="Times New Roman" w:cs="Times New Roman"/>
                <w:snapToGrid w:val="0"/>
                <w:sz w:val="20"/>
                <w:szCs w:val="20"/>
                <w:highlight w:val="none"/>
              </w:rPr>
              <w:t>/</w:t>
            </w:r>
          </w:p>
        </w:tc>
        <w:tc>
          <w:tcPr>
            <w:tcW w:w="1034" w:type="dxa"/>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eastAsia="Arial" w:cs="Times New Roman"/>
                <w:snapToGrid w:val="0"/>
                <w:color w:val="000000"/>
                <w:kern w:val="0"/>
                <w:sz w:val="20"/>
                <w:szCs w:val="20"/>
                <w:highlight w:val="none"/>
              </w:rPr>
            </w:pPr>
            <w:r>
              <w:rPr>
                <w:rFonts w:hint="default" w:ascii="Times New Roman" w:hAnsi="Times New Roman" w:cs="Times New Roman"/>
                <w:snapToGrid w:val="0"/>
                <w:sz w:val="20"/>
                <w:szCs w:val="20"/>
                <w:highlight w:val="none"/>
              </w:rPr>
              <w:t>/</w:t>
            </w:r>
          </w:p>
        </w:tc>
        <w:tc>
          <w:tcPr>
            <w:tcW w:w="1480" w:type="dxa"/>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2374" w:type="dxa"/>
            <w:shd w:val="clear" w:color="auto" w:fill="auto"/>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737" w:type="dxa"/>
            <w:gridSpan w:val="3"/>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防渗</w:t>
            </w:r>
          </w:p>
        </w:tc>
        <w:tc>
          <w:tcPr>
            <w:tcW w:w="12742" w:type="dxa"/>
            <w:gridSpan w:val="8"/>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eastAsia" w:ascii="Times New Roman" w:hAnsi="Times New Roman" w:eastAsia="宋体" w:cs="Times New Roman"/>
                <w:snapToGrid w:val="0"/>
                <w:sz w:val="20"/>
                <w:szCs w:val="20"/>
                <w:highlight w:val="none"/>
                <w:lang w:val="en-US" w:eastAsia="zh-CN"/>
              </w:rPr>
              <w:t>新建生产车间</w:t>
            </w:r>
            <w:r>
              <w:rPr>
                <w:rFonts w:hint="default" w:ascii="Times New Roman" w:hAnsi="Times New Roman" w:cs="Times New Roman"/>
                <w:snapToGrid w:val="0"/>
                <w:sz w:val="20"/>
                <w:szCs w:val="20"/>
                <w:highlight w:val="none"/>
              </w:rPr>
              <w:t>地面采用防渗混凝土结构，厚度为20cm，渗透系数≤10</w:t>
            </w:r>
            <w:r>
              <w:rPr>
                <w:rFonts w:hint="default" w:ascii="Times New Roman" w:hAnsi="Times New Roman" w:cs="Times New Roman"/>
                <w:snapToGrid w:val="0"/>
                <w:sz w:val="20"/>
                <w:szCs w:val="20"/>
                <w:highlight w:val="none"/>
                <w:vertAlign w:val="superscript"/>
              </w:rPr>
              <w:t>-7</w:t>
            </w:r>
            <w:r>
              <w:rPr>
                <w:rFonts w:hint="default" w:ascii="Times New Roman" w:hAnsi="Times New Roman" w:cs="Times New Roman"/>
                <w:snapToGrid w:val="0"/>
                <w:sz w:val="20"/>
                <w:szCs w:val="20"/>
                <w:highlight w:val="none"/>
              </w:rPr>
              <w:t>cm/s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737" w:type="dxa"/>
            <w:gridSpan w:val="3"/>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绿化、硬化</w:t>
            </w:r>
          </w:p>
        </w:tc>
        <w:tc>
          <w:tcPr>
            <w:tcW w:w="12742" w:type="dxa"/>
            <w:gridSpan w:val="8"/>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厂区内地面进行硬化或绿化，无裸露地面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737" w:type="dxa"/>
            <w:gridSpan w:val="3"/>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厂区抑尘</w:t>
            </w:r>
          </w:p>
        </w:tc>
        <w:tc>
          <w:tcPr>
            <w:tcW w:w="12742" w:type="dxa"/>
            <w:gridSpan w:val="8"/>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配备洒水车、清扫车各一辆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737" w:type="dxa"/>
            <w:gridSpan w:val="3"/>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视频监控</w:t>
            </w:r>
          </w:p>
        </w:tc>
        <w:tc>
          <w:tcPr>
            <w:tcW w:w="12742" w:type="dxa"/>
            <w:gridSpan w:val="8"/>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eastAsia" w:ascii="Times New Roman" w:hAnsi="Times New Roman" w:eastAsia="宋体" w:cs="Times New Roman"/>
                <w:snapToGrid w:val="0"/>
                <w:sz w:val="20"/>
                <w:szCs w:val="20"/>
                <w:highlight w:val="none"/>
                <w:lang w:val="en-US" w:eastAsia="zh-CN"/>
              </w:rPr>
              <w:t>新建5#</w:t>
            </w:r>
            <w:r>
              <w:rPr>
                <w:rFonts w:hint="default" w:ascii="Times New Roman" w:hAnsi="Times New Roman" w:cs="Times New Roman"/>
                <w:snapToGrid w:val="0"/>
                <w:sz w:val="20"/>
                <w:szCs w:val="20"/>
                <w:highlight w:val="none"/>
              </w:rPr>
              <w:t>各生产车间内、布袋除尘器</w:t>
            </w:r>
            <w:r>
              <w:rPr>
                <w:rFonts w:hint="eastAsia" w:ascii="Times New Roman" w:hAnsi="Times New Roman" w:eastAsia="宋体" w:cs="Times New Roman"/>
                <w:snapToGrid w:val="0"/>
                <w:sz w:val="20"/>
                <w:szCs w:val="20"/>
                <w:highlight w:val="none"/>
                <w:lang w:val="en-US" w:eastAsia="zh-CN"/>
              </w:rPr>
              <w:t>等处</w:t>
            </w:r>
            <w:r>
              <w:rPr>
                <w:rFonts w:hint="default" w:ascii="Times New Roman" w:hAnsi="Times New Roman" w:cs="Times New Roman"/>
                <w:snapToGrid w:val="0"/>
                <w:sz w:val="20"/>
                <w:szCs w:val="20"/>
                <w:highlight w:val="none"/>
              </w:rPr>
              <w:t>设置视频监控，并与唐山市环境保护局遵化市分局联网。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737" w:type="dxa"/>
            <w:gridSpan w:val="3"/>
            <w:vAlign w:val="center"/>
          </w:tcPr>
          <w:p>
            <w:pPr>
              <w:widowControl/>
              <w:tabs>
                <w:tab w:val="center" w:pos="1365"/>
              </w:tabs>
              <w:adjustRightInd w:val="0"/>
              <w:snapToGrid w:val="0"/>
              <w:spacing w:line="240" w:lineRule="auto"/>
              <w:ind w:firstLine="0" w:firstLineChars="0"/>
              <w:jc w:val="center"/>
              <w:textAlignment w:val="auto"/>
              <w:rPr>
                <w:rFonts w:hint="eastAsia" w:ascii="Times New Roman" w:hAnsi="Times New Roman" w:eastAsia="宋体" w:cs="Times New Roman"/>
                <w:snapToGrid w:val="0"/>
                <w:sz w:val="20"/>
                <w:szCs w:val="20"/>
                <w:highlight w:val="none"/>
                <w:lang w:val="en-US" w:eastAsia="zh-CN"/>
              </w:rPr>
            </w:pPr>
            <w:r>
              <w:rPr>
                <w:rFonts w:hint="eastAsia" w:ascii="Times New Roman" w:hAnsi="Times New Roman" w:cs="Times New Roman"/>
                <w:snapToGrid w:val="0"/>
                <w:sz w:val="20"/>
                <w:szCs w:val="20"/>
                <w:highlight w:val="none"/>
              </w:rPr>
              <w:t>其他</w:t>
            </w:r>
          </w:p>
        </w:tc>
        <w:tc>
          <w:tcPr>
            <w:tcW w:w="12742" w:type="dxa"/>
            <w:gridSpan w:val="8"/>
            <w:vAlign w:val="center"/>
          </w:tcPr>
          <w:p>
            <w:pPr>
              <w:widowControl/>
              <w:adjustRightInd w:val="0"/>
              <w:snapToGrid w:val="0"/>
              <w:spacing w:line="240" w:lineRule="auto"/>
              <w:ind w:firstLine="0" w:firstLineChars="0"/>
              <w:jc w:val="left"/>
              <w:textAlignment w:val="auto"/>
              <w:rPr>
                <w:rFonts w:hint="default" w:ascii="Times New Roman" w:hAnsi="Times New Roman" w:cs="Times New Roman"/>
                <w:snapToGrid w:val="0"/>
                <w:sz w:val="20"/>
                <w:szCs w:val="20"/>
                <w:highlight w:val="none"/>
                <w:lang w:val="en-US" w:eastAsia="zh-CN"/>
              </w:rPr>
            </w:pPr>
            <w:r>
              <w:rPr>
                <w:rFonts w:hint="eastAsia" w:ascii="Times New Roman" w:hAnsi="Times New Roman" w:cs="Times New Roman"/>
                <w:snapToGrid w:val="0"/>
                <w:sz w:val="20"/>
                <w:szCs w:val="20"/>
                <w:highlight w:val="none"/>
                <w:lang w:val="en-US" w:eastAsia="zh-CN"/>
              </w:rPr>
              <w:t>通过本项目环评文件编制期间现场踏勘排查出</w:t>
            </w:r>
            <w:r>
              <w:rPr>
                <w:rFonts w:hint="eastAsia" w:ascii="Times New Roman" w:hAnsi="Times New Roman" w:cs="Times New Roman"/>
                <w:snapToGrid w:val="0"/>
                <w:sz w:val="20"/>
                <w:szCs w:val="20"/>
                <w:highlight w:val="none"/>
              </w:rPr>
              <w:t>公司</w:t>
            </w:r>
            <w:r>
              <w:rPr>
                <w:rFonts w:hint="eastAsia" w:ascii="Times New Roman" w:hAnsi="Times New Roman" w:cs="Times New Roman"/>
                <w:snapToGrid w:val="0"/>
                <w:sz w:val="20"/>
                <w:szCs w:val="20"/>
                <w:highlight w:val="none"/>
                <w:lang w:val="en-US" w:eastAsia="zh-CN"/>
              </w:rPr>
              <w:t>厂区存在的现有环境问题，并提出了相应的整改措施，建设单位应积极针对现有环境问题进行整改，并在本项目环评文件批复之日起一个月内完成现有环境问题的整改。</w:t>
            </w:r>
          </w:p>
          <w:p>
            <w:pPr>
              <w:widowControl/>
              <w:adjustRightInd w:val="0"/>
              <w:snapToGrid w:val="0"/>
              <w:spacing w:line="240" w:lineRule="auto"/>
              <w:ind w:firstLine="0" w:firstLineChars="0"/>
              <w:jc w:val="left"/>
              <w:textAlignment w:val="auto"/>
              <w:rPr>
                <w:rFonts w:hint="default" w:ascii="Times New Roman" w:hAnsi="Times New Roman" w:cs="Times New Roman"/>
                <w:snapToGrid w:val="0"/>
                <w:sz w:val="20"/>
                <w:szCs w:val="20"/>
                <w:highlight w:val="none"/>
              </w:rPr>
            </w:pPr>
            <w:r>
              <w:rPr>
                <w:rFonts w:hint="eastAsia" w:ascii="Times New Roman" w:hAnsi="Times New Roman" w:cs="Times New Roman"/>
                <w:snapToGrid w:val="0"/>
                <w:sz w:val="20"/>
                <w:szCs w:val="20"/>
                <w:highlight w:val="none"/>
              </w:rPr>
              <w:t>①厂区运输道路：按照《遵化市铁选矿综合治理工作实施方案》对厂区运矿道路进行硬化、绿化处置，生产期间，道路路面不间断清扫保洁、洒水抑尘，保持路面整洁、湿润不起尘，有效防止运输环节扬尘污染。</w:t>
            </w:r>
          </w:p>
          <w:p>
            <w:pPr>
              <w:widowControl/>
              <w:adjustRightInd w:val="0"/>
              <w:snapToGrid w:val="0"/>
              <w:spacing w:line="240" w:lineRule="auto"/>
              <w:ind w:firstLine="0" w:firstLineChars="0"/>
              <w:jc w:val="left"/>
              <w:textAlignment w:val="auto"/>
              <w:rPr>
                <w:rFonts w:hint="default" w:ascii="Times New Roman" w:hAnsi="Times New Roman" w:cs="Times New Roman"/>
                <w:snapToGrid w:val="0"/>
                <w:sz w:val="20"/>
                <w:szCs w:val="20"/>
                <w:highlight w:val="none"/>
              </w:rPr>
            </w:pPr>
            <w:r>
              <w:rPr>
                <w:rFonts w:hint="eastAsia" w:ascii="Times New Roman" w:hAnsi="Times New Roman" w:cs="Times New Roman"/>
                <w:snapToGrid w:val="0"/>
                <w:sz w:val="20"/>
                <w:szCs w:val="20"/>
                <w:highlight w:val="none"/>
              </w:rPr>
              <w:t>②地下水监测计划执行情况：按照《地下水环境监测技术规范》HJ164-2020的要求设置厂区跟踪监测井，并按环评文件要求的检测频率、检测项目定期开展地下水环境跟踪监测。</w:t>
            </w:r>
          </w:p>
          <w:p>
            <w:pPr>
              <w:widowControl/>
              <w:adjustRightInd w:val="0"/>
              <w:snapToGrid w:val="0"/>
              <w:spacing w:line="240" w:lineRule="auto"/>
              <w:ind w:firstLine="0" w:firstLineChars="0"/>
              <w:jc w:val="left"/>
              <w:textAlignment w:val="auto"/>
              <w:rPr>
                <w:rFonts w:hint="default" w:ascii="Times New Roman" w:hAnsi="Times New Roman" w:cs="Times New Roman"/>
                <w:snapToGrid w:val="0"/>
                <w:sz w:val="20"/>
                <w:szCs w:val="20"/>
                <w:highlight w:val="none"/>
              </w:rPr>
            </w:pPr>
            <w:r>
              <w:rPr>
                <w:rFonts w:hint="eastAsia" w:ascii="Times New Roman" w:hAnsi="Times New Roman" w:cs="Times New Roman"/>
                <w:snapToGrid w:val="0"/>
                <w:sz w:val="20"/>
                <w:szCs w:val="20"/>
                <w:highlight w:val="none"/>
              </w:rPr>
              <w:t>③尾矿存贮、处置等管理情况：按照《尾矿污染环境防治管理办法》(部令第26号)提出的污染防治要求规范尾矿的存储、处置措施，委托第三方单位处置尾矿时，应对受托方的主体资格和技术能力进行核实，依法签订书面合同，在合同中约定污染防治要求；产生尾矿的单位应当在尾矿环境管理台账中如实记录生产运营中产生尾矿的种类、数量、流向、贮存、综合利用等信息，尾矿环境管理台账保存期限不得少于五年。</w:t>
            </w:r>
          </w:p>
          <w:p>
            <w:pPr>
              <w:widowControl/>
              <w:adjustRightInd w:val="0"/>
              <w:snapToGrid w:val="0"/>
              <w:spacing w:line="240" w:lineRule="auto"/>
              <w:ind w:firstLine="0" w:firstLineChars="0"/>
              <w:jc w:val="left"/>
              <w:textAlignment w:val="auto"/>
              <w:rPr>
                <w:rFonts w:hint="default" w:ascii="Times New Roman" w:hAnsi="Times New Roman" w:cs="Times New Roman"/>
                <w:snapToGrid w:val="0"/>
                <w:sz w:val="20"/>
                <w:szCs w:val="20"/>
                <w:highlight w:val="none"/>
              </w:rPr>
            </w:pPr>
            <w:r>
              <w:rPr>
                <w:rFonts w:hint="eastAsia" w:ascii="Times New Roman" w:hAnsi="Times New Roman" w:cs="Times New Roman"/>
                <w:snapToGrid w:val="0"/>
                <w:sz w:val="20"/>
                <w:szCs w:val="20"/>
                <w:highlight w:val="none"/>
              </w:rPr>
              <w:t>④危废暂存间应按照《</w:t>
            </w:r>
            <w:r>
              <w:rPr>
                <w:rFonts w:hint="default" w:ascii="Times New Roman" w:hAnsi="Times New Roman" w:cs="Times New Roman"/>
                <w:snapToGrid w:val="0"/>
                <w:sz w:val="20"/>
                <w:szCs w:val="20"/>
                <w:highlight w:val="none"/>
              </w:rPr>
              <w:t>危险废物识别标志设置技术规范</w:t>
            </w:r>
            <w:r>
              <w:rPr>
                <w:rFonts w:hint="eastAsia" w:ascii="Times New Roman" w:hAnsi="Times New Roman" w:cs="Times New Roman"/>
                <w:snapToGrid w:val="0"/>
                <w:sz w:val="20"/>
                <w:szCs w:val="20"/>
                <w:highlight w:val="none"/>
              </w:rPr>
              <w:t>》（</w:t>
            </w:r>
            <w:r>
              <w:rPr>
                <w:rFonts w:hint="default" w:ascii="Times New Roman" w:hAnsi="Times New Roman" w:cs="Times New Roman"/>
                <w:snapToGrid w:val="0"/>
                <w:sz w:val="20"/>
                <w:szCs w:val="20"/>
                <w:highlight w:val="none"/>
              </w:rPr>
              <w:t>HJ 1276—2022</w:t>
            </w:r>
            <w:r>
              <w:rPr>
                <w:rFonts w:hint="eastAsia" w:ascii="Times New Roman" w:hAnsi="Times New Roman" w:cs="Times New Roman"/>
                <w:snapToGrid w:val="0"/>
                <w:sz w:val="20"/>
                <w:szCs w:val="20"/>
                <w:highlight w:val="none"/>
              </w:rPr>
              <w:t>）相关要求规范标识设置。</w:t>
            </w:r>
          </w:p>
          <w:p>
            <w:pPr>
              <w:widowControl/>
              <w:adjustRightInd w:val="0"/>
              <w:snapToGrid w:val="0"/>
              <w:spacing w:line="240" w:lineRule="auto"/>
              <w:ind w:firstLine="0" w:firstLineChars="0"/>
              <w:jc w:val="left"/>
              <w:textAlignment w:val="auto"/>
              <w:rPr>
                <w:rFonts w:hint="default" w:ascii="Times New Roman" w:hAnsi="Times New Roman" w:cs="Times New Roman"/>
                <w:snapToGrid w:val="0"/>
                <w:sz w:val="20"/>
                <w:szCs w:val="20"/>
                <w:highlight w:val="none"/>
                <w:lang w:val="en-US" w:eastAsia="zh-CN"/>
              </w:rPr>
            </w:pPr>
            <w:r>
              <w:rPr>
                <w:rFonts w:hint="eastAsia" w:ascii="Times New Roman" w:hAnsi="Times New Roman" w:cs="Times New Roman"/>
                <w:snapToGrid w:val="0"/>
                <w:sz w:val="20"/>
                <w:szCs w:val="20"/>
                <w:highlight w:val="none"/>
              </w:rPr>
              <w:t>⑤按照环评文件要求合理设置事故水池，针对厂区存在环境风险物质编制突发环境事件应急预案，并进行备案。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737" w:type="dxa"/>
            <w:gridSpan w:val="3"/>
            <w:vMerge w:val="restart"/>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环境管理内容</w:t>
            </w:r>
          </w:p>
        </w:tc>
        <w:tc>
          <w:tcPr>
            <w:tcW w:w="12742" w:type="dxa"/>
            <w:gridSpan w:val="8"/>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公司设有专职环保管理人员，熟悉环保业务，具备相关管理经验。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737" w:type="dxa"/>
            <w:gridSpan w:val="3"/>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2742" w:type="dxa"/>
            <w:gridSpan w:val="8"/>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制定企业环境管理制度，明确了岗位环保职责和日常环保行为规范、建立和落实环保岗位考核制度。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737" w:type="dxa"/>
            <w:gridSpan w:val="3"/>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2742" w:type="dxa"/>
            <w:gridSpan w:val="8"/>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制定《环保管理制度》、《环保岗位考核制度》、《环保设备管理制度》、《污染防治设施运行管理制度》，建立环保设施运行台账，各项设备设施稳定、正常运行。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737" w:type="dxa"/>
            <w:gridSpan w:val="3"/>
            <w:vMerge w:val="continue"/>
            <w:vAlign w:val="center"/>
          </w:tcPr>
          <w:p>
            <w:pPr>
              <w:widowControl/>
              <w:autoSpaceDE w:val="0"/>
              <w:autoSpaceDN w:val="0"/>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p>
        </w:tc>
        <w:tc>
          <w:tcPr>
            <w:tcW w:w="12742" w:type="dxa"/>
            <w:gridSpan w:val="8"/>
            <w:vAlign w:val="center"/>
          </w:tcPr>
          <w:p>
            <w:pPr>
              <w:widowControl/>
              <w:adjustRightInd w:val="0"/>
              <w:snapToGrid w:val="0"/>
              <w:spacing w:line="240" w:lineRule="auto"/>
              <w:ind w:firstLine="0" w:firstLineChars="0"/>
              <w:jc w:val="center"/>
              <w:textAlignment w:val="auto"/>
              <w:rPr>
                <w:rFonts w:hint="default" w:ascii="Times New Roman" w:hAnsi="Times New Roman" w:cs="Times New Roman"/>
                <w:snapToGrid w:val="0"/>
                <w:sz w:val="20"/>
                <w:szCs w:val="20"/>
                <w:highlight w:val="none"/>
              </w:rPr>
            </w:pPr>
            <w:r>
              <w:rPr>
                <w:rFonts w:hint="default" w:ascii="Times New Roman" w:hAnsi="Times New Roman" w:cs="Times New Roman"/>
                <w:snapToGrid w:val="0"/>
                <w:sz w:val="20"/>
                <w:szCs w:val="20"/>
                <w:highlight w:val="none"/>
              </w:rPr>
              <w:t>落实环境污染报告制度、环境巡查制度、环保事故管理制度。</w:t>
            </w:r>
          </w:p>
        </w:tc>
      </w:tr>
      <w:bookmarkEnd w:id="805"/>
    </w:tbl>
    <w:p>
      <w:pPr>
        <w:rPr>
          <w:rFonts w:hint="default" w:ascii="Times New Roman" w:hAnsi="Times New Roman" w:cs="Times New Roman"/>
          <w:sz w:val="21"/>
          <w:highlight w:val="none"/>
        </w:rPr>
      </w:pPr>
    </w:p>
    <w:p>
      <w:pPr>
        <w:rPr>
          <w:rFonts w:hint="default" w:ascii="Times New Roman" w:hAnsi="Times New Roman" w:cs="Times New Roman"/>
          <w:highlight w:val="none"/>
        </w:rPr>
        <w:sectPr>
          <w:headerReference r:id="rId133" w:type="default"/>
          <w:footerReference r:id="rId134" w:type="default"/>
          <w:pgSz w:w="16839" w:h="11906"/>
          <w:pgMar w:top="400" w:right="677" w:bottom="885" w:left="677" w:header="0" w:footer="590" w:gutter="0"/>
          <w:pgBorders>
            <w:top w:val="none" w:sz="0" w:space="0"/>
            <w:left w:val="none" w:sz="0" w:space="0"/>
            <w:bottom w:val="none" w:sz="0" w:space="0"/>
            <w:right w:val="none" w:sz="0" w:space="0"/>
          </w:pgBorders>
          <w:pgNumType w:fmt="decimal"/>
          <w:cols w:space="720" w:num="1"/>
        </w:sectPr>
      </w:pPr>
    </w:p>
    <w:p>
      <w:pPr>
        <w:spacing w:line="439" w:lineRule="auto"/>
        <w:rPr>
          <w:rFonts w:hint="default" w:ascii="Times New Roman" w:hAnsi="Times New Roman" w:cs="Times New Roman"/>
          <w:sz w:val="21"/>
          <w:highlight w:val="none"/>
        </w:rPr>
      </w:pPr>
      <w:r>
        <w:rPr>
          <w:rFonts w:hint="default" w:ascii="Times New Roman" w:hAnsi="Times New Roman" w:cs="Times New Roman"/>
          <w:highlight w:val="none"/>
        </w:rPr>
        <w:pict>
          <v:shape id="_x0000_s1406" o:spid="_x0000_s1406" style="position:absolute;left:0pt;margin-left:89.85pt;margin-top:59.05pt;height:0.75pt;width:415.65pt;mso-position-horizontal-relative:page;mso-position-vertical-relative:page;z-index:251841536;mso-width-relative:page;mso-height-relative:page;" fillcolor="#000000" filled="t" stroked="f" coordsize="8312,15" o:allowincell="f" path="m0,0l8312,0,8312,14,0,14,0,0xe">
            <v:path/>
            <v:fill on="t" focussize="0,0"/>
            <v:stroke on="f"/>
            <v:imagedata o:title=""/>
            <o:lock v:ext="edit"/>
          </v:shape>
        </w:pict>
      </w:r>
    </w:p>
    <w:p>
      <w:pPr>
        <w:spacing w:before="95" w:line="228" w:lineRule="auto"/>
        <w:ind w:left="21"/>
        <w:outlineLvl w:val="0"/>
        <w:rPr>
          <w:rFonts w:hint="default" w:ascii="Times New Roman" w:hAnsi="Times New Roman" w:eastAsia="黑体" w:cs="Times New Roman"/>
          <w:sz w:val="29"/>
          <w:szCs w:val="29"/>
          <w:highlight w:val="none"/>
        </w:rPr>
      </w:pPr>
      <w:bookmarkStart w:id="806" w:name="_Toc28040"/>
      <w:bookmarkStart w:id="807" w:name="_Toc28014"/>
      <w:bookmarkStart w:id="808" w:name="_Toc5632"/>
      <w:r>
        <w:rPr>
          <w:rFonts w:hint="default" w:ascii="Times New Roman" w:hAnsi="Times New Roman" w:eastAsia="Times New Roman" w:cs="Times New Roman"/>
          <w:b/>
          <w:bCs/>
          <w:spacing w:val="8"/>
          <w:sz w:val="29"/>
          <w:szCs w:val="29"/>
          <w:highlight w:val="none"/>
        </w:rPr>
        <w:t>9</w:t>
      </w:r>
      <w:r>
        <w:rPr>
          <w:rFonts w:hint="default" w:ascii="Times New Roman" w:hAnsi="Times New Roman" w:eastAsia="Times New Roman" w:cs="Times New Roman"/>
          <w:spacing w:val="8"/>
          <w:sz w:val="29"/>
          <w:szCs w:val="29"/>
          <w:highlight w:val="none"/>
        </w:rPr>
        <w:t xml:space="preserve">  </w:t>
      </w:r>
      <w:r>
        <w:rPr>
          <w:rFonts w:hint="default" w:ascii="Times New Roman" w:hAnsi="Times New Roman" w:eastAsia="黑体" w:cs="Times New Roman"/>
          <w:spacing w:val="8"/>
          <w:sz w:val="29"/>
          <w:szCs w:val="29"/>
          <w:highlight w:val="none"/>
          <w14:textOutline w14:w="5448" w14:cap="sq" w14:cmpd="sng">
            <w14:solidFill>
              <w14:srgbClr w14:val="000000"/>
            </w14:solidFill>
            <w14:prstDash w14:val="solid"/>
            <w14:bevel/>
          </w14:textOutline>
        </w:rPr>
        <w:t>环境影响评价结</w:t>
      </w:r>
      <w:r>
        <w:rPr>
          <w:rFonts w:hint="default" w:ascii="Times New Roman" w:hAnsi="Times New Roman" w:eastAsia="黑体" w:cs="Times New Roman"/>
          <w:spacing w:val="7"/>
          <w:sz w:val="29"/>
          <w:szCs w:val="29"/>
          <w:highlight w:val="none"/>
          <w14:textOutline w14:w="5448" w14:cap="sq" w14:cmpd="sng">
            <w14:solidFill>
              <w14:srgbClr w14:val="000000"/>
            </w14:solidFill>
            <w14:prstDash w14:val="solid"/>
            <w14:bevel/>
          </w14:textOutline>
        </w:rPr>
        <w:t>论</w:t>
      </w:r>
      <w:bookmarkEnd w:id="806"/>
      <w:bookmarkEnd w:id="807"/>
      <w:bookmarkEnd w:id="808"/>
    </w:p>
    <w:p>
      <w:pPr>
        <w:spacing w:before="277" w:line="222" w:lineRule="auto"/>
        <w:ind w:left="20"/>
        <w:outlineLvl w:val="1"/>
        <w:rPr>
          <w:rFonts w:hint="default" w:ascii="Times New Roman" w:hAnsi="Times New Roman" w:eastAsia="宋体" w:cs="Times New Roman"/>
          <w:sz w:val="28"/>
          <w:szCs w:val="28"/>
          <w:highlight w:val="none"/>
        </w:rPr>
      </w:pPr>
      <w:bookmarkStart w:id="809" w:name="_Toc433"/>
      <w:bookmarkStart w:id="810" w:name="_Toc12491"/>
      <w:bookmarkStart w:id="811" w:name="_Toc30703"/>
      <w:r>
        <w:rPr>
          <w:rFonts w:hint="default" w:ascii="Times New Roman" w:hAnsi="Times New Roman" w:eastAsia="Times New Roman" w:cs="Times New Roman"/>
          <w:b/>
          <w:bCs/>
          <w:spacing w:val="-2"/>
          <w:sz w:val="28"/>
          <w:szCs w:val="28"/>
          <w:highlight w:val="none"/>
        </w:rPr>
        <w:t>9</w:t>
      </w:r>
      <w:r>
        <w:rPr>
          <w:rFonts w:hint="default" w:ascii="Times New Roman" w:hAnsi="Times New Roman" w:eastAsia="Times New Roman" w:cs="Times New Roman"/>
          <w:b/>
          <w:bCs/>
          <w:spacing w:val="-1"/>
          <w:sz w:val="28"/>
          <w:szCs w:val="28"/>
          <w:highlight w:val="none"/>
        </w:rPr>
        <w:t>.1</w:t>
      </w:r>
      <w:r>
        <w:rPr>
          <w:rFonts w:hint="default" w:ascii="Times New Roman" w:hAnsi="Times New Roman" w:eastAsia="Times New Roman" w:cs="Times New Roman"/>
          <w:spacing w:val="-1"/>
          <w:sz w:val="28"/>
          <w:szCs w:val="28"/>
          <w:highlight w:val="none"/>
        </w:rPr>
        <w:t xml:space="preserve">  </w:t>
      </w:r>
      <w:r>
        <w:rPr>
          <w:rFonts w:hint="default" w:ascii="Times New Roman" w:hAnsi="Times New Roman" w:eastAsia="宋体" w:cs="Times New Roman"/>
          <w:spacing w:val="-1"/>
          <w:sz w:val="28"/>
          <w:szCs w:val="28"/>
          <w:highlight w:val="none"/>
          <w14:textOutline w14:w="5103" w14:cap="sq" w14:cmpd="sng">
            <w14:solidFill>
              <w14:srgbClr w14:val="000000"/>
            </w14:solidFill>
            <w14:prstDash w14:val="solid"/>
            <w14:bevel/>
          </w14:textOutline>
        </w:rPr>
        <w:t>结论</w:t>
      </w:r>
      <w:bookmarkEnd w:id="809"/>
      <w:bookmarkEnd w:id="810"/>
      <w:bookmarkEnd w:id="811"/>
    </w:p>
    <w:p>
      <w:pPr>
        <w:spacing w:before="75" w:line="227" w:lineRule="auto"/>
        <w:ind w:left="19"/>
        <w:outlineLvl w:val="2"/>
        <w:rPr>
          <w:rFonts w:hint="default" w:ascii="Times New Roman" w:hAnsi="Times New Roman" w:eastAsia="宋体" w:cs="Times New Roman"/>
          <w:sz w:val="23"/>
          <w:szCs w:val="23"/>
          <w:highlight w:val="none"/>
        </w:rPr>
      </w:pPr>
      <w:bookmarkStart w:id="812" w:name="_Toc2887"/>
      <w:bookmarkStart w:id="813" w:name="_Toc28822"/>
      <w:bookmarkStart w:id="814" w:name="_Toc3758"/>
      <w:r>
        <w:rPr>
          <w:rFonts w:hint="default" w:ascii="Times New Roman" w:hAnsi="Times New Roman" w:eastAsia="Times New Roman" w:cs="Times New Roman"/>
          <w:b/>
          <w:bCs/>
          <w:spacing w:val="10"/>
          <w:sz w:val="23"/>
          <w:szCs w:val="23"/>
          <w:highlight w:val="none"/>
        </w:rPr>
        <w:t>9</w:t>
      </w:r>
      <w:r>
        <w:rPr>
          <w:rFonts w:hint="default" w:ascii="Times New Roman" w:hAnsi="Times New Roman" w:eastAsia="Times New Roman" w:cs="Times New Roman"/>
          <w:b/>
          <w:bCs/>
          <w:spacing w:val="6"/>
          <w:sz w:val="23"/>
          <w:szCs w:val="23"/>
          <w:highlight w:val="none"/>
        </w:rPr>
        <w:t>.1.1</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项目基本情况</w:t>
      </w:r>
      <w:bookmarkEnd w:id="812"/>
      <w:bookmarkEnd w:id="813"/>
      <w:bookmarkEnd w:id="814"/>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（1）项目名称：</w:t>
      </w:r>
      <w:r>
        <w:rPr>
          <w:rFonts w:hint="default" w:ascii="Times New Roman" w:hAnsi="Times New Roman" w:eastAsia="宋体" w:cs="Times New Roman"/>
          <w:spacing w:val="9"/>
          <w:sz w:val="23"/>
          <w:szCs w:val="23"/>
          <w:highlight w:val="none"/>
        </w:rPr>
        <w:t>遵化市势竹矿业有限公司</w:t>
      </w:r>
      <w:r>
        <w:rPr>
          <w:rFonts w:hint="default" w:ascii="Times New Roman" w:hAnsi="Times New Roman" w:eastAsia="宋体" w:cs="Times New Roman"/>
          <w:spacing w:val="4"/>
          <w:sz w:val="23"/>
          <w:szCs w:val="23"/>
          <w:highlight w:val="none"/>
        </w:rPr>
        <w:t>年处理</w:t>
      </w:r>
      <w:r>
        <w:rPr>
          <w:rFonts w:hint="eastAsia" w:ascii="Times New Roman" w:hAnsi="Times New Roman" w:eastAsia="宋体" w:cs="Times New Roman"/>
          <w:spacing w:val="4"/>
          <w:sz w:val="23"/>
          <w:szCs w:val="23"/>
          <w:highlight w:val="none"/>
          <w:lang w:val="en-US" w:eastAsia="zh-CN"/>
        </w:rPr>
        <w:t>110</w:t>
      </w:r>
      <w:r>
        <w:rPr>
          <w:rFonts w:hint="default" w:ascii="Times New Roman" w:hAnsi="Times New Roman" w:eastAsia="宋体" w:cs="Times New Roman"/>
          <w:spacing w:val="4"/>
          <w:sz w:val="23"/>
          <w:szCs w:val="23"/>
          <w:highlight w:val="none"/>
        </w:rPr>
        <w:t>万吨铁矿石</w:t>
      </w:r>
      <w:r>
        <w:rPr>
          <w:rFonts w:hint="eastAsia" w:ascii="Times New Roman" w:hAnsi="Times New Roman" w:eastAsia="宋体" w:cs="Times New Roman"/>
          <w:spacing w:val="4"/>
          <w:sz w:val="23"/>
          <w:szCs w:val="23"/>
          <w:highlight w:val="none"/>
          <w:lang w:val="en-US" w:eastAsia="zh-CN"/>
        </w:rPr>
        <w:t>破碎</w:t>
      </w:r>
      <w:r>
        <w:rPr>
          <w:rFonts w:hint="default" w:ascii="Times New Roman" w:hAnsi="Times New Roman" w:eastAsia="宋体" w:cs="Times New Roman"/>
          <w:spacing w:val="4"/>
          <w:sz w:val="23"/>
          <w:szCs w:val="23"/>
          <w:highlight w:val="none"/>
        </w:rPr>
        <w:t>改扩建项目</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（2）建设性质：</w:t>
      </w:r>
      <w:r>
        <w:rPr>
          <w:rFonts w:hint="eastAsia" w:ascii="Times New Roman" w:hAnsi="Times New Roman" w:eastAsia="宋体" w:cs="Times New Roman"/>
          <w:spacing w:val="4"/>
          <w:sz w:val="23"/>
          <w:szCs w:val="23"/>
          <w:highlight w:val="none"/>
          <w:lang w:val="en-US" w:eastAsia="zh-CN"/>
        </w:rPr>
        <w:t>改扩</w:t>
      </w:r>
      <w:r>
        <w:rPr>
          <w:rFonts w:hint="default" w:ascii="Times New Roman" w:hAnsi="Times New Roman" w:eastAsia="宋体" w:cs="Times New Roman"/>
          <w:spacing w:val="4"/>
          <w:sz w:val="23"/>
          <w:szCs w:val="23"/>
          <w:highlight w:val="none"/>
          <w:lang w:val="en-US" w:eastAsia="zh-CN"/>
        </w:rPr>
        <w:t>建</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（3）建设单位：</w:t>
      </w:r>
      <w:r>
        <w:rPr>
          <w:rFonts w:hint="default" w:ascii="Times New Roman" w:hAnsi="Times New Roman" w:eastAsia="宋体" w:cs="Times New Roman"/>
          <w:spacing w:val="9"/>
          <w:sz w:val="23"/>
          <w:szCs w:val="23"/>
          <w:highlight w:val="none"/>
        </w:rPr>
        <w:t>遵化市势竹矿业有限公司</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（4）建设地点：</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4"/>
          <w:sz w:val="23"/>
          <w:szCs w:val="23"/>
          <w:highlight w:val="none"/>
          <w:lang w:val="en-US" w:eastAsia="zh-CN"/>
        </w:rPr>
        <w:t>现有厂区内，不新增占地</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（5）周边关系：</w:t>
      </w:r>
      <w:r>
        <w:rPr>
          <w:rFonts w:hint="default" w:ascii="Times New Roman" w:hAnsi="Times New Roman" w:eastAsia="宋体" w:cs="Times New Roman"/>
          <w:spacing w:val="9"/>
          <w:sz w:val="23"/>
          <w:szCs w:val="23"/>
          <w:highlight w:val="none"/>
        </w:rPr>
        <w:t>遵化市势竹矿业有限公司</w:t>
      </w:r>
      <w:r>
        <w:rPr>
          <w:rFonts w:ascii="宋体" w:hAnsi="宋体" w:eastAsia="宋体" w:cs="宋体"/>
          <w:spacing w:val="7"/>
          <w:sz w:val="23"/>
          <w:szCs w:val="23"/>
          <w:highlight w:val="none"/>
        </w:rPr>
        <w:t>东侧为道路，隔道路为空地；南侧为空地；西侧为空地，并</w:t>
      </w:r>
      <w:r>
        <w:rPr>
          <w:rFonts w:ascii="宋体" w:hAnsi="宋体" w:eastAsia="宋体" w:cs="宋体"/>
          <w:spacing w:val="6"/>
          <w:sz w:val="23"/>
          <w:szCs w:val="23"/>
          <w:highlight w:val="none"/>
        </w:rPr>
        <w:t>设</w:t>
      </w:r>
      <w:r>
        <w:rPr>
          <w:rFonts w:ascii="宋体" w:hAnsi="宋体" w:eastAsia="宋体" w:cs="宋体"/>
          <w:spacing w:val="12"/>
          <w:sz w:val="23"/>
          <w:szCs w:val="23"/>
          <w:highlight w:val="none"/>
        </w:rPr>
        <w:t>有一条</w:t>
      </w:r>
      <w:r>
        <w:rPr>
          <w:rFonts w:ascii="宋体" w:hAnsi="宋体" w:eastAsia="宋体" w:cs="宋体"/>
          <w:spacing w:val="10"/>
          <w:sz w:val="23"/>
          <w:szCs w:val="23"/>
          <w:highlight w:val="none"/>
        </w:rPr>
        <w:t>通</w:t>
      </w:r>
      <w:r>
        <w:rPr>
          <w:rFonts w:ascii="宋体" w:hAnsi="宋体" w:eastAsia="宋体" w:cs="宋体"/>
          <w:spacing w:val="6"/>
          <w:sz w:val="23"/>
          <w:szCs w:val="23"/>
          <w:highlight w:val="none"/>
        </w:rPr>
        <w:t xml:space="preserve">往主干路的道路；北侧为空地，隔空地 </w:t>
      </w:r>
      <w:r>
        <w:rPr>
          <w:rFonts w:ascii="Times New Roman" w:hAnsi="Times New Roman" w:eastAsia="Times New Roman" w:cs="Times New Roman"/>
          <w:spacing w:val="6"/>
          <w:sz w:val="23"/>
          <w:szCs w:val="23"/>
          <w:highlight w:val="none"/>
        </w:rPr>
        <w:t>116</w:t>
      </w:r>
      <w:r>
        <w:rPr>
          <w:rFonts w:ascii="Times New Roman" w:hAnsi="Times New Roman" w:eastAsia="Times New Roman" w:cs="Times New Roman"/>
          <w:sz w:val="23"/>
          <w:szCs w:val="23"/>
          <w:highlight w:val="none"/>
        </w:rPr>
        <w:t>m</w:t>
      </w:r>
      <w:r>
        <w:rPr>
          <w:rFonts w:ascii="Times New Roman" w:hAnsi="Times New Roman" w:eastAsia="Times New Roman" w:cs="Times New Roman"/>
          <w:spacing w:val="6"/>
          <w:sz w:val="23"/>
          <w:szCs w:val="23"/>
          <w:highlight w:val="none"/>
        </w:rPr>
        <w:t xml:space="preserve"> </w:t>
      </w:r>
      <w:r>
        <w:rPr>
          <w:rFonts w:ascii="宋体" w:hAnsi="宋体" w:eastAsia="宋体" w:cs="宋体"/>
          <w:spacing w:val="6"/>
          <w:sz w:val="23"/>
          <w:szCs w:val="23"/>
          <w:highlight w:val="none"/>
        </w:rPr>
        <w:t>为张家坟村。</w:t>
      </w:r>
    </w:p>
    <w:p>
      <w:pPr>
        <w:keepNext w:val="0"/>
        <w:keepLines w:val="0"/>
        <w:pageBreakBefore w:val="0"/>
        <w:widowControl/>
        <w:kinsoku w:val="0"/>
        <w:wordWrap/>
        <w:overflowPunct/>
        <w:topLinePunct w:val="0"/>
        <w:autoSpaceDE w:val="0"/>
        <w:autoSpaceDN w:val="0"/>
        <w:bidi w:val="0"/>
        <w:adjustRightInd w:val="0"/>
        <w:snapToGrid w:val="0"/>
        <w:spacing w:before="75" w:line="460" w:lineRule="exact"/>
        <w:ind w:left="23" w:firstLine="482"/>
        <w:textAlignment w:val="baseline"/>
        <w:rPr>
          <w:rFonts w:hint="default" w:ascii="Times New Roman" w:hAnsi="Times New Roman" w:eastAsia="宋体" w:cs="Times New Roman"/>
          <w:spacing w:val="4"/>
          <w:sz w:val="23"/>
          <w:szCs w:val="23"/>
          <w:highlight w:val="none"/>
        </w:rPr>
      </w:pP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6</w:t>
      </w:r>
      <w:r>
        <w:rPr>
          <w:rFonts w:hint="default" w:ascii="Times New Roman" w:hAnsi="Times New Roman" w:eastAsia="宋体" w:cs="Times New Roman"/>
          <w:spacing w:val="4"/>
          <w:sz w:val="23"/>
          <w:szCs w:val="23"/>
          <w:highlight w:val="none"/>
          <w:lang w:val="en-US" w:eastAsia="zh-CN"/>
        </w:rPr>
        <w:t>）建设内容及规模：</w:t>
      </w:r>
      <w:r>
        <w:rPr>
          <w:rFonts w:hint="default" w:ascii="Times New Roman" w:hAnsi="Times New Roman" w:eastAsia="宋体" w:cs="Times New Roman"/>
          <w:spacing w:val="4"/>
          <w:sz w:val="23"/>
          <w:szCs w:val="23"/>
          <w:highlight w:val="none"/>
        </w:rPr>
        <w:t>本项目位于</w:t>
      </w:r>
      <w:r>
        <w:rPr>
          <w:rFonts w:hint="default" w:ascii="Times New Roman" w:hAnsi="Times New Roman" w:eastAsia="宋体" w:cs="Times New Roman"/>
          <w:spacing w:val="9"/>
          <w:sz w:val="23"/>
          <w:szCs w:val="23"/>
          <w:highlight w:val="none"/>
        </w:rPr>
        <w:t>遵化市势竹矿业有限公司</w:t>
      </w:r>
      <w:r>
        <w:rPr>
          <w:rFonts w:hint="eastAsia" w:ascii="Times New Roman" w:hAnsi="Times New Roman" w:eastAsia="宋体" w:cs="Times New Roman"/>
          <w:spacing w:val="4"/>
          <w:sz w:val="23"/>
          <w:szCs w:val="23"/>
          <w:highlight w:val="none"/>
          <w:lang w:val="en-US" w:eastAsia="zh-CN"/>
        </w:rPr>
        <w:t>现有厂区内</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pacing w:val="4"/>
          <w:sz w:val="23"/>
          <w:szCs w:val="23"/>
          <w:highlight w:val="none"/>
          <w:lang w:val="en-US" w:eastAsia="zh-CN"/>
        </w:rPr>
        <w:t>主要</w:t>
      </w:r>
      <w:r>
        <w:rPr>
          <w:rFonts w:hint="eastAsia" w:ascii="Times New Roman" w:hAnsi="Times New Roman" w:eastAsia="宋体" w:cs="Times New Roman"/>
          <w:spacing w:val="4"/>
          <w:sz w:val="23"/>
          <w:szCs w:val="23"/>
          <w:highlight w:val="none"/>
          <w:lang w:val="en-US" w:eastAsia="zh-CN"/>
        </w:rPr>
        <w:t>在厂区东部生产装置区</w:t>
      </w:r>
      <w:r>
        <w:rPr>
          <w:rFonts w:hint="default" w:ascii="Times New Roman" w:hAnsi="Times New Roman" w:eastAsia="宋体" w:cs="Times New Roman"/>
          <w:spacing w:val="4"/>
          <w:sz w:val="23"/>
          <w:szCs w:val="23"/>
          <w:highlight w:val="none"/>
          <w:lang w:val="en-US" w:eastAsia="zh-CN"/>
        </w:rPr>
        <w:t>新增</w:t>
      </w:r>
      <w:r>
        <w:rPr>
          <w:rFonts w:hint="eastAsia" w:ascii="Times New Roman" w:hAnsi="Times New Roman" w:eastAsia="宋体" w:cs="Times New Roman"/>
          <w:spacing w:val="4"/>
          <w:sz w:val="23"/>
          <w:szCs w:val="23"/>
          <w:highlight w:val="none"/>
          <w:lang w:val="en-US" w:eastAsia="zh-CN"/>
        </w:rPr>
        <w:t>1套破碎设备</w:t>
      </w:r>
      <w:r>
        <w:rPr>
          <w:rFonts w:hint="default" w:ascii="Times New Roman" w:hAnsi="Times New Roman" w:eastAsia="宋体" w:cs="Times New Roman"/>
          <w:spacing w:val="4"/>
          <w:sz w:val="23"/>
          <w:szCs w:val="23"/>
          <w:highlight w:val="none"/>
          <w:lang w:val="en-US" w:eastAsia="zh-CN"/>
        </w:rPr>
        <w:t>，将</w:t>
      </w:r>
      <w:r>
        <w:rPr>
          <w:rFonts w:hint="eastAsia" w:ascii="Times New Roman" w:hAnsi="Times New Roman" w:eastAsia="宋体" w:cs="Times New Roman"/>
          <w:spacing w:val="4"/>
          <w:sz w:val="23"/>
          <w:szCs w:val="23"/>
          <w:highlight w:val="none"/>
          <w:lang w:val="en-US" w:eastAsia="zh-CN"/>
        </w:rPr>
        <w:t>厂区铁矿石年处理能力由5</w:t>
      </w:r>
      <w:r>
        <w:rPr>
          <w:rFonts w:hint="default" w:ascii="Times New Roman" w:hAnsi="Times New Roman" w:eastAsia="宋体" w:cs="Times New Roman"/>
          <w:spacing w:val="4"/>
          <w:sz w:val="23"/>
          <w:szCs w:val="23"/>
          <w:highlight w:val="none"/>
          <w:lang w:val="en-US" w:eastAsia="zh-CN"/>
        </w:rPr>
        <w:t>0万吨提升至</w:t>
      </w:r>
      <w:r>
        <w:rPr>
          <w:rFonts w:hint="eastAsia" w:ascii="Times New Roman" w:hAnsi="Times New Roman" w:eastAsia="宋体" w:cs="Times New Roman"/>
          <w:spacing w:val="4"/>
          <w:sz w:val="23"/>
          <w:szCs w:val="23"/>
          <w:highlight w:val="none"/>
          <w:lang w:val="en-US" w:eastAsia="zh-CN"/>
        </w:rPr>
        <w:t>110</w:t>
      </w:r>
      <w:r>
        <w:rPr>
          <w:rFonts w:hint="default" w:ascii="Times New Roman" w:hAnsi="Times New Roman" w:eastAsia="宋体" w:cs="Times New Roman"/>
          <w:spacing w:val="4"/>
          <w:sz w:val="23"/>
          <w:szCs w:val="23"/>
          <w:highlight w:val="none"/>
          <w:lang w:val="en-US" w:eastAsia="zh-CN"/>
        </w:rPr>
        <w:t>万吨，</w:t>
      </w:r>
      <w:r>
        <w:rPr>
          <w:rFonts w:hint="eastAsia" w:ascii="Times New Roman" w:hAnsi="Times New Roman" w:eastAsia="宋体" w:cs="Times New Roman"/>
          <w:spacing w:val="4"/>
          <w:sz w:val="23"/>
          <w:szCs w:val="23"/>
          <w:highlight w:val="none"/>
          <w:lang w:val="en-US" w:eastAsia="zh-CN"/>
        </w:rPr>
        <w:t>本项目</w:t>
      </w:r>
      <w:r>
        <w:rPr>
          <w:rFonts w:hint="default" w:ascii="Times New Roman" w:hAnsi="Times New Roman" w:eastAsia="宋体" w:cs="Times New Roman"/>
          <w:spacing w:val="4"/>
          <w:sz w:val="23"/>
          <w:szCs w:val="23"/>
          <w:highlight w:val="none"/>
          <w:lang w:val="en-US" w:eastAsia="zh-CN"/>
        </w:rPr>
        <w:t>建设完成后</w:t>
      </w:r>
      <w:r>
        <w:rPr>
          <w:rFonts w:hint="eastAsia" w:ascii="Times New Roman" w:hAnsi="Times New Roman" w:eastAsia="宋体" w:cs="Times New Roman"/>
          <w:spacing w:val="4"/>
          <w:sz w:val="23"/>
          <w:szCs w:val="23"/>
          <w:highlight w:val="none"/>
          <w:lang w:val="en-US" w:eastAsia="zh-CN"/>
        </w:rPr>
        <w:t>公司年产品位60%</w:t>
      </w:r>
      <w:r>
        <w:rPr>
          <w:rFonts w:hint="default" w:ascii="Times New Roman" w:hAnsi="Times New Roman" w:eastAsia="宋体" w:cs="Times New Roman"/>
          <w:spacing w:val="4"/>
          <w:sz w:val="23"/>
          <w:szCs w:val="23"/>
          <w:highlight w:val="none"/>
          <w:lang w:val="en-US" w:eastAsia="zh-CN"/>
        </w:rPr>
        <w:t>粗精矿</w:t>
      </w:r>
      <w:r>
        <w:rPr>
          <w:rFonts w:hint="eastAsia" w:ascii="Times New Roman" w:hAnsi="Times New Roman" w:eastAsia="宋体" w:cs="Times New Roman"/>
          <w:spacing w:val="4"/>
          <w:sz w:val="23"/>
          <w:szCs w:val="23"/>
          <w:highlight w:val="none"/>
          <w:lang w:val="en-US" w:eastAsia="zh-CN"/>
        </w:rPr>
        <w:t>40</w:t>
      </w:r>
      <w:r>
        <w:rPr>
          <w:rFonts w:hint="default" w:ascii="Times New Roman" w:hAnsi="Times New Roman" w:eastAsia="宋体" w:cs="Times New Roman"/>
          <w:spacing w:val="4"/>
          <w:sz w:val="23"/>
          <w:szCs w:val="23"/>
          <w:highlight w:val="none"/>
          <w:lang w:val="en-US" w:eastAsia="zh-CN"/>
        </w:rPr>
        <w:t>万吨</w:t>
      </w:r>
      <w:r>
        <w:rPr>
          <w:rFonts w:hint="default" w:ascii="Times New Roman" w:hAnsi="Times New Roman" w:eastAsia="宋体" w:cs="Times New Roman"/>
          <w:spacing w:val="4"/>
          <w:sz w:val="23"/>
          <w:szCs w:val="23"/>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7</w:t>
      </w:r>
      <w:r>
        <w:rPr>
          <w:rFonts w:hint="default" w:ascii="Times New Roman" w:hAnsi="Times New Roman" w:eastAsia="宋体" w:cs="Times New Roman"/>
          <w:spacing w:val="4"/>
          <w:sz w:val="23"/>
          <w:szCs w:val="23"/>
          <w:highlight w:val="none"/>
          <w:lang w:val="en-US" w:eastAsia="zh-CN"/>
        </w:rPr>
        <w:t>）项目投资：本项目总投资为</w:t>
      </w:r>
      <w:r>
        <w:rPr>
          <w:rFonts w:hint="eastAsia" w:ascii="Times New Roman" w:hAnsi="Times New Roman" w:eastAsia="宋体" w:cs="Times New Roman"/>
          <w:spacing w:val="4"/>
          <w:sz w:val="23"/>
          <w:szCs w:val="23"/>
          <w:highlight w:val="none"/>
          <w:lang w:val="en-US" w:eastAsia="zh-CN"/>
        </w:rPr>
        <w:t>36</w:t>
      </w:r>
      <w:r>
        <w:rPr>
          <w:rFonts w:hint="default" w:ascii="Times New Roman" w:hAnsi="Times New Roman" w:eastAsia="宋体" w:cs="Times New Roman"/>
          <w:spacing w:val="4"/>
          <w:sz w:val="23"/>
          <w:szCs w:val="23"/>
          <w:highlight w:val="none"/>
          <w:lang w:val="en-US" w:eastAsia="zh-CN"/>
        </w:rPr>
        <w:t>00万元，其中环保投资估算</w:t>
      </w:r>
      <w:r>
        <w:rPr>
          <w:rFonts w:hint="eastAsia" w:ascii="Times New Roman" w:hAnsi="Times New Roman" w:eastAsia="宋体" w:cs="Times New Roman"/>
          <w:spacing w:val="4"/>
          <w:sz w:val="23"/>
          <w:szCs w:val="23"/>
          <w:highlight w:val="none"/>
          <w:lang w:val="en-US" w:eastAsia="zh-CN"/>
        </w:rPr>
        <w:t>90</w:t>
      </w:r>
      <w:r>
        <w:rPr>
          <w:rFonts w:hint="default" w:ascii="Times New Roman" w:hAnsi="Times New Roman" w:eastAsia="宋体" w:cs="Times New Roman"/>
          <w:spacing w:val="4"/>
          <w:sz w:val="23"/>
          <w:szCs w:val="23"/>
          <w:highlight w:val="none"/>
          <w:lang w:val="en-US" w:eastAsia="zh-CN"/>
        </w:rPr>
        <w:t>万元，占总投资的比例为</w:t>
      </w:r>
      <w:r>
        <w:rPr>
          <w:rFonts w:hint="eastAsia" w:ascii="Times New Roman" w:hAnsi="Times New Roman" w:eastAsia="宋体" w:cs="Times New Roman"/>
          <w:spacing w:val="4"/>
          <w:sz w:val="23"/>
          <w:szCs w:val="23"/>
          <w:highlight w:val="none"/>
          <w:lang w:val="en-US" w:eastAsia="zh-CN"/>
        </w:rPr>
        <w:t>2.5</w:t>
      </w:r>
      <w:r>
        <w:rPr>
          <w:rFonts w:hint="default" w:ascii="Times New Roman" w:hAnsi="Times New Roman" w:eastAsia="宋体" w:cs="Times New Roman"/>
          <w:spacing w:val="4"/>
          <w:sz w:val="23"/>
          <w:szCs w:val="23"/>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8</w:t>
      </w: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劳动定员</w:t>
      </w: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本项目不新增</w:t>
      </w:r>
      <w:r>
        <w:rPr>
          <w:rFonts w:hint="default" w:ascii="Times New Roman" w:hAnsi="Times New Roman" w:eastAsia="宋体" w:cs="Times New Roman"/>
          <w:spacing w:val="4"/>
          <w:sz w:val="23"/>
          <w:szCs w:val="23"/>
          <w:highlight w:val="none"/>
          <w:lang w:val="en-US" w:eastAsia="zh-CN"/>
        </w:rPr>
        <w:t>劳动定员</w:t>
      </w:r>
      <w:r>
        <w:rPr>
          <w:rFonts w:hint="eastAsia" w:ascii="Times New Roman" w:hAnsi="Times New Roman" w:eastAsia="宋体" w:cs="Times New Roman"/>
          <w:spacing w:val="4"/>
          <w:sz w:val="23"/>
          <w:szCs w:val="23"/>
          <w:highlight w:val="none"/>
          <w:lang w:val="en-US" w:eastAsia="zh-CN"/>
        </w:rPr>
        <w:t>，所需员工由厂区调剂</w:t>
      </w:r>
      <w:r>
        <w:rPr>
          <w:rFonts w:hint="default" w:ascii="Times New Roman" w:hAnsi="Times New Roman" w:eastAsia="宋体" w:cs="Times New Roman"/>
          <w:spacing w:val="4"/>
          <w:sz w:val="23"/>
          <w:szCs w:val="23"/>
          <w:highlight w:val="none"/>
          <w:lang w:val="en-US" w:eastAsia="zh-CN"/>
        </w:rPr>
        <w:t>，年工作</w:t>
      </w:r>
      <w:r>
        <w:rPr>
          <w:rFonts w:hint="eastAsia" w:ascii="Times New Roman" w:hAnsi="Times New Roman" w:eastAsia="宋体" w:cs="Times New Roman"/>
          <w:spacing w:val="4"/>
          <w:sz w:val="23"/>
          <w:szCs w:val="23"/>
          <w:highlight w:val="none"/>
          <w:lang w:val="en-US" w:eastAsia="zh-CN"/>
        </w:rPr>
        <w:t>25</w:t>
      </w:r>
      <w:r>
        <w:rPr>
          <w:rFonts w:hint="default" w:ascii="Times New Roman" w:hAnsi="Times New Roman" w:eastAsia="宋体" w:cs="Times New Roman"/>
          <w:spacing w:val="4"/>
          <w:sz w:val="23"/>
          <w:szCs w:val="23"/>
          <w:highlight w:val="none"/>
          <w:lang w:val="en-US" w:eastAsia="zh-CN"/>
        </w:rPr>
        <w:t>0 天，</w:t>
      </w:r>
      <w:r>
        <w:rPr>
          <w:rFonts w:hint="eastAsia" w:ascii="Times New Roman" w:hAnsi="Times New Roman" w:eastAsia="宋体" w:cs="Times New Roman"/>
          <w:spacing w:val="4"/>
          <w:sz w:val="23"/>
          <w:szCs w:val="23"/>
          <w:highlight w:val="none"/>
          <w:lang w:val="en-US" w:eastAsia="zh-CN"/>
        </w:rPr>
        <w:t>1</w:t>
      </w:r>
      <w:r>
        <w:rPr>
          <w:rFonts w:hint="default" w:ascii="Times New Roman" w:hAnsi="Times New Roman" w:eastAsia="宋体" w:cs="Times New Roman"/>
          <w:spacing w:val="4"/>
          <w:sz w:val="23"/>
          <w:szCs w:val="23"/>
          <w:highlight w:val="none"/>
          <w:lang w:val="en-US" w:eastAsia="zh-CN"/>
        </w:rPr>
        <w:t>班 8 小时工作制。</w:t>
      </w:r>
    </w:p>
    <w:p>
      <w:pPr>
        <w:keepNext w:val="0"/>
        <w:keepLines w:val="0"/>
        <w:pageBreakBefore w:val="0"/>
        <w:widowControl/>
        <w:kinsoku w:val="0"/>
        <w:wordWrap/>
        <w:overflowPunct/>
        <w:topLinePunct w:val="0"/>
        <w:autoSpaceDE w:val="0"/>
        <w:autoSpaceDN w:val="0"/>
        <w:bidi w:val="0"/>
        <w:adjustRightInd w:val="0"/>
        <w:snapToGrid w:val="0"/>
        <w:spacing w:before="0" w:beforeLines="50" w:line="460" w:lineRule="exact"/>
        <w:ind w:left="23" w:firstLine="482"/>
        <w:jc w:val="both"/>
        <w:textAlignment w:val="baseline"/>
        <w:rPr>
          <w:rFonts w:hint="default" w:ascii="Times New Roman" w:hAnsi="Times New Roman" w:eastAsia="宋体" w:cs="Times New Roman"/>
          <w:spacing w:val="4"/>
          <w:sz w:val="23"/>
          <w:szCs w:val="23"/>
          <w:highlight w:val="none"/>
          <w:lang w:val="en-US" w:eastAsia="zh-CN"/>
        </w:rPr>
      </w:pPr>
      <w:r>
        <w:rPr>
          <w:rFonts w:hint="default" w:ascii="Times New Roman" w:hAnsi="Times New Roman" w:eastAsia="宋体" w:cs="Times New Roman"/>
          <w:spacing w:val="4"/>
          <w:sz w:val="23"/>
          <w:szCs w:val="23"/>
          <w:highlight w:val="none"/>
          <w:lang w:val="en-US" w:eastAsia="zh-CN"/>
        </w:rPr>
        <w:t>（</w:t>
      </w:r>
      <w:r>
        <w:rPr>
          <w:rFonts w:hint="eastAsia" w:ascii="Times New Roman" w:hAnsi="Times New Roman" w:eastAsia="宋体" w:cs="Times New Roman"/>
          <w:spacing w:val="4"/>
          <w:sz w:val="23"/>
          <w:szCs w:val="23"/>
          <w:highlight w:val="none"/>
          <w:lang w:val="en-US" w:eastAsia="zh-CN"/>
        </w:rPr>
        <w:t>9</w:t>
      </w:r>
      <w:r>
        <w:rPr>
          <w:rFonts w:hint="default" w:ascii="Times New Roman" w:hAnsi="Times New Roman" w:eastAsia="宋体" w:cs="Times New Roman"/>
          <w:spacing w:val="4"/>
          <w:sz w:val="23"/>
          <w:szCs w:val="23"/>
          <w:highlight w:val="none"/>
          <w:lang w:val="en-US" w:eastAsia="zh-CN"/>
        </w:rPr>
        <w:t>）建设周期：20</w:t>
      </w:r>
      <w:r>
        <w:rPr>
          <w:rFonts w:hint="eastAsia" w:ascii="Times New Roman" w:hAnsi="Times New Roman" w:eastAsia="宋体" w:cs="Times New Roman"/>
          <w:spacing w:val="4"/>
          <w:sz w:val="23"/>
          <w:szCs w:val="23"/>
          <w:highlight w:val="none"/>
          <w:lang w:val="en-US" w:eastAsia="zh-CN"/>
        </w:rPr>
        <w:t>23</w:t>
      </w:r>
      <w:r>
        <w:rPr>
          <w:rFonts w:hint="default" w:ascii="Times New Roman" w:hAnsi="Times New Roman" w:eastAsia="宋体" w:cs="Times New Roman"/>
          <w:spacing w:val="4"/>
          <w:sz w:val="23"/>
          <w:szCs w:val="23"/>
          <w:highlight w:val="none"/>
          <w:lang w:val="en-US" w:eastAsia="zh-CN"/>
        </w:rPr>
        <w:t>年9月-202</w:t>
      </w:r>
      <w:r>
        <w:rPr>
          <w:rFonts w:hint="eastAsia" w:ascii="Times New Roman" w:hAnsi="Times New Roman" w:eastAsia="宋体" w:cs="Times New Roman"/>
          <w:spacing w:val="4"/>
          <w:sz w:val="23"/>
          <w:szCs w:val="23"/>
          <w:highlight w:val="none"/>
          <w:lang w:val="en-US" w:eastAsia="zh-CN"/>
        </w:rPr>
        <w:t>4</w:t>
      </w:r>
      <w:r>
        <w:rPr>
          <w:rFonts w:hint="default" w:ascii="Times New Roman" w:hAnsi="Times New Roman" w:eastAsia="宋体" w:cs="Times New Roman"/>
          <w:spacing w:val="4"/>
          <w:sz w:val="23"/>
          <w:szCs w:val="23"/>
          <w:highlight w:val="none"/>
          <w:lang w:val="en-US" w:eastAsia="zh-CN"/>
        </w:rPr>
        <w:t>年3月</w:t>
      </w:r>
    </w:p>
    <w:p>
      <w:pPr>
        <w:spacing w:before="75" w:line="228" w:lineRule="auto"/>
        <w:ind w:left="19"/>
        <w:outlineLvl w:val="2"/>
        <w:rPr>
          <w:rFonts w:hint="default" w:ascii="Times New Roman" w:hAnsi="Times New Roman" w:eastAsia="宋体" w:cs="Times New Roman"/>
          <w:sz w:val="23"/>
          <w:szCs w:val="23"/>
          <w:highlight w:val="none"/>
        </w:rPr>
      </w:pPr>
      <w:bookmarkStart w:id="815" w:name="_Toc8829"/>
      <w:bookmarkStart w:id="816" w:name="_Toc20687"/>
      <w:bookmarkStart w:id="817" w:name="_Toc32122"/>
      <w:r>
        <w:rPr>
          <w:rFonts w:hint="default" w:ascii="Times New Roman" w:hAnsi="Times New Roman" w:eastAsia="Times New Roman" w:cs="Times New Roman"/>
          <w:b/>
          <w:bCs/>
          <w:spacing w:val="14"/>
          <w:sz w:val="23"/>
          <w:szCs w:val="23"/>
          <w:highlight w:val="none"/>
        </w:rPr>
        <w:t>9</w:t>
      </w:r>
      <w:r>
        <w:rPr>
          <w:rFonts w:hint="default" w:ascii="Times New Roman" w:hAnsi="Times New Roman" w:eastAsia="Times New Roman" w:cs="Times New Roman"/>
          <w:b/>
          <w:bCs/>
          <w:spacing w:val="8"/>
          <w:sz w:val="23"/>
          <w:szCs w:val="23"/>
          <w:highlight w:val="none"/>
        </w:rPr>
        <w:t>.</w:t>
      </w:r>
      <w:r>
        <w:rPr>
          <w:rFonts w:hint="default" w:ascii="Times New Roman" w:hAnsi="Times New Roman" w:eastAsia="Times New Roman" w:cs="Times New Roman"/>
          <w:b/>
          <w:bCs/>
          <w:spacing w:val="7"/>
          <w:sz w:val="23"/>
          <w:szCs w:val="23"/>
          <w:highlight w:val="none"/>
        </w:rPr>
        <w:t>1.2</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14:textOutline w14:w="4358" w14:cap="sq" w14:cmpd="sng">
            <w14:solidFill>
              <w14:srgbClr w14:val="000000"/>
            </w14:solidFill>
            <w14:prstDash w14:val="solid"/>
            <w14:bevel/>
          </w14:textOutline>
        </w:rPr>
        <w:t>项目区域环境质量现状</w:t>
      </w:r>
      <w:bookmarkEnd w:id="815"/>
      <w:bookmarkEnd w:id="816"/>
      <w:bookmarkEnd w:id="817"/>
    </w:p>
    <w:p>
      <w:pPr>
        <w:spacing w:line="260" w:lineRule="auto"/>
        <w:rPr>
          <w:rFonts w:hint="default" w:ascii="Times New Roman" w:hAnsi="Times New Roman" w:cs="Times New Roman"/>
          <w:sz w:val="21"/>
          <w:highlight w:val="none"/>
        </w:rPr>
      </w:pPr>
    </w:p>
    <w:p>
      <w:pPr>
        <w:spacing w:before="75" w:line="227"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5"/>
          <w:sz w:val="23"/>
          <w:szCs w:val="23"/>
          <w:highlight w:val="none"/>
        </w:rPr>
        <w:t>(</w:t>
      </w:r>
      <w:r>
        <w:rPr>
          <w:rFonts w:hint="default" w:ascii="Times New Roman" w:hAnsi="Times New Roman" w:eastAsia="Times New Roman" w:cs="Times New Roman"/>
          <w:spacing w:val="14"/>
          <w:sz w:val="23"/>
          <w:szCs w:val="23"/>
          <w:highlight w:val="none"/>
        </w:rPr>
        <w:t>1</w:t>
      </w:r>
      <w:r>
        <w:rPr>
          <w:rFonts w:hint="default" w:ascii="Times New Roman" w:hAnsi="Times New Roman" w:eastAsia="宋体" w:cs="Times New Roman"/>
          <w:spacing w:val="14"/>
          <w:sz w:val="23"/>
          <w:szCs w:val="23"/>
          <w:highlight w:val="none"/>
        </w:rPr>
        <w:t>) 大气环境质量现状监测与评价</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eastAsia" w:ascii="Times New Roman" w:hAnsi="Times New Roman" w:eastAsia="宋体" w:cs="Times New Roman"/>
          <w:color w:val="auto"/>
          <w:sz w:val="23"/>
          <w:szCs w:val="23"/>
          <w:highlight w:val="none"/>
        </w:rPr>
      </w:pPr>
      <w:r>
        <w:rPr>
          <w:rFonts w:hint="default" w:ascii="Times New Roman" w:hAnsi="Times New Roman" w:eastAsia="宋体" w:cs="Times New Roman"/>
          <w:color w:val="auto"/>
          <w:sz w:val="23"/>
          <w:szCs w:val="23"/>
          <w:highlight w:val="none"/>
        </w:rPr>
        <w:t>根据20</w:t>
      </w:r>
      <w:r>
        <w:rPr>
          <w:rFonts w:hint="eastAsia" w:ascii="Times New Roman" w:hAnsi="Times New Roman" w:eastAsia="宋体" w:cs="Times New Roman"/>
          <w:color w:val="auto"/>
          <w:sz w:val="23"/>
          <w:szCs w:val="23"/>
          <w:highlight w:val="none"/>
          <w:lang w:val="en-US" w:eastAsia="zh-CN"/>
        </w:rPr>
        <w:t>23</w:t>
      </w:r>
      <w:r>
        <w:rPr>
          <w:rFonts w:hint="default" w:ascii="Times New Roman" w:hAnsi="Times New Roman" w:eastAsia="宋体" w:cs="Times New Roman"/>
          <w:color w:val="auto"/>
          <w:sz w:val="23"/>
          <w:szCs w:val="23"/>
          <w:highlight w:val="none"/>
        </w:rPr>
        <w:t>年6月年唐山市</w:t>
      </w:r>
      <w:r>
        <w:rPr>
          <w:rFonts w:hint="eastAsia" w:ascii="Times New Roman" w:hAnsi="Times New Roman" w:eastAsia="宋体" w:cs="Times New Roman"/>
          <w:color w:val="auto"/>
          <w:sz w:val="23"/>
          <w:szCs w:val="23"/>
          <w:highlight w:val="none"/>
          <w:lang w:val="en-US" w:eastAsia="zh-CN"/>
        </w:rPr>
        <w:t>生态环境</w:t>
      </w:r>
      <w:r>
        <w:rPr>
          <w:rFonts w:hint="default" w:ascii="Times New Roman" w:hAnsi="Times New Roman" w:eastAsia="宋体" w:cs="Times New Roman"/>
          <w:color w:val="auto"/>
          <w:sz w:val="23"/>
          <w:szCs w:val="23"/>
          <w:highlight w:val="none"/>
        </w:rPr>
        <w:t>局发布的《20</w:t>
      </w:r>
      <w:r>
        <w:rPr>
          <w:rFonts w:hint="eastAsia" w:ascii="Times New Roman" w:hAnsi="Times New Roman" w:eastAsia="宋体" w:cs="Times New Roman"/>
          <w:color w:val="auto"/>
          <w:sz w:val="23"/>
          <w:szCs w:val="23"/>
          <w:highlight w:val="none"/>
          <w:lang w:val="en-US" w:eastAsia="zh-CN"/>
        </w:rPr>
        <w:t>22</w:t>
      </w:r>
      <w:r>
        <w:rPr>
          <w:rFonts w:hint="default" w:ascii="Times New Roman" w:hAnsi="Times New Roman" w:eastAsia="宋体" w:cs="Times New Roman"/>
          <w:color w:val="auto"/>
          <w:sz w:val="23"/>
          <w:szCs w:val="23"/>
          <w:highlight w:val="none"/>
        </w:rPr>
        <w:t>年唐山市环境状况公报》显示，</w:t>
      </w:r>
      <w:r>
        <w:rPr>
          <w:rFonts w:hint="eastAsia" w:ascii="Times New Roman" w:hAnsi="Times New Roman" w:eastAsia="宋体" w:cs="Times New Roman"/>
          <w:color w:val="auto"/>
          <w:sz w:val="23"/>
          <w:szCs w:val="23"/>
          <w:highlight w:val="none"/>
        </w:rPr>
        <w:t>2022年全市优良天数275天，同比增加19天，优良天数比例为75.3%，同比提高5.2个百分点。重度污染以上天数3天，占比0.8%，同比减少5天。全市空气质量综合指数4.47，同比下降10.6%，排名全国168个重点监测城市倒38名，较2021年提升30个位次。</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jc w:val="both"/>
        <w:textAlignment w:val="baseline"/>
        <w:rPr>
          <w:rFonts w:hint="default" w:ascii="Times New Roman" w:hAnsi="Times New Roman" w:cs="Times New Roman"/>
          <w:color w:val="auto"/>
          <w:sz w:val="23"/>
          <w:szCs w:val="23"/>
          <w:highlight w:val="none"/>
        </w:rPr>
      </w:pPr>
      <w:r>
        <w:rPr>
          <w:rFonts w:hint="eastAsia" w:ascii="Times New Roman" w:hAnsi="Times New Roman" w:eastAsia="宋体" w:cs="Times New Roman"/>
          <w:color w:val="auto"/>
          <w:sz w:val="23"/>
          <w:szCs w:val="23"/>
          <w:highlight w:val="none"/>
        </w:rPr>
        <w:t>2022年，全市细颗粒物（PM</w:t>
      </w:r>
      <w:r>
        <w:rPr>
          <w:rFonts w:hint="eastAsia" w:ascii="Times New Roman" w:hAnsi="Times New Roman" w:eastAsia="宋体" w:cs="Times New Roman"/>
          <w:color w:val="auto"/>
          <w:sz w:val="23"/>
          <w:szCs w:val="23"/>
          <w:highlight w:val="none"/>
          <w:vertAlign w:val="subscript"/>
        </w:rPr>
        <w:t>2.5</w:t>
      </w:r>
      <w:r>
        <w:rPr>
          <w:rFonts w:hint="eastAsia" w:ascii="Times New Roman" w:hAnsi="Times New Roman" w:eastAsia="宋体" w:cs="Times New Roman"/>
          <w:color w:val="auto"/>
          <w:sz w:val="23"/>
          <w:szCs w:val="23"/>
          <w:highlight w:val="none"/>
        </w:rPr>
        <w:t>）年均浓度为37微克/立方米，可吸入颗粒物（PM</w:t>
      </w:r>
      <w:r>
        <w:rPr>
          <w:rFonts w:hint="eastAsia" w:ascii="Times New Roman" w:hAnsi="Times New Roman" w:eastAsia="宋体" w:cs="Times New Roman"/>
          <w:color w:val="auto"/>
          <w:sz w:val="23"/>
          <w:szCs w:val="23"/>
          <w:highlight w:val="none"/>
          <w:vertAlign w:val="subscript"/>
        </w:rPr>
        <w:t>10</w:t>
      </w:r>
      <w:r>
        <w:rPr>
          <w:rFonts w:hint="eastAsia" w:ascii="Times New Roman" w:hAnsi="Times New Roman" w:eastAsia="宋体" w:cs="Times New Roman"/>
          <w:color w:val="auto"/>
          <w:sz w:val="23"/>
          <w:szCs w:val="23"/>
          <w:highlight w:val="none"/>
        </w:rPr>
        <w:t>）年均浓度为67微克/立方米，二氧化硫（SO</w:t>
      </w:r>
      <w:r>
        <w:rPr>
          <w:rFonts w:hint="eastAsia" w:ascii="Times New Roman" w:hAnsi="Times New Roman" w:eastAsia="宋体" w:cs="Times New Roman"/>
          <w:color w:val="auto"/>
          <w:sz w:val="23"/>
          <w:szCs w:val="23"/>
          <w:highlight w:val="none"/>
          <w:vertAlign w:val="subscript"/>
        </w:rPr>
        <w:t>2</w:t>
      </w:r>
      <w:r>
        <w:rPr>
          <w:rFonts w:hint="eastAsia" w:ascii="Times New Roman" w:hAnsi="Times New Roman" w:eastAsia="宋体" w:cs="Times New Roman"/>
          <w:color w:val="auto"/>
          <w:sz w:val="23"/>
          <w:szCs w:val="23"/>
          <w:highlight w:val="none"/>
        </w:rPr>
        <w:t>）年均浓度为8微克/立方米，二氧化氮（NO</w:t>
      </w:r>
      <w:r>
        <w:rPr>
          <w:rFonts w:hint="eastAsia" w:ascii="Times New Roman" w:hAnsi="Times New Roman" w:eastAsia="宋体" w:cs="Times New Roman"/>
          <w:color w:val="auto"/>
          <w:sz w:val="23"/>
          <w:szCs w:val="23"/>
          <w:highlight w:val="none"/>
          <w:vertAlign w:val="subscript"/>
        </w:rPr>
        <w:t>2</w:t>
      </w:r>
      <w:r>
        <w:rPr>
          <w:rFonts w:hint="eastAsia" w:ascii="Times New Roman" w:hAnsi="Times New Roman" w:eastAsia="宋体" w:cs="Times New Roman"/>
          <w:color w:val="auto"/>
          <w:sz w:val="23"/>
          <w:szCs w:val="23"/>
          <w:highlight w:val="none"/>
        </w:rPr>
        <w:t>）年均浓度为32微克/立方米，一氧化碳（CO）日均值第95百分位浓度平均为1.5毫克/立方米，臭氧（O</w:t>
      </w:r>
      <w:r>
        <w:rPr>
          <w:rFonts w:hint="eastAsia" w:ascii="Times New Roman" w:hAnsi="Times New Roman" w:eastAsia="宋体" w:cs="Times New Roman"/>
          <w:color w:val="auto"/>
          <w:sz w:val="23"/>
          <w:szCs w:val="23"/>
          <w:highlight w:val="none"/>
          <w:vertAlign w:val="subscript"/>
        </w:rPr>
        <w:t>3</w:t>
      </w:r>
      <w:r>
        <w:rPr>
          <w:rFonts w:hint="eastAsia" w:ascii="Times New Roman" w:hAnsi="Times New Roman" w:eastAsia="宋体" w:cs="Times New Roman"/>
          <w:color w:val="auto"/>
          <w:sz w:val="23"/>
          <w:szCs w:val="23"/>
          <w:highlight w:val="none"/>
        </w:rPr>
        <w:t>）日最大8小时平均第90百分位浓度平均为182微克/立方米。</w:t>
      </w:r>
      <w:r>
        <w:rPr>
          <w:rFonts w:hint="default" w:ascii="Times New Roman" w:hAnsi="Times New Roman" w:cs="Times New Roman"/>
          <w:color w:val="auto"/>
          <w:sz w:val="23"/>
          <w:szCs w:val="23"/>
          <w:highlight w:val="none"/>
        </w:rPr>
        <w:t>项目所在区域（唐山市）属于非达标区。</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60" w:firstLineChars="200"/>
        <w:textAlignment w:val="baseline"/>
        <w:rPr>
          <w:rFonts w:hint="default" w:ascii="Times New Roman" w:hAnsi="Times New Roman" w:cs="Times New Roman"/>
          <w:color w:val="auto"/>
          <w:sz w:val="23"/>
          <w:szCs w:val="23"/>
          <w:highlight w:val="none"/>
        </w:rPr>
      </w:pPr>
      <w:r>
        <w:rPr>
          <w:rFonts w:hint="default" w:ascii="Times New Roman" w:hAnsi="Times New Roman" w:cs="Times New Roman"/>
          <w:color w:val="auto"/>
          <w:sz w:val="23"/>
          <w:szCs w:val="23"/>
          <w:highlight w:val="none"/>
        </w:rPr>
        <w:t>根据项目环境空气现状监测结果可知，各监测点位监测期间TSP 24时平均浓度均满足《环境空气质量标准》（GB3095-2012）中二级标准要求。</w:t>
      </w:r>
    </w:p>
    <w:p>
      <w:pPr>
        <w:spacing w:before="20" w:line="227"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5"/>
          <w:sz w:val="23"/>
          <w:szCs w:val="23"/>
          <w:highlight w:val="none"/>
        </w:rPr>
        <w:t>(</w:t>
      </w:r>
      <w:r>
        <w:rPr>
          <w:rFonts w:hint="default" w:ascii="Times New Roman" w:hAnsi="Times New Roman" w:eastAsia="Times New Roman" w:cs="Times New Roman"/>
          <w:spacing w:val="15"/>
          <w:sz w:val="23"/>
          <w:szCs w:val="23"/>
          <w:highlight w:val="none"/>
        </w:rPr>
        <w:t>2</w:t>
      </w:r>
      <w:r>
        <w:rPr>
          <w:rFonts w:hint="default" w:ascii="Times New Roman" w:hAnsi="Times New Roman" w:eastAsia="宋体" w:cs="Times New Roman"/>
          <w:spacing w:val="15"/>
          <w:sz w:val="23"/>
          <w:szCs w:val="23"/>
          <w:highlight w:val="none"/>
        </w:rPr>
        <w:t>) 声环境质量现状监测与评</w:t>
      </w:r>
      <w:r>
        <w:rPr>
          <w:rFonts w:hint="default" w:ascii="Times New Roman" w:hAnsi="Times New Roman" w:eastAsia="宋体" w:cs="Times New Roman"/>
          <w:spacing w:val="14"/>
          <w:sz w:val="23"/>
          <w:szCs w:val="23"/>
          <w:highlight w:val="none"/>
        </w:rPr>
        <w:t>价</w:t>
      </w:r>
    </w:p>
    <w:p>
      <w:pPr>
        <w:spacing w:before="219" w:line="397" w:lineRule="auto"/>
        <w:ind w:left="21" w:right="49"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根据项目四周厂界环境噪声监测结果可知，企业各厂界昼夜间噪声值均满足</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2"/>
          <w:sz w:val="23"/>
          <w:szCs w:val="23"/>
          <w:highlight w:val="none"/>
        </w:rPr>
        <w:t>《</w:t>
      </w:r>
      <w:r>
        <w:rPr>
          <w:rFonts w:hint="default" w:ascii="Times New Roman" w:hAnsi="Times New Roman" w:eastAsia="宋体" w:cs="Times New Roman"/>
          <w:spacing w:val="12"/>
          <w:sz w:val="23"/>
          <w:szCs w:val="23"/>
          <w:highlight w:val="none"/>
        </w:rPr>
        <w:t>声</w:t>
      </w:r>
      <w:r>
        <w:rPr>
          <w:rFonts w:hint="default" w:ascii="Times New Roman" w:hAnsi="Times New Roman" w:eastAsia="宋体" w:cs="Times New Roman"/>
          <w:spacing w:val="11"/>
          <w:sz w:val="23"/>
          <w:szCs w:val="23"/>
          <w:highlight w:val="none"/>
        </w:rPr>
        <w:t>环境质量标准》</w:t>
      </w:r>
      <w:r>
        <w:rPr>
          <w:rFonts w:hint="default" w:ascii="Times New Roman" w:hAnsi="Times New Roman" w:eastAsia="Times New Roman" w:cs="Times New Roman"/>
          <w:spacing w:val="11"/>
          <w:sz w:val="23"/>
          <w:szCs w:val="23"/>
          <w:highlight w:val="none"/>
        </w:rPr>
        <w:t>(</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11"/>
          <w:sz w:val="23"/>
          <w:szCs w:val="23"/>
          <w:highlight w:val="none"/>
        </w:rPr>
        <w:t xml:space="preserve">3096-2008)2 </w:t>
      </w:r>
      <w:r>
        <w:rPr>
          <w:rFonts w:hint="default" w:ascii="Times New Roman" w:hAnsi="Times New Roman" w:eastAsia="宋体" w:cs="Times New Roman"/>
          <w:spacing w:val="11"/>
          <w:sz w:val="23"/>
          <w:szCs w:val="23"/>
          <w:highlight w:val="none"/>
        </w:rPr>
        <w:t>类标准要求，项目所在区域声环境质量良</w:t>
      </w:r>
      <w:r>
        <w:rPr>
          <w:rFonts w:hint="default" w:ascii="Times New Roman" w:hAnsi="Times New Roman" w:eastAsia="宋体" w:cs="Times New Roman"/>
          <w:sz w:val="23"/>
          <w:szCs w:val="23"/>
          <w:highlight w:val="none"/>
        </w:rPr>
        <w:t xml:space="preserve"> 好。</w:t>
      </w:r>
    </w:p>
    <w:p>
      <w:pPr>
        <w:spacing w:before="14" w:line="227"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4"/>
          <w:sz w:val="23"/>
          <w:szCs w:val="23"/>
          <w:highlight w:val="none"/>
        </w:rPr>
        <w:t>3</w:t>
      </w:r>
      <w:r>
        <w:rPr>
          <w:rFonts w:hint="default" w:ascii="Times New Roman" w:hAnsi="Times New Roman" w:eastAsia="宋体" w:cs="Times New Roman"/>
          <w:spacing w:val="14"/>
          <w:sz w:val="23"/>
          <w:szCs w:val="23"/>
          <w:highlight w:val="none"/>
        </w:rPr>
        <w:t>) 地下水环境质量现状监测与评价</w:t>
      </w:r>
    </w:p>
    <w:p>
      <w:pPr>
        <w:spacing w:before="218" w:line="401" w:lineRule="auto"/>
        <w:ind w:left="21" w:right="51" w:firstLine="480"/>
        <w:rPr>
          <w:rFonts w:hint="default" w:ascii="Times New Roman" w:hAnsi="Times New Roman" w:eastAsia="宋体" w:cs="Times New Roman"/>
          <w:spacing w:val="4"/>
          <w:sz w:val="23"/>
          <w:szCs w:val="23"/>
          <w:highlight w:val="none"/>
        </w:rPr>
      </w:pPr>
      <w:r>
        <w:rPr>
          <w:rFonts w:hint="default" w:ascii="Times New Roman" w:hAnsi="Times New Roman" w:eastAsia="宋体" w:cs="Times New Roman"/>
          <w:spacing w:val="7"/>
          <w:sz w:val="23"/>
          <w:szCs w:val="23"/>
          <w:highlight w:val="none"/>
        </w:rPr>
        <w:t>地下水环境质量现状监测结果表明：项目地下水评价范围内各监测点水质均</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满足《</w:t>
      </w:r>
      <w:r>
        <w:rPr>
          <w:rFonts w:hint="default" w:ascii="Times New Roman" w:hAnsi="Times New Roman" w:eastAsia="宋体" w:cs="Times New Roman"/>
          <w:spacing w:val="7"/>
          <w:sz w:val="23"/>
          <w:szCs w:val="23"/>
          <w:highlight w:val="none"/>
        </w:rPr>
        <w:t>地</w:t>
      </w:r>
      <w:r>
        <w:rPr>
          <w:rFonts w:hint="default" w:ascii="Times New Roman" w:hAnsi="Times New Roman" w:eastAsia="宋体" w:cs="Times New Roman"/>
          <w:spacing w:val="4"/>
          <w:sz w:val="23"/>
          <w:szCs w:val="23"/>
          <w:highlight w:val="none"/>
        </w:rPr>
        <w:t>下水质量标准》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4"/>
          <w:sz w:val="23"/>
          <w:szCs w:val="23"/>
          <w:highlight w:val="none"/>
        </w:rPr>
        <w:t>14848-2017</w:t>
      </w:r>
      <w:r>
        <w:rPr>
          <w:rFonts w:hint="default" w:ascii="Times New Roman" w:hAnsi="Times New Roman" w:eastAsia="宋体" w:cs="Times New Roman"/>
          <w:spacing w:val="4"/>
          <w:sz w:val="23"/>
          <w:szCs w:val="23"/>
          <w:highlight w:val="none"/>
        </w:rPr>
        <w:t xml:space="preserve">) </w:t>
      </w:r>
      <w:r>
        <w:rPr>
          <w:rFonts w:hint="default" w:ascii="Times New Roman" w:hAnsi="Times New Roman" w:eastAsia="Times New Roman" w:cs="Times New Roman"/>
          <w:sz w:val="23"/>
          <w:szCs w:val="23"/>
          <w:highlight w:val="none"/>
        </w:rPr>
        <w:t>III</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类标准限值要求。</w:t>
      </w:r>
    </w:p>
    <w:p>
      <w:pPr>
        <w:spacing w:before="14" w:line="227"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eastAsia" w:ascii="Times New Roman" w:hAnsi="Times New Roman" w:eastAsia="宋体" w:cs="Times New Roman"/>
          <w:spacing w:val="14"/>
          <w:sz w:val="23"/>
          <w:szCs w:val="23"/>
          <w:highlight w:val="none"/>
          <w:lang w:val="en-US" w:eastAsia="zh-CN"/>
        </w:rPr>
        <w:t>4</w:t>
      </w:r>
      <w:r>
        <w:rPr>
          <w:rFonts w:hint="default" w:ascii="Times New Roman" w:hAnsi="Times New Roman" w:eastAsia="宋体" w:cs="Times New Roman"/>
          <w:spacing w:val="14"/>
          <w:sz w:val="23"/>
          <w:szCs w:val="23"/>
          <w:highlight w:val="none"/>
        </w:rPr>
        <w:t xml:space="preserve">) </w:t>
      </w:r>
      <w:r>
        <w:rPr>
          <w:rFonts w:hint="eastAsia" w:ascii="Times New Roman" w:hAnsi="Times New Roman" w:eastAsia="宋体" w:cs="Times New Roman"/>
          <w:spacing w:val="14"/>
          <w:sz w:val="23"/>
          <w:szCs w:val="23"/>
          <w:highlight w:val="none"/>
          <w:lang w:val="en-US" w:eastAsia="zh-CN"/>
        </w:rPr>
        <w:t>土壤</w:t>
      </w:r>
      <w:r>
        <w:rPr>
          <w:rFonts w:hint="default" w:ascii="Times New Roman" w:hAnsi="Times New Roman" w:eastAsia="宋体" w:cs="Times New Roman"/>
          <w:spacing w:val="14"/>
          <w:sz w:val="23"/>
          <w:szCs w:val="23"/>
          <w:highlight w:val="none"/>
        </w:rPr>
        <w:t>环境质量现状监测与评价</w:t>
      </w:r>
    </w:p>
    <w:p>
      <w:pPr>
        <w:keepNext w:val="0"/>
        <w:keepLines w:val="0"/>
        <w:pageBreakBefore w:val="0"/>
        <w:widowControl/>
        <w:kinsoku w:val="0"/>
        <w:wordWrap/>
        <w:overflowPunct/>
        <w:topLinePunct w:val="0"/>
        <w:autoSpaceDE w:val="0"/>
        <w:autoSpaceDN w:val="0"/>
        <w:bidi w:val="0"/>
        <w:adjustRightInd w:val="0"/>
        <w:snapToGrid w:val="0"/>
        <w:spacing w:line="460" w:lineRule="exact"/>
        <w:ind w:left="0" w:right="0" w:firstLine="468" w:firstLineChars="200"/>
        <w:jc w:val="both"/>
        <w:textAlignment w:val="baseline"/>
        <w:rPr>
          <w:rFonts w:hint="default" w:ascii="Times New Roman" w:hAnsi="Times New Roman" w:eastAsia="宋体" w:cs="Times New Roman"/>
          <w:spacing w:val="2"/>
          <w:sz w:val="23"/>
          <w:szCs w:val="23"/>
          <w:highlight w:val="none"/>
        </w:rPr>
      </w:pPr>
      <w:r>
        <w:rPr>
          <w:rFonts w:hint="default" w:ascii="Times New Roman" w:hAnsi="Times New Roman" w:eastAsia="宋体" w:cs="Times New Roman"/>
          <w:spacing w:val="2"/>
          <w:sz w:val="23"/>
          <w:szCs w:val="23"/>
          <w:highlight w:val="none"/>
        </w:rPr>
        <w:t>项目厂区监测点位土壤各监测因子监测浓度满足《土壤环境质量建设用地土壤污染风险管控标准（试行）》（GB36600-2018）中第二类用地筛选值限值要求。</w:t>
      </w:r>
    </w:p>
    <w:p>
      <w:pPr>
        <w:spacing w:before="75" w:line="227" w:lineRule="auto"/>
        <w:ind w:left="19"/>
        <w:outlineLvl w:val="2"/>
        <w:rPr>
          <w:rFonts w:hint="default" w:ascii="Times New Roman" w:hAnsi="Times New Roman" w:eastAsia="宋体" w:cs="Times New Roman"/>
          <w:sz w:val="23"/>
          <w:szCs w:val="23"/>
          <w:highlight w:val="none"/>
        </w:rPr>
      </w:pPr>
      <w:bookmarkStart w:id="818" w:name="_Toc31022"/>
      <w:bookmarkStart w:id="819" w:name="_Toc30190"/>
      <w:bookmarkStart w:id="820" w:name="_Toc30450"/>
      <w:r>
        <w:rPr>
          <w:rFonts w:hint="default" w:ascii="Times New Roman" w:hAnsi="Times New Roman" w:eastAsia="Times New Roman" w:cs="Times New Roman"/>
          <w:b/>
          <w:bCs/>
          <w:spacing w:val="9"/>
          <w:sz w:val="23"/>
          <w:szCs w:val="23"/>
          <w:highlight w:val="none"/>
        </w:rPr>
        <w:t>9</w:t>
      </w:r>
      <w:r>
        <w:rPr>
          <w:rFonts w:hint="default" w:ascii="Times New Roman" w:hAnsi="Times New Roman" w:eastAsia="Times New Roman" w:cs="Times New Roman"/>
          <w:b/>
          <w:bCs/>
          <w:spacing w:val="8"/>
          <w:sz w:val="23"/>
          <w:szCs w:val="23"/>
          <w:highlight w:val="none"/>
        </w:rPr>
        <w:t>.1.3</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项目采取的环保措施可行性结论</w:t>
      </w:r>
      <w:bookmarkEnd w:id="818"/>
      <w:bookmarkEnd w:id="819"/>
      <w:bookmarkEnd w:id="820"/>
    </w:p>
    <w:p>
      <w:pPr>
        <w:spacing w:before="74" w:line="227"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5"/>
          <w:sz w:val="23"/>
          <w:szCs w:val="23"/>
          <w:highlight w:val="none"/>
        </w:rPr>
        <w:t>(</w:t>
      </w:r>
      <w:r>
        <w:rPr>
          <w:rFonts w:hint="default" w:ascii="Times New Roman" w:hAnsi="Times New Roman" w:eastAsia="Times New Roman" w:cs="Times New Roman"/>
          <w:spacing w:val="18"/>
          <w:sz w:val="23"/>
          <w:szCs w:val="23"/>
          <w:highlight w:val="none"/>
        </w:rPr>
        <w:t>1</w:t>
      </w:r>
      <w:r>
        <w:rPr>
          <w:rFonts w:hint="default" w:ascii="Times New Roman" w:hAnsi="Times New Roman" w:eastAsia="宋体" w:cs="Times New Roman"/>
          <w:spacing w:val="18"/>
          <w:sz w:val="23"/>
          <w:szCs w:val="23"/>
          <w:highlight w:val="none"/>
        </w:rPr>
        <w:t>) 废气污染源</w:t>
      </w:r>
    </w:p>
    <w:p>
      <w:pPr>
        <w:spacing w:before="217" w:line="401" w:lineRule="auto"/>
        <w:ind w:left="21" w:right="11"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①</w:t>
      </w:r>
      <w:r>
        <w:rPr>
          <w:rFonts w:hint="default" w:ascii="Times New Roman" w:hAnsi="Times New Roman" w:eastAsia="宋体" w:cs="Times New Roman"/>
          <w:spacing w:val="7"/>
          <w:sz w:val="23"/>
          <w:szCs w:val="23"/>
          <w:highlight w:val="none"/>
        </w:rPr>
        <w:t>矿石、尾矿砂、铁精粉等物料装卸、储存、转运过程中产生的颗粒</w:t>
      </w:r>
      <w:r>
        <w:rPr>
          <w:rFonts w:hint="default" w:ascii="Times New Roman" w:hAnsi="Times New Roman" w:eastAsia="宋体" w:cs="Times New Roman"/>
          <w:sz w:val="23"/>
          <w:szCs w:val="23"/>
          <w:highlight w:val="none"/>
        </w:rPr>
        <w:t>物</w:t>
      </w:r>
    </w:p>
    <w:p>
      <w:pPr>
        <w:spacing w:before="5" w:line="395" w:lineRule="auto"/>
        <w:ind w:left="20" w:right="11" w:firstLine="48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本项目物料在装卸、储存、转运过程均在封闭的</w:t>
      </w:r>
      <w:r>
        <w:rPr>
          <w:rFonts w:hint="eastAsia" w:ascii="Times New Roman" w:hAnsi="Times New Roman" w:eastAsia="宋体" w:cs="Times New Roman"/>
          <w:spacing w:val="7"/>
          <w:sz w:val="23"/>
          <w:szCs w:val="23"/>
          <w:highlight w:val="none"/>
          <w:lang w:val="en-US" w:eastAsia="zh-CN"/>
        </w:rPr>
        <w:t>库房</w:t>
      </w:r>
      <w:r>
        <w:rPr>
          <w:rFonts w:hint="default" w:ascii="Times New Roman" w:hAnsi="Times New Roman" w:eastAsia="宋体" w:cs="Times New Roman"/>
          <w:spacing w:val="7"/>
          <w:sz w:val="23"/>
          <w:szCs w:val="23"/>
          <w:highlight w:val="none"/>
        </w:rPr>
        <w:t>或车间内进行，不</w:t>
      </w:r>
      <w:r>
        <w:rPr>
          <w:rFonts w:hint="default" w:ascii="Times New Roman" w:hAnsi="Times New Roman" w:eastAsia="宋体" w:cs="Times New Roman"/>
          <w:spacing w:val="6"/>
          <w:sz w:val="23"/>
          <w:szCs w:val="23"/>
          <w:highlight w:val="none"/>
        </w:rPr>
        <w:t>存</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在物料露天转运，并在装卸、储存、转运过程中采取喷雾抑尘措施 (电伴热，管</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路使用保温棉保温) ，厂区道路由专人负责定期清扫、洒水抑尘，并在厂区门口</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设</w:t>
      </w:r>
      <w:r>
        <w:rPr>
          <w:rFonts w:hint="default" w:ascii="Times New Roman" w:hAnsi="Times New Roman" w:eastAsia="宋体" w:cs="Times New Roman"/>
          <w:spacing w:val="7"/>
          <w:sz w:val="23"/>
          <w:szCs w:val="23"/>
          <w:highlight w:val="none"/>
        </w:rPr>
        <w:t>置汽车平台。采取上述措施后，本项目无组织排放颗粒物浓度满足《铁矿采选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工</w:t>
      </w:r>
      <w:r>
        <w:rPr>
          <w:rFonts w:hint="default" w:ascii="Times New Roman" w:hAnsi="Times New Roman" w:eastAsia="宋体" w:cs="Times New Roman"/>
          <w:spacing w:val="6"/>
          <w:sz w:val="23"/>
          <w:szCs w:val="23"/>
          <w:highlight w:val="none"/>
        </w:rPr>
        <w:t>业污染物排放标准》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6"/>
          <w:sz w:val="23"/>
          <w:szCs w:val="23"/>
          <w:highlight w:val="none"/>
        </w:rPr>
        <w:t>28661-2012</w:t>
      </w:r>
      <w:r>
        <w:rPr>
          <w:rFonts w:hint="default" w:ascii="Times New Roman" w:hAnsi="Times New Roman" w:eastAsia="宋体" w:cs="Times New Roman"/>
          <w:spacing w:val="6"/>
          <w:sz w:val="23"/>
          <w:szCs w:val="23"/>
          <w:highlight w:val="none"/>
        </w:rPr>
        <w:t xml:space="preserve">) 表 </w:t>
      </w:r>
      <w:r>
        <w:rPr>
          <w:rFonts w:hint="default" w:ascii="Times New Roman" w:hAnsi="Times New Roman" w:eastAsia="Times New Roman" w:cs="Times New Roman"/>
          <w:spacing w:val="6"/>
          <w:sz w:val="23"/>
          <w:szCs w:val="23"/>
          <w:highlight w:val="none"/>
        </w:rPr>
        <w:t xml:space="preserve">7 </w:t>
      </w:r>
      <w:r>
        <w:rPr>
          <w:rFonts w:hint="default" w:ascii="Times New Roman" w:hAnsi="Times New Roman" w:eastAsia="宋体" w:cs="Times New Roman"/>
          <w:spacing w:val="6"/>
          <w:sz w:val="23"/>
          <w:szCs w:val="23"/>
          <w:highlight w:val="none"/>
        </w:rPr>
        <w:t>中作业场所边界处颗粒物无组织</w:t>
      </w:r>
    </w:p>
    <w:p>
      <w:pPr>
        <w:spacing w:line="315" w:lineRule="exact"/>
        <w:ind w:left="21"/>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6"/>
          <w:position w:val="1"/>
          <w:sz w:val="23"/>
          <w:szCs w:val="23"/>
          <w:highlight w:val="none"/>
        </w:rPr>
        <w:t>排</w:t>
      </w:r>
      <w:r>
        <w:rPr>
          <w:rFonts w:hint="default" w:ascii="Times New Roman" w:hAnsi="Times New Roman" w:eastAsia="宋体" w:cs="Times New Roman"/>
          <w:spacing w:val="5"/>
          <w:position w:val="1"/>
          <w:sz w:val="23"/>
          <w:szCs w:val="23"/>
          <w:highlight w:val="none"/>
        </w:rPr>
        <w:t>放</w:t>
      </w:r>
      <w:r>
        <w:rPr>
          <w:rFonts w:hint="default" w:ascii="Times New Roman" w:hAnsi="Times New Roman" w:eastAsia="宋体" w:cs="Times New Roman"/>
          <w:spacing w:val="3"/>
          <w:position w:val="1"/>
          <w:sz w:val="23"/>
          <w:szCs w:val="23"/>
          <w:highlight w:val="none"/>
        </w:rPr>
        <w:t xml:space="preserve">限值为 </w:t>
      </w:r>
      <w:r>
        <w:rPr>
          <w:rFonts w:hint="default" w:ascii="Times New Roman" w:hAnsi="Times New Roman" w:eastAsia="Times New Roman" w:cs="Times New Roman"/>
          <w:spacing w:val="3"/>
          <w:position w:val="1"/>
          <w:sz w:val="23"/>
          <w:szCs w:val="23"/>
          <w:highlight w:val="none"/>
        </w:rPr>
        <w:t>1.0</w:t>
      </w:r>
      <w:r>
        <w:rPr>
          <w:rFonts w:hint="default" w:ascii="Times New Roman" w:hAnsi="Times New Roman" w:eastAsia="Times New Roman" w:cs="Times New Roman"/>
          <w:position w:val="1"/>
          <w:sz w:val="23"/>
          <w:szCs w:val="23"/>
          <w:highlight w:val="none"/>
        </w:rPr>
        <w:t>mg</w:t>
      </w:r>
      <w:r>
        <w:rPr>
          <w:rFonts w:hint="default" w:ascii="Times New Roman" w:hAnsi="Times New Roman" w:eastAsia="Times New Roman" w:cs="Times New Roman"/>
          <w:spacing w:val="3"/>
          <w:position w:val="1"/>
          <w:sz w:val="23"/>
          <w:szCs w:val="23"/>
          <w:highlight w:val="none"/>
        </w:rPr>
        <w:t>/</w:t>
      </w:r>
      <w:r>
        <w:rPr>
          <w:rFonts w:hint="default" w:ascii="Times New Roman" w:hAnsi="Times New Roman" w:eastAsia="Times New Roman" w:cs="Times New Roman"/>
          <w:position w:val="1"/>
          <w:sz w:val="23"/>
          <w:szCs w:val="23"/>
          <w:highlight w:val="none"/>
        </w:rPr>
        <w:t>Nm</w:t>
      </w:r>
      <w:r>
        <w:rPr>
          <w:rFonts w:hint="default" w:ascii="Times New Roman" w:hAnsi="Times New Roman" w:eastAsia="Times New Roman" w:cs="Times New Roman"/>
          <w:spacing w:val="3"/>
          <w:position w:val="9"/>
          <w:sz w:val="15"/>
          <w:szCs w:val="15"/>
          <w:highlight w:val="none"/>
        </w:rPr>
        <w:t xml:space="preserve">3 </w:t>
      </w:r>
      <w:r>
        <w:rPr>
          <w:rFonts w:hint="default" w:ascii="Times New Roman" w:hAnsi="Times New Roman" w:eastAsia="宋体" w:cs="Times New Roman"/>
          <w:spacing w:val="3"/>
          <w:position w:val="1"/>
          <w:sz w:val="23"/>
          <w:szCs w:val="23"/>
          <w:highlight w:val="none"/>
        </w:rPr>
        <w:t>要求。</w:t>
      </w:r>
    </w:p>
    <w:p>
      <w:pPr>
        <w:spacing w:before="219" w:line="226" w:lineRule="auto"/>
        <w:ind w:left="49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8"/>
          <w:sz w:val="23"/>
          <w:szCs w:val="23"/>
          <w:highlight w:val="none"/>
        </w:rPr>
        <w:t>②</w:t>
      </w:r>
      <w:r>
        <w:rPr>
          <w:rFonts w:hint="default" w:ascii="Times New Roman" w:hAnsi="Times New Roman" w:eastAsia="宋体" w:cs="Times New Roman"/>
          <w:spacing w:val="9"/>
          <w:sz w:val="23"/>
          <w:szCs w:val="23"/>
          <w:highlight w:val="none"/>
        </w:rPr>
        <w:t>矿石破碎、筛分过程中产生的颗粒物</w:t>
      </w:r>
    </w:p>
    <w:p>
      <w:pPr>
        <w:spacing w:before="220" w:line="400" w:lineRule="auto"/>
        <w:ind w:left="21" w:right="11"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对</w:t>
      </w:r>
      <w:r>
        <w:rPr>
          <w:rFonts w:hint="default" w:ascii="Times New Roman" w:hAnsi="Times New Roman" w:eastAsia="宋体" w:cs="Times New Roman"/>
          <w:spacing w:val="7"/>
          <w:sz w:val="23"/>
          <w:szCs w:val="23"/>
          <w:highlight w:val="none"/>
        </w:rPr>
        <w:t>于本项目矿石破碎、筛分过程产生颗粒物，使用离线脉冲布袋除尘器进行</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处理，除</w:t>
      </w:r>
      <w:r>
        <w:rPr>
          <w:rFonts w:hint="default" w:ascii="Times New Roman" w:hAnsi="Times New Roman" w:eastAsia="宋体" w:cs="Times New Roman"/>
          <w:spacing w:val="7"/>
          <w:sz w:val="23"/>
          <w:szCs w:val="23"/>
          <w:highlight w:val="none"/>
        </w:rPr>
        <w:t>尘</w:t>
      </w:r>
      <w:r>
        <w:rPr>
          <w:rFonts w:hint="default" w:ascii="Times New Roman" w:hAnsi="Times New Roman" w:eastAsia="宋体" w:cs="Times New Roman"/>
          <w:spacing w:val="4"/>
          <w:sz w:val="23"/>
          <w:szCs w:val="23"/>
          <w:highlight w:val="none"/>
        </w:rPr>
        <w:t xml:space="preserve">器除尘效率为 </w:t>
      </w:r>
      <w:r>
        <w:rPr>
          <w:rFonts w:hint="default" w:ascii="Times New Roman" w:hAnsi="Times New Roman" w:eastAsia="Times New Roman" w:cs="Times New Roman"/>
          <w:spacing w:val="4"/>
          <w:sz w:val="23"/>
          <w:szCs w:val="23"/>
          <w:highlight w:val="none"/>
        </w:rPr>
        <w:t>99.</w:t>
      </w:r>
      <w:r>
        <w:rPr>
          <w:rFonts w:hint="eastAsia" w:ascii="Times New Roman" w:hAnsi="Times New Roman" w:eastAsia="宋体" w:cs="Times New Roman"/>
          <w:spacing w:val="4"/>
          <w:sz w:val="23"/>
          <w:szCs w:val="23"/>
          <w:highlight w:val="none"/>
          <w:lang w:val="en-US" w:eastAsia="zh-CN"/>
        </w:rPr>
        <w:t>9</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，采用集气罩将颗粒物收集引入到除尘器进行处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 xml:space="preserve">理，颗粒物处理后经 </w:t>
      </w:r>
      <w:r>
        <w:rPr>
          <w:rFonts w:hint="default" w:ascii="Times New Roman" w:hAnsi="Times New Roman" w:eastAsia="Times New Roman" w:cs="Times New Roman"/>
          <w:spacing w:val="10"/>
          <w:sz w:val="23"/>
          <w:szCs w:val="23"/>
          <w:highlight w:val="none"/>
        </w:rPr>
        <w:t>19</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0"/>
          <w:sz w:val="23"/>
          <w:szCs w:val="23"/>
          <w:highlight w:val="none"/>
        </w:rPr>
        <w:t xml:space="preserve"> </w:t>
      </w:r>
      <w:r>
        <w:rPr>
          <w:rFonts w:hint="default" w:ascii="Times New Roman" w:hAnsi="Times New Roman" w:eastAsia="宋体" w:cs="Times New Roman"/>
          <w:spacing w:val="10"/>
          <w:sz w:val="23"/>
          <w:szCs w:val="23"/>
          <w:highlight w:val="none"/>
        </w:rPr>
        <w:t>排气筒排放，颗粒物的排放浓度满足《铁矿采选工业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污染物排放标准》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6"/>
          <w:sz w:val="23"/>
          <w:szCs w:val="23"/>
          <w:highlight w:val="none"/>
        </w:rPr>
        <w:t>28661-2012</w:t>
      </w:r>
      <w:r>
        <w:rPr>
          <w:rFonts w:hint="default" w:ascii="Times New Roman" w:hAnsi="Times New Roman" w:eastAsia="宋体" w:cs="Times New Roman"/>
          <w:spacing w:val="6"/>
          <w:sz w:val="23"/>
          <w:szCs w:val="23"/>
          <w:highlight w:val="none"/>
        </w:rPr>
        <w:t xml:space="preserve">) 表 </w:t>
      </w:r>
      <w:r>
        <w:rPr>
          <w:rFonts w:hint="default" w:ascii="Times New Roman" w:hAnsi="Times New Roman" w:eastAsia="Times New Roman" w:cs="Times New Roman"/>
          <w:spacing w:val="6"/>
          <w:sz w:val="23"/>
          <w:szCs w:val="23"/>
          <w:highlight w:val="none"/>
        </w:rPr>
        <w:t xml:space="preserve">6 </w:t>
      </w:r>
      <w:r>
        <w:rPr>
          <w:rFonts w:hint="default" w:ascii="Times New Roman" w:hAnsi="Times New Roman" w:eastAsia="宋体" w:cs="Times New Roman"/>
          <w:spacing w:val="6"/>
          <w:sz w:val="23"/>
          <w:szCs w:val="23"/>
          <w:highlight w:val="none"/>
        </w:rPr>
        <w:t>中规定的选矿厂各工艺污染物特别排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放限值，</w:t>
      </w:r>
      <w:r>
        <w:rPr>
          <w:rFonts w:hint="default" w:ascii="Times New Roman" w:hAnsi="Times New Roman" w:eastAsia="宋体" w:cs="Times New Roman"/>
          <w:spacing w:val="7"/>
          <w:sz w:val="23"/>
          <w:szCs w:val="23"/>
          <w:highlight w:val="none"/>
        </w:rPr>
        <w:t>破</w:t>
      </w:r>
      <w:r>
        <w:rPr>
          <w:rFonts w:hint="default" w:ascii="Times New Roman" w:hAnsi="Times New Roman" w:eastAsia="宋体" w:cs="Times New Roman"/>
          <w:spacing w:val="6"/>
          <w:sz w:val="23"/>
          <w:szCs w:val="23"/>
          <w:highlight w:val="none"/>
        </w:rPr>
        <w:t xml:space="preserve">碎生产工序颗粒物最高允许排放限值为 </w:t>
      </w:r>
      <w:r>
        <w:rPr>
          <w:rFonts w:hint="default" w:ascii="Times New Roman" w:hAnsi="Times New Roman" w:eastAsia="Times New Roman" w:cs="Times New Roman"/>
          <w:spacing w:val="6"/>
          <w:sz w:val="23"/>
          <w:szCs w:val="23"/>
          <w:highlight w:val="none"/>
        </w:rPr>
        <w:t>10</w:t>
      </w:r>
      <w:r>
        <w:rPr>
          <w:rFonts w:hint="default" w:ascii="Times New Roman" w:hAnsi="Times New Roman" w:eastAsia="Times New Roman" w:cs="Times New Roman"/>
          <w:sz w:val="23"/>
          <w:szCs w:val="23"/>
          <w:highlight w:val="none"/>
        </w:rPr>
        <w:t>mg</w:t>
      </w:r>
      <w:r>
        <w:rPr>
          <w:rFonts w:hint="default" w:ascii="Times New Roman" w:hAnsi="Times New Roman" w:eastAsia="Times New Roman" w:cs="Times New Roman"/>
          <w:spacing w:val="6"/>
          <w:sz w:val="23"/>
          <w:szCs w:val="23"/>
          <w:highlight w:val="none"/>
        </w:rPr>
        <w:t>/</w:t>
      </w:r>
      <w:r>
        <w:rPr>
          <w:rFonts w:hint="default" w:ascii="Times New Roman" w:hAnsi="Times New Roman" w:eastAsia="Times New Roman" w:cs="Times New Roman"/>
          <w:sz w:val="23"/>
          <w:szCs w:val="23"/>
          <w:highlight w:val="none"/>
        </w:rPr>
        <w:t>Nm</w:t>
      </w:r>
      <w:r>
        <w:rPr>
          <w:rFonts w:hint="default" w:ascii="Times New Roman" w:hAnsi="Times New Roman" w:eastAsia="Times New Roman" w:cs="Times New Roman"/>
          <w:spacing w:val="6"/>
          <w:position w:val="8"/>
          <w:sz w:val="15"/>
          <w:szCs w:val="15"/>
          <w:highlight w:val="none"/>
        </w:rPr>
        <w:t xml:space="preserve">3 </w:t>
      </w:r>
      <w:r>
        <w:rPr>
          <w:rFonts w:hint="default" w:ascii="Times New Roman" w:hAnsi="Times New Roman" w:eastAsia="宋体" w:cs="Times New Roman"/>
          <w:spacing w:val="6"/>
          <w:sz w:val="23"/>
          <w:szCs w:val="23"/>
          <w:highlight w:val="none"/>
        </w:rPr>
        <w:t>，排气筒高度不低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 xml:space="preserve">于 </w:t>
      </w:r>
      <w:r>
        <w:rPr>
          <w:rFonts w:hint="default" w:ascii="Times New Roman" w:hAnsi="Times New Roman" w:eastAsia="Times New Roman" w:cs="Times New Roman"/>
          <w:spacing w:val="-1"/>
          <w:sz w:val="23"/>
          <w:szCs w:val="23"/>
          <w:highlight w:val="none"/>
        </w:rPr>
        <w:t>15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1"/>
          <w:sz w:val="23"/>
          <w:szCs w:val="23"/>
          <w:highlight w:val="none"/>
        </w:rPr>
        <w:t xml:space="preserve"> </w:t>
      </w:r>
      <w:r>
        <w:rPr>
          <w:rFonts w:hint="default" w:ascii="Times New Roman" w:hAnsi="Times New Roman" w:eastAsia="宋体" w:cs="Times New Roman"/>
          <w:spacing w:val="-1"/>
          <w:sz w:val="23"/>
          <w:szCs w:val="23"/>
          <w:highlight w:val="none"/>
        </w:rPr>
        <w:t>的</w:t>
      </w:r>
      <w:r>
        <w:rPr>
          <w:rFonts w:hint="default" w:ascii="Times New Roman" w:hAnsi="Times New Roman" w:eastAsia="宋体" w:cs="Times New Roman"/>
          <w:sz w:val="23"/>
          <w:szCs w:val="23"/>
          <w:highlight w:val="none"/>
        </w:rPr>
        <w:t>要求。</w:t>
      </w:r>
    </w:p>
    <w:p>
      <w:pPr>
        <w:spacing w:before="220" w:line="228"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5"/>
          <w:sz w:val="23"/>
          <w:szCs w:val="23"/>
          <w:highlight w:val="none"/>
        </w:rPr>
        <w:t>(</w:t>
      </w:r>
      <w:r>
        <w:rPr>
          <w:rFonts w:hint="default" w:ascii="Times New Roman" w:hAnsi="Times New Roman" w:eastAsia="Times New Roman" w:cs="Times New Roman"/>
          <w:spacing w:val="18"/>
          <w:sz w:val="23"/>
          <w:szCs w:val="23"/>
          <w:highlight w:val="none"/>
        </w:rPr>
        <w:t>2</w:t>
      </w:r>
      <w:r>
        <w:rPr>
          <w:rFonts w:hint="default" w:ascii="Times New Roman" w:hAnsi="Times New Roman" w:eastAsia="宋体" w:cs="Times New Roman"/>
          <w:spacing w:val="18"/>
          <w:sz w:val="23"/>
          <w:szCs w:val="23"/>
          <w:highlight w:val="none"/>
        </w:rPr>
        <w:t>) 废水污染源</w:t>
      </w:r>
    </w:p>
    <w:p>
      <w:pPr>
        <w:spacing w:before="216" w:line="401" w:lineRule="auto"/>
        <w:ind w:left="22" w:right="11"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本项目产生的生产废水经处理后循环用于生产；车辆冲洗废水经沉淀后循</w:t>
      </w:r>
      <w:r>
        <w:rPr>
          <w:rFonts w:hint="default" w:ascii="Times New Roman" w:hAnsi="Times New Roman" w:eastAsia="宋体" w:cs="Times New Roman"/>
          <w:spacing w:val="6"/>
          <w:sz w:val="23"/>
          <w:szCs w:val="23"/>
          <w:highlight w:val="none"/>
        </w:rPr>
        <w:t>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使</w:t>
      </w:r>
      <w:r>
        <w:rPr>
          <w:rFonts w:hint="default" w:ascii="Times New Roman" w:hAnsi="Times New Roman" w:eastAsia="宋体" w:cs="Times New Roman"/>
          <w:spacing w:val="9"/>
          <w:sz w:val="23"/>
          <w:szCs w:val="23"/>
          <w:highlight w:val="none"/>
        </w:rPr>
        <w:t>用。</w:t>
      </w:r>
    </w:p>
    <w:p>
      <w:pPr>
        <w:spacing w:line="231" w:lineRule="auto"/>
        <w:ind w:left="519"/>
        <w:rPr>
          <w:rFonts w:hint="default" w:ascii="Times New Roman" w:hAnsi="Times New Roman" w:cs="Times New Roman"/>
          <w:sz w:val="21"/>
          <w:highlight w:val="none"/>
        </w:rPr>
      </w:pPr>
      <w:r>
        <w:rPr>
          <w:rFonts w:hint="default" w:ascii="Times New Roman" w:hAnsi="Times New Roman" w:eastAsia="宋体" w:cs="Times New Roman"/>
          <w:spacing w:val="16"/>
          <w:sz w:val="23"/>
          <w:szCs w:val="23"/>
          <w:highlight w:val="none"/>
        </w:rPr>
        <w:t>因此</w:t>
      </w:r>
      <w:r>
        <w:rPr>
          <w:rFonts w:hint="default" w:ascii="Times New Roman" w:hAnsi="Times New Roman" w:eastAsia="宋体" w:cs="Times New Roman"/>
          <w:spacing w:val="11"/>
          <w:sz w:val="23"/>
          <w:szCs w:val="23"/>
          <w:highlight w:val="none"/>
        </w:rPr>
        <w:t>，</w:t>
      </w:r>
      <w:r>
        <w:rPr>
          <w:rFonts w:hint="default" w:ascii="Times New Roman" w:hAnsi="Times New Roman" w:eastAsia="宋体" w:cs="Times New Roman"/>
          <w:spacing w:val="8"/>
          <w:sz w:val="23"/>
          <w:szCs w:val="23"/>
          <w:highlight w:val="none"/>
        </w:rPr>
        <w:t>本项目无废水外排，不会对区域地表水环境产生污染影响。</w:t>
      </w:r>
      <w:r>
        <w:rPr>
          <w:rFonts w:hint="default" w:ascii="Times New Roman" w:hAnsi="Times New Roman" w:cs="Times New Roman"/>
          <w:highlight w:val="none"/>
        </w:rPr>
        <w:pict>
          <v:shape id="_x0000_s1411" o:spid="_x0000_s1411" style="position:absolute;left:0pt;margin-left:89.85pt;margin-top:59.05pt;height:0.75pt;width:415.65pt;mso-position-horizontal-relative:page;mso-position-vertical-relative:page;z-index:251843584;mso-width-relative:page;mso-height-relative:page;" fillcolor="#000000" filled="t" stroked="f" coordsize="8312,15" o:allowincell="f" path="m0,0l8312,0,8312,14,0,14,0,0xe">
            <v:path/>
            <v:fill on="t" focussize="0,0"/>
            <v:stroke on="f"/>
            <v:imagedata o:title=""/>
            <o:lock v:ext="edit"/>
          </v:shape>
        </w:pict>
      </w:r>
    </w:p>
    <w:p>
      <w:pPr>
        <w:spacing w:before="74" w:line="229"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5"/>
          <w:sz w:val="23"/>
          <w:szCs w:val="23"/>
          <w:highlight w:val="none"/>
        </w:rPr>
        <w:t>(</w:t>
      </w:r>
      <w:r>
        <w:rPr>
          <w:rFonts w:hint="default" w:ascii="Times New Roman" w:hAnsi="Times New Roman" w:eastAsia="Times New Roman" w:cs="Times New Roman"/>
          <w:spacing w:val="18"/>
          <w:sz w:val="23"/>
          <w:szCs w:val="23"/>
          <w:highlight w:val="none"/>
        </w:rPr>
        <w:t>3</w:t>
      </w:r>
      <w:r>
        <w:rPr>
          <w:rFonts w:hint="default" w:ascii="Times New Roman" w:hAnsi="Times New Roman" w:eastAsia="宋体" w:cs="Times New Roman"/>
          <w:spacing w:val="18"/>
          <w:sz w:val="23"/>
          <w:szCs w:val="23"/>
          <w:highlight w:val="none"/>
        </w:rPr>
        <w:t>) 噪声污染源</w:t>
      </w:r>
    </w:p>
    <w:p>
      <w:pPr>
        <w:spacing w:before="217" w:line="401" w:lineRule="auto"/>
        <w:ind w:left="22" w:right="55"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本项目噪声源主要为生产设备、风机等运行过程中产生的噪声，建设项目</w:t>
      </w:r>
      <w:r>
        <w:rPr>
          <w:rFonts w:hint="default" w:ascii="Times New Roman" w:hAnsi="Times New Roman" w:eastAsia="宋体" w:cs="Times New Roman"/>
          <w:spacing w:val="6"/>
          <w:sz w:val="23"/>
          <w:szCs w:val="23"/>
          <w:highlight w:val="none"/>
        </w:rPr>
        <w:t>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过</w:t>
      </w:r>
      <w:r>
        <w:rPr>
          <w:rFonts w:hint="default" w:ascii="Times New Roman" w:hAnsi="Times New Roman" w:eastAsia="宋体" w:cs="Times New Roman"/>
          <w:spacing w:val="7"/>
          <w:sz w:val="23"/>
          <w:szCs w:val="23"/>
          <w:highlight w:val="none"/>
        </w:rPr>
        <w:t>对噪声设备采取相应隔声、减振、合理布局等措施，厂界噪声均可达到《工业企业</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厂</w:t>
      </w:r>
      <w:r>
        <w:rPr>
          <w:rFonts w:hint="default" w:ascii="Times New Roman" w:hAnsi="Times New Roman" w:eastAsia="宋体" w:cs="Times New Roman"/>
          <w:spacing w:val="10"/>
          <w:sz w:val="23"/>
          <w:szCs w:val="23"/>
          <w:highlight w:val="none"/>
        </w:rPr>
        <w:t>界</w:t>
      </w:r>
      <w:r>
        <w:rPr>
          <w:rFonts w:hint="default" w:ascii="Times New Roman" w:hAnsi="Times New Roman" w:eastAsia="宋体" w:cs="Times New Roman"/>
          <w:spacing w:val="6"/>
          <w:sz w:val="23"/>
          <w:szCs w:val="23"/>
          <w:highlight w:val="none"/>
        </w:rPr>
        <w:t>环境噪声排放标准》 (</w:t>
      </w:r>
      <w:r>
        <w:rPr>
          <w:rFonts w:hint="default" w:ascii="Times New Roman" w:hAnsi="Times New Roman" w:eastAsia="Times New Roman" w:cs="Times New Roman"/>
          <w:sz w:val="23"/>
          <w:szCs w:val="23"/>
          <w:highlight w:val="none"/>
        </w:rPr>
        <w:t>GB</w:t>
      </w:r>
      <w:r>
        <w:rPr>
          <w:rFonts w:hint="default" w:ascii="Times New Roman" w:hAnsi="Times New Roman" w:eastAsia="Times New Roman" w:cs="Times New Roman"/>
          <w:spacing w:val="6"/>
          <w:sz w:val="23"/>
          <w:szCs w:val="23"/>
          <w:highlight w:val="none"/>
        </w:rPr>
        <w:t>12348-2008</w:t>
      </w:r>
      <w:r>
        <w:rPr>
          <w:rFonts w:hint="default" w:ascii="Times New Roman" w:hAnsi="Times New Roman" w:eastAsia="宋体" w:cs="Times New Roman"/>
          <w:spacing w:val="6"/>
          <w:sz w:val="23"/>
          <w:szCs w:val="23"/>
          <w:highlight w:val="none"/>
        </w:rPr>
        <w:t xml:space="preserve">) </w:t>
      </w:r>
      <w:r>
        <w:rPr>
          <w:rFonts w:hint="default" w:ascii="Times New Roman" w:hAnsi="Times New Roman" w:eastAsia="Times New Roman" w:cs="Times New Roman"/>
          <w:spacing w:val="6"/>
          <w:sz w:val="23"/>
          <w:szCs w:val="23"/>
          <w:highlight w:val="none"/>
        </w:rPr>
        <w:t xml:space="preserve">2 </w:t>
      </w:r>
      <w:r>
        <w:rPr>
          <w:rFonts w:hint="default" w:ascii="Times New Roman" w:hAnsi="Times New Roman" w:eastAsia="宋体" w:cs="Times New Roman"/>
          <w:spacing w:val="6"/>
          <w:sz w:val="23"/>
          <w:szCs w:val="23"/>
          <w:highlight w:val="none"/>
        </w:rPr>
        <w:t>类标准。</w:t>
      </w:r>
    </w:p>
    <w:p>
      <w:pPr>
        <w:spacing w:before="1" w:line="228"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噪</w:t>
      </w:r>
      <w:r>
        <w:rPr>
          <w:rFonts w:hint="default" w:ascii="Times New Roman" w:hAnsi="Times New Roman" w:eastAsia="宋体" w:cs="Times New Roman"/>
          <w:spacing w:val="7"/>
          <w:sz w:val="23"/>
          <w:szCs w:val="23"/>
          <w:highlight w:val="none"/>
        </w:rPr>
        <w:t>声污染防治措施可行。</w:t>
      </w:r>
    </w:p>
    <w:p>
      <w:pPr>
        <w:spacing w:before="213" w:line="229"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0"/>
          <w:sz w:val="23"/>
          <w:szCs w:val="23"/>
          <w:highlight w:val="none"/>
        </w:rPr>
        <w:t>(</w:t>
      </w:r>
      <w:r>
        <w:rPr>
          <w:rFonts w:hint="default" w:ascii="Times New Roman" w:hAnsi="Times New Roman" w:eastAsia="Times New Roman" w:cs="Times New Roman"/>
          <w:spacing w:val="20"/>
          <w:sz w:val="23"/>
          <w:szCs w:val="23"/>
          <w:highlight w:val="none"/>
        </w:rPr>
        <w:t>4</w:t>
      </w:r>
      <w:r>
        <w:rPr>
          <w:rFonts w:hint="default" w:ascii="Times New Roman" w:hAnsi="Times New Roman" w:eastAsia="宋体" w:cs="Times New Roman"/>
          <w:spacing w:val="20"/>
          <w:sz w:val="23"/>
          <w:szCs w:val="23"/>
          <w:highlight w:val="none"/>
        </w:rPr>
        <w:t>) 固体废</w:t>
      </w:r>
      <w:r>
        <w:rPr>
          <w:rFonts w:hint="default" w:ascii="Times New Roman" w:hAnsi="Times New Roman" w:eastAsia="宋体" w:cs="Times New Roman"/>
          <w:spacing w:val="19"/>
          <w:sz w:val="23"/>
          <w:szCs w:val="23"/>
          <w:highlight w:val="none"/>
        </w:rPr>
        <w:t>物</w:t>
      </w:r>
    </w:p>
    <w:p>
      <w:pPr>
        <w:spacing w:before="217" w:line="401" w:lineRule="auto"/>
        <w:ind w:left="20" w:right="127" w:firstLine="480"/>
        <w:rPr>
          <w:rFonts w:hint="default"/>
          <w:highlight w:val="none"/>
        </w:rPr>
      </w:pPr>
      <w:r>
        <w:rPr>
          <w:rFonts w:hint="default" w:ascii="Times New Roman" w:hAnsi="Times New Roman" w:eastAsia="宋体" w:cs="Times New Roman"/>
          <w:spacing w:val="11"/>
          <w:sz w:val="23"/>
          <w:szCs w:val="23"/>
          <w:highlight w:val="none"/>
        </w:rPr>
        <w:t>本项目尾矿砂主要成分为</w:t>
      </w:r>
      <w:r>
        <w:rPr>
          <w:rFonts w:hint="default" w:ascii="Times New Roman" w:hAnsi="Times New Roman" w:eastAsia="Times New Roman" w:cs="Times New Roman"/>
          <w:sz w:val="23"/>
          <w:szCs w:val="23"/>
          <w:highlight w:val="none"/>
        </w:rPr>
        <w:t>SiO</w:t>
      </w:r>
      <w:r>
        <w:rPr>
          <w:rFonts w:hint="default" w:ascii="Times New Roman" w:hAnsi="Times New Roman" w:eastAsia="Times New Roman" w:cs="Times New Roman"/>
          <w:spacing w:val="10"/>
          <w:position w:val="-1"/>
          <w:sz w:val="15"/>
          <w:szCs w:val="15"/>
          <w:highlight w:val="none"/>
        </w:rPr>
        <w:t>2</w:t>
      </w:r>
      <w:r>
        <w:rPr>
          <w:rFonts w:hint="default" w:ascii="Times New Roman" w:hAnsi="Times New Roman" w:eastAsia="Times New Roman" w:cs="Times New Roman"/>
          <w:position w:val="-1"/>
          <w:sz w:val="15"/>
          <w:szCs w:val="15"/>
          <w:highlight w:val="none"/>
        </w:rPr>
        <w:t xml:space="preserve">  </w:t>
      </w:r>
      <w:r>
        <w:rPr>
          <w:rFonts w:hint="default" w:ascii="Times New Roman" w:hAnsi="Times New Roman" w:eastAsia="宋体" w:cs="Times New Roman"/>
          <w:spacing w:val="12"/>
          <w:sz w:val="23"/>
          <w:szCs w:val="23"/>
          <w:highlight w:val="none"/>
        </w:rPr>
        <w:t>和</w:t>
      </w:r>
      <w:r>
        <w:rPr>
          <w:rFonts w:hint="default" w:ascii="Times New Roman" w:hAnsi="Times New Roman" w:eastAsia="Times New Roman" w:cs="Times New Roman"/>
          <w:sz w:val="23"/>
          <w:szCs w:val="23"/>
          <w:highlight w:val="none"/>
        </w:rPr>
        <w:t>Fe</w:t>
      </w:r>
      <w:r>
        <w:rPr>
          <w:rFonts w:hint="default" w:ascii="Times New Roman" w:hAnsi="Times New Roman" w:eastAsia="宋体" w:cs="Times New Roman"/>
          <w:spacing w:val="12"/>
          <w:sz w:val="23"/>
          <w:szCs w:val="23"/>
          <w:highlight w:val="none"/>
        </w:rPr>
        <w:t>等元</w:t>
      </w:r>
      <w:r>
        <w:rPr>
          <w:rFonts w:hint="default" w:ascii="Times New Roman" w:hAnsi="Times New Roman" w:eastAsia="宋体" w:cs="Times New Roman"/>
          <w:spacing w:val="11"/>
          <w:sz w:val="23"/>
          <w:szCs w:val="23"/>
          <w:highlight w:val="none"/>
        </w:rPr>
        <w:t>素</w:t>
      </w:r>
      <w:r>
        <w:rPr>
          <w:rFonts w:hint="default" w:ascii="Times New Roman" w:hAnsi="Times New Roman" w:eastAsia="宋体" w:cs="Times New Roman"/>
          <w:spacing w:val="6"/>
          <w:sz w:val="23"/>
          <w:szCs w:val="23"/>
          <w:highlight w:val="none"/>
        </w:rPr>
        <w:t>，不含有毒有害物质，</w:t>
      </w:r>
      <w:r>
        <w:rPr>
          <w:rFonts w:hint="eastAsia" w:ascii="Times New Roman" w:hAnsi="Times New Roman" w:eastAsia="宋体" w:cs="Times New Roman"/>
          <w:spacing w:val="6"/>
          <w:sz w:val="23"/>
          <w:szCs w:val="23"/>
          <w:highlight w:val="none"/>
          <w:lang w:val="en-US" w:eastAsia="zh-CN"/>
        </w:rPr>
        <w:t>尾矿砂作为建筑材料外售，泥饼作为建筑材料外售</w:t>
      </w:r>
      <w:r>
        <w:rPr>
          <w:rFonts w:hint="default" w:ascii="Times New Roman" w:hAnsi="Times New Roman" w:eastAsia="宋体" w:cs="Times New Roman"/>
          <w:spacing w:val="6"/>
          <w:sz w:val="23"/>
          <w:szCs w:val="23"/>
          <w:highlight w:val="none"/>
        </w:rPr>
        <w:t>；布袋除尘器</w:t>
      </w:r>
      <w:r>
        <w:rPr>
          <w:rFonts w:hint="default" w:ascii="Times New Roman" w:hAnsi="Times New Roman" w:eastAsia="宋体" w:cs="Times New Roman"/>
          <w:spacing w:val="2"/>
          <w:sz w:val="23"/>
          <w:szCs w:val="23"/>
          <w:highlight w:val="none"/>
        </w:rPr>
        <w:t>收集的除尘灰集中收集后</w:t>
      </w:r>
      <w:r>
        <w:rPr>
          <w:rFonts w:hint="eastAsia" w:ascii="Times New Roman" w:hAnsi="Times New Roman" w:eastAsia="宋体" w:cs="Times New Roman"/>
          <w:spacing w:val="8"/>
          <w:sz w:val="23"/>
          <w:szCs w:val="23"/>
          <w:highlight w:val="none"/>
          <w:lang w:val="en-US" w:eastAsia="zh-CN"/>
        </w:rPr>
        <w:t>，卸灰至灰仓下部水</w:t>
      </w:r>
      <w:r>
        <w:rPr>
          <w:rFonts w:hint="eastAsia" w:ascii="Times New Roman" w:hAnsi="Times New Roman" w:eastAsia="宋体" w:cs="Times New Roman"/>
          <w:spacing w:val="29"/>
          <w:sz w:val="23"/>
          <w:szCs w:val="23"/>
          <w:highlight w:val="none"/>
          <w:lang w:val="en-US" w:eastAsia="zh-CN"/>
        </w:rPr>
        <w:t>箱内，由渣浆泵打入球磨机回用于生产，</w:t>
      </w:r>
      <w:r>
        <w:rPr>
          <w:rFonts w:hint="eastAsia" w:ascii="Times New Roman" w:hAnsi="Times New Roman" w:eastAsia="宋体" w:cs="Times New Roman"/>
          <w:spacing w:val="7"/>
          <w:sz w:val="23"/>
          <w:szCs w:val="23"/>
          <w:highlight w:val="none"/>
          <w:lang w:val="en-US" w:eastAsia="zh-CN"/>
        </w:rPr>
        <w:t>球磨机产生的废</w:t>
      </w:r>
      <w:r>
        <w:rPr>
          <w:rFonts w:hint="eastAsia" w:ascii="Times New Roman" w:hAnsi="Times New Roman" w:eastAsia="宋体" w:cs="Times New Roman"/>
          <w:spacing w:val="8"/>
          <w:sz w:val="23"/>
          <w:szCs w:val="23"/>
          <w:highlight w:val="none"/>
          <w:lang w:val="en-US" w:eastAsia="zh-CN"/>
        </w:rPr>
        <w:t>钢球外售废品回收单位</w:t>
      </w:r>
      <w:r>
        <w:rPr>
          <w:rFonts w:hint="default" w:ascii="Times New Roman" w:hAnsi="Times New Roman" w:eastAsia="宋体" w:cs="Times New Roman"/>
          <w:spacing w:val="8"/>
          <w:sz w:val="23"/>
          <w:szCs w:val="23"/>
          <w:highlight w:val="none"/>
          <w:lang w:val="en-US" w:eastAsia="zh-CN"/>
        </w:rPr>
        <w:t>。</w:t>
      </w:r>
      <w:r>
        <w:rPr>
          <w:rFonts w:hint="default" w:ascii="Times New Roman" w:hAnsi="Times New Roman" w:eastAsia="宋体" w:cs="Times New Roman"/>
          <w:spacing w:val="7"/>
          <w:sz w:val="23"/>
          <w:szCs w:val="23"/>
          <w:highlight w:val="none"/>
        </w:rPr>
        <w:t>废矿物油用耐腐蚀容器收集后暂存于危废贮存间，定期由有资质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的</w:t>
      </w:r>
      <w:r>
        <w:rPr>
          <w:rFonts w:hint="default" w:ascii="Times New Roman" w:hAnsi="Times New Roman" w:eastAsia="宋体" w:cs="Times New Roman"/>
          <w:spacing w:val="7"/>
          <w:sz w:val="23"/>
          <w:szCs w:val="23"/>
          <w:highlight w:val="none"/>
        </w:rPr>
        <w:t>危险废物处置单位处理，废油桶于危废间暂存后由厂家回收再利用。</w:t>
      </w:r>
    </w:p>
    <w:p>
      <w:pPr>
        <w:spacing w:line="227" w:lineRule="auto"/>
        <w:ind w:left="50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本项</w:t>
      </w:r>
      <w:r>
        <w:rPr>
          <w:rFonts w:hint="default" w:ascii="Times New Roman" w:hAnsi="Times New Roman" w:eastAsia="宋体" w:cs="Times New Roman"/>
          <w:spacing w:val="8"/>
          <w:sz w:val="23"/>
          <w:szCs w:val="23"/>
          <w:highlight w:val="none"/>
        </w:rPr>
        <w:t>目固体废物得到合理处置，不会对周围环境产生明显影响。</w:t>
      </w:r>
    </w:p>
    <w:p>
      <w:pPr>
        <w:spacing w:before="216" w:line="229"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4"/>
          <w:sz w:val="23"/>
          <w:szCs w:val="23"/>
          <w:highlight w:val="none"/>
        </w:rPr>
        <w:t>(</w:t>
      </w:r>
      <w:r>
        <w:rPr>
          <w:rFonts w:hint="default" w:ascii="Times New Roman" w:hAnsi="Times New Roman" w:eastAsia="Times New Roman" w:cs="Times New Roman"/>
          <w:spacing w:val="23"/>
          <w:sz w:val="23"/>
          <w:szCs w:val="23"/>
          <w:highlight w:val="none"/>
        </w:rPr>
        <w:t>5</w:t>
      </w:r>
      <w:r>
        <w:rPr>
          <w:rFonts w:hint="default" w:ascii="Times New Roman" w:hAnsi="Times New Roman" w:eastAsia="宋体" w:cs="Times New Roman"/>
          <w:spacing w:val="23"/>
          <w:sz w:val="23"/>
          <w:szCs w:val="23"/>
          <w:highlight w:val="none"/>
        </w:rPr>
        <w:t>) 防渗</w:t>
      </w:r>
    </w:p>
    <w:p>
      <w:pPr>
        <w:spacing w:before="214" w:line="394" w:lineRule="auto"/>
        <w:ind w:left="21" w:firstLine="480"/>
        <w:rPr>
          <w:rFonts w:hint="default" w:ascii="Times New Roman" w:hAnsi="Times New Roman" w:eastAsia="宋体" w:cs="Times New Roman"/>
          <w:sz w:val="23"/>
          <w:szCs w:val="23"/>
          <w:highlight w:val="none"/>
        </w:rPr>
      </w:pPr>
      <w:r>
        <w:rPr>
          <w:rFonts w:hint="eastAsia" w:ascii="Times New Roman" w:hAnsi="Times New Roman" w:eastAsia="宋体" w:cs="Times New Roman"/>
          <w:spacing w:val="7"/>
          <w:sz w:val="23"/>
          <w:szCs w:val="23"/>
          <w:highlight w:val="none"/>
          <w:lang w:val="en-US" w:eastAsia="zh-CN"/>
        </w:rPr>
        <w:t>厂区现有</w:t>
      </w:r>
      <w:r>
        <w:rPr>
          <w:rFonts w:hint="default" w:ascii="Times New Roman" w:hAnsi="Times New Roman" w:eastAsia="宋体" w:cs="Times New Roman"/>
          <w:spacing w:val="7"/>
          <w:sz w:val="23"/>
          <w:szCs w:val="23"/>
          <w:highlight w:val="none"/>
        </w:rPr>
        <w:t>浓密池、清水池、事故池、车辆清洗沉淀池和化粪池底部及四壁均采用</w:t>
      </w:r>
      <w:r>
        <w:rPr>
          <w:rFonts w:hint="eastAsia" w:ascii="Times New Roman" w:hAnsi="Times New Roman" w:eastAsia="宋体" w:cs="Times New Roman"/>
          <w:spacing w:val="7"/>
          <w:sz w:val="23"/>
          <w:szCs w:val="23"/>
          <w:highlight w:val="none"/>
          <w:lang w:val="en-US" w:eastAsia="zh-CN"/>
        </w:rPr>
        <w:t>了</w:t>
      </w:r>
      <w:r>
        <w:rPr>
          <w:rFonts w:hint="default" w:ascii="Times New Roman" w:hAnsi="Times New Roman" w:eastAsia="宋体" w:cs="Times New Roman"/>
          <w:spacing w:val="7"/>
          <w:sz w:val="23"/>
          <w:szCs w:val="23"/>
          <w:highlight w:val="none"/>
        </w:rPr>
        <w:t>混凝</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3"/>
          <w:sz w:val="23"/>
          <w:szCs w:val="23"/>
          <w:highlight w:val="none"/>
        </w:rPr>
        <w:t xml:space="preserve">土浇筑防渗，厚度为 </w:t>
      </w:r>
      <w:r>
        <w:rPr>
          <w:rFonts w:hint="default" w:ascii="Times New Roman" w:hAnsi="Times New Roman" w:eastAsia="Times New Roman" w:cs="Times New Roman"/>
          <w:spacing w:val="3"/>
          <w:sz w:val="23"/>
          <w:szCs w:val="23"/>
          <w:highlight w:val="none"/>
        </w:rPr>
        <w:t>20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 xml:space="preserve">，防渗系数小于 </w:t>
      </w:r>
      <w:r>
        <w:rPr>
          <w:rFonts w:hint="default" w:ascii="Times New Roman" w:hAnsi="Times New Roman" w:eastAsia="Times New Roman" w:cs="Times New Roman"/>
          <w:spacing w:val="3"/>
          <w:sz w:val="23"/>
          <w:szCs w:val="23"/>
          <w:highlight w:val="none"/>
        </w:rPr>
        <w:t>1×10</w:t>
      </w:r>
      <w:r>
        <w:rPr>
          <w:rFonts w:hint="default" w:ascii="Times New Roman" w:hAnsi="Times New Roman" w:eastAsia="Times New Roman" w:cs="Times New Roman"/>
          <w:spacing w:val="3"/>
          <w:position w:val="8"/>
          <w:sz w:val="15"/>
          <w:szCs w:val="15"/>
          <w:highlight w:val="none"/>
        </w:rPr>
        <w:t xml:space="preserve">-7 </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3"/>
          <w:sz w:val="23"/>
          <w:szCs w:val="23"/>
          <w:highlight w:val="none"/>
        </w:rPr>
        <w:t>/</w:t>
      </w:r>
      <w:r>
        <w:rPr>
          <w:rFonts w:hint="default" w:ascii="Times New Roman" w:hAnsi="Times New Roman" w:eastAsia="Times New Roman" w:cs="Times New Roman"/>
          <w:sz w:val="23"/>
          <w:szCs w:val="23"/>
          <w:highlight w:val="none"/>
        </w:rPr>
        <w:t>s</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3"/>
          <w:sz w:val="23"/>
          <w:szCs w:val="23"/>
          <w:highlight w:val="none"/>
        </w:rPr>
        <w:t>；</w:t>
      </w:r>
      <w:r>
        <w:rPr>
          <w:rFonts w:hint="eastAsia" w:ascii="Times New Roman" w:hAnsi="Times New Roman" w:eastAsia="宋体" w:cs="Times New Roman"/>
          <w:spacing w:val="3"/>
          <w:sz w:val="23"/>
          <w:szCs w:val="23"/>
          <w:highlight w:val="none"/>
          <w:lang w:val="en-US" w:eastAsia="zh-CN"/>
        </w:rPr>
        <w:t>现有</w:t>
      </w:r>
      <w:r>
        <w:rPr>
          <w:rFonts w:hint="default" w:ascii="Times New Roman" w:hAnsi="Times New Roman" w:eastAsia="宋体" w:cs="Times New Roman"/>
          <w:spacing w:val="3"/>
          <w:sz w:val="23"/>
          <w:szCs w:val="23"/>
          <w:highlight w:val="none"/>
        </w:rPr>
        <w:t>危废间地面与裙脚采用</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6"/>
          <w:sz w:val="23"/>
          <w:szCs w:val="23"/>
          <w:highlight w:val="none"/>
        </w:rPr>
        <w:t>土工膜 (</w:t>
      </w:r>
      <w:r>
        <w:rPr>
          <w:rFonts w:hint="default" w:ascii="Times New Roman" w:hAnsi="Times New Roman" w:eastAsia="Times New Roman" w:cs="Times New Roman"/>
          <w:spacing w:val="6"/>
          <w:sz w:val="23"/>
          <w:szCs w:val="23"/>
          <w:highlight w:val="none"/>
        </w:rPr>
        <w:t>2</w:t>
      </w:r>
      <w:r>
        <w:rPr>
          <w:rFonts w:hint="default" w:ascii="Times New Roman" w:hAnsi="Times New Roman" w:eastAsia="Times New Roman" w:cs="Times New Roman"/>
          <w:sz w:val="23"/>
          <w:szCs w:val="23"/>
          <w:highlight w:val="none"/>
        </w:rPr>
        <w:t>mm</w:t>
      </w:r>
      <w:r>
        <w:rPr>
          <w:rFonts w:hint="default" w:ascii="Times New Roman" w:hAnsi="Times New Roman" w:eastAsia="宋体" w:cs="Times New Roman"/>
          <w:spacing w:val="6"/>
          <w:sz w:val="23"/>
          <w:szCs w:val="23"/>
          <w:highlight w:val="none"/>
        </w:rPr>
        <w:t>)</w:t>
      </w:r>
      <w:r>
        <w:rPr>
          <w:rFonts w:hint="default" w:ascii="Times New Roman" w:hAnsi="Times New Roman" w:eastAsia="宋体" w:cs="Times New Roman"/>
          <w:spacing w:val="3"/>
          <w:sz w:val="23"/>
          <w:szCs w:val="23"/>
          <w:highlight w:val="none"/>
        </w:rPr>
        <w:t xml:space="preserve"> 防渗，地面及裙角均采取抗渗水泥防渗，地面水泥厚度为 </w:t>
      </w:r>
      <w:r>
        <w:rPr>
          <w:rFonts w:hint="default" w:ascii="Times New Roman" w:hAnsi="Times New Roman" w:eastAsia="Times New Roman" w:cs="Times New Roman"/>
          <w:spacing w:val="3"/>
          <w:sz w:val="23"/>
          <w:szCs w:val="23"/>
          <w:highlight w:val="none"/>
        </w:rPr>
        <w:t>20</w:t>
      </w:r>
      <w:r>
        <w:rPr>
          <w:rFonts w:hint="default" w:ascii="Times New Roman" w:hAnsi="Times New Roman" w:eastAsia="Times New Roman" w:cs="Times New Roman"/>
          <w:sz w:val="23"/>
          <w:szCs w:val="23"/>
          <w:highlight w:val="none"/>
        </w:rPr>
        <w:t>cm</w:t>
      </w:r>
      <w:r>
        <w:rPr>
          <w:rFonts w:hint="default" w:ascii="Times New Roman" w:hAnsi="Times New Roman" w:eastAsia="宋体" w:cs="Times New Roman"/>
          <w:spacing w:val="3"/>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4"/>
          <w:sz w:val="23"/>
          <w:szCs w:val="23"/>
          <w:highlight w:val="none"/>
        </w:rPr>
        <w:t xml:space="preserve">裙角高度 </w:t>
      </w:r>
      <w:r>
        <w:rPr>
          <w:rFonts w:hint="default" w:ascii="Times New Roman" w:hAnsi="Times New Roman" w:eastAsia="Times New Roman" w:cs="Times New Roman"/>
          <w:spacing w:val="4"/>
          <w:sz w:val="23"/>
          <w:szCs w:val="23"/>
          <w:highlight w:val="none"/>
        </w:rPr>
        <w:t>1.5</w:t>
      </w:r>
      <w:r>
        <w:rPr>
          <w:rFonts w:hint="default" w:ascii="Times New Roman" w:hAnsi="Times New Roman" w:eastAsia="Times New Roman" w:cs="Times New Roman"/>
          <w:sz w:val="23"/>
          <w:szCs w:val="23"/>
          <w:highlight w:val="none"/>
        </w:rPr>
        <w:t>m</w:t>
      </w:r>
      <w:r>
        <w:rPr>
          <w:rFonts w:hint="default" w:ascii="Times New Roman" w:hAnsi="Times New Roman" w:eastAsia="Times New Roman" w:cs="Times New Roman"/>
          <w:spacing w:val="3"/>
          <w:sz w:val="23"/>
          <w:szCs w:val="23"/>
          <w:highlight w:val="none"/>
        </w:rPr>
        <w:t xml:space="preserve"> </w:t>
      </w:r>
      <w:r>
        <w:rPr>
          <w:rFonts w:hint="default" w:ascii="Times New Roman" w:hAnsi="Times New Roman" w:eastAsia="宋体" w:cs="Times New Roman"/>
          <w:spacing w:val="2"/>
          <w:sz w:val="23"/>
          <w:szCs w:val="23"/>
          <w:highlight w:val="none"/>
        </w:rPr>
        <w:t xml:space="preserve">，厚度 </w:t>
      </w:r>
      <w:r>
        <w:rPr>
          <w:rFonts w:hint="default" w:ascii="Times New Roman" w:hAnsi="Times New Roman" w:eastAsia="Times New Roman" w:cs="Times New Roman"/>
          <w:spacing w:val="2"/>
          <w:sz w:val="23"/>
          <w:szCs w:val="23"/>
          <w:highlight w:val="none"/>
        </w:rPr>
        <w:t>20</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2"/>
          <w:sz w:val="23"/>
          <w:szCs w:val="23"/>
          <w:highlight w:val="none"/>
        </w:rPr>
        <w:t xml:space="preserve"> </w:t>
      </w:r>
      <w:r>
        <w:rPr>
          <w:rFonts w:hint="default" w:ascii="Times New Roman" w:hAnsi="Times New Roman" w:eastAsia="宋体" w:cs="Times New Roman"/>
          <w:spacing w:val="2"/>
          <w:sz w:val="23"/>
          <w:szCs w:val="23"/>
          <w:highlight w:val="none"/>
        </w:rPr>
        <w:t>，地面及四周裙脚均应耐腐蚀，耐热且表面无裂隙，</w:t>
      </w:r>
      <w:r>
        <w:rPr>
          <w:rFonts w:hint="default" w:ascii="Times New Roman" w:hAnsi="Times New Roman" w:eastAsia="宋体" w:cs="Times New Roman"/>
          <w:spacing w:val="6"/>
          <w:position w:val="1"/>
          <w:sz w:val="23"/>
          <w:szCs w:val="23"/>
          <w:highlight w:val="none"/>
        </w:rPr>
        <w:t>同时设置</w:t>
      </w:r>
      <w:r>
        <w:rPr>
          <w:rFonts w:hint="default" w:ascii="Times New Roman" w:hAnsi="Times New Roman" w:eastAsia="宋体" w:cs="Times New Roman"/>
          <w:spacing w:val="5"/>
          <w:position w:val="1"/>
          <w:sz w:val="23"/>
          <w:szCs w:val="23"/>
          <w:highlight w:val="none"/>
        </w:rPr>
        <w:t>泄</w:t>
      </w:r>
      <w:r>
        <w:rPr>
          <w:rFonts w:hint="default" w:ascii="Times New Roman" w:hAnsi="Times New Roman" w:eastAsia="宋体" w:cs="Times New Roman"/>
          <w:spacing w:val="3"/>
          <w:position w:val="1"/>
          <w:sz w:val="23"/>
          <w:szCs w:val="23"/>
          <w:highlight w:val="none"/>
        </w:rPr>
        <w:t>漏液体的收集装置</w:t>
      </w:r>
      <w:r>
        <w:rPr>
          <w:rFonts w:hint="eastAsia" w:ascii="Times New Roman" w:hAnsi="Times New Roman" w:eastAsia="宋体" w:cs="Times New Roman"/>
          <w:spacing w:val="3"/>
          <w:position w:val="1"/>
          <w:sz w:val="23"/>
          <w:szCs w:val="23"/>
          <w:highlight w:val="none"/>
          <w:lang w:eastAsia="zh-CN"/>
        </w:rPr>
        <w:t>，</w:t>
      </w:r>
      <w:r>
        <w:rPr>
          <w:rFonts w:hint="default" w:ascii="Times New Roman" w:hAnsi="Times New Roman" w:eastAsia="宋体" w:cs="Times New Roman"/>
          <w:spacing w:val="3"/>
          <w:position w:val="1"/>
          <w:sz w:val="23"/>
          <w:szCs w:val="23"/>
          <w:highlight w:val="none"/>
        </w:rPr>
        <w:t xml:space="preserve">防渗层渗透系数小于 </w:t>
      </w:r>
      <w:r>
        <w:rPr>
          <w:rFonts w:hint="default" w:ascii="Times New Roman" w:hAnsi="Times New Roman" w:eastAsia="Times New Roman" w:cs="Times New Roman"/>
          <w:spacing w:val="3"/>
          <w:position w:val="1"/>
          <w:sz w:val="23"/>
          <w:szCs w:val="23"/>
          <w:highlight w:val="none"/>
        </w:rPr>
        <w:t>10</w:t>
      </w:r>
      <w:r>
        <w:rPr>
          <w:rFonts w:hint="default" w:ascii="Times New Roman" w:hAnsi="Times New Roman" w:eastAsia="Times New Roman" w:cs="Times New Roman"/>
          <w:spacing w:val="3"/>
          <w:position w:val="9"/>
          <w:sz w:val="15"/>
          <w:szCs w:val="15"/>
          <w:highlight w:val="none"/>
        </w:rPr>
        <w:t>- 10</w:t>
      </w:r>
      <w:r>
        <w:rPr>
          <w:rFonts w:hint="default" w:ascii="Times New Roman" w:hAnsi="Times New Roman" w:eastAsia="Times New Roman" w:cs="Times New Roman"/>
          <w:position w:val="1"/>
          <w:sz w:val="23"/>
          <w:szCs w:val="23"/>
          <w:highlight w:val="none"/>
        </w:rPr>
        <w:t>cm</w:t>
      </w:r>
      <w:r>
        <w:rPr>
          <w:rFonts w:hint="default" w:ascii="Times New Roman" w:hAnsi="Times New Roman" w:eastAsia="Times New Roman" w:cs="Times New Roman"/>
          <w:spacing w:val="3"/>
          <w:position w:val="1"/>
          <w:sz w:val="23"/>
          <w:szCs w:val="23"/>
          <w:highlight w:val="none"/>
        </w:rPr>
        <w:t>/</w:t>
      </w:r>
      <w:r>
        <w:rPr>
          <w:rFonts w:hint="default" w:ascii="Times New Roman" w:hAnsi="Times New Roman" w:eastAsia="Times New Roman" w:cs="Times New Roman"/>
          <w:position w:val="1"/>
          <w:sz w:val="23"/>
          <w:szCs w:val="23"/>
          <w:highlight w:val="none"/>
        </w:rPr>
        <w:t>s</w:t>
      </w:r>
      <w:r>
        <w:rPr>
          <w:rFonts w:hint="default" w:ascii="Times New Roman" w:hAnsi="Times New Roman" w:eastAsia="宋体" w:cs="Times New Roman"/>
          <w:spacing w:val="3"/>
          <w:position w:val="1"/>
          <w:sz w:val="23"/>
          <w:szCs w:val="23"/>
          <w:highlight w:val="none"/>
        </w:rPr>
        <w:t>；</w:t>
      </w:r>
      <w:r>
        <w:rPr>
          <w:rFonts w:hint="eastAsia" w:ascii="Times New Roman" w:hAnsi="Times New Roman" w:eastAsia="宋体" w:cs="Times New Roman"/>
          <w:spacing w:val="3"/>
          <w:position w:val="1"/>
          <w:sz w:val="23"/>
          <w:szCs w:val="23"/>
          <w:highlight w:val="none"/>
          <w:lang w:val="en-US" w:eastAsia="zh-CN"/>
        </w:rPr>
        <w:t>新建生产车间地面</w:t>
      </w:r>
      <w:r>
        <w:rPr>
          <w:rFonts w:hint="default" w:ascii="Times New Roman" w:hAnsi="Times New Roman" w:eastAsia="宋体" w:cs="Times New Roman"/>
          <w:spacing w:val="3"/>
          <w:position w:val="1"/>
          <w:sz w:val="23"/>
          <w:szCs w:val="23"/>
          <w:highlight w:val="none"/>
        </w:rPr>
        <w:t>采用</w:t>
      </w:r>
      <w:r>
        <w:rPr>
          <w:rFonts w:hint="default" w:ascii="Times New Roman" w:hAnsi="Times New Roman" w:eastAsia="宋体" w:cs="Times New Roman"/>
          <w:spacing w:val="10"/>
          <w:sz w:val="23"/>
          <w:szCs w:val="23"/>
          <w:highlight w:val="none"/>
        </w:rPr>
        <w:t>混凝土</w:t>
      </w:r>
      <w:r>
        <w:rPr>
          <w:rFonts w:hint="default" w:ascii="Times New Roman" w:hAnsi="Times New Roman" w:eastAsia="宋体" w:cs="Times New Roman"/>
          <w:spacing w:val="7"/>
          <w:sz w:val="23"/>
          <w:szCs w:val="23"/>
          <w:highlight w:val="none"/>
        </w:rPr>
        <w:t>浇</w:t>
      </w:r>
      <w:r>
        <w:rPr>
          <w:rFonts w:hint="default" w:ascii="Times New Roman" w:hAnsi="Times New Roman" w:eastAsia="宋体" w:cs="Times New Roman"/>
          <w:spacing w:val="5"/>
          <w:sz w:val="23"/>
          <w:szCs w:val="23"/>
          <w:highlight w:val="none"/>
        </w:rPr>
        <w:t xml:space="preserve">筑，防渗层渗透系数小于 </w:t>
      </w:r>
      <w:r>
        <w:rPr>
          <w:rFonts w:hint="default" w:ascii="Times New Roman" w:hAnsi="Times New Roman" w:eastAsia="Times New Roman" w:cs="Times New Roman"/>
          <w:spacing w:val="5"/>
          <w:sz w:val="23"/>
          <w:szCs w:val="23"/>
          <w:highlight w:val="none"/>
        </w:rPr>
        <w:t>10</w:t>
      </w:r>
      <w:r>
        <w:rPr>
          <w:rFonts w:hint="default" w:ascii="Times New Roman" w:hAnsi="Times New Roman" w:eastAsia="Times New Roman" w:cs="Times New Roman"/>
          <w:spacing w:val="5"/>
          <w:position w:val="8"/>
          <w:sz w:val="15"/>
          <w:szCs w:val="15"/>
          <w:highlight w:val="none"/>
        </w:rPr>
        <w:t>-7</w:t>
      </w:r>
      <w:r>
        <w:rPr>
          <w:rFonts w:hint="default" w:ascii="Times New Roman" w:hAnsi="Times New Roman" w:eastAsia="Times New Roman" w:cs="Times New Roman"/>
          <w:sz w:val="23"/>
          <w:szCs w:val="23"/>
          <w:highlight w:val="none"/>
        </w:rPr>
        <w:t>cm</w:t>
      </w:r>
      <w:r>
        <w:rPr>
          <w:rFonts w:hint="default" w:ascii="Times New Roman" w:hAnsi="Times New Roman" w:eastAsia="Times New Roman" w:cs="Times New Roman"/>
          <w:spacing w:val="5"/>
          <w:sz w:val="23"/>
          <w:szCs w:val="23"/>
          <w:highlight w:val="none"/>
        </w:rPr>
        <w:t>/</w:t>
      </w:r>
      <w:r>
        <w:rPr>
          <w:rFonts w:hint="default" w:ascii="Times New Roman" w:hAnsi="Times New Roman" w:eastAsia="Times New Roman" w:cs="Times New Roman"/>
          <w:sz w:val="23"/>
          <w:szCs w:val="23"/>
          <w:highlight w:val="none"/>
        </w:rPr>
        <w:t>s</w:t>
      </w:r>
      <w:r>
        <w:rPr>
          <w:rFonts w:hint="default" w:ascii="Times New Roman" w:hAnsi="Times New Roman" w:eastAsia="Times New Roman" w:cs="Times New Roman"/>
          <w:spacing w:val="5"/>
          <w:sz w:val="23"/>
          <w:szCs w:val="23"/>
          <w:highlight w:val="none"/>
        </w:rPr>
        <w:t xml:space="preserve"> </w:t>
      </w:r>
      <w:r>
        <w:rPr>
          <w:rFonts w:hint="default" w:ascii="Times New Roman" w:hAnsi="Times New Roman" w:eastAsia="宋体" w:cs="Times New Roman"/>
          <w:spacing w:val="2"/>
          <w:sz w:val="23"/>
          <w:szCs w:val="23"/>
          <w:highlight w:val="none"/>
        </w:rPr>
        <w:t>。</w:t>
      </w:r>
    </w:p>
    <w:p>
      <w:pPr>
        <w:spacing w:before="133" w:line="229" w:lineRule="auto"/>
        <w:ind w:left="19"/>
        <w:outlineLvl w:val="2"/>
        <w:rPr>
          <w:rFonts w:hint="default" w:ascii="Times New Roman" w:hAnsi="Times New Roman" w:eastAsia="宋体" w:cs="Times New Roman"/>
          <w:sz w:val="23"/>
          <w:szCs w:val="23"/>
          <w:highlight w:val="none"/>
        </w:rPr>
      </w:pPr>
      <w:bookmarkStart w:id="821" w:name="_Toc23567"/>
      <w:bookmarkStart w:id="822" w:name="_Toc20850"/>
      <w:bookmarkStart w:id="823" w:name="_Toc27992"/>
      <w:r>
        <w:rPr>
          <w:rFonts w:hint="default" w:ascii="Times New Roman" w:hAnsi="Times New Roman" w:eastAsia="Times New Roman" w:cs="Times New Roman"/>
          <w:b/>
          <w:bCs/>
          <w:spacing w:val="10"/>
          <w:sz w:val="23"/>
          <w:szCs w:val="23"/>
          <w:highlight w:val="none"/>
        </w:rPr>
        <w:t>9</w:t>
      </w:r>
      <w:r>
        <w:rPr>
          <w:rFonts w:hint="default" w:ascii="Times New Roman" w:hAnsi="Times New Roman" w:eastAsia="Times New Roman" w:cs="Times New Roman"/>
          <w:b/>
          <w:bCs/>
          <w:spacing w:val="6"/>
          <w:sz w:val="23"/>
          <w:szCs w:val="23"/>
          <w:highlight w:val="none"/>
        </w:rPr>
        <w:t>.1.4</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总量控制结论</w:t>
      </w:r>
      <w:bookmarkEnd w:id="821"/>
      <w:bookmarkEnd w:id="822"/>
      <w:bookmarkEnd w:id="823"/>
    </w:p>
    <w:p>
      <w:pPr>
        <w:spacing w:line="259" w:lineRule="auto"/>
        <w:rPr>
          <w:rFonts w:hint="default" w:ascii="Times New Roman" w:hAnsi="Times New Roman" w:cs="Times New Roman"/>
          <w:sz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460" w:lineRule="exact"/>
        <w:ind w:left="25" w:right="93" w:firstLine="492" w:firstLineChars="200"/>
        <w:jc w:val="both"/>
        <w:textAlignment w:val="baseline"/>
        <w:rPr>
          <w:rFonts w:hint="default" w:ascii="Times New Roman" w:hAnsi="Times New Roman" w:eastAsia="宋体" w:cs="Times New Roman"/>
          <w:bCs/>
          <w:sz w:val="23"/>
          <w:szCs w:val="23"/>
          <w:highlight w:val="none"/>
        </w:rPr>
      </w:pPr>
      <w:r>
        <w:rPr>
          <w:rFonts w:hint="default" w:ascii="Times New Roman" w:hAnsi="Times New Roman" w:eastAsia="宋体" w:cs="Times New Roman"/>
          <w:spacing w:val="8"/>
          <w:sz w:val="23"/>
          <w:szCs w:val="23"/>
          <w:highlight w:val="none"/>
        </w:rPr>
        <w:t>本项</w:t>
      </w:r>
      <w:r>
        <w:rPr>
          <w:rFonts w:hint="default" w:ascii="Times New Roman" w:hAnsi="Times New Roman" w:eastAsia="宋体" w:cs="Times New Roman"/>
          <w:spacing w:val="7"/>
          <w:sz w:val="23"/>
          <w:szCs w:val="23"/>
          <w:highlight w:val="none"/>
        </w:rPr>
        <w:t>目</w:t>
      </w:r>
      <w:r>
        <w:rPr>
          <w:rFonts w:hint="default" w:ascii="Times New Roman" w:hAnsi="Times New Roman" w:eastAsia="宋体" w:cs="Times New Roman"/>
          <w:spacing w:val="4"/>
          <w:sz w:val="23"/>
          <w:szCs w:val="23"/>
          <w:highlight w:val="none"/>
        </w:rPr>
        <w:t>建议总量控制指标为：</w:t>
      </w:r>
      <w:r>
        <w:rPr>
          <w:rFonts w:hint="default" w:ascii="Times New Roman" w:hAnsi="Times New Roman" w:eastAsia="Times New Roman" w:cs="Times New Roman"/>
          <w:sz w:val="23"/>
          <w:szCs w:val="23"/>
          <w:highlight w:val="none"/>
        </w:rPr>
        <w:t>SO</w:t>
      </w:r>
      <w:r>
        <w:rPr>
          <w:rFonts w:hint="default" w:ascii="Times New Roman" w:hAnsi="Times New Roman" w:eastAsia="Times New Roman" w:cs="Times New Roman"/>
          <w:spacing w:val="4"/>
          <w:position w:val="-1"/>
          <w:sz w:val="15"/>
          <w:szCs w:val="15"/>
          <w:highlight w:val="none"/>
        </w:rPr>
        <w:t xml:space="preserve">2 </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0</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z w:val="23"/>
          <w:szCs w:val="23"/>
          <w:highlight w:val="none"/>
        </w:rPr>
        <w:t>NO</w:t>
      </w:r>
      <w:r>
        <w:rPr>
          <w:rFonts w:hint="default" w:ascii="Times New Roman" w:hAnsi="Times New Roman" w:eastAsia="Times New Roman" w:cs="Times New Roman"/>
          <w:position w:val="-2"/>
          <w:sz w:val="17"/>
          <w:szCs w:val="17"/>
          <w:highlight w:val="none"/>
        </w:rPr>
        <w:t>x</w:t>
      </w:r>
      <w:r>
        <w:rPr>
          <w:rFonts w:hint="default" w:ascii="Times New Roman" w:hAnsi="Times New Roman" w:eastAsia="Times New Roman" w:cs="Times New Roman"/>
          <w:spacing w:val="4"/>
          <w:position w:val="-2"/>
          <w:sz w:val="17"/>
          <w:szCs w:val="17"/>
          <w:highlight w:val="none"/>
        </w:rPr>
        <w:t xml:space="preserve"> </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0</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Times New Roman" w:cs="Times New Roman"/>
          <w:spacing w:val="4"/>
          <w:sz w:val="23"/>
          <w:szCs w:val="23"/>
          <w:highlight w:val="none"/>
        </w:rPr>
        <w:t xml:space="preserve"> </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z w:val="23"/>
          <w:szCs w:val="23"/>
          <w:highlight w:val="none"/>
        </w:rPr>
        <w:t>COD</w:t>
      </w:r>
      <w:r>
        <w:rPr>
          <w:rFonts w:hint="default" w:ascii="Times New Roman" w:hAnsi="Times New Roman" w:eastAsia="宋体" w:cs="Times New Roman"/>
          <w:spacing w:val="4"/>
          <w:sz w:val="23"/>
          <w:szCs w:val="23"/>
          <w:highlight w:val="none"/>
        </w:rPr>
        <w:t>：</w:t>
      </w:r>
      <w:r>
        <w:rPr>
          <w:rFonts w:hint="default" w:ascii="Times New Roman" w:hAnsi="Times New Roman" w:eastAsia="Times New Roman" w:cs="Times New Roman"/>
          <w:spacing w:val="4"/>
          <w:sz w:val="23"/>
          <w:szCs w:val="23"/>
          <w:highlight w:val="none"/>
        </w:rPr>
        <w:t>0</w:t>
      </w:r>
      <w:r>
        <w:rPr>
          <w:rFonts w:hint="default" w:ascii="Times New Roman" w:hAnsi="Times New Roman" w:eastAsia="Times New Roman" w:cs="Times New Roman"/>
          <w:sz w:val="23"/>
          <w:szCs w:val="23"/>
          <w:highlight w:val="none"/>
        </w:rPr>
        <w:t>t</w:t>
      </w:r>
      <w:r>
        <w:rPr>
          <w:rFonts w:hint="default" w:ascii="Times New Roman" w:hAnsi="Times New Roman" w:eastAsia="Times New Roman" w:cs="Times New Roman"/>
          <w:spacing w:val="4"/>
          <w:sz w:val="23"/>
          <w:szCs w:val="23"/>
          <w:highlight w:val="none"/>
        </w:rPr>
        <w:t>/</w:t>
      </w:r>
      <w:r>
        <w:rPr>
          <w:rFonts w:hint="default" w:ascii="Times New Roman" w:hAnsi="Times New Roman" w:eastAsia="Times New Roman" w:cs="Times New Roman"/>
          <w:sz w:val="23"/>
          <w:szCs w:val="23"/>
          <w:highlight w:val="none"/>
        </w:rPr>
        <w:t>a</w:t>
      </w:r>
      <w:r>
        <w:rPr>
          <w:rFonts w:hint="default" w:ascii="Times New Roman" w:hAnsi="Times New Roman" w:eastAsia="宋体" w:cs="Times New Roman"/>
          <w:spacing w:val="4"/>
          <w:sz w:val="23"/>
          <w:szCs w:val="23"/>
          <w:highlight w:val="none"/>
        </w:rPr>
        <w:t>；</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
          <w:sz w:val="23"/>
          <w:szCs w:val="23"/>
          <w:highlight w:val="none"/>
        </w:rPr>
        <w:t>氨氮：</w:t>
      </w:r>
      <w:r>
        <w:rPr>
          <w:rFonts w:hint="default" w:ascii="Times New Roman" w:hAnsi="Times New Roman" w:eastAsia="Times New Roman" w:cs="Times New Roman"/>
          <w:spacing w:val="-1"/>
          <w:sz w:val="23"/>
          <w:szCs w:val="23"/>
          <w:highlight w:val="none"/>
        </w:rPr>
        <w:t>0</w:t>
      </w:r>
      <w:r>
        <w:rPr>
          <w:rFonts w:hint="default" w:ascii="Times New Roman" w:hAnsi="Times New Roman" w:eastAsia="Times New Roman" w:cs="Times New Roman"/>
          <w:sz w:val="23"/>
          <w:szCs w:val="23"/>
          <w:highlight w:val="none"/>
        </w:rPr>
        <w:t xml:space="preserve">t/a </w:t>
      </w:r>
      <w:r>
        <w:rPr>
          <w:rFonts w:hint="default" w:ascii="Times New Roman" w:hAnsi="Times New Roman" w:eastAsia="宋体" w:cs="Times New Roman"/>
          <w:sz w:val="23"/>
          <w:szCs w:val="23"/>
          <w:highlight w:val="none"/>
        </w:rPr>
        <w:t xml:space="preserve">；颗粒物 </w:t>
      </w:r>
      <w:r>
        <w:rPr>
          <w:rFonts w:hint="eastAsia" w:ascii="Times New Roman" w:hAnsi="Times New Roman" w:eastAsia="宋体" w:cs="Times New Roman"/>
          <w:sz w:val="23"/>
          <w:szCs w:val="23"/>
          <w:highlight w:val="none"/>
          <w:lang w:val="en-US" w:eastAsia="zh-CN"/>
        </w:rPr>
        <w:t>0.8</w:t>
      </w:r>
      <w:r>
        <w:rPr>
          <w:rFonts w:hint="default" w:ascii="Times New Roman" w:hAnsi="Times New Roman" w:eastAsia="Times New Roman" w:cs="Times New Roman"/>
          <w:sz w:val="23"/>
          <w:szCs w:val="23"/>
          <w:highlight w:val="none"/>
        </w:rPr>
        <w:t>t/a</w:t>
      </w:r>
      <w:r>
        <w:rPr>
          <w:rFonts w:hint="default" w:ascii="Times New Roman" w:hAnsi="Times New Roman" w:eastAsia="宋体" w:cs="Times New Roman"/>
          <w:sz w:val="23"/>
          <w:szCs w:val="23"/>
          <w:highlight w:val="none"/>
        </w:rPr>
        <w:t>。</w:t>
      </w:r>
      <w:r>
        <w:rPr>
          <w:rFonts w:hint="default" w:ascii="Times New Roman" w:hAnsi="Times New Roman" w:eastAsia="宋体" w:cs="Times New Roman"/>
          <w:bCs/>
          <w:sz w:val="23"/>
          <w:szCs w:val="23"/>
          <w:highlight w:val="none"/>
          <w:lang w:val="en-US" w:eastAsia="zh-CN"/>
        </w:rPr>
        <w:t>现有工程总量控制指标：</w:t>
      </w:r>
      <w:r>
        <w:rPr>
          <w:rFonts w:hint="default" w:ascii="Times New Roman" w:hAnsi="Times New Roman" w:eastAsia="宋体" w:cs="Times New Roman"/>
          <w:bCs/>
          <w:sz w:val="23"/>
          <w:szCs w:val="23"/>
          <w:highlight w:val="none"/>
        </w:rPr>
        <w:t>SO</w:t>
      </w:r>
      <w:r>
        <w:rPr>
          <w:rFonts w:hint="default" w:ascii="Times New Roman" w:hAnsi="Times New Roman" w:eastAsia="宋体" w:cs="Times New Roman"/>
          <w:bCs/>
          <w:sz w:val="23"/>
          <w:szCs w:val="23"/>
          <w:highlight w:val="none"/>
          <w:vertAlign w:val="subscript"/>
        </w:rPr>
        <w:t>2</w:t>
      </w:r>
      <w:r>
        <w:rPr>
          <w:rFonts w:hint="default" w:ascii="Times New Roman" w:hAnsi="Times New Roman" w:eastAsia="宋体" w:cs="Times New Roman"/>
          <w:bCs/>
          <w:sz w:val="23"/>
          <w:szCs w:val="23"/>
          <w:highlight w:val="none"/>
        </w:rPr>
        <w:t>：0t/a、NO</w:t>
      </w:r>
      <w:r>
        <w:rPr>
          <w:rFonts w:hint="default" w:ascii="Times New Roman" w:hAnsi="Times New Roman" w:eastAsia="宋体" w:cs="Times New Roman"/>
          <w:bCs/>
          <w:sz w:val="23"/>
          <w:szCs w:val="23"/>
          <w:highlight w:val="none"/>
          <w:vertAlign w:val="subscript"/>
        </w:rPr>
        <w:t>X</w:t>
      </w:r>
      <w:r>
        <w:rPr>
          <w:rFonts w:hint="default" w:ascii="Times New Roman" w:hAnsi="Times New Roman" w:eastAsia="宋体" w:cs="Times New Roman"/>
          <w:bCs/>
          <w:sz w:val="23"/>
          <w:szCs w:val="23"/>
          <w:highlight w:val="none"/>
        </w:rPr>
        <w:t>：0t/a，颗粒物：</w:t>
      </w:r>
      <w:r>
        <w:rPr>
          <w:rFonts w:hint="eastAsia" w:ascii="Times New Roman" w:hAnsi="Times New Roman" w:eastAsia="宋体" w:cs="Times New Roman"/>
          <w:bCs/>
          <w:sz w:val="23"/>
          <w:szCs w:val="23"/>
          <w:highlight w:val="none"/>
          <w:lang w:val="en-US" w:eastAsia="zh-CN"/>
        </w:rPr>
        <w:t>12.36</w:t>
      </w:r>
      <w:r>
        <w:rPr>
          <w:rFonts w:hint="default" w:ascii="Times New Roman" w:hAnsi="Times New Roman" w:eastAsia="宋体" w:cs="Times New Roman"/>
          <w:bCs/>
          <w:sz w:val="23"/>
          <w:szCs w:val="23"/>
          <w:highlight w:val="none"/>
        </w:rPr>
        <w:t>t/a；COD：0t/a、氨氮：0t/a。</w:t>
      </w:r>
    </w:p>
    <w:p>
      <w:pPr>
        <w:keepNext w:val="0"/>
        <w:keepLines w:val="0"/>
        <w:pageBreakBefore w:val="0"/>
        <w:widowControl/>
        <w:kinsoku w:val="0"/>
        <w:wordWrap/>
        <w:overflowPunct/>
        <w:topLinePunct w:val="0"/>
        <w:autoSpaceDE w:val="0"/>
        <w:autoSpaceDN w:val="0"/>
        <w:bidi w:val="0"/>
        <w:adjustRightInd w:val="0"/>
        <w:snapToGrid w:val="0"/>
        <w:spacing w:line="460" w:lineRule="exact"/>
        <w:ind w:firstLine="482"/>
        <w:jc w:val="both"/>
        <w:textAlignment w:val="baseline"/>
        <w:rPr>
          <w:rFonts w:hint="default" w:ascii="Times New Roman" w:hAnsi="Times New Roman" w:eastAsia="宋体" w:cs="Times New Roman"/>
          <w:bCs/>
          <w:sz w:val="23"/>
          <w:szCs w:val="23"/>
          <w:highlight w:val="none"/>
        </w:rPr>
      </w:pPr>
      <w:r>
        <w:rPr>
          <w:rFonts w:hint="default" w:ascii="Times New Roman" w:hAnsi="Times New Roman" w:eastAsia="宋体" w:cs="Times New Roman"/>
          <w:bCs/>
          <w:sz w:val="23"/>
          <w:szCs w:val="23"/>
          <w:highlight w:val="none"/>
        </w:rPr>
        <w:t>因此，</w:t>
      </w:r>
      <w:r>
        <w:rPr>
          <w:rFonts w:hint="default" w:ascii="Times New Roman" w:hAnsi="Times New Roman" w:eastAsia="宋体" w:cs="Times New Roman"/>
          <w:bCs/>
          <w:sz w:val="23"/>
          <w:szCs w:val="23"/>
          <w:highlight w:val="none"/>
          <w:lang w:val="en-US" w:eastAsia="zh-CN"/>
        </w:rPr>
        <w:t>本</w:t>
      </w:r>
      <w:r>
        <w:rPr>
          <w:rFonts w:hint="default" w:ascii="Times New Roman" w:hAnsi="Times New Roman" w:eastAsia="宋体" w:cs="Times New Roman"/>
          <w:bCs/>
          <w:sz w:val="23"/>
          <w:szCs w:val="23"/>
          <w:highlight w:val="none"/>
        </w:rPr>
        <w:t>项目建成后</w:t>
      </w:r>
      <w:r>
        <w:rPr>
          <w:rFonts w:hint="default" w:ascii="Times New Roman" w:hAnsi="Times New Roman" w:eastAsia="宋体" w:cs="Times New Roman"/>
          <w:bCs/>
          <w:sz w:val="23"/>
          <w:szCs w:val="23"/>
          <w:highlight w:val="none"/>
          <w:lang w:val="en-US" w:eastAsia="zh-CN"/>
        </w:rPr>
        <w:t>全厂</w:t>
      </w:r>
      <w:r>
        <w:rPr>
          <w:rFonts w:hint="default" w:ascii="Times New Roman" w:hAnsi="Times New Roman" w:eastAsia="宋体" w:cs="Times New Roman"/>
          <w:bCs/>
          <w:sz w:val="23"/>
          <w:szCs w:val="23"/>
          <w:highlight w:val="none"/>
        </w:rPr>
        <w:t>总量控制指标</w:t>
      </w:r>
      <w:r>
        <w:rPr>
          <w:rFonts w:hint="default" w:ascii="Times New Roman" w:hAnsi="Times New Roman" w:eastAsia="宋体" w:cs="Times New Roman"/>
          <w:bCs/>
          <w:sz w:val="23"/>
          <w:szCs w:val="23"/>
          <w:highlight w:val="none"/>
          <w:lang w:val="en-US" w:eastAsia="zh-CN"/>
        </w:rPr>
        <w:t>为：</w:t>
      </w:r>
      <w:r>
        <w:rPr>
          <w:rFonts w:hint="default" w:ascii="Times New Roman" w:hAnsi="Times New Roman" w:eastAsia="宋体" w:cs="Times New Roman"/>
          <w:bCs/>
          <w:sz w:val="23"/>
          <w:szCs w:val="23"/>
          <w:highlight w:val="none"/>
        </w:rPr>
        <w:t>SO</w:t>
      </w:r>
      <w:r>
        <w:rPr>
          <w:rFonts w:hint="default" w:ascii="Times New Roman" w:hAnsi="Times New Roman" w:eastAsia="宋体" w:cs="Times New Roman"/>
          <w:bCs/>
          <w:sz w:val="23"/>
          <w:szCs w:val="23"/>
          <w:highlight w:val="none"/>
          <w:vertAlign w:val="subscript"/>
        </w:rPr>
        <w:t>2</w:t>
      </w:r>
      <w:r>
        <w:rPr>
          <w:rFonts w:hint="default" w:ascii="Times New Roman" w:hAnsi="Times New Roman" w:eastAsia="宋体" w:cs="Times New Roman"/>
          <w:bCs/>
          <w:sz w:val="23"/>
          <w:szCs w:val="23"/>
          <w:highlight w:val="none"/>
        </w:rPr>
        <w:t>：0t/a、NO</w:t>
      </w:r>
      <w:r>
        <w:rPr>
          <w:rFonts w:hint="default" w:ascii="Times New Roman" w:hAnsi="Times New Roman" w:eastAsia="宋体" w:cs="Times New Roman"/>
          <w:bCs/>
          <w:sz w:val="23"/>
          <w:szCs w:val="23"/>
          <w:highlight w:val="none"/>
          <w:vertAlign w:val="subscript"/>
        </w:rPr>
        <w:t>X</w:t>
      </w:r>
      <w:r>
        <w:rPr>
          <w:rFonts w:hint="default" w:ascii="Times New Roman" w:hAnsi="Times New Roman" w:eastAsia="宋体" w:cs="Times New Roman"/>
          <w:bCs/>
          <w:sz w:val="23"/>
          <w:szCs w:val="23"/>
          <w:highlight w:val="none"/>
        </w:rPr>
        <w:t>：0t/a，颗粒物：</w:t>
      </w:r>
      <w:r>
        <w:rPr>
          <w:rFonts w:hint="eastAsia" w:ascii="Times New Roman" w:hAnsi="Times New Roman" w:eastAsia="宋体" w:cs="Times New Roman"/>
          <w:bCs/>
          <w:sz w:val="23"/>
          <w:szCs w:val="23"/>
          <w:highlight w:val="none"/>
          <w:lang w:val="en-US" w:eastAsia="zh-CN"/>
        </w:rPr>
        <w:t>13.16</w:t>
      </w:r>
      <w:r>
        <w:rPr>
          <w:rFonts w:hint="default" w:ascii="Times New Roman" w:hAnsi="Times New Roman" w:eastAsia="宋体" w:cs="Times New Roman"/>
          <w:bCs/>
          <w:sz w:val="23"/>
          <w:szCs w:val="23"/>
          <w:highlight w:val="none"/>
        </w:rPr>
        <w:t>t/a；COD：0t/a、氨氮：0t/a。</w:t>
      </w:r>
    </w:p>
    <w:p>
      <w:pPr>
        <w:tabs>
          <w:tab w:val="left" w:pos="451"/>
        </w:tabs>
        <w:bidi w:val="0"/>
        <w:jc w:val="left"/>
        <w:rPr>
          <w:rFonts w:hint="default" w:ascii="Times New Roman" w:hAnsi="Times New Roman" w:cs="Times New Roman"/>
          <w:sz w:val="21"/>
          <w:highlight w:val="none"/>
        </w:rPr>
      </w:pPr>
      <w:r>
        <w:rPr>
          <w:rFonts w:hint="eastAsia" w:eastAsia="宋体"/>
          <w:highlight w:val="none"/>
          <w:lang w:eastAsia="zh-CN"/>
        </w:rPr>
        <w:tab/>
      </w:r>
      <w:r>
        <w:rPr>
          <w:rFonts w:hint="default" w:ascii="Times New Roman" w:hAnsi="Times New Roman" w:cs="Times New Roman"/>
          <w:highlight w:val="none"/>
        </w:rPr>
        <w:pict>
          <v:shape id="_x0000_s1413" o:spid="_x0000_s1413" style="position:absolute;left:0pt;margin-left:89.85pt;margin-top:59.05pt;height:0.75pt;width:415.65pt;mso-position-horizontal-relative:page;mso-position-vertical-relative:page;z-index:251844608;mso-width-relative:page;mso-height-relative:page;" fillcolor="#000000" filled="t" stroked="f" coordsize="8312,15" o:allowincell="f" path="m0,0l8312,0,8312,14,0,14,0,0xe">
            <v:path/>
            <v:fill on="t" focussize="0,0"/>
            <v:stroke on="f"/>
            <v:imagedata o:title=""/>
            <o:lock v:ext="edit"/>
          </v:shape>
        </w:pict>
      </w:r>
    </w:p>
    <w:p>
      <w:pPr>
        <w:spacing w:before="75" w:line="228" w:lineRule="auto"/>
        <w:ind w:left="19"/>
        <w:outlineLvl w:val="2"/>
        <w:rPr>
          <w:rFonts w:hint="default" w:ascii="Times New Roman" w:hAnsi="Times New Roman" w:eastAsia="宋体" w:cs="Times New Roman"/>
          <w:sz w:val="23"/>
          <w:szCs w:val="23"/>
          <w:highlight w:val="none"/>
        </w:rPr>
      </w:pPr>
      <w:bookmarkStart w:id="824" w:name="_Toc30226"/>
      <w:bookmarkStart w:id="825" w:name="_Toc25179"/>
      <w:bookmarkStart w:id="826" w:name="_Toc117"/>
      <w:r>
        <w:rPr>
          <w:rFonts w:hint="default" w:ascii="Times New Roman" w:hAnsi="Times New Roman" w:eastAsia="Times New Roman" w:cs="Times New Roman"/>
          <w:b/>
          <w:bCs/>
          <w:spacing w:val="10"/>
          <w:sz w:val="23"/>
          <w:szCs w:val="23"/>
          <w:highlight w:val="none"/>
        </w:rPr>
        <w:t>9</w:t>
      </w:r>
      <w:r>
        <w:rPr>
          <w:rFonts w:hint="default" w:ascii="Times New Roman" w:hAnsi="Times New Roman" w:eastAsia="Times New Roman" w:cs="Times New Roman"/>
          <w:b/>
          <w:bCs/>
          <w:spacing w:val="6"/>
          <w:sz w:val="23"/>
          <w:szCs w:val="23"/>
          <w:highlight w:val="none"/>
        </w:rPr>
        <w:t>.1.5</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公众参与结论</w:t>
      </w:r>
      <w:bookmarkEnd w:id="824"/>
      <w:bookmarkEnd w:id="825"/>
      <w:bookmarkEnd w:id="826"/>
    </w:p>
    <w:p>
      <w:pPr>
        <w:spacing w:line="259" w:lineRule="auto"/>
        <w:rPr>
          <w:rFonts w:hint="default" w:ascii="Times New Roman" w:hAnsi="Times New Roman" w:cs="Times New Roman"/>
          <w:sz w:val="21"/>
          <w:highlight w:val="none"/>
        </w:rPr>
      </w:pPr>
    </w:p>
    <w:p>
      <w:pPr>
        <w:spacing w:before="74" w:line="227" w:lineRule="auto"/>
        <w:ind w:left="50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本次环评过程中，建设单位采取发放公众参与调查表方式进行了公众参与</w:t>
      </w:r>
      <w:r>
        <w:rPr>
          <w:rFonts w:hint="default" w:ascii="Times New Roman" w:hAnsi="Times New Roman" w:eastAsia="宋体" w:cs="Times New Roman"/>
          <w:spacing w:val="6"/>
          <w:sz w:val="23"/>
          <w:szCs w:val="23"/>
          <w:highlight w:val="none"/>
        </w:rPr>
        <w:t>调</w:t>
      </w:r>
    </w:p>
    <w:p>
      <w:pPr>
        <w:spacing w:before="216" w:line="235" w:lineRule="auto"/>
        <w:ind w:left="2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9"/>
          <w:sz w:val="23"/>
          <w:szCs w:val="23"/>
          <w:highlight w:val="none"/>
        </w:rPr>
        <w:t>查，广泛调查了解公众对本项目建设的看法</w:t>
      </w:r>
      <w:r>
        <w:rPr>
          <w:rFonts w:hint="default" w:ascii="Times New Roman" w:hAnsi="Times New Roman" w:eastAsia="宋体" w:cs="Times New Roman"/>
          <w:spacing w:val="6"/>
          <w:sz w:val="23"/>
          <w:szCs w:val="23"/>
          <w:highlight w:val="none"/>
        </w:rPr>
        <w:t>。</w:t>
      </w:r>
    </w:p>
    <w:p>
      <w:pPr>
        <w:spacing w:before="207" w:line="405" w:lineRule="auto"/>
        <w:ind w:left="24" w:right="11" w:firstLine="476"/>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通过调查，公众对当地的环境质量现状表示满意，绝大多数公众认为本项目</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的</w:t>
      </w:r>
      <w:r>
        <w:rPr>
          <w:rFonts w:hint="default" w:ascii="Times New Roman" w:hAnsi="Times New Roman" w:eastAsia="宋体" w:cs="Times New Roman"/>
          <w:spacing w:val="7"/>
          <w:sz w:val="23"/>
          <w:szCs w:val="23"/>
          <w:highlight w:val="none"/>
        </w:rPr>
        <w:t>建设，带动了周边农村的发展，促进了当地的农村产业结构调整，对地方经济</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发</w:t>
      </w:r>
      <w:r>
        <w:rPr>
          <w:rFonts w:hint="default" w:ascii="Times New Roman" w:hAnsi="Times New Roman" w:eastAsia="宋体" w:cs="Times New Roman"/>
          <w:spacing w:val="7"/>
          <w:sz w:val="23"/>
          <w:szCs w:val="23"/>
          <w:highlight w:val="none"/>
        </w:rPr>
        <w:t>展起到了促进作用。调查统计结果表明，被调查者表示支持项目，没有反对意</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2"/>
          <w:sz w:val="23"/>
          <w:szCs w:val="23"/>
          <w:highlight w:val="none"/>
        </w:rPr>
        <w:t>见。</w:t>
      </w:r>
    </w:p>
    <w:p>
      <w:pPr>
        <w:spacing w:before="101" w:line="229" w:lineRule="auto"/>
        <w:ind w:left="19"/>
        <w:outlineLvl w:val="2"/>
        <w:rPr>
          <w:rFonts w:hint="default" w:ascii="Times New Roman" w:hAnsi="Times New Roman" w:eastAsia="宋体" w:cs="Times New Roman"/>
          <w:sz w:val="23"/>
          <w:szCs w:val="23"/>
          <w:highlight w:val="none"/>
        </w:rPr>
      </w:pPr>
      <w:bookmarkStart w:id="827" w:name="_Toc28673"/>
      <w:bookmarkStart w:id="828" w:name="_Toc30874"/>
      <w:bookmarkStart w:id="829" w:name="_Toc4606"/>
      <w:r>
        <w:rPr>
          <w:rFonts w:hint="default" w:ascii="Times New Roman" w:hAnsi="Times New Roman" w:eastAsia="Times New Roman" w:cs="Times New Roman"/>
          <w:b/>
          <w:bCs/>
          <w:spacing w:val="8"/>
          <w:sz w:val="23"/>
          <w:szCs w:val="23"/>
          <w:highlight w:val="none"/>
        </w:rPr>
        <w:t>9.1.6</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环境影响经济损益分析结论</w:t>
      </w:r>
      <w:bookmarkEnd w:id="827"/>
      <w:bookmarkEnd w:id="828"/>
      <w:bookmarkEnd w:id="829"/>
    </w:p>
    <w:p>
      <w:pPr>
        <w:spacing w:line="255" w:lineRule="auto"/>
        <w:rPr>
          <w:rFonts w:hint="default" w:ascii="Times New Roman" w:hAnsi="Times New Roman" w:cs="Times New Roman"/>
          <w:sz w:val="21"/>
          <w:highlight w:val="none"/>
        </w:rPr>
      </w:pPr>
    </w:p>
    <w:p>
      <w:pPr>
        <w:spacing w:before="75" w:line="405" w:lineRule="auto"/>
        <w:ind w:left="21" w:right="11"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通过本项目建设的社会、经济和环境效益分析可知，在落实本评价所提出各</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项</w:t>
      </w:r>
      <w:r>
        <w:rPr>
          <w:rFonts w:hint="default" w:ascii="Times New Roman" w:hAnsi="Times New Roman" w:eastAsia="宋体" w:cs="Times New Roman"/>
          <w:spacing w:val="7"/>
          <w:sz w:val="23"/>
          <w:szCs w:val="23"/>
          <w:highlight w:val="none"/>
        </w:rPr>
        <w:t>污染防治措施的前提下，本项目的建设能够达到经济效益、社会效益和环境效</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益</w:t>
      </w:r>
      <w:r>
        <w:rPr>
          <w:rFonts w:hint="default" w:ascii="Times New Roman" w:hAnsi="Times New Roman" w:eastAsia="宋体" w:cs="Times New Roman"/>
          <w:spacing w:val="7"/>
          <w:sz w:val="23"/>
          <w:szCs w:val="23"/>
          <w:highlight w:val="none"/>
        </w:rPr>
        <w:t>相统一的要求，既为地方经济发展做出贡献，又通过环保投资减少了污染物排</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放</w:t>
      </w:r>
      <w:r>
        <w:rPr>
          <w:rFonts w:hint="default" w:ascii="Times New Roman" w:hAnsi="Times New Roman" w:eastAsia="宋体" w:cs="Times New Roman"/>
          <w:spacing w:val="7"/>
          <w:sz w:val="23"/>
          <w:szCs w:val="23"/>
          <w:highlight w:val="none"/>
        </w:rPr>
        <w:t>量，使污染物排放量在环境容量容许的范围内。本项目的建设满足可持续发展</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的</w:t>
      </w:r>
      <w:r>
        <w:rPr>
          <w:rFonts w:hint="default" w:ascii="Times New Roman" w:hAnsi="Times New Roman" w:eastAsia="宋体" w:cs="Times New Roman"/>
          <w:spacing w:val="9"/>
          <w:sz w:val="23"/>
          <w:szCs w:val="23"/>
          <w:highlight w:val="none"/>
        </w:rPr>
        <w:t>要求，从环境经济角度而言，项目建设是可行的。</w:t>
      </w:r>
    </w:p>
    <w:p>
      <w:pPr>
        <w:spacing w:before="101" w:line="228" w:lineRule="auto"/>
        <w:ind w:left="19"/>
        <w:outlineLvl w:val="2"/>
        <w:rPr>
          <w:rFonts w:hint="default" w:ascii="Times New Roman" w:hAnsi="Times New Roman" w:eastAsia="宋体" w:cs="Times New Roman"/>
          <w:sz w:val="23"/>
          <w:szCs w:val="23"/>
          <w:highlight w:val="none"/>
        </w:rPr>
      </w:pPr>
      <w:bookmarkStart w:id="830" w:name="_Toc7669"/>
      <w:bookmarkStart w:id="831" w:name="_Toc28594"/>
      <w:bookmarkStart w:id="832" w:name="_Toc24862"/>
      <w:r>
        <w:rPr>
          <w:rFonts w:hint="default" w:ascii="Times New Roman" w:hAnsi="Times New Roman" w:eastAsia="Times New Roman" w:cs="Times New Roman"/>
          <w:b/>
          <w:bCs/>
          <w:spacing w:val="8"/>
          <w:sz w:val="23"/>
          <w:szCs w:val="23"/>
          <w:highlight w:val="none"/>
        </w:rPr>
        <w:t>9.1.7</w:t>
      </w:r>
      <w:r>
        <w:rPr>
          <w:rFonts w:hint="default" w:ascii="Times New Roman" w:hAnsi="Times New Roman" w:eastAsia="Times New Roman" w:cs="Times New Roman"/>
          <w:spacing w:val="8"/>
          <w:sz w:val="23"/>
          <w:szCs w:val="23"/>
          <w:highlight w:val="none"/>
        </w:rPr>
        <w:t xml:space="preserve"> </w:t>
      </w:r>
      <w:r>
        <w:rPr>
          <w:rFonts w:hint="default" w:ascii="Times New Roman" w:hAnsi="Times New Roman" w:eastAsia="宋体" w:cs="Times New Roman"/>
          <w:spacing w:val="8"/>
          <w:sz w:val="23"/>
          <w:szCs w:val="23"/>
          <w:highlight w:val="none"/>
          <w14:textOutline w14:w="4358" w14:cap="sq" w14:cmpd="sng">
            <w14:solidFill>
              <w14:srgbClr w14:val="000000"/>
            </w14:solidFill>
            <w14:prstDash w14:val="solid"/>
            <w14:bevel/>
          </w14:textOutline>
        </w:rPr>
        <w:t>环境管理与监控计划结</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论</w:t>
      </w:r>
      <w:bookmarkEnd w:id="830"/>
      <w:bookmarkEnd w:id="831"/>
      <w:bookmarkEnd w:id="832"/>
    </w:p>
    <w:p>
      <w:pPr>
        <w:spacing w:line="259" w:lineRule="auto"/>
        <w:rPr>
          <w:rFonts w:hint="default" w:ascii="Times New Roman" w:hAnsi="Times New Roman" w:cs="Times New Roman"/>
          <w:sz w:val="21"/>
          <w:highlight w:val="none"/>
        </w:rPr>
      </w:pPr>
    </w:p>
    <w:p>
      <w:pPr>
        <w:spacing w:before="75" w:line="401" w:lineRule="auto"/>
        <w:ind w:left="19" w:right="11" w:firstLine="493"/>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2"/>
          <w:sz w:val="23"/>
          <w:szCs w:val="23"/>
          <w:highlight w:val="none"/>
        </w:rPr>
        <w:t>(</w:t>
      </w:r>
      <w:r>
        <w:rPr>
          <w:rFonts w:hint="default" w:ascii="Times New Roman" w:hAnsi="Times New Roman" w:eastAsia="Times New Roman" w:cs="Times New Roman"/>
          <w:spacing w:val="12"/>
          <w:sz w:val="23"/>
          <w:szCs w:val="23"/>
          <w:highlight w:val="none"/>
        </w:rPr>
        <w:t>1</w:t>
      </w:r>
      <w:r>
        <w:rPr>
          <w:rFonts w:hint="default" w:ascii="Times New Roman" w:hAnsi="Times New Roman" w:eastAsia="宋体" w:cs="Times New Roman"/>
          <w:spacing w:val="12"/>
          <w:sz w:val="23"/>
          <w:szCs w:val="23"/>
          <w:highlight w:val="none"/>
        </w:rPr>
        <w:t>)</w:t>
      </w:r>
      <w:r>
        <w:rPr>
          <w:rFonts w:hint="default" w:ascii="Times New Roman" w:hAnsi="Times New Roman" w:eastAsia="宋体" w:cs="Times New Roman"/>
          <w:spacing w:val="11"/>
          <w:sz w:val="23"/>
          <w:szCs w:val="23"/>
          <w:highlight w:val="none"/>
        </w:rPr>
        <w:t>企</w:t>
      </w:r>
      <w:r>
        <w:rPr>
          <w:rFonts w:hint="default" w:ascii="Times New Roman" w:hAnsi="Times New Roman" w:eastAsia="宋体" w:cs="Times New Roman"/>
          <w:spacing w:val="6"/>
          <w:sz w:val="23"/>
          <w:szCs w:val="23"/>
          <w:highlight w:val="none"/>
        </w:rPr>
        <w:t>业应建立健全环境管理制度体系，将环保纳入考核体系，严格执行</w:t>
      </w:r>
      <w:r>
        <w:rPr>
          <w:rFonts w:hint="default" w:ascii="Times New Roman" w:hAnsi="Times New Roman" w:eastAsia="Times New Roman" w:cs="Times New Roman"/>
          <w:spacing w:val="6"/>
          <w:sz w:val="23"/>
          <w:szCs w:val="23"/>
          <w:highlight w:val="none"/>
        </w:rPr>
        <w:t>“</w:t>
      </w:r>
      <w:r>
        <w:rPr>
          <w:rFonts w:hint="default" w:ascii="Times New Roman" w:hAnsi="Times New Roman" w:eastAsia="宋体" w:cs="Times New Roman"/>
          <w:spacing w:val="6"/>
          <w:sz w:val="23"/>
          <w:szCs w:val="23"/>
          <w:highlight w:val="none"/>
        </w:rPr>
        <w:t>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1"/>
          <w:sz w:val="23"/>
          <w:szCs w:val="23"/>
          <w:highlight w:val="none"/>
        </w:rPr>
        <w:t>同时</w:t>
      </w:r>
      <w:r>
        <w:rPr>
          <w:rFonts w:hint="default" w:ascii="Times New Roman" w:hAnsi="Times New Roman" w:eastAsia="Times New Roman" w:cs="Times New Roman"/>
          <w:spacing w:val="11"/>
          <w:sz w:val="23"/>
          <w:szCs w:val="23"/>
          <w:highlight w:val="none"/>
        </w:rPr>
        <w:t>”</w:t>
      </w:r>
      <w:r>
        <w:rPr>
          <w:rFonts w:hint="default" w:ascii="Times New Roman" w:hAnsi="Times New Roman" w:eastAsia="宋体" w:cs="Times New Roman"/>
          <w:spacing w:val="11"/>
          <w:sz w:val="23"/>
          <w:szCs w:val="23"/>
          <w:highlight w:val="none"/>
        </w:rPr>
        <w:t>制度，污染治理设施的管理制度、排污口规范化设置，确保在日常运行</w:t>
      </w:r>
      <w:r>
        <w:rPr>
          <w:rFonts w:hint="default" w:ascii="Times New Roman" w:hAnsi="Times New Roman" w:eastAsia="宋体" w:cs="Times New Roman"/>
          <w:spacing w:val="7"/>
          <w:sz w:val="23"/>
          <w:szCs w:val="23"/>
          <w:highlight w:val="none"/>
        </w:rPr>
        <w:t>中</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2"/>
          <w:sz w:val="23"/>
          <w:szCs w:val="23"/>
          <w:highlight w:val="none"/>
        </w:rPr>
        <w:t>将</w:t>
      </w:r>
      <w:r>
        <w:rPr>
          <w:rFonts w:hint="default" w:ascii="Times New Roman" w:hAnsi="Times New Roman" w:eastAsia="宋体" w:cs="Times New Roman"/>
          <w:spacing w:val="8"/>
          <w:sz w:val="23"/>
          <w:szCs w:val="23"/>
          <w:highlight w:val="none"/>
        </w:rPr>
        <w:t>环保目标落实到实处。</w:t>
      </w:r>
    </w:p>
    <w:p>
      <w:pPr>
        <w:spacing w:before="1" w:line="406" w:lineRule="auto"/>
        <w:ind w:left="20" w:right="11" w:firstLine="49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21"/>
          <w:sz w:val="23"/>
          <w:szCs w:val="23"/>
          <w:highlight w:val="none"/>
        </w:rPr>
        <w:t>(</w:t>
      </w:r>
      <w:r>
        <w:rPr>
          <w:rFonts w:hint="default" w:ascii="Times New Roman" w:hAnsi="Times New Roman" w:eastAsia="Times New Roman" w:cs="Times New Roman"/>
          <w:spacing w:val="13"/>
          <w:sz w:val="23"/>
          <w:szCs w:val="23"/>
          <w:highlight w:val="none"/>
        </w:rPr>
        <w:t>2</w:t>
      </w:r>
      <w:r>
        <w:rPr>
          <w:rFonts w:hint="default" w:ascii="Times New Roman" w:hAnsi="Times New Roman" w:eastAsia="宋体" w:cs="Times New Roman"/>
          <w:spacing w:val="13"/>
          <w:sz w:val="23"/>
          <w:szCs w:val="23"/>
          <w:highlight w:val="none"/>
        </w:rPr>
        <w:t>) 本项目主要在运行期会对环境质量造成一定影响，因此，除了加强环</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4"/>
          <w:sz w:val="23"/>
          <w:szCs w:val="23"/>
          <w:highlight w:val="none"/>
        </w:rPr>
        <w:t>境</w:t>
      </w:r>
      <w:r>
        <w:rPr>
          <w:rFonts w:hint="default" w:ascii="Times New Roman" w:hAnsi="Times New Roman" w:eastAsia="宋体" w:cs="Times New Roman"/>
          <w:spacing w:val="7"/>
          <w:sz w:val="23"/>
          <w:szCs w:val="23"/>
          <w:highlight w:val="none"/>
        </w:rPr>
        <w:t>管理，还应定期进行环境监测，了解项目在不同时期对周围环境的影响，以便</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9"/>
          <w:sz w:val="23"/>
          <w:szCs w:val="23"/>
          <w:highlight w:val="none"/>
        </w:rPr>
        <w:t>采取相应措施，最大程度上减轻不利影响。</w:t>
      </w:r>
    </w:p>
    <w:p>
      <w:pPr>
        <w:spacing w:before="102" w:line="229" w:lineRule="auto"/>
        <w:ind w:left="19"/>
        <w:outlineLvl w:val="2"/>
        <w:rPr>
          <w:rFonts w:hint="default" w:ascii="Times New Roman" w:hAnsi="Times New Roman" w:eastAsia="宋体" w:cs="Times New Roman"/>
          <w:sz w:val="23"/>
          <w:szCs w:val="23"/>
          <w:highlight w:val="none"/>
        </w:rPr>
      </w:pPr>
      <w:bookmarkStart w:id="833" w:name="_Toc1750"/>
      <w:bookmarkStart w:id="834" w:name="_Toc3212"/>
      <w:bookmarkStart w:id="835" w:name="_Toc27773"/>
      <w:r>
        <w:rPr>
          <w:rFonts w:hint="default" w:ascii="Times New Roman" w:hAnsi="Times New Roman" w:eastAsia="Times New Roman" w:cs="Times New Roman"/>
          <w:b/>
          <w:bCs/>
          <w:spacing w:val="12"/>
          <w:sz w:val="23"/>
          <w:szCs w:val="23"/>
          <w:highlight w:val="none"/>
        </w:rPr>
        <w:t>9</w:t>
      </w:r>
      <w:r>
        <w:rPr>
          <w:rFonts w:hint="default" w:ascii="Times New Roman" w:hAnsi="Times New Roman" w:eastAsia="Times New Roman" w:cs="Times New Roman"/>
          <w:b/>
          <w:bCs/>
          <w:spacing w:val="8"/>
          <w:sz w:val="23"/>
          <w:szCs w:val="23"/>
          <w:highlight w:val="none"/>
        </w:rPr>
        <w:t>.</w:t>
      </w:r>
      <w:r>
        <w:rPr>
          <w:rFonts w:hint="default" w:ascii="Times New Roman" w:hAnsi="Times New Roman" w:eastAsia="Times New Roman" w:cs="Times New Roman"/>
          <w:b/>
          <w:bCs/>
          <w:spacing w:val="6"/>
          <w:sz w:val="23"/>
          <w:szCs w:val="23"/>
          <w:highlight w:val="none"/>
        </w:rPr>
        <w:t>1.8</w:t>
      </w:r>
      <w:r>
        <w:rPr>
          <w:rFonts w:hint="default" w:ascii="Times New Roman" w:hAnsi="Times New Roman" w:eastAsia="Times New Roman" w:cs="Times New Roman"/>
          <w:spacing w:val="6"/>
          <w:sz w:val="23"/>
          <w:szCs w:val="23"/>
          <w:highlight w:val="none"/>
        </w:rPr>
        <w:t xml:space="preserve">  </w:t>
      </w:r>
      <w:r>
        <w:rPr>
          <w:rFonts w:hint="default" w:ascii="Times New Roman" w:hAnsi="Times New Roman" w:eastAsia="宋体" w:cs="Times New Roman"/>
          <w:spacing w:val="6"/>
          <w:sz w:val="23"/>
          <w:szCs w:val="23"/>
          <w:highlight w:val="none"/>
          <w14:textOutline w14:w="4358" w14:cap="sq" w14:cmpd="sng">
            <w14:solidFill>
              <w14:srgbClr w14:val="000000"/>
            </w14:solidFill>
            <w14:prstDash w14:val="solid"/>
            <w14:bevel/>
          </w14:textOutline>
        </w:rPr>
        <w:t>工程可行性结论</w:t>
      </w:r>
      <w:bookmarkEnd w:id="833"/>
      <w:bookmarkEnd w:id="834"/>
      <w:bookmarkEnd w:id="835"/>
    </w:p>
    <w:p>
      <w:pPr>
        <w:spacing w:line="262" w:lineRule="auto"/>
        <w:rPr>
          <w:rFonts w:hint="default" w:ascii="Times New Roman" w:hAnsi="Times New Roman" w:cs="Times New Roman"/>
          <w:sz w:val="21"/>
          <w:highlight w:val="none"/>
        </w:rPr>
      </w:pPr>
    </w:p>
    <w:p>
      <w:pPr>
        <w:spacing w:before="75" w:line="405" w:lineRule="auto"/>
        <w:ind w:left="21" w:right="11" w:firstLine="479"/>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16"/>
          <w:sz w:val="23"/>
          <w:szCs w:val="23"/>
          <w:highlight w:val="none"/>
        </w:rPr>
        <w:t>遵</w:t>
      </w:r>
      <w:r>
        <w:rPr>
          <w:rFonts w:hint="default" w:ascii="Times New Roman" w:hAnsi="Times New Roman" w:eastAsia="宋体" w:cs="Times New Roman"/>
          <w:spacing w:val="10"/>
          <w:sz w:val="23"/>
          <w:szCs w:val="23"/>
          <w:highlight w:val="none"/>
        </w:rPr>
        <w:t>化</w:t>
      </w:r>
      <w:r>
        <w:rPr>
          <w:rFonts w:hint="default" w:ascii="Times New Roman" w:hAnsi="Times New Roman" w:eastAsia="宋体" w:cs="Times New Roman"/>
          <w:spacing w:val="8"/>
          <w:sz w:val="23"/>
          <w:szCs w:val="23"/>
          <w:highlight w:val="none"/>
        </w:rPr>
        <w:t>市势竹矿业有限公司</w:t>
      </w:r>
      <w:r>
        <w:rPr>
          <w:rFonts w:hint="default" w:ascii="Times New Roman" w:hAnsi="Times New Roman" w:eastAsia="宋体" w:cs="Times New Roman"/>
          <w:spacing w:val="8"/>
          <w:sz w:val="23"/>
          <w:szCs w:val="23"/>
          <w:highlight w:val="none"/>
          <w:lang w:eastAsia="zh-CN"/>
        </w:rPr>
        <w:t>年处理110万吨铁矿石破碎改扩建项目</w:t>
      </w:r>
      <w:r>
        <w:rPr>
          <w:rFonts w:hint="default" w:ascii="Times New Roman" w:hAnsi="Times New Roman" w:eastAsia="宋体" w:cs="Times New Roman"/>
          <w:spacing w:val="8"/>
          <w:sz w:val="23"/>
          <w:szCs w:val="23"/>
          <w:highlight w:val="none"/>
        </w:rPr>
        <w:t>符合国家有关</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3"/>
          <w:sz w:val="23"/>
          <w:szCs w:val="23"/>
          <w:highlight w:val="none"/>
        </w:rPr>
        <w:t>的</w:t>
      </w:r>
      <w:r>
        <w:rPr>
          <w:rFonts w:hint="default" w:ascii="Times New Roman" w:hAnsi="Times New Roman" w:eastAsia="宋体" w:cs="Times New Roman"/>
          <w:spacing w:val="7"/>
          <w:sz w:val="23"/>
          <w:szCs w:val="23"/>
          <w:highlight w:val="none"/>
        </w:rPr>
        <w:t>产业政策，厂址选择合理。生产工艺中主要污染源采用的防治措施可行，污染</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8"/>
          <w:sz w:val="23"/>
          <w:szCs w:val="23"/>
          <w:highlight w:val="none"/>
        </w:rPr>
        <w:t>物</w:t>
      </w:r>
      <w:r>
        <w:rPr>
          <w:rFonts w:hint="default" w:ascii="Times New Roman" w:hAnsi="Times New Roman" w:eastAsia="宋体" w:cs="Times New Roman"/>
          <w:spacing w:val="5"/>
          <w:sz w:val="23"/>
          <w:szCs w:val="23"/>
          <w:highlight w:val="none"/>
        </w:rPr>
        <w:t>达</w:t>
      </w:r>
      <w:r>
        <w:rPr>
          <w:rFonts w:hint="default" w:ascii="Times New Roman" w:hAnsi="Times New Roman" w:eastAsia="宋体" w:cs="Times New Roman"/>
          <w:spacing w:val="4"/>
          <w:sz w:val="23"/>
          <w:szCs w:val="23"/>
          <w:highlight w:val="none"/>
        </w:rPr>
        <w:t>标排放，对周围环境影响较小。只要切实落实工程环保实施方案，并做到</w:t>
      </w:r>
      <w:r>
        <w:rPr>
          <w:rFonts w:hint="default" w:ascii="Times New Roman" w:hAnsi="Times New Roman" w:eastAsia="Times New Roman" w:cs="Times New Roman"/>
          <w:spacing w:val="4"/>
          <w:sz w:val="23"/>
          <w:szCs w:val="23"/>
          <w:highlight w:val="none"/>
        </w:rPr>
        <w:t>“</w:t>
      </w:r>
      <w:r>
        <w:rPr>
          <w:rFonts w:hint="default" w:ascii="Times New Roman" w:hAnsi="Times New Roman" w:eastAsia="宋体" w:cs="Times New Roman"/>
          <w:spacing w:val="4"/>
          <w:sz w:val="23"/>
          <w:szCs w:val="23"/>
          <w:highlight w:val="none"/>
        </w:rPr>
        <w:t>三</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7"/>
          <w:sz w:val="23"/>
          <w:szCs w:val="23"/>
          <w:highlight w:val="none"/>
        </w:rPr>
        <w:t>同时</w:t>
      </w:r>
      <w:r>
        <w:rPr>
          <w:rFonts w:hint="default" w:ascii="Times New Roman" w:hAnsi="Times New Roman" w:eastAsia="Times New Roman" w:cs="Times New Roman"/>
          <w:spacing w:val="7"/>
          <w:sz w:val="23"/>
          <w:szCs w:val="23"/>
          <w:highlight w:val="none"/>
        </w:rPr>
        <w:t xml:space="preserve">” </w:t>
      </w:r>
      <w:r>
        <w:rPr>
          <w:rFonts w:hint="default" w:ascii="Times New Roman" w:hAnsi="Times New Roman" w:eastAsia="宋体" w:cs="Times New Roman"/>
          <w:spacing w:val="7"/>
          <w:sz w:val="23"/>
          <w:szCs w:val="23"/>
          <w:highlight w:val="none"/>
        </w:rPr>
        <w:t>，同时加强环境管理，从环境保护角度考虑，该项目可行</w:t>
      </w:r>
      <w:r>
        <w:rPr>
          <w:rFonts w:hint="default" w:ascii="Times New Roman" w:hAnsi="Times New Roman" w:eastAsia="宋体" w:cs="Times New Roman"/>
          <w:spacing w:val="3"/>
          <w:sz w:val="23"/>
          <w:szCs w:val="23"/>
          <w:highlight w:val="none"/>
        </w:rPr>
        <w:t>。</w:t>
      </w:r>
    </w:p>
    <w:p>
      <w:pPr>
        <w:tabs>
          <w:tab w:val="left" w:pos="334"/>
        </w:tabs>
        <w:bidi w:val="0"/>
        <w:jc w:val="left"/>
        <w:rPr>
          <w:rFonts w:hint="default" w:ascii="Times New Roman" w:hAnsi="Times New Roman" w:eastAsia="宋体" w:cs="Times New Roman"/>
          <w:sz w:val="28"/>
          <w:szCs w:val="28"/>
          <w:highlight w:val="none"/>
        </w:rPr>
      </w:pPr>
      <w:r>
        <w:rPr>
          <w:rFonts w:hint="default" w:ascii="Times New Roman" w:hAnsi="Times New Roman" w:cs="Times New Roman"/>
          <w:highlight w:val="none"/>
        </w:rPr>
        <w:pict>
          <v:shape id="_x0000_s1415" o:spid="_x0000_s1415" style="position:absolute;left:0pt;margin-left:89.85pt;margin-top:59.05pt;height:0.75pt;width:415.65pt;mso-position-horizontal-relative:page;mso-position-vertical-relative:page;z-index:251846656;mso-width-relative:page;mso-height-relative:page;" fillcolor="#000000" filled="t" stroked="f" coordsize="8312,15" o:allowincell="f" path="m0,0l8312,0,8312,14,0,14,0,0xe">
            <v:path/>
            <v:fill on="t" focussize="0,0"/>
            <v:stroke on="f"/>
            <v:imagedata o:title=""/>
            <o:lock v:ext="edit"/>
          </v:shape>
        </w:pict>
      </w:r>
      <w:bookmarkStart w:id="836" w:name="_Toc13515"/>
      <w:bookmarkStart w:id="837" w:name="_Toc26405"/>
      <w:bookmarkStart w:id="838" w:name="_Toc15131"/>
      <w:r>
        <w:rPr>
          <w:rFonts w:hint="default" w:ascii="Times New Roman" w:hAnsi="Times New Roman" w:eastAsia="Times New Roman" w:cs="Times New Roman"/>
          <w:b/>
          <w:bCs/>
          <w:spacing w:val="-2"/>
          <w:sz w:val="28"/>
          <w:szCs w:val="28"/>
          <w:highlight w:val="none"/>
        </w:rPr>
        <w:t>9</w:t>
      </w:r>
      <w:r>
        <w:rPr>
          <w:rFonts w:hint="default" w:ascii="Times New Roman" w:hAnsi="Times New Roman" w:eastAsia="Times New Roman" w:cs="Times New Roman"/>
          <w:b/>
          <w:bCs/>
          <w:spacing w:val="-1"/>
          <w:sz w:val="28"/>
          <w:szCs w:val="28"/>
          <w:highlight w:val="none"/>
        </w:rPr>
        <w:t>.2</w:t>
      </w:r>
      <w:r>
        <w:rPr>
          <w:rFonts w:hint="default" w:ascii="Times New Roman" w:hAnsi="Times New Roman" w:eastAsia="Times New Roman" w:cs="Times New Roman"/>
          <w:spacing w:val="-1"/>
          <w:sz w:val="28"/>
          <w:szCs w:val="28"/>
          <w:highlight w:val="none"/>
        </w:rPr>
        <w:t xml:space="preserve">  </w:t>
      </w:r>
      <w:r>
        <w:rPr>
          <w:rFonts w:hint="default" w:ascii="Times New Roman" w:hAnsi="Times New Roman" w:eastAsia="宋体" w:cs="Times New Roman"/>
          <w:spacing w:val="-1"/>
          <w:sz w:val="28"/>
          <w:szCs w:val="28"/>
          <w:highlight w:val="none"/>
          <w14:textOutline w14:w="5103" w14:cap="sq" w14:cmpd="sng">
            <w14:solidFill>
              <w14:srgbClr w14:val="000000"/>
            </w14:solidFill>
            <w14:prstDash w14:val="solid"/>
            <w14:bevel/>
          </w14:textOutline>
        </w:rPr>
        <w:t>建议</w:t>
      </w:r>
      <w:bookmarkEnd w:id="836"/>
      <w:bookmarkEnd w:id="837"/>
      <w:bookmarkEnd w:id="838"/>
    </w:p>
    <w:p>
      <w:pPr>
        <w:spacing w:line="241" w:lineRule="auto"/>
        <w:rPr>
          <w:rFonts w:hint="default" w:ascii="Times New Roman" w:hAnsi="Times New Roman" w:cs="Times New Roman"/>
          <w:sz w:val="21"/>
          <w:highlight w:val="none"/>
        </w:rPr>
      </w:pPr>
    </w:p>
    <w:p>
      <w:pPr>
        <w:spacing w:before="75" w:line="402" w:lineRule="auto"/>
        <w:ind w:left="22" w:right="59" w:firstLine="480"/>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7"/>
          <w:sz w:val="23"/>
          <w:szCs w:val="23"/>
          <w:highlight w:val="none"/>
        </w:rPr>
        <w:t>为确保各类污染物的达标排放及各项环保设施的稳定运行，最大限度地减</w:t>
      </w:r>
      <w:r>
        <w:rPr>
          <w:rFonts w:hint="default" w:ascii="Times New Roman" w:hAnsi="Times New Roman" w:eastAsia="宋体" w:cs="Times New Roman"/>
          <w:spacing w:val="4"/>
          <w:sz w:val="23"/>
          <w:szCs w:val="23"/>
          <w:highlight w:val="none"/>
        </w:rPr>
        <w:t>少</w:t>
      </w:r>
      <w:r>
        <w:rPr>
          <w:rFonts w:hint="default" w:ascii="Times New Roman" w:hAnsi="Times New Roman" w:eastAsia="宋体" w:cs="Times New Roman"/>
          <w:sz w:val="23"/>
          <w:szCs w:val="23"/>
          <w:highlight w:val="none"/>
        </w:rPr>
        <w:t xml:space="preserve"> </w:t>
      </w:r>
      <w:r>
        <w:rPr>
          <w:rFonts w:hint="default" w:ascii="Times New Roman" w:hAnsi="Times New Roman" w:eastAsia="宋体" w:cs="Times New Roman"/>
          <w:spacing w:val="10"/>
          <w:sz w:val="23"/>
          <w:szCs w:val="23"/>
          <w:highlight w:val="none"/>
        </w:rPr>
        <w:t>污</w:t>
      </w:r>
      <w:r>
        <w:rPr>
          <w:rFonts w:hint="default" w:ascii="Times New Roman" w:hAnsi="Times New Roman" w:eastAsia="宋体" w:cs="Times New Roman"/>
          <w:spacing w:val="9"/>
          <w:sz w:val="23"/>
          <w:szCs w:val="23"/>
          <w:highlight w:val="none"/>
        </w:rPr>
        <w:t>染物的外排量，保护环境，本评价提出如下建议：</w:t>
      </w:r>
    </w:p>
    <w:p>
      <w:pPr>
        <w:spacing w:line="228" w:lineRule="auto"/>
        <w:ind w:left="512"/>
        <w:outlineLvl w:val="2"/>
        <w:rPr>
          <w:rFonts w:hint="default" w:ascii="Times New Roman" w:hAnsi="Times New Roman" w:eastAsia="宋体" w:cs="Times New Roman"/>
          <w:sz w:val="23"/>
          <w:szCs w:val="23"/>
          <w:highlight w:val="none"/>
        </w:rPr>
      </w:pPr>
      <w:bookmarkStart w:id="839" w:name="_Toc29986"/>
      <w:bookmarkStart w:id="840" w:name="_Toc12571"/>
      <w:bookmarkStart w:id="841" w:name="_Toc20972"/>
      <w:r>
        <w:rPr>
          <w:rFonts w:hint="default" w:ascii="Times New Roman" w:hAnsi="Times New Roman" w:eastAsia="宋体" w:cs="Times New Roman"/>
          <w:spacing w:val="19"/>
          <w:sz w:val="23"/>
          <w:szCs w:val="23"/>
          <w:highlight w:val="none"/>
        </w:rPr>
        <w:t>(</w:t>
      </w:r>
      <w:r>
        <w:rPr>
          <w:rFonts w:hint="default" w:ascii="Times New Roman" w:hAnsi="Times New Roman" w:eastAsia="Times New Roman" w:cs="Times New Roman"/>
          <w:spacing w:val="14"/>
          <w:sz w:val="23"/>
          <w:szCs w:val="23"/>
          <w:highlight w:val="none"/>
        </w:rPr>
        <w:t>1</w:t>
      </w:r>
      <w:r>
        <w:rPr>
          <w:rFonts w:hint="default" w:ascii="Times New Roman" w:hAnsi="Times New Roman" w:eastAsia="宋体" w:cs="Times New Roman"/>
          <w:spacing w:val="14"/>
          <w:sz w:val="23"/>
          <w:szCs w:val="23"/>
          <w:highlight w:val="none"/>
        </w:rPr>
        <w:t>) 物料运输道路</w:t>
      </w:r>
      <w:r>
        <w:rPr>
          <w:rFonts w:hint="eastAsia" w:ascii="Times New Roman" w:hAnsi="Times New Roman" w:eastAsia="宋体" w:cs="Times New Roman"/>
          <w:spacing w:val="14"/>
          <w:sz w:val="23"/>
          <w:szCs w:val="23"/>
          <w:highlight w:val="none"/>
          <w:lang w:val="en-US" w:eastAsia="zh-CN"/>
        </w:rPr>
        <w:t>尽量</w:t>
      </w:r>
      <w:r>
        <w:rPr>
          <w:rFonts w:hint="default" w:ascii="Times New Roman" w:hAnsi="Times New Roman" w:eastAsia="宋体" w:cs="Times New Roman"/>
          <w:spacing w:val="14"/>
          <w:sz w:val="23"/>
          <w:szCs w:val="23"/>
          <w:highlight w:val="none"/>
        </w:rPr>
        <w:t>远离</w:t>
      </w:r>
      <w:r>
        <w:rPr>
          <w:rFonts w:hint="eastAsia" w:ascii="Times New Roman" w:hAnsi="Times New Roman" w:eastAsia="宋体" w:cs="Times New Roman"/>
          <w:spacing w:val="14"/>
          <w:sz w:val="23"/>
          <w:szCs w:val="23"/>
          <w:highlight w:val="none"/>
          <w:lang w:val="en-US" w:eastAsia="zh-CN"/>
        </w:rPr>
        <w:t>周边村庄</w:t>
      </w:r>
      <w:r>
        <w:rPr>
          <w:rFonts w:hint="default" w:ascii="Times New Roman" w:hAnsi="Times New Roman" w:eastAsia="宋体" w:cs="Times New Roman"/>
          <w:spacing w:val="14"/>
          <w:sz w:val="23"/>
          <w:szCs w:val="23"/>
          <w:highlight w:val="none"/>
        </w:rPr>
        <w:t>；</w:t>
      </w:r>
      <w:bookmarkEnd w:id="839"/>
      <w:bookmarkEnd w:id="840"/>
      <w:bookmarkEnd w:id="841"/>
    </w:p>
    <w:p>
      <w:pPr>
        <w:spacing w:before="215" w:line="228" w:lineRule="auto"/>
        <w:ind w:left="512"/>
        <w:rPr>
          <w:rFonts w:hint="default" w:ascii="Times New Roman" w:hAnsi="Times New Roman" w:eastAsia="宋体" w:cs="Times New Roman"/>
          <w:sz w:val="23"/>
          <w:szCs w:val="23"/>
          <w:highlight w:val="none"/>
        </w:rPr>
      </w:pPr>
      <w:r>
        <w:rPr>
          <w:rFonts w:hint="default" w:ascii="Times New Roman" w:hAnsi="Times New Roman" w:eastAsia="宋体" w:cs="Times New Roman"/>
          <w:spacing w:val="8"/>
          <w:sz w:val="23"/>
          <w:szCs w:val="23"/>
          <w:highlight w:val="none"/>
        </w:rPr>
        <w:t>(</w:t>
      </w:r>
      <w:r>
        <w:rPr>
          <w:rFonts w:hint="default" w:ascii="Times New Roman" w:hAnsi="Times New Roman" w:eastAsia="Times New Roman" w:cs="Times New Roman"/>
          <w:spacing w:val="8"/>
          <w:sz w:val="23"/>
          <w:szCs w:val="23"/>
          <w:highlight w:val="none"/>
        </w:rPr>
        <w:t>2</w:t>
      </w:r>
      <w:r>
        <w:rPr>
          <w:rFonts w:hint="default" w:ascii="Times New Roman" w:hAnsi="Times New Roman" w:eastAsia="宋体" w:cs="Times New Roman"/>
          <w:spacing w:val="8"/>
          <w:sz w:val="23"/>
          <w:szCs w:val="23"/>
          <w:highlight w:val="none"/>
        </w:rPr>
        <w:t>) 加强设备日常管理与维护，确保环保设施正常运行，污染物达标排放；</w:t>
      </w:r>
    </w:p>
    <w:p>
      <w:pPr>
        <w:spacing w:before="215" w:line="228" w:lineRule="auto"/>
        <w:ind w:left="512"/>
        <w:outlineLvl w:val="2"/>
        <w:rPr>
          <w:rFonts w:hint="default" w:ascii="Times New Roman" w:hAnsi="Times New Roman" w:eastAsia="宋体" w:cs="Times New Roman"/>
          <w:sz w:val="23"/>
          <w:szCs w:val="23"/>
          <w:highlight w:val="none"/>
        </w:rPr>
      </w:pPr>
      <w:bookmarkStart w:id="842" w:name="_Toc10672"/>
      <w:bookmarkStart w:id="843" w:name="_Toc20620"/>
      <w:bookmarkStart w:id="844" w:name="_Toc5247"/>
      <w:r>
        <w:rPr>
          <w:rFonts w:hint="default" w:ascii="Times New Roman" w:hAnsi="Times New Roman" w:eastAsia="宋体" w:cs="Times New Roman"/>
          <w:spacing w:val="23"/>
          <w:sz w:val="23"/>
          <w:szCs w:val="23"/>
          <w:highlight w:val="none"/>
        </w:rPr>
        <w:t>(</w:t>
      </w:r>
      <w:r>
        <w:rPr>
          <w:rFonts w:hint="default" w:ascii="Times New Roman" w:hAnsi="Times New Roman" w:eastAsia="Times New Roman" w:cs="Times New Roman"/>
          <w:spacing w:val="14"/>
          <w:sz w:val="23"/>
          <w:szCs w:val="23"/>
          <w:highlight w:val="none"/>
        </w:rPr>
        <w:t>3</w:t>
      </w:r>
      <w:r>
        <w:rPr>
          <w:rFonts w:hint="default" w:ascii="Times New Roman" w:hAnsi="Times New Roman" w:eastAsia="宋体" w:cs="Times New Roman"/>
          <w:spacing w:val="14"/>
          <w:sz w:val="23"/>
          <w:szCs w:val="23"/>
          <w:highlight w:val="none"/>
        </w:rPr>
        <w:t>) 加强固体废物日常管理。</w:t>
      </w:r>
      <w:bookmarkEnd w:id="842"/>
      <w:bookmarkEnd w:id="843"/>
      <w:bookmarkEnd w:id="844"/>
    </w:p>
    <w:sectPr>
      <w:headerReference r:id="rId135" w:type="default"/>
      <w:footerReference r:id="rId136" w:type="default"/>
      <w:pgSz w:w="11906" w:h="16839"/>
      <w:pgMar w:top="1167" w:right="1737" w:bottom="1282" w:left="1785" w:header="897" w:footer="1015"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4" w:line="86" w:lineRule="exact"/>
      <w:ind w:firstLine="11"/>
      <w:textAlignment w:val="center"/>
    </w:pPr>
    <w:r>
      <w:rPr>
        <w:sz w:val="21"/>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36</w:t>
                    </w:r>
                    <w:r>
                      <w:rPr>
                        <w:rFonts w:hint="eastAsia" w:eastAsia="宋体"/>
                        <w:lang w:eastAsia="zh-CN"/>
                      </w:rPr>
                      <w:fldChar w:fldCharType="end"/>
                    </w:r>
                  </w:p>
                </w:txbxContent>
              </v:textbox>
            </v:shape>
          </w:pict>
        </mc:Fallback>
      </mc:AlternateContent>
    </w:r>
  </w:p>
  <w:p>
    <w:pPr>
      <w:spacing w:line="196" w:lineRule="auto"/>
      <w:ind w:left="4080"/>
      <w:rPr>
        <w:rFonts w:ascii="Times New Roman" w:hAnsi="Times New Roman" w:eastAsia="Times New Roman" w:cs="Times New Roman"/>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4" w:line="86" w:lineRule="exact"/>
      <w:ind w:firstLine="52"/>
      <w:textAlignment w:val="center"/>
    </w:pPr>
    <w:r>
      <w:rPr>
        <w:sz w:val="21"/>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p>
    <w:pPr>
      <w:spacing w:line="196" w:lineRule="auto"/>
      <w:ind w:left="4121"/>
      <w:rPr>
        <w:rFonts w:ascii="Times New Roman" w:hAnsi="Times New Roman" w:eastAsia="Times New Roman" w:cs="Times New Roman"/>
        <w:sz w:val="17"/>
        <w:szCs w:val="17"/>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4" w:line="57" w:lineRule="exact"/>
      <w:textAlignment w:val="center"/>
    </w:pPr>
    <w:r>
      <w:rPr>
        <w:sz w:val="21"/>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v:textbox>
            </v:shape>
          </w:pict>
        </mc:Fallback>
      </mc:AlternateContent>
    </w:r>
  </w:p>
  <w:p>
    <w:pPr>
      <w:spacing w:line="196" w:lineRule="auto"/>
      <w:ind w:left="6890"/>
      <w:rPr>
        <w:rFonts w:ascii="Times New Roman" w:hAnsi="Times New Roman" w:eastAsia="Times New Roman" w:cs="Times New Roman"/>
        <w:sz w:val="17"/>
        <w:szCs w:val="17"/>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4" w:line="57" w:lineRule="exact"/>
      <w:ind w:firstLine="11"/>
      <w:textAlignment w:val="center"/>
    </w:pPr>
    <w:r>
      <w:rPr>
        <w:sz w:val="21"/>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p>
    <w:pPr>
      <w:spacing w:line="196" w:lineRule="auto"/>
      <w:ind w:left="4085"/>
      <w:rPr>
        <w:rFonts w:ascii="Times New Roman" w:hAnsi="Times New Roman" w:eastAsia="Times New Roman" w:cs="Times New Roman"/>
        <w:sz w:val="17"/>
        <w:szCs w:val="17"/>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4" w:line="86" w:lineRule="exact"/>
      <w:ind w:firstLine="122"/>
      <w:textAlignment w:val="center"/>
    </w:pPr>
    <w:r>
      <w:rPr>
        <w:sz w:val="21"/>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55</w:t>
                    </w:r>
                    <w:r>
                      <w:rPr>
                        <w:rFonts w:hint="eastAsia" w:eastAsia="宋体"/>
                        <w:lang w:eastAsia="zh-CN"/>
                      </w:rPr>
                      <w:fldChar w:fldCharType="end"/>
                    </w:r>
                  </w:p>
                </w:txbxContent>
              </v:textbox>
            </v:shape>
          </w:pict>
        </mc:Fallback>
      </mc:AlternateContent>
    </w:r>
  </w:p>
  <w:p>
    <w:pPr>
      <w:spacing w:line="196" w:lineRule="auto"/>
      <w:ind w:left="7739"/>
      <w:rPr>
        <w:rFonts w:ascii="Times New Roman" w:hAnsi="Times New Roman" w:eastAsia="Times New Roman" w:cs="Times New Roman"/>
        <w:sz w:val="17"/>
        <w:szCs w:val="17"/>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7" w:line="57" w:lineRule="exact"/>
      <w:ind w:firstLine="11"/>
      <w:textAlignment w:val="center"/>
    </w:pPr>
    <w:r>
      <w:rPr>
        <w:sz w:val="21"/>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p>
    <w:pPr>
      <w:spacing w:line="193" w:lineRule="auto"/>
      <w:ind w:left="4085"/>
      <w:rPr>
        <w:rFonts w:ascii="Times New Roman" w:hAnsi="Times New Roman" w:eastAsia="Times New Roman" w:cs="Times New Roman"/>
        <w:sz w:val="17"/>
        <w:szCs w:val="17"/>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4" w:line="86" w:lineRule="exact"/>
      <w:ind w:firstLine="122"/>
      <w:textAlignment w:val="center"/>
    </w:pPr>
    <w:r>
      <w:rPr>
        <w:sz w:val="21"/>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60</w:t>
                    </w:r>
                    <w:r>
                      <w:rPr>
                        <w:rFonts w:hint="eastAsia" w:eastAsia="宋体"/>
                        <w:lang w:eastAsia="zh-CN"/>
                      </w:rPr>
                      <w:fldChar w:fldCharType="end"/>
                    </w:r>
                  </w:p>
                </w:txbxContent>
              </v:textbox>
            </v:shape>
          </w:pict>
        </mc:Fallback>
      </mc:AlternateContent>
    </w:r>
  </w:p>
  <w:p>
    <w:pPr>
      <w:spacing w:line="196" w:lineRule="auto"/>
      <w:ind w:left="7019"/>
      <w:rPr>
        <w:rFonts w:ascii="Times New Roman" w:hAnsi="Times New Roman" w:eastAsia="Times New Roman" w:cs="Times New Roman"/>
        <w:sz w:val="17"/>
        <w:szCs w:val="17"/>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72" w:lineRule="exact"/>
      <w:ind w:firstLine="17"/>
      <w:textAlignment w:val="center"/>
    </w:pPr>
    <w:r>
      <w:rPr>
        <w:sz w:val="21"/>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64</w:t>
                    </w:r>
                    <w:r>
                      <w:rPr>
                        <w:rFonts w:hint="eastAsia" w:eastAsia="宋体"/>
                        <w:lang w:eastAsia="zh-CN"/>
                      </w:rPr>
                      <w:fldChar w:fldCharType="end"/>
                    </w:r>
                  </w:p>
                </w:txbxContent>
              </v:textbox>
            </v:shape>
          </w:pict>
        </mc:Fallback>
      </mc:AlternateContent>
    </w:r>
  </w:p>
  <w:p>
    <w:pPr>
      <w:spacing w:line="196" w:lineRule="auto"/>
      <w:ind w:left="4073"/>
      <w:rPr>
        <w:rFonts w:ascii="Times New Roman" w:hAnsi="Times New Roman" w:eastAsia="Times New Roman" w:cs="Times New Roman"/>
        <w:sz w:val="17"/>
        <w:szCs w:val="17"/>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p>
    <w:pPr>
      <w:spacing w:line="196" w:lineRule="auto"/>
      <w:ind w:left="4085"/>
      <w:rPr>
        <w:rFonts w:ascii="Times New Roman" w:hAnsi="Times New Roman" w:eastAsia="Times New Roman" w:cs="Times New Roman"/>
        <w:sz w:val="17"/>
        <w:szCs w:val="17"/>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p>
  <w:p>
    <w:pPr>
      <w:spacing w:line="196" w:lineRule="auto"/>
      <w:ind w:left="4085"/>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71" w:line="86" w:lineRule="exact"/>
      <w:ind w:firstLine="42"/>
      <w:textAlignment w:val="center"/>
      <w:rPr>
        <w:rFonts w:hint="eastAsia" w:ascii="Times New Roman" w:hAnsi="Times New Roman" w:eastAsia="宋体" w:cs="Times New Roman"/>
        <w:sz w:val="20"/>
        <w:szCs w:val="20"/>
        <w:lang w:val="en-US" w:eastAsia="zh-CN"/>
      </w:rPr>
    </w:pPr>
    <w:r>
      <w:rPr>
        <w:sz w:val="20"/>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70</w:t>
                    </w:r>
                    <w:r>
                      <w:rPr>
                        <w:rFonts w:hint="eastAsia" w:eastAsia="宋体"/>
                        <w:lang w:eastAsia="zh-CN"/>
                      </w:rPr>
                      <w:fldChar w:fldCharType="end"/>
                    </w:r>
                  </w:p>
                </w:txbxContent>
              </v:textbox>
            </v:shape>
          </w:pict>
        </mc:Fallback>
      </mc:AlternateContent>
    </w:r>
  </w:p>
  <w:p>
    <w:pPr>
      <w:spacing w:line="196" w:lineRule="auto"/>
      <w:ind w:left="4083"/>
      <w:rPr>
        <w:rFonts w:ascii="Times New Roman" w:hAnsi="Times New Roman" w:eastAsia="Times New Roman" w:cs="Times New Roman"/>
        <w:sz w:val="17"/>
        <w:szCs w:val="17"/>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71</w:t>
                    </w:r>
                    <w:r>
                      <w:rPr>
                        <w:rFonts w:hint="eastAsia" w:eastAsia="宋体"/>
                        <w:lang w:eastAsia="zh-CN"/>
                      </w:rPr>
                      <w:fldChar w:fldCharType="end"/>
                    </w:r>
                  </w:p>
                </w:txbxContent>
              </v:textbox>
            </v:shape>
          </w:pict>
        </mc:Fallback>
      </mc:AlternateContent>
    </w:r>
  </w:p>
  <w:p>
    <w:pPr>
      <w:spacing w:line="196" w:lineRule="auto"/>
      <w:ind w:left="4083"/>
      <w:rPr>
        <w:rFonts w:ascii="Times New Roman" w:hAnsi="Times New Roman" w:eastAsia="Times New Roman" w:cs="Times New Roman"/>
        <w:sz w:val="17"/>
        <w:szCs w:val="17"/>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B8k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oB8k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72</w:t>
                    </w:r>
                    <w:r>
                      <w:rPr>
                        <w:rFonts w:hint="eastAsia" w:eastAsia="宋体"/>
                        <w:lang w:eastAsia="zh-CN"/>
                      </w:rPr>
                      <w:fldChar w:fldCharType="end"/>
                    </w:r>
                  </w:p>
                </w:txbxContent>
              </v:textbox>
            </v:shape>
          </w:pict>
        </mc:Fallback>
      </mc:AlternateContent>
    </w:r>
  </w:p>
  <w:p>
    <w:pPr>
      <w:spacing w:line="196" w:lineRule="auto"/>
      <w:ind w:left="4083"/>
      <w:rPr>
        <w:rFonts w:ascii="Times New Roman" w:hAnsi="Times New Roman" w:eastAsia="Times New Roman" w:cs="Times New Roman"/>
        <w:sz w:val="17"/>
        <w:szCs w:val="17"/>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73</w:t>
                    </w:r>
                    <w:r>
                      <w:rPr>
                        <w:rFonts w:hint="eastAsia" w:eastAsia="宋体"/>
                        <w:lang w:eastAsia="zh-CN"/>
                      </w:rPr>
                      <w:fldChar w:fldCharType="end"/>
                    </w:r>
                  </w:p>
                </w:txbxContent>
              </v:textbox>
            </v:shape>
          </w:pict>
        </mc:Fallback>
      </mc:AlternateContent>
    </w:r>
  </w:p>
  <w:p>
    <w:pPr>
      <w:spacing w:line="196" w:lineRule="auto"/>
      <w:ind w:left="4083"/>
      <w:rPr>
        <w:rFonts w:ascii="Times New Roman" w:hAnsi="Times New Roman" w:eastAsia="Times New Roman" w:cs="Times New Roman"/>
        <w:sz w:val="17"/>
        <w:szCs w:val="17"/>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72" w:lineRule="exact"/>
      <w:ind w:firstLine="29"/>
      <w:textAlignment w:val="center"/>
    </w:pPr>
    <w:r>
      <w:rPr>
        <w:sz w:val="21"/>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74</w:t>
                    </w:r>
                    <w:r>
                      <w:rPr>
                        <w:rFonts w:hint="eastAsia" w:eastAsia="宋体"/>
                        <w:lang w:eastAsia="zh-CN"/>
                      </w:rPr>
                      <w:fldChar w:fldCharType="end"/>
                    </w:r>
                  </w:p>
                </w:txbxContent>
              </v:textbox>
            </v:shape>
          </w:pict>
        </mc:Fallback>
      </mc:AlternateContent>
    </w:r>
  </w:p>
  <w:p>
    <w:pPr>
      <w:spacing w:line="196" w:lineRule="auto"/>
      <w:ind w:left="4102"/>
      <w:rPr>
        <w:rFonts w:ascii="Times New Roman" w:hAnsi="Times New Roman" w:eastAsia="Times New Roman" w:cs="Times New Roman"/>
        <w:sz w:val="17"/>
        <w:szCs w:val="17"/>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72" w:lineRule="exact"/>
      <w:ind w:firstLine="122"/>
      <w:textAlignment w:val="center"/>
    </w:pPr>
    <w:r>
      <w:rPr>
        <w:sz w:val="21"/>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76</w:t>
                    </w:r>
                    <w:r>
                      <w:rPr>
                        <w:rFonts w:hint="eastAsia" w:eastAsia="宋体"/>
                        <w:lang w:eastAsia="zh-CN"/>
                      </w:rPr>
                      <w:fldChar w:fldCharType="end"/>
                    </w:r>
                  </w:p>
                </w:txbxContent>
              </v:textbox>
            </v:shape>
          </w:pict>
        </mc:Fallback>
      </mc:AlternateContent>
    </w:r>
    <w:r>
      <mc:AlternateContent>
        <mc:Choice Requires="wps">
          <w:drawing>
            <wp:inline distT="0" distB="0" distL="114300" distR="114300">
              <wp:extent cx="5278755" cy="46355"/>
              <wp:effectExtent l="0" t="0" r="17145" b="10795"/>
              <wp:docPr id="228" name="任意多边形 228"/>
              <wp:cNvGraphicFramePr/>
              <a:graphic xmlns:a="http://schemas.openxmlformats.org/drawingml/2006/main">
                <a:graphicData uri="http://schemas.microsoft.com/office/word/2010/wordprocessingShape">
                  <wps:wsp>
                    <wps:cNvSpPr/>
                    <wps:spPr>
                      <a:xfrm>
                        <a:off x="0" y="0"/>
                        <a:ext cx="5278755" cy="46355"/>
                      </a:xfrm>
                      <a:custGeom>
                        <a:avLst/>
                        <a:gdLst/>
                        <a:ahLst/>
                        <a:cxnLst/>
                        <a:pathLst>
                          <a:path w="8312" h="73">
                            <a:moveTo>
                              <a:pt x="0" y="0"/>
                            </a:moveTo>
                            <a:lnTo>
                              <a:pt x="8312" y="0"/>
                            </a:lnTo>
                            <a:lnTo>
                              <a:pt x="8312" y="14"/>
                            </a:lnTo>
                            <a:lnTo>
                              <a:pt x="0" y="14"/>
                            </a:lnTo>
                            <a:lnTo>
                              <a:pt x="0" y="0"/>
                            </a:lnTo>
                            <a:close/>
                          </a:path>
                          <a:path w="8312" h="73">
                            <a:moveTo>
                              <a:pt x="0" y="28"/>
                            </a:moveTo>
                            <a:lnTo>
                              <a:pt x="8312" y="28"/>
                            </a:lnTo>
                            <a:lnTo>
                              <a:pt x="8312" y="72"/>
                            </a:lnTo>
                            <a:lnTo>
                              <a:pt x="0" y="72"/>
                            </a:lnTo>
                            <a:lnTo>
                              <a:pt x="0" y="28"/>
                            </a:lnTo>
                            <a:close/>
                          </a:path>
                        </a:pathLst>
                      </a:custGeom>
                      <a:solidFill>
                        <a:schemeClr val="bg1"/>
                      </a:solidFill>
                      <a:ln>
                        <a:noFill/>
                      </a:ln>
                    </wps:spPr>
                    <wps:bodyPr upright="1"/>
                  </wps:wsp>
                </a:graphicData>
              </a:graphic>
            </wp:inline>
          </w:drawing>
        </mc:Choice>
        <mc:Fallback>
          <w:pict>
            <v:shape id="_x0000_s1026" o:spid="_x0000_s1026" o:spt="100" style="height:3.65pt;width:415.65pt;" fillcolor="#FFFFFF [3212]" filled="t" stroked="f" coordsize="8312,73" o:gfxdata="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X9zj/WAAAAAwEAAA8AAAAAAAAAAQAgAAAAIgAAAGRycy9kb3ducmV2LnhtbFBL&#10;AQIUABQAAAAIAIdO4kCt5oqmMQIAAG4FAAAOAAAAAAAAAAEAIAAAACUBAABkcnMvZTJvRG9jLnht&#10;bFBLBQYAAAAABgAGAFkBAADIBQAAAAA=&#10;" path="m0,0l8312,0,8312,14,0,14,0,0xem0,28l8312,28,8312,72,0,72,0,28xe">
              <v:fill on="t" focussize="0,0"/>
              <v:stroke on="f"/>
              <v:imagedata o:title=""/>
              <o:lock v:ext="edit" aspectratio="f"/>
              <w10:wrap type="none"/>
              <w10:anchorlock/>
            </v:shape>
          </w:pict>
        </mc:Fallback>
      </mc:AlternateContent>
    </w:r>
  </w:p>
  <w:p>
    <w:pPr>
      <w:spacing w:line="196" w:lineRule="auto"/>
      <w:ind w:left="4195"/>
      <w:rPr>
        <w:rFonts w:hint="default" w:ascii="Times New Roman" w:hAnsi="Times New Roman" w:eastAsia="宋体" w:cs="Times New Roman"/>
        <w:sz w:val="17"/>
        <w:szCs w:val="17"/>
        <w:lang w:val="en-US" w:eastAsia="zh-CN"/>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7102"/>
      </w:tabs>
      <w:spacing w:after="63" w:line="43" w:lineRule="exact"/>
      <w:textAlignment w:val="center"/>
      <w:rPr>
        <w:rFonts w:hint="default" w:ascii="Times New Roman" w:hAnsi="Times New Roman" w:eastAsia="宋体" w:cs="Times New Roman"/>
        <w:sz w:val="17"/>
        <w:szCs w:val="17"/>
        <w:lang w:val="en-US" w:eastAsia="zh-CN"/>
      </w:rPr>
    </w:pPr>
    <w:r>
      <w:rPr>
        <w:sz w:val="17"/>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79</w:t>
                    </w:r>
                    <w:r>
                      <w:rPr>
                        <w:rFonts w:hint="eastAsia" w:eastAsia="宋体"/>
                        <w:lang w:eastAsia="zh-CN"/>
                      </w:rPr>
                      <w:fldChar w:fldCharType="end"/>
                    </w:r>
                  </w:p>
                </w:txbxContent>
              </v:textbox>
            </v:shape>
          </w:pict>
        </mc:Fallback>
      </mc:AlternateContent>
    </w:r>
    <w:r>
      <w:rPr>
        <w:rFonts w:hint="eastAsia" w:ascii="Times New Roman" w:hAnsi="Times New Roman" w:eastAsia="宋体" w:cs="Times New Roman"/>
        <w:sz w:val="17"/>
        <w:szCs w:val="17"/>
        <w:lang w:val="en-US" w:eastAsia="zh-CN"/>
      </w:rP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72" w:lineRule="exact"/>
      <w:ind w:firstLine="259"/>
      <w:textAlignment w:val="center"/>
    </w:pPr>
    <w:r>
      <w:rPr>
        <w:sz w:val="21"/>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82</w:t>
                    </w:r>
                    <w:r>
                      <w:rPr>
                        <w:rFonts w:hint="eastAsia" w:eastAsia="宋体"/>
                        <w:lang w:eastAsia="zh-CN"/>
                      </w:rPr>
                      <w:fldChar w:fldCharType="end"/>
                    </w:r>
                  </w:p>
                </w:txbxContent>
              </v:textbox>
            </v:shape>
          </w:pict>
        </mc:Fallback>
      </mc:AlternateContent>
    </w:r>
  </w:p>
  <w:p>
    <w:pPr>
      <w:spacing w:line="196" w:lineRule="auto"/>
      <w:ind w:left="4336"/>
      <w:rPr>
        <w:rFonts w:ascii="Times New Roman" w:hAnsi="Times New Roman" w:eastAsia="Times New Roman" w:cs="Times New Roman"/>
        <w:sz w:val="17"/>
        <w:szCs w:val="17"/>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default"/>
        <w:lang w:val="en-US" w:eastAsia="zh-CN"/>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83</w:t>
                    </w:r>
                    <w:r>
                      <w:rPr>
                        <w:rFonts w:hint="eastAsia" w:eastAsia="宋体"/>
                        <w:lang w:eastAsia="zh-CN"/>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1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vgF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b4Bd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87</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74" w:line="86" w:lineRule="exact"/>
      <w:ind w:firstLine="42"/>
      <w:textAlignment w:val="center"/>
    </w:pPr>
    <w:r>
      <w:rPr>
        <w:sz w:val="21"/>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v:textbox>
            </v:shape>
          </w:pict>
        </mc:Fallback>
      </mc:AlternateContent>
    </w:r>
  </w:p>
  <w:p>
    <w:pPr>
      <w:spacing w:line="191" w:lineRule="auto"/>
      <w:ind w:left="4146"/>
      <w:rPr>
        <w:rFonts w:ascii="Times New Roman" w:hAnsi="Times New Roman" w:eastAsia="Times New Roman" w:cs="Times New Roman"/>
        <w:sz w:val="20"/>
        <w:szCs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4"/>
      <w:textAlignment w:val="center"/>
    </w:pPr>
    <w:r>
      <w:rPr>
        <w:sz w:val="21"/>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88</w:t>
                    </w:r>
                    <w:r>
                      <w:rPr>
                        <w:rFonts w:hint="eastAsia" w:eastAsia="宋体"/>
                        <w:lang w:eastAsia="zh-CN"/>
                      </w:rPr>
                      <w:fldChar w:fldCharType="end"/>
                    </w:r>
                  </w:p>
                </w:txbxContent>
              </v:textbox>
            </v:shape>
          </w:pict>
        </mc:Fallback>
      </mc:AlternateContent>
    </w:r>
  </w:p>
  <w:p>
    <w:pPr>
      <w:spacing w:line="196" w:lineRule="auto"/>
      <w:ind w:left="4084"/>
      <w:rPr>
        <w:rFonts w:ascii="Times New Roman" w:hAnsi="Times New Roman" w:eastAsia="Times New Roman" w:cs="Times New Roman"/>
        <w:sz w:val="17"/>
        <w:szCs w:val="17"/>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72" w:lineRule="exact"/>
      <w:ind w:firstLine="42"/>
      <w:textAlignment w:val="center"/>
    </w:pPr>
    <w:r>
      <w:rPr>
        <w:sz w:val="21"/>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91</w:t>
                    </w:r>
                    <w:r>
                      <w:rPr>
                        <w:rFonts w:hint="eastAsia" w:eastAsia="宋体"/>
                        <w:lang w:eastAsia="zh-CN"/>
                      </w:rPr>
                      <w:fldChar w:fldCharType="end"/>
                    </w:r>
                  </w:p>
                </w:txbxContent>
              </v:textbox>
            </v:shape>
          </w:pict>
        </mc:Fallback>
      </mc:AlternateContent>
    </w:r>
  </w:p>
  <w:p>
    <w:pPr>
      <w:spacing w:line="196" w:lineRule="auto"/>
      <w:ind w:left="4112"/>
      <w:rPr>
        <w:rFonts w:ascii="Times New Roman" w:hAnsi="Times New Roman" w:eastAsia="Times New Roman" w:cs="Times New Roman"/>
        <w:sz w:val="17"/>
        <w:szCs w:val="17"/>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4"/>
      <w:textAlignment w:val="center"/>
    </w:pPr>
    <w:r>
      <w:rPr>
        <w:sz w:val="21"/>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92</w:t>
                    </w:r>
                    <w:r>
                      <w:rPr>
                        <w:rFonts w:hint="eastAsia" w:eastAsia="宋体"/>
                        <w:lang w:eastAsia="zh-CN"/>
                      </w:rPr>
                      <w:fldChar w:fldCharType="end"/>
                    </w:r>
                  </w:p>
                </w:txbxContent>
              </v:textbox>
            </v:shape>
          </w:pict>
        </mc:Fallback>
      </mc:AlternateContent>
    </w:r>
  </w:p>
  <w:p>
    <w:pPr>
      <w:spacing w:line="196" w:lineRule="auto"/>
      <w:ind w:left="4084"/>
      <w:rPr>
        <w:rFonts w:ascii="Times New Roman" w:hAnsi="Times New Roman" w:eastAsia="Times New Roman" w:cs="Times New Roman"/>
        <w:sz w:val="17"/>
        <w:szCs w:val="17"/>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4"/>
      <w:textAlignment w:val="center"/>
    </w:pPr>
    <w:r>
      <w:rPr>
        <w:sz w:val="21"/>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93</w:t>
                    </w:r>
                    <w:r>
                      <w:rPr>
                        <w:rFonts w:hint="eastAsia" w:eastAsia="宋体"/>
                        <w:lang w:eastAsia="zh-CN"/>
                      </w:rPr>
                      <w:fldChar w:fldCharType="end"/>
                    </w:r>
                  </w:p>
                </w:txbxContent>
              </v:textbox>
            </v:shape>
          </w:pict>
        </mc:Fallback>
      </mc:AlternateContent>
    </w:r>
  </w:p>
  <w:p>
    <w:pPr>
      <w:spacing w:line="196" w:lineRule="auto"/>
      <w:ind w:left="4084"/>
      <w:rPr>
        <w:rFonts w:ascii="Times New Roman" w:hAnsi="Times New Roman" w:eastAsia="Times New Roman" w:cs="Times New Roman"/>
        <w:sz w:val="17"/>
        <w:szCs w:val="17"/>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3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eJO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iTh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94</w:t>
                    </w:r>
                    <w:r>
                      <w:rPr>
                        <w:rFonts w:hint="eastAsia" w:eastAsia="宋体"/>
                        <w:lang w:eastAsia="zh-CN"/>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105</w:t>
                    </w:r>
                    <w:r>
                      <w:rPr>
                        <w:rFonts w:hint="eastAsia" w:eastAsia="宋体"/>
                        <w:lang w:eastAsia="zh-CN"/>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71" w:lineRule="exact"/>
      <w:textAlignment w:val="center"/>
    </w:pPr>
    <w:r>
      <w:rPr>
        <w:sz w:val="21"/>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106</w:t>
                    </w:r>
                    <w:r>
                      <w:rPr>
                        <w:rFonts w:hint="eastAsia" w:eastAsia="宋体"/>
                        <w:lang w:eastAsia="zh-CN"/>
                      </w:rPr>
                      <w:fldChar w:fldCharType="end"/>
                    </w:r>
                  </w:p>
                </w:txbxContent>
              </v:textbox>
            </v:shape>
          </w:pict>
        </mc:Fallback>
      </mc:AlternateContent>
    </w:r>
    <w:r>
      <w:pict>
        <v:shape id="_x0000_s2241" o:spid="_x0000_s2241" style="height:3.6pt;width:705.95pt;" filled="f" stroked="f" coordsize="14119,71" path="m0,0l14118,0,14118,14,0,14,0,0xem0,28l14118,28,14118,71,0,71,0,28xe">
          <v:path/>
          <v:fill on="f" focussize="0,0"/>
          <v:stroke on="f"/>
          <v:imagedata o:title=""/>
          <o:lock v:ext="edit" aspectratio="f"/>
          <w10:wrap type="none"/>
          <w10:anchorlock/>
        </v:shape>
      </w:pict>
    </w:r>
  </w:p>
  <w:p>
    <w:pPr>
      <w:spacing w:line="196" w:lineRule="auto"/>
      <w:ind w:left="6947"/>
      <w:rPr>
        <w:rFonts w:ascii="Times New Roman" w:hAnsi="Times New Roman" w:eastAsia="Times New Roman" w:cs="Times New Roman"/>
        <w:sz w:val="17"/>
        <w:szCs w:val="17"/>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107</w:t>
                    </w:r>
                    <w:r>
                      <w:rPr>
                        <w:rFonts w:hint="eastAsia" w:eastAsia="宋体"/>
                        <w:lang w:eastAsia="zh-CN"/>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108</w:t>
                    </w:r>
                    <w:r>
                      <w:rPr>
                        <w:rFonts w:hint="eastAsia" w:eastAsia="宋体"/>
                        <w:lang w:eastAsia="zh-CN"/>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110</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78" w:line="86" w:lineRule="exact"/>
      <w:ind w:firstLine="122"/>
      <w:textAlignment w:val="center"/>
    </w:pPr>
    <w:r>
      <w:rPr>
        <w:sz w:val="21"/>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p>
  <w:p>
    <w:pPr>
      <w:spacing w:line="194" w:lineRule="auto"/>
      <w:ind w:left="6693"/>
      <w:rPr>
        <w:rFonts w:ascii="Times New Roman" w:hAnsi="Times New Roman" w:eastAsia="Times New Roman" w:cs="Times New Roman"/>
        <w:sz w:val="23"/>
        <w:szCs w:val="23"/>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71" w:lineRule="exact"/>
      <w:textAlignment w:val="center"/>
    </w:pPr>
    <w:r>
      <w:rPr>
        <w:sz w:val="21"/>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111</w:t>
                    </w:r>
                    <w:r>
                      <w:rPr>
                        <w:rFonts w:hint="eastAsia" w:eastAsia="宋体"/>
                        <w:lang w:eastAsia="zh-CN"/>
                      </w:rPr>
                      <w:fldChar w:fldCharType="end"/>
                    </w:r>
                  </w:p>
                </w:txbxContent>
              </v:textbox>
            </v:shape>
          </w:pict>
        </mc:Fallback>
      </mc:AlternateContent>
    </w:r>
    <w:r>
      <w:pict>
        <v:shape id="_x0000_s2247" o:spid="_x0000_s2247" style="height:3.6pt;width:697.95pt;" fillcolor="#FFFFFF" filled="t" stroked="f" coordsize="13959,71" path="m0,0l13958,0,13958,14,0,14,0,0xem0,28l13958,28,13958,71,0,71,0,28xe">
          <v:path/>
          <v:fill on="t" color2="#FFFFFF" focussize="0,0"/>
          <v:stroke on="f"/>
          <v:imagedata o:title=""/>
          <o:lock v:ext="edit" aspectratio="f"/>
          <w10:wrap type="none"/>
          <w10:anchorlock/>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4"/>
      <w:textAlignment w:val="center"/>
    </w:pPr>
    <w:r>
      <w:rPr>
        <w:sz w:val="21"/>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112</w:t>
                    </w:r>
                    <w:r>
                      <w:rPr>
                        <w:rFonts w:hint="eastAsia" w:eastAsia="宋体"/>
                        <w:lang w:eastAsia="zh-CN"/>
                      </w:rPr>
                      <w:fldChar w:fldCharType="end"/>
                    </w:r>
                  </w:p>
                </w:txbxContent>
              </v:textbox>
            </v:shape>
          </w:pict>
        </mc:Fallback>
      </mc:AlternateContent>
    </w:r>
    <w:r>
      <w:pict>
        <v:shape id="_x0000_s2249" o:spid="_x0000_s2249" style="height:2.2pt;width:415.3pt;" fillcolor="#FFFFFF" filled="t" stroked="f" coordsize="8305,44" path="m0,0l8305,0,8305,43,0,43,0,0xe">
          <v:path/>
          <v:fill on="t" color2="#FFFFFF" focussize="0,0"/>
          <v:stroke on="f"/>
          <v:imagedata o:title=""/>
          <o:lock v:ext="edit" aspectratio="f"/>
          <w10:wrap type="none"/>
          <w10:anchorlock/>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113</w:t>
                    </w:r>
                    <w:r>
                      <w:rPr>
                        <w:rFonts w:hint="eastAsia" w:eastAsia="宋体"/>
                        <w:lang w:eastAsia="zh-CN"/>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4"/>
      <w:textAlignment w:val="center"/>
    </w:pPr>
    <w:r>
      <w:rPr>
        <w:sz w:val="21"/>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114</w:t>
                    </w:r>
                    <w:r>
                      <w:rPr>
                        <w:rFonts w:hint="eastAsia" w:eastAsia="宋体"/>
                        <w:lang w:eastAsia="zh-CN"/>
                      </w:rPr>
                      <w:fldChar w:fldCharType="end"/>
                    </w:r>
                  </w:p>
                </w:txbxContent>
              </v:textbox>
            </v:shape>
          </w:pict>
        </mc:Fallback>
      </mc:AlternateContent>
    </w:r>
    <w:r>
      <w:pict>
        <v:shape id="_x0000_s2251" o:spid="_x0000_s2251" style="height:2.2pt;width:415.3pt;" fillcolor="#FFFFFF" filled="t" stroked="f" coordsize="8305,44" path="m0,0l8305,0,8305,43,0,43,0,0xe">
          <v:path/>
          <v:fill on="t" color2="#FFFFFF" focussize="0,0"/>
          <v:stroke on="f"/>
          <v:imagedata o:title=""/>
          <o:lock v:ext="edit" aspectratio="f"/>
          <w10:wrap type="none"/>
          <w10:anchorlock/>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4"/>
      <w:textAlignment w:val="center"/>
      <w:rPr>
        <w:color w:val="000000"/>
        <w14:textFill>
          <w14:noFill/>
        </w14:textFill>
      </w:rPr>
    </w:pPr>
    <w:r>
      <w:rPr>
        <w:sz w:val="21"/>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117</w:t>
                    </w:r>
                    <w:r>
                      <w:rPr>
                        <w:rFonts w:hint="eastAsia" w:eastAsia="宋体"/>
                        <w:lang w:eastAsia="zh-CN"/>
                      </w:rPr>
                      <w:fldChar w:fldCharType="end"/>
                    </w:r>
                  </w:p>
                </w:txbxContent>
              </v:textbox>
            </v:shape>
          </w:pict>
        </mc:Fallback>
      </mc:AlternateContent>
    </w:r>
    <w:r>
      <w:pict>
        <v:shape id="_x0000_s2255" o:spid="_x0000_s2255" style="height:2.2pt;width:415.3pt;" filled="f" stroked="f" coordsize="8305,44" path="m0,0l8305,0,8305,43,0,43,0,0xe">
          <v:path/>
          <v:fill on="f" focussize="0,0"/>
          <v:stroke on="f"/>
          <v:imagedata o:title=""/>
          <o:lock v:ext="edit" aspectratio="f"/>
          <w10:wrap type="none"/>
          <w10:anchorlock/>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72" w:lineRule="exact"/>
      <w:ind w:firstLine="14"/>
      <w:textAlignment w:val="center"/>
      <w:rPr>
        <w:rFonts w:ascii="Times New Roman" w:hAnsi="Times New Roman" w:eastAsia="Times New Roman" w:cs="Times New Roman"/>
        <w:sz w:val="17"/>
        <w:szCs w:val="17"/>
      </w:rPr>
    </w:pPr>
    <w:r>
      <w:rPr>
        <w:sz w:val="21"/>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118</w:t>
                    </w:r>
                    <w:r>
                      <w:rPr>
                        <w:rFonts w:hint="eastAsia" w:eastAsia="宋体"/>
                        <w:lang w:eastAsia="zh-CN"/>
                      </w:rPr>
                      <w:fldChar w:fldCharType="end"/>
                    </w:r>
                  </w:p>
                </w:txbxContent>
              </v:textbox>
            </v:shape>
          </w:pict>
        </mc:Fallback>
      </mc:AlternateContent>
    </w:r>
    <w:r>
      <mc:AlternateContent>
        <mc:Choice Requires="wps">
          <w:drawing>
            <wp:inline distT="0" distB="0" distL="114300" distR="114300">
              <wp:extent cx="5274310" cy="272415"/>
              <wp:effectExtent l="0" t="0" r="2540" b="13335"/>
              <wp:docPr id="50" name="任意多边形 333"/>
              <wp:cNvGraphicFramePr/>
              <a:graphic xmlns:a="http://schemas.openxmlformats.org/drawingml/2006/main">
                <a:graphicData uri="http://schemas.microsoft.com/office/word/2010/wordprocessingShape">
                  <wps:wsp>
                    <wps:cNvSpPr/>
                    <wps:spPr>
                      <a:xfrm>
                        <a:off x="0" y="0"/>
                        <a:ext cx="5274310" cy="272415"/>
                      </a:xfrm>
                      <a:custGeom>
                        <a:avLst/>
                        <a:gdLst/>
                        <a:ahLst/>
                        <a:cxnLst/>
                        <a:pathLst>
                          <a:path w="8305" h="73">
                            <a:moveTo>
                              <a:pt x="0" y="0"/>
                            </a:moveTo>
                            <a:lnTo>
                              <a:pt x="8305" y="0"/>
                            </a:lnTo>
                            <a:lnTo>
                              <a:pt x="8305" y="14"/>
                            </a:lnTo>
                            <a:lnTo>
                              <a:pt x="0" y="14"/>
                            </a:lnTo>
                            <a:lnTo>
                              <a:pt x="0" y="0"/>
                            </a:lnTo>
                            <a:close/>
                          </a:path>
                          <a:path w="8305" h="73">
                            <a:moveTo>
                              <a:pt x="0" y="28"/>
                            </a:moveTo>
                            <a:lnTo>
                              <a:pt x="8305" y="28"/>
                            </a:lnTo>
                            <a:lnTo>
                              <a:pt x="8305" y="72"/>
                            </a:lnTo>
                            <a:lnTo>
                              <a:pt x="0" y="72"/>
                            </a:lnTo>
                            <a:lnTo>
                              <a:pt x="0" y="28"/>
                            </a:lnTo>
                            <a:close/>
                          </a:path>
                        </a:pathLst>
                      </a:custGeom>
                      <a:solidFill>
                        <a:srgbClr val="FFFFFF"/>
                      </a:solidFill>
                      <a:ln>
                        <a:noFill/>
                      </a:ln>
                    </wps:spPr>
                    <wps:bodyPr upright="1"/>
                  </wps:wsp>
                </a:graphicData>
              </a:graphic>
            </wp:inline>
          </w:drawing>
        </mc:Choice>
        <mc:Fallback>
          <w:pict>
            <v:shape id="任意多边形 333" o:spid="_x0000_s1026" o:spt="100" style="height:21.45pt;width:415.3pt;" fillcolor="#FFFFFF" filled="t" stroked="f" coordsize="8305,73" o:gfxdata="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qCjptcAAAAEAQAADwAAAAAAAAABACAAAAAiAAAAZHJzL2Rvd25yZXYu&#10;eG1sUEsBAhQAFAAAAAgAh07iQFyDdUo1AgAAbgUAAA4AAAAAAAAAAQAgAAAAJgEAAGRycy9lMm9E&#10;b2MueG1sUEsFBgAAAAAGAAYAWQEAAM0FAAAAAA==&#10;" path="m0,0l8305,0,8305,14,0,14,0,0xem0,28l8305,28,8305,72,0,72,0,28xe">
              <v:fill on="t" focussize="0,0"/>
              <v:stroke on="f"/>
              <v:imagedata o:title=""/>
              <o:lock v:ext="edit" aspectratio="f"/>
              <w10:wrap type="none"/>
              <w10:anchorlock/>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4"/>
      <w:textAlignment w:val="center"/>
    </w:pPr>
    <w:r>
      <w:rPr>
        <w:sz w:val="21"/>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120</w:t>
                    </w:r>
                    <w:r>
                      <w:rPr>
                        <w:rFonts w:hint="eastAsia" w:eastAsia="宋体"/>
                        <w:lang w:eastAsia="zh-CN"/>
                      </w:rPr>
                      <w:fldChar w:fldCharType="end"/>
                    </w:r>
                  </w:p>
                </w:txbxContent>
              </v:textbox>
            </v:shape>
          </w:pict>
        </mc:Fallback>
      </mc:AlternateContent>
    </w:r>
    <w:r>
      <w:pict>
        <v:shape id="_x0000_s2261" o:spid="_x0000_s2261" style="height:2.2pt;width:415.3pt;" fillcolor="#FFFFFF" filled="t" stroked="f" coordsize="8305,44" path="m0,0l8305,0,8305,43,0,43,0,0xe">
          <v:path/>
          <v:fill on="t" color2="#FFFFFF" focussize="0,0"/>
          <v:stroke on="f"/>
          <v:imagedata o:title=""/>
          <o:lock v:ext="edit" aspectratio="f"/>
          <w10:wrap type="none"/>
          <w10:anchorlock/>
        </v:shape>
      </w:pict>
    </w:r>
  </w:p>
  <w:p>
    <w:pPr>
      <w:spacing w:line="196" w:lineRule="auto"/>
      <w:ind w:left="4052"/>
      <w:rPr>
        <w:rFonts w:ascii="Times New Roman" w:hAnsi="Times New Roman" w:eastAsia="Times New Roman" w:cs="Times New Roman"/>
        <w:sz w:val="17"/>
        <w:szCs w:val="17"/>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6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121</w:t>
                    </w:r>
                    <w:r>
                      <w:rPr>
                        <w:rFonts w:hint="eastAsia" w:eastAsia="宋体"/>
                        <w:lang w:eastAsia="zh-CN"/>
                      </w:rP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72" w:lineRule="exact"/>
      <w:ind w:firstLine="122"/>
      <w:textAlignment w:val="center"/>
    </w:pPr>
    <w:r>
      <w:rPr>
        <w:sz w:val="21"/>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GUBQ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lAU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123</w:t>
                    </w:r>
                    <w:r>
                      <w:rPr>
                        <w:rFonts w:hint="eastAsia" w:eastAsia="宋体"/>
                        <w:lang w:eastAsia="zh-CN"/>
                      </w:rPr>
                      <w:fldChar w:fldCharType="end"/>
                    </w:r>
                  </w:p>
                </w:txbxContent>
              </v:textbox>
            </v:shape>
          </w:pict>
        </mc:Fallback>
      </mc:AlternateContent>
    </w:r>
    <w:r>
      <w:pict>
        <v:shape id="_x0000_s2275" o:spid="_x0000_s2275" style="height:3.65pt;width:415.3pt;" fillcolor="#FFFFFF" filled="t" stroked="f" coordsize="8305,73" path="m0,0l8305,0,8305,14,0,14,0,0xem0,28l8305,28,8305,72,0,72,0,28xe">
          <v:path/>
          <v:fill on="t" color2="#FFFFFF" focussize="0,0"/>
          <v:stroke on="f"/>
          <v:imagedata o:title=""/>
          <o:lock v:ext="edit" aspectratio="f"/>
          <w10:wrap type="none"/>
          <w10:anchorlock/>
        </v:shape>
      </w:pict>
    </w:r>
  </w:p>
  <w:p>
    <w:pPr>
      <w:spacing w:line="196" w:lineRule="auto"/>
      <w:ind w:left="4161"/>
      <w:rPr>
        <w:rFonts w:ascii="Times New Roman" w:hAnsi="Times New Roman" w:eastAsia="Times New Roman" w:cs="Times New Roman"/>
        <w:sz w:val="17"/>
        <w:szCs w:val="17"/>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125</w:t>
                    </w:r>
                    <w:r>
                      <w:rPr>
                        <w:rFonts w:hint="eastAsia" w:eastAsia="宋体"/>
                        <w:lang w:eastAsia="zh-CN"/>
                      </w:rPr>
                      <w:fldChar w:fldCharType="end"/>
                    </w:r>
                  </w:p>
                </w:txbxContent>
              </v:textbox>
            </v:shape>
          </w:pict>
        </mc:Fallback>
      </mc:AlternateContent>
    </w:r>
  </w:p>
  <w:p>
    <w:pPr>
      <w:spacing w:line="196" w:lineRule="auto"/>
      <w:ind w:left="4052"/>
      <w:rPr>
        <w:rFonts w:ascii="Times New Roman" w:hAnsi="Times New Roman" w:eastAsia="Times New Roman" w:cs="Times New Roman"/>
        <w:sz w:val="17"/>
        <w:szCs w:val="1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4" w:line="57" w:lineRule="exact"/>
      <w:ind w:firstLine="11"/>
      <w:textAlignment w:val="center"/>
    </w:pPr>
    <w:r>
      <w:rPr>
        <w:sz w:val="21"/>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11</w:t>
                    </w:r>
                    <w:r>
                      <w:rPr>
                        <w:rFonts w:hint="eastAsia" w:eastAsia="宋体"/>
                        <w:lang w:eastAsia="zh-CN"/>
                      </w:rPr>
                      <w:fldChar w:fldCharType="end"/>
                    </w:r>
                  </w:p>
                </w:txbxContent>
              </v:textbox>
            </v:shape>
          </w:pict>
        </mc:Fallback>
      </mc:AlternateContent>
    </w:r>
  </w:p>
  <w:p>
    <w:pPr>
      <w:spacing w:line="196" w:lineRule="auto"/>
      <w:ind w:left="4098"/>
      <w:rPr>
        <w:rFonts w:ascii="Times New Roman" w:hAnsi="Times New Roman" w:eastAsia="Times New Roman" w:cs="Times New Roman"/>
        <w:sz w:val="17"/>
        <w:szCs w:val="17"/>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D9e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QP16TUCAABlBAAADgAAAAAAAAABACAAAAAfAQAAZHJzL2Uyb0RvYy54bWxQ&#10;SwUGAAAAAAYABgBZAQAAxg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126</w:t>
                    </w:r>
                    <w:r>
                      <w:rPr>
                        <w:rFonts w:hint="eastAsia" w:eastAsia="宋体"/>
                        <w:lang w:eastAsia="zh-CN"/>
                      </w:rPr>
                      <w:fldChar w:fldCharType="end"/>
                    </w:r>
                  </w:p>
                </w:txbxContent>
              </v:textbox>
            </v:shape>
          </w:pict>
        </mc:Fallback>
      </mc:AlternateContent>
    </w:r>
    <w:r>
      <w:pict>
        <v:shape id="_x0000_s2282" o:spid="_x0000_s2282" style="height:2.2pt;width:415.65pt;" fillcolor="#FFFFFF" filled="t" stroked="f" coordsize="8312,44" path="m0,0l8312,0,8312,43,0,43,0,0xe">
          <v:path/>
          <v:fill on="t" color2="#FFFFFF" focussize="0,0"/>
          <v:stroke on="f"/>
          <v:imagedata o:title=""/>
          <o:lock v:ext="edit" aspectratio="f"/>
          <w10:wrap type="none"/>
          <w10:anchorlock/>
        </v:shape>
      </w:pict>
    </w:r>
  </w:p>
  <w:p>
    <w:pPr>
      <w:spacing w:line="196" w:lineRule="auto"/>
      <w:ind w:left="4052"/>
      <w:rPr>
        <w:rFonts w:ascii="Times New Roman" w:hAnsi="Times New Roman" w:eastAsia="Times New Roman" w:cs="Times New Roman"/>
        <w:sz w:val="17"/>
        <w:szCs w:val="17"/>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127</w:t>
                    </w:r>
                    <w:r>
                      <w:rPr>
                        <w:rFonts w:hint="eastAsia" w:eastAsia="宋体"/>
                        <w:lang w:eastAsia="zh-CN"/>
                      </w:rPr>
                      <w:fldChar w:fldCharType="end"/>
                    </w:r>
                  </w:p>
                </w:txbxContent>
              </v:textbox>
            </v:shape>
          </w:pict>
        </mc:Fallback>
      </mc:AlternateContent>
    </w:r>
  </w:p>
  <w:p>
    <w:pPr>
      <w:spacing w:line="196" w:lineRule="auto"/>
      <w:ind w:left="4052"/>
      <w:rPr>
        <w:rFonts w:ascii="Times New Roman" w:hAnsi="Times New Roman" w:eastAsia="Times New Roman" w:cs="Times New Roman"/>
        <w:sz w:val="17"/>
        <w:szCs w:val="17"/>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9uQ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fbkL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128</w:t>
                    </w:r>
                    <w:r>
                      <w:rPr>
                        <w:rFonts w:hint="eastAsia" w:eastAsia="宋体"/>
                        <w:lang w:eastAsia="zh-CN"/>
                      </w:rPr>
                      <w:fldChar w:fldCharType="end"/>
                    </w:r>
                  </w:p>
                </w:txbxContent>
              </v:textbox>
            </v:shape>
          </w:pict>
        </mc:Fallback>
      </mc:AlternateContent>
    </w:r>
  </w:p>
  <w:p>
    <w:pPr>
      <w:spacing w:line="196" w:lineRule="auto"/>
      <w:ind w:left="4052"/>
      <w:rPr>
        <w:rFonts w:ascii="Times New Roman" w:hAnsi="Times New Roman" w:eastAsia="Times New Roman" w:cs="Times New Roman"/>
        <w:sz w:val="17"/>
        <w:szCs w:val="17"/>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UVU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7JRVTUCAABlBAAADgAAAAAAAAABACAAAAAfAQAAZHJzL2Uyb0RvYy54bWxQ&#10;SwUGAAAAAAYABgBZAQAAxg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131</w:t>
                    </w:r>
                    <w:r>
                      <w:rPr>
                        <w:rFonts w:hint="eastAsia" w:eastAsia="宋体"/>
                        <w:lang w:eastAsia="zh-CN"/>
                      </w:rPr>
                      <w:fldChar w:fldCharType="end"/>
                    </w:r>
                  </w:p>
                </w:txbxContent>
              </v:textbox>
            </v:shape>
          </w:pict>
        </mc:Fallback>
      </mc:AlternateContent>
    </w:r>
  </w:p>
  <w:p>
    <w:pPr>
      <w:spacing w:line="196" w:lineRule="auto"/>
      <w:ind w:left="4052"/>
      <w:rPr>
        <w:rFonts w:ascii="Times New Roman" w:hAnsi="Times New Roman" w:eastAsia="Times New Roman" w:cs="Times New Roman"/>
        <w:sz w:val="17"/>
        <w:szCs w:val="17"/>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N3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m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zd9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133</w:t>
                    </w:r>
                    <w:r>
                      <w:rPr>
                        <w:rFonts w:hint="eastAsia" w:eastAsia="宋体"/>
                        <w:lang w:eastAsia="zh-CN"/>
                      </w:rP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DqeE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cOp4TUCAABlBAAADgAAAAAAAAABACAAAAAfAQAAZHJzL2Uyb0RvYy54bWxQ&#10;SwUGAAAAAAYABgBZAQAAxg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134</w:t>
                    </w:r>
                    <w:r>
                      <w:rPr>
                        <w:rFonts w:hint="eastAsia" w:eastAsia="宋体"/>
                        <w:lang w:eastAsia="zh-CN"/>
                      </w:rPr>
                      <w:fldChar w:fldCharType="end"/>
                    </w:r>
                  </w:p>
                </w:txbxContent>
              </v:textbox>
            </v:shape>
          </w:pict>
        </mc:Fallback>
      </mc:AlternateContent>
    </w:r>
  </w:p>
  <w:p>
    <w:pPr>
      <w:spacing w:line="196" w:lineRule="auto"/>
      <w:rPr>
        <w:rFonts w:ascii="Times New Roman" w:hAnsi="Times New Roman" w:eastAsia="Times New Roman" w:cs="Times New Roman"/>
        <w:sz w:val="17"/>
        <w:szCs w:val="17"/>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6koA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J1RY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vqSgDUCAABlBAAADgAAAAAAAAABACAAAAAfAQAAZHJzL2Uyb0RvYy54bWxQ&#10;SwUGAAAAAAYABgBZAQAAxg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143</w:t>
                    </w:r>
                    <w:r>
                      <w:rPr>
                        <w:rFonts w:hint="eastAsia" w:eastAsia="宋体"/>
                        <w:lang w:eastAsia="zh-CN"/>
                      </w:rP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144</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GDBw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UYMHDUCAABlBAAADgAAAAAAAAABACAAAAAfAQAAZHJzL2Uyb0RvYy54bWxQ&#10;SwUGAAAAAAYABgBZAQAAxg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144</w:t>
                    </w:r>
                    <w:r>
                      <w:rPr>
                        <w:rFonts w:hint="eastAsia" w:eastAsia="宋体"/>
                        <w:lang w:eastAsia="zh-CN"/>
                      </w:rP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3qK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96ig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149</w:t>
                    </w:r>
                    <w:r>
                      <w:rPr>
                        <w:rFonts w:hint="eastAsia" w:eastAsia="宋体"/>
                        <w:lang w:eastAsia="zh-CN"/>
                      </w:rP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LNjw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zY8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156</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4" w:line="86" w:lineRule="exact"/>
      <w:ind w:firstLine="122"/>
      <w:textAlignment w:val="center"/>
    </w:pPr>
    <w:r>
      <w:rPr>
        <w:sz w:val="21"/>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v:textbox>
            </v:shape>
          </w:pict>
        </mc:Fallback>
      </mc:AlternateContent>
    </w:r>
  </w:p>
  <w:p>
    <w:pPr>
      <w:spacing w:line="196" w:lineRule="auto"/>
      <w:ind w:left="4192"/>
      <w:rPr>
        <w:rFonts w:ascii="Times New Roman" w:hAnsi="Times New Roman" w:eastAsia="Times New Roman" w:cs="Times New Roman"/>
        <w:sz w:val="17"/>
        <w:szCs w:val="17"/>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Unh0Uy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SeHRTICAABl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157</w:t>
                    </w:r>
                    <w:r>
                      <w:rPr>
                        <w:rFonts w:hint="eastAsia" w:eastAsia="宋体"/>
                        <w:lang w:eastAsia="zh-CN"/>
                      </w:rP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bGdk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mxnZ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160</w:t>
                    </w:r>
                    <w:r>
                      <w:rPr>
                        <w:rFonts w:hint="eastAsia" w:eastAsia="宋体"/>
                        <w:lang w:eastAsia="zh-CN"/>
                      </w:rP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y6c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Wcun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161</w:t>
                    </w:r>
                    <w:r>
                      <w:rPr>
                        <w:rFonts w:hint="eastAsia" w:eastAsia="宋体"/>
                        <w:lang w:eastAsia="zh-CN"/>
                      </w:rP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163</w:t>
                    </w:r>
                    <w:r>
                      <w:rPr>
                        <w:rFonts w:hint="eastAsia" w:eastAsia="宋体"/>
                        <w:lang w:eastAsia="zh-CN"/>
                      </w:rP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22"/>
      <w:textAlignment w:val="center"/>
    </w:pPr>
    <w:r>
      <w:rPr>
        <w:sz w:val="21"/>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cblo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txuWjUCAABlBAAADgAAAAAAAAABACAAAAAfAQAAZHJzL2Uyb0RvYy54bWxQ&#10;SwUGAAAAAAYABgBZAQAAxg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166</w:t>
                    </w:r>
                    <w:r>
                      <w:rPr>
                        <w:rFonts w:hint="eastAsia" w:eastAsia="宋体"/>
                        <w:lang w:eastAsia="zh-CN"/>
                      </w:rPr>
                      <w:fldChar w:fldCharType="end"/>
                    </w:r>
                  </w:p>
                </w:txbxContent>
              </v:textbox>
            </v:shape>
          </w:pict>
        </mc:Fallback>
      </mc:AlternateContent>
    </w:r>
    <w:r>
      <w:pict>
        <v:shape id="_x0000_s2363" o:spid="_x0000_s2363" style="height:2.2pt;width:697.95pt;" fillcolor="#FFFFFF" filled="t" stroked="f" coordsize="13959,44" path="m0,0l13958,0,13958,43,0,43,0,0xe">
          <v:path/>
          <v:fill on="t" color2="#FFFFFF" focussize="0,0"/>
          <v:stroke on="f"/>
          <v:imagedata o:title=""/>
          <o:lock v:ext="edit" aspectratio="f"/>
          <w10:wrap type="none"/>
          <w10:anchorlock/>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57"/>
      <w:textAlignment w:val="center"/>
    </w:pPr>
    <w:r>
      <w:rPr>
        <w:sz w:val="21"/>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2iIrg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oiK4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169</w:t>
                    </w:r>
                    <w:r>
                      <w:rPr>
                        <w:rFonts w:hint="eastAsia" w:eastAsia="宋体"/>
                        <w:lang w:eastAsia="zh-CN"/>
                      </w:rP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71" w:lineRule="exact"/>
      <w:ind w:firstLine="42"/>
      <w:textAlignment w:val="center"/>
    </w:pPr>
    <w:r>
      <w:rPr>
        <w:sz w:val="21"/>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evCQ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h68JDUCAABlBAAADgAAAAAAAAABACAAAAAfAQAAZHJzL2Uyb0RvYy54bWxQ&#10;SwUGAAAAAAYABgBZAQAAxg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170</w:t>
                    </w:r>
                    <w:r>
                      <w:rPr>
                        <w:rFonts w:hint="eastAsia" w:eastAsia="宋体"/>
                        <w:lang w:eastAsia="zh-CN"/>
                      </w:rP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3" w:line="43" w:lineRule="exact"/>
      <w:ind w:firstLine="11"/>
      <w:textAlignment w:val="center"/>
    </w:pPr>
    <w:r>
      <w:rPr>
        <w:sz w:val="21"/>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L8v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fQxDCNkl++f7v8&#10;+HX5+ZWkQ0hUu7BA5INDbGze2gaNM5wHHCbmTel1+oITgR9g56vAoomEp0vz6Xw+hovDN2yAnz1e&#10;dz7Ed8JqkoycelSwFZaddiF2oUNIymbsVirVVlEZUud09v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BL8vEzAgAAZQ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175</w:t>
                    </w:r>
                    <w:r>
                      <w:rPr>
                        <w:rFonts w:hint="eastAsia" w:eastAsia="宋体"/>
                        <w:lang w:eastAsia="zh-CN"/>
                      </w:rPr>
                      <w:fldChar w:fldCharType="end"/>
                    </w:r>
                  </w:p>
                </w:txbxContent>
              </v:textbox>
            </v:shape>
          </w:pict>
        </mc:Fallback>
      </mc:AlternateContent>
    </w:r>
    <w:r>
      <w:pict>
        <v:shape id="_x0000_s2379" o:spid="_x0000_s2379" style="height:2.2pt;width:415.65pt;" fillcolor="#FFFFFF" filled="t" stroked="f" coordsize="8312,44" path="m0,0l8312,0,8312,43,0,43,0,0xe">
          <v:path/>
          <v:fill on="t" color2="#FFFFFF" focussize="0,0"/>
          <v:stroke on="f"/>
          <v:imagedata o:title=""/>
          <o:lock v:ext="edit" aspectratio="f"/>
          <w10:wrap type="none"/>
          <w10:anchorlock/>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4" w:line="86" w:lineRule="exact"/>
      <w:ind w:firstLine="11"/>
      <w:textAlignment w:val="center"/>
    </w:pPr>
    <w:r>
      <w:rPr>
        <w:sz w:val="21"/>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pPr>
                      <w:pStyle w:val="11"/>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4" w:line="86" w:lineRule="exact"/>
      <w:ind w:firstLine="52"/>
      <w:textAlignment w:val="center"/>
    </w:pPr>
    <w:r>
      <w:rPr>
        <w:sz w:val="21"/>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v:textbox>
            </v:shape>
          </w:pict>
        </mc:Fallback>
      </mc:AlternateContent>
    </w:r>
  </w:p>
  <w:p>
    <w:pPr>
      <w:spacing w:line="196" w:lineRule="auto"/>
      <w:ind w:left="4121"/>
      <w:rPr>
        <w:rFonts w:ascii="Times New Roman" w:hAnsi="Times New Roman" w:eastAsia="Times New Roman" w:cs="Times New Roman"/>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4" w:line="57" w:lineRule="exact"/>
      <w:textAlignment w:val="center"/>
    </w:pPr>
    <w:r>
      <w:rPr>
        <w:sz w:val="21"/>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35</w:t>
                    </w:r>
                    <w:r>
                      <w:rPr>
                        <w:rFonts w:hint="eastAsia" w:eastAsia="宋体"/>
                        <w:lang w:eastAsia="zh-CN"/>
                      </w:rPr>
                      <w:fldChar w:fldCharType="end"/>
                    </w:r>
                  </w:p>
                </w:txbxContent>
              </v:textbox>
            </v:shape>
          </w:pict>
        </mc:Fallback>
      </mc:AlternateContent>
    </w:r>
  </w:p>
  <w:p>
    <w:pPr>
      <w:spacing w:line="196" w:lineRule="auto"/>
      <w:ind w:left="6890"/>
      <w:rPr>
        <w:rFonts w:ascii="Times New Roman" w:hAnsi="Times New Roman" w:eastAsia="Times New Roman" w:cs="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657"/>
      <w:rPr>
        <w:rFonts w:ascii="宋体" w:hAnsi="宋体" w:eastAsia="宋体" w:cs="宋体"/>
        <w:sz w:val="20"/>
        <w:szCs w:val="20"/>
      </w:rPr>
    </w:pPr>
    <w:r>
      <w:rPr>
        <w:sz w:val="20"/>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1" name="文本框 6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78s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78szAgAAZQ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8</w:t>
                    </w:r>
                    <w:r>
                      <w:fldChar w:fldCharType="end"/>
                    </w:r>
                  </w:p>
                </w:txbxContent>
              </v:textbox>
            </v:shape>
          </w:pict>
        </mc:Fallback>
      </mc:AlternateContent>
    </w:r>
    <w:r>
      <w:rPr>
        <w:rFonts w:ascii="宋体" w:hAnsi="宋体" w:eastAsia="宋体" w:cs="宋体"/>
        <w:spacing w:val="7"/>
        <w:sz w:val="20"/>
        <w:szCs w:val="20"/>
        <w14:textOutline w14:w="3795" w14:cap="sq" w14:cmpd="sng">
          <w14:solidFill>
            <w14:srgbClr w14:val="000000"/>
          </w14:solidFill>
          <w14:prstDash w14:val="solid"/>
          <w14:bevel/>
        </w14:textOutline>
      </w:rPr>
      <w:t>遵化市势竹矿业有限公司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w:t>
    </w:r>
    <w:r>
      <w:rPr>
        <w:rFonts w:ascii="宋体" w:hAnsi="宋体" w:eastAsia="宋体" w:cs="宋体"/>
        <w:spacing w:val="6"/>
        <w:sz w:val="20"/>
        <w:szCs w:val="20"/>
        <w14:textOutline w14:w="3795" w14:cap="sq" w14:cmpd="sng">
          <w14:solidFill>
            <w14:srgbClr w14:val="000000"/>
          </w14:solidFill>
          <w14:prstDash w14:val="solid"/>
          <w14:bevel/>
        </w14:textOutline>
      </w:rPr>
      <w:t>书</w:t>
    </w:r>
  </w:p>
  <w:p>
    <w:pPr>
      <w:spacing w:before="14" w:line="58" w:lineRule="exact"/>
      <w:ind w:firstLine="11"/>
      <w:textAlignment w:val="center"/>
    </w:pPr>
    <w:r>
      <w:pict>
        <v:shape id="_x0000_s2132" o:spid="_x0000_s2132" style="height:2.9pt;width:415.65pt;" fillcolor="#000000" filled="t" stroked="f" coordsize="8312,58" path="m0,0l8312,0,8312,57,0,57,0,0xe">
          <v:path/>
          <v:fill on="t" focussize="0,0"/>
          <v:stroke on="f"/>
          <v:imagedata o:title=""/>
          <o:lock v:ext="edit"/>
          <w10:wrap type="none"/>
          <w10:anchorlock/>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698"/>
      <w:rPr>
        <w:rFonts w:ascii="宋体" w:hAnsi="宋体" w:eastAsia="宋体" w:cs="宋体"/>
        <w:sz w:val="20"/>
        <w:szCs w:val="20"/>
      </w:rPr>
    </w:pPr>
    <w:r>
      <w:rPr>
        <w:sz w:val="20"/>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2" name="文本框 6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8PbU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rNhBLDNEp++vH9&#10;9PPh9OsbSYeQqHFhhsh7h9jYvrMtGmc4DzhMzNvK6/QFJwI/BD5eBBZtJDxdmk6m0xwuDt+wAX72&#10;eN35EN8Lq0kyCupRwU5YdtiE2IcOISmbsWupVFdFZUgDGq/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PD21NAIAAGUEAAAOAAAAAAAAAAEAIAAAAB8BAABkcnMvZTJvRG9jLnhtbFBL&#10;BQYAAAAABgAGAFkBAADF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9</w:t>
                    </w:r>
                    <w:r>
                      <w:fldChar w:fldCharType="end"/>
                    </w:r>
                  </w:p>
                </w:txbxContent>
              </v:textbox>
            </v:shape>
          </w:pict>
        </mc:Fallback>
      </mc:AlternateContent>
    </w:r>
    <w:r>
      <w:rPr>
        <w:rFonts w:ascii="宋体" w:hAnsi="宋体" w:eastAsia="宋体" w:cs="宋体"/>
        <w:spacing w:val="7"/>
        <w:sz w:val="20"/>
        <w:szCs w:val="20"/>
        <w14:textOutline w14:w="3795" w14:cap="sq" w14:cmpd="sng">
          <w14:solidFill>
            <w14:srgbClr w14:val="000000"/>
          </w14:solidFill>
          <w14:prstDash w14:val="solid"/>
          <w14:bevel/>
        </w14:textOutline>
      </w:rPr>
      <w:t>遵化市势竹矿业有限公司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w:t>
    </w:r>
    <w:r>
      <w:rPr>
        <w:rFonts w:ascii="宋体" w:hAnsi="宋体" w:eastAsia="宋体" w:cs="宋体"/>
        <w:spacing w:val="6"/>
        <w:sz w:val="20"/>
        <w:szCs w:val="20"/>
        <w14:textOutline w14:w="3795" w14:cap="sq" w14:cmpd="sng">
          <w14:solidFill>
            <w14:srgbClr w14:val="000000"/>
          </w14:solidFill>
          <w14:prstDash w14:val="solid"/>
          <w14:bevel/>
        </w14:textOutline>
      </w:rPr>
      <w:t>书</w:t>
    </w:r>
  </w:p>
  <w:p>
    <w:pPr>
      <w:spacing w:before="14" w:line="58" w:lineRule="exact"/>
      <w:ind w:firstLine="52"/>
      <w:textAlignment w:val="center"/>
    </w:pPr>
    <w:r>
      <mc:AlternateContent>
        <mc:Choice Requires="wps">
          <w:drawing>
            <wp:inline distT="0" distB="0" distL="114300" distR="114300">
              <wp:extent cx="5278755" cy="36830"/>
              <wp:effectExtent l="0" t="0" r="17145" b="1270"/>
              <wp:docPr id="137" name="任意多边形 137"/>
              <wp:cNvGraphicFramePr/>
              <a:graphic xmlns:a="http://schemas.openxmlformats.org/drawingml/2006/main">
                <a:graphicData uri="http://schemas.microsoft.com/office/word/2010/wordprocessingShape">
                  <wps:wsp>
                    <wps:cNvSpPr/>
                    <wps:spPr>
                      <a:xfrm>
                        <a:off x="0" y="0"/>
                        <a:ext cx="5278755" cy="36830"/>
                      </a:xfrm>
                      <a:custGeom>
                        <a:avLst/>
                        <a:gdLst/>
                        <a:ahLst/>
                        <a:cxnLst/>
                        <a:pathLst>
                          <a:path w="8312" h="58">
                            <a:moveTo>
                              <a:pt x="0" y="0"/>
                            </a:moveTo>
                            <a:lnTo>
                              <a:pt x="8312" y="0"/>
                            </a:lnTo>
                            <a:lnTo>
                              <a:pt x="8312" y="57"/>
                            </a:lnTo>
                            <a:lnTo>
                              <a:pt x="0" y="57"/>
                            </a:lnTo>
                            <a:lnTo>
                              <a:pt x="0" y="0"/>
                            </a:lnTo>
                            <a:close/>
                          </a:path>
                        </a:pathLst>
                      </a:custGeom>
                      <a:solidFill>
                        <a:srgbClr val="000000"/>
                      </a:solidFill>
                      <a:ln>
                        <a:noFill/>
                      </a:ln>
                    </wps:spPr>
                    <wps:bodyPr upright="1"/>
                  </wps:wsp>
                </a:graphicData>
              </a:graphic>
            </wp:inline>
          </w:drawing>
        </mc:Choice>
        <mc:Fallback>
          <w:pict>
            <v:shape id="_x0000_s1026" o:spid="_x0000_s1026" o:spt="100" style="height:2.9pt;width:415.65pt;" fillcolor="#000000" filled="t" stroked="f" coordsize="8312,58" o:gfxdata="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ivv9PVAAAAAwEAAA8AAAAAAAAA&#10;AQAgAAAAIgAAAGRycy9kb3ducmV2LnhtbFBLAQIUABQAAAAIAIdO4kA817DpFAIAAIAEAAAOAAAA&#10;AAAAAAEAIAAAACQBAABkcnMvZTJvRG9jLnhtbFBLBQYAAAAABgAGAFkBAACqBQAAAAA=&#10;" path="m0,0l8312,0,8312,57,0,57,0,0xe">
              <v:fill on="t" focussize="0,0"/>
              <v:stroke on="f"/>
              <v:imagedata o:title=""/>
              <o:lock v:ext="edit" aspectratio="f"/>
              <w10:wrap type="none"/>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468"/>
      <w:rPr>
        <w:rFonts w:ascii="宋体" w:hAnsi="宋体" w:eastAsia="宋体" w:cs="宋体"/>
        <w:sz w:val="20"/>
        <w:szCs w:val="20"/>
      </w:rPr>
    </w:pPr>
    <w:r>
      <w:rPr>
        <w:sz w:val="20"/>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3" name="文本框 6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Aoyk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r1FSWGaZT89P3b&#10;6cev08+vJB1CosaFGSIfHGJj+9a2aJzhPOAwMW8rr9MXnAj8EPh4EVi0kfB0aTqZTnO4OHzDBvjZ&#10;43XnQ3wnrCbJKKhHBTth2WETYh86hKRsxq6lUl0VlSENaFy9yb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gKMpNAIAAGUEAAAOAAAAAAAAAAEAIAAAAB8BAABkcnMvZTJvRG9jLnhtbFBL&#10;BQYAAAAABgAGAFkBAADF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18</w:t>
                    </w:r>
                    <w:r>
                      <w:fldChar w:fldCharType="end"/>
                    </w:r>
                  </w:p>
                </w:txbxContent>
              </v:textbox>
            </v:shape>
          </w:pict>
        </mc:Fallback>
      </mc:AlternateContent>
    </w:r>
    <w:r>
      <w:rPr>
        <w:rFonts w:ascii="宋体" w:hAnsi="宋体" w:eastAsia="宋体" w:cs="宋体"/>
        <w:spacing w:val="8"/>
        <w:sz w:val="20"/>
        <w:szCs w:val="20"/>
        <w14:textOutline w14:w="3795" w14:cap="sq" w14:cmpd="sng">
          <w14:solidFill>
            <w14:srgbClr w14:val="000000"/>
          </w14:solidFill>
          <w14:prstDash w14:val="solid"/>
          <w14:bevel/>
        </w14:textOutline>
      </w:rPr>
      <w:t>遵</w:t>
    </w:r>
    <w:r>
      <w:rPr>
        <w:rFonts w:ascii="宋体" w:hAnsi="宋体" w:eastAsia="宋体" w:cs="宋体"/>
        <w:spacing w:val="7"/>
        <w:sz w:val="20"/>
        <w:szCs w:val="20"/>
        <w14:textOutline w14:w="3795" w14:cap="sq" w14:cmpd="sng">
          <w14:solidFill>
            <w14:srgbClr w14:val="000000"/>
          </w14:solidFill>
          <w14:prstDash w14:val="solid"/>
          <w14:bevel/>
        </w14:textOutline>
      </w:rPr>
      <w:t>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环境影响报告书</w:t>
    </w:r>
  </w:p>
  <w:p>
    <w:pPr>
      <w:spacing w:before="14" w:line="58" w:lineRule="exact"/>
      <w:textAlignment w:val="center"/>
    </w:pPr>
    <w:r>
      <mc:AlternateContent>
        <mc:Choice Requires="wps">
          <w:drawing>
            <wp:inline distT="0" distB="0" distL="114300" distR="114300">
              <wp:extent cx="8863965" cy="36830"/>
              <wp:effectExtent l="0" t="0" r="13335" b="1270"/>
              <wp:docPr id="138" name="任意多边形 138"/>
              <wp:cNvGraphicFramePr/>
              <a:graphic xmlns:a="http://schemas.openxmlformats.org/drawingml/2006/main">
                <a:graphicData uri="http://schemas.microsoft.com/office/word/2010/wordprocessingShape">
                  <wps:wsp>
                    <wps:cNvSpPr/>
                    <wps:spPr>
                      <a:xfrm>
                        <a:off x="0" y="0"/>
                        <a:ext cx="8863965" cy="36830"/>
                      </a:xfrm>
                      <a:custGeom>
                        <a:avLst/>
                        <a:gdLst/>
                        <a:ahLst/>
                        <a:cxnLst/>
                        <a:pathLst>
                          <a:path w="13959" h="58">
                            <a:moveTo>
                              <a:pt x="0" y="0"/>
                            </a:moveTo>
                            <a:lnTo>
                              <a:pt x="13958" y="0"/>
                            </a:lnTo>
                            <a:lnTo>
                              <a:pt x="13958" y="57"/>
                            </a:lnTo>
                            <a:lnTo>
                              <a:pt x="0" y="57"/>
                            </a:lnTo>
                            <a:lnTo>
                              <a:pt x="0" y="0"/>
                            </a:lnTo>
                            <a:close/>
                          </a:path>
                        </a:pathLst>
                      </a:custGeom>
                      <a:solidFill>
                        <a:srgbClr val="000000"/>
                      </a:solidFill>
                      <a:ln>
                        <a:noFill/>
                      </a:ln>
                    </wps:spPr>
                    <wps:bodyPr upright="1"/>
                  </wps:wsp>
                </a:graphicData>
              </a:graphic>
            </wp:inline>
          </w:drawing>
        </mc:Choice>
        <mc:Fallback>
          <w:pict>
            <v:shape id="_x0000_s1026" o:spid="_x0000_s1026" o:spt="100" style="height:2.9pt;width:697.95pt;" fillcolor="#000000" filled="t" stroked="f" coordsize="13959,58" o:gfxdata="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IZ9n/WAAAABAEAAA8AAAAAAAAA&#10;AQAgAAAAIgAAAGRycy9kb3ducmV2LnhtbFBLAQIUABQAAAAIAIdO4kCq8ejpEwIAAIMEAAAOAAAA&#10;AAAAAAEAIAAAACUBAABkcnMvZTJvRG9jLnhtbFBLBQYAAAAABgAGAFkBAACqBQAAAAA=&#10;" path="m0,0l13958,0,13958,57,0,57,0,0xe">
              <v:fill on="t" focussize="0,0"/>
              <v:stroke on="f"/>
              <v:imagedata o:title=""/>
              <o:lock v:ext="edit" aspectratio="f"/>
              <w10:wrap type="none"/>
              <w10:anchorlock/>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657"/>
      <w:rPr>
        <w:rFonts w:ascii="宋体" w:hAnsi="宋体" w:eastAsia="宋体" w:cs="宋体"/>
        <w:sz w:val="20"/>
        <w:szCs w:val="20"/>
      </w:rPr>
    </w:pPr>
    <w:r>
      <w:rPr>
        <w:sz w:val="20"/>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4" name="文本框 6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5mEg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TuZhINAIAAGUEAAAOAAAAAAAAAAEAIAAAAB8BAABkcnMvZTJvRG9jLnhtbFBL&#10;BQYAAAAABgAGAFkBAADF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19</w:t>
                    </w:r>
                    <w:r>
                      <w:fldChar w:fldCharType="end"/>
                    </w:r>
                  </w:p>
                </w:txbxContent>
              </v:textbox>
            </v:shape>
          </w:pict>
        </mc:Fallback>
      </mc:AlternateContent>
    </w:r>
    <w:r>
      <w:rPr>
        <w:rFonts w:ascii="宋体" w:hAnsi="宋体" w:eastAsia="宋体" w:cs="宋体"/>
        <w:spacing w:val="7"/>
        <w:sz w:val="20"/>
        <w:szCs w:val="20"/>
        <w14:textOutline w14:w="3795" w14:cap="sq" w14:cmpd="sng">
          <w14:solidFill>
            <w14:srgbClr w14:val="000000"/>
          </w14:solidFill>
          <w14:prstDash w14:val="solid"/>
          <w14:bevel/>
        </w14:textOutline>
      </w:rPr>
      <w:t>遵化市势竹矿业有限公司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w:t>
    </w:r>
    <w:r>
      <w:rPr>
        <w:rFonts w:ascii="宋体" w:hAnsi="宋体" w:eastAsia="宋体" w:cs="宋体"/>
        <w:spacing w:val="6"/>
        <w:sz w:val="20"/>
        <w:szCs w:val="20"/>
        <w14:textOutline w14:w="3795" w14:cap="sq" w14:cmpd="sng">
          <w14:solidFill>
            <w14:srgbClr w14:val="000000"/>
          </w14:solidFill>
          <w14:prstDash w14:val="solid"/>
          <w14:bevel/>
        </w14:textOutline>
      </w:rPr>
      <w:t>书</w:t>
    </w:r>
  </w:p>
  <w:p>
    <w:pPr>
      <w:spacing w:before="14" w:line="58" w:lineRule="exact"/>
      <w:ind w:firstLine="11"/>
      <w:textAlignment w:val="center"/>
    </w:pPr>
    <w:r>
      <w:pict>
        <v:shape id="_x0000_s2139" o:spid="_x0000_s2139" style="height:2.9pt;width:415.65pt;" fillcolor="#000000" filled="t" stroked="f" coordsize="8312,58" path="m0,0l8312,0,8312,57,0,57,0,0xe">
          <v:path/>
          <v:fill on="t" focussize="0,0"/>
          <v:stroke on="f"/>
          <v:imagedata o:title=""/>
          <o:lock v:ext="edit"/>
          <w10:wrap type="none"/>
          <w10:anchorlock/>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4310"/>
      <w:rPr>
        <w:rFonts w:ascii="宋体" w:hAnsi="宋体" w:eastAsia="宋体" w:cs="宋体"/>
        <w:sz w:val="20"/>
        <w:szCs w:val="20"/>
      </w:rPr>
    </w:pPr>
    <w:r>
      <w:rPr>
        <w:sz w:val="20"/>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5" name="文本框 6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FBtQ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4BQbUNAIAAGUEAAAOAAAAAAAAAAEAIAAAAB8BAABkcnMvZTJvRG9jLnhtbFBL&#10;BQYAAAAABgAGAFkBAADF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27</w:t>
                    </w:r>
                    <w:r>
                      <w:fldChar w:fldCharType="end"/>
                    </w:r>
                  </w:p>
                </w:txbxContent>
              </v:textbox>
            </v:shape>
          </w:pict>
        </mc:Fallback>
      </mc:AlternateContent>
    </w:r>
    <w:r>
      <w:rPr>
        <w:rFonts w:ascii="宋体" w:hAnsi="宋体" w:eastAsia="宋体" w:cs="宋体"/>
        <w:spacing w:val="8"/>
        <w:sz w:val="20"/>
        <w:szCs w:val="20"/>
        <w14:textOutline w14:w="3795" w14:cap="sq" w14:cmpd="sng">
          <w14:solidFill>
            <w14:srgbClr w14:val="000000"/>
          </w14:solidFill>
          <w14:prstDash w14:val="solid"/>
          <w14:bevel/>
        </w14:textOutline>
      </w:rPr>
      <w:t>遵</w:t>
    </w:r>
    <w:r>
      <w:rPr>
        <w:rFonts w:ascii="宋体" w:hAnsi="宋体" w:eastAsia="宋体" w:cs="宋体"/>
        <w:spacing w:val="7"/>
        <w:sz w:val="20"/>
        <w:szCs w:val="20"/>
        <w14:textOutline w14:w="3795" w14:cap="sq" w14:cmpd="sng">
          <w14:solidFill>
            <w14:srgbClr w14:val="000000"/>
          </w14:solidFill>
          <w14:prstDash w14:val="solid"/>
          <w14:bevel/>
        </w14:textOutline>
      </w:rPr>
      <w:t>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环境影响报告书</w:t>
    </w:r>
  </w:p>
  <w:p>
    <w:pPr>
      <w:spacing w:before="14" w:line="58" w:lineRule="exact"/>
      <w:ind w:firstLine="122"/>
      <w:textAlignment w:val="center"/>
    </w:pPr>
    <w:r>
      <w:pict>
        <v:shape id="_x0000_s2141" o:spid="_x0000_s2141" style="height:2.9pt;width:769.95pt;" fillcolor="#000000" filled="t" stroked="f" coordsize="15399,58" path="m0,0l15398,0,15398,57,0,57,0,0xe">
          <v:path/>
          <v:fill on="t" focussize="0,0"/>
          <v:stroke on="f"/>
          <v:imagedata o:title=""/>
          <o:lock v:ext="edit"/>
          <w10:wrap type="none"/>
          <w10:anchorlock/>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657"/>
      <w:rPr>
        <w:rFonts w:ascii="宋体" w:hAnsi="宋体" w:eastAsia="宋体" w:cs="宋体"/>
        <w:sz w:val="20"/>
        <w:szCs w:val="20"/>
      </w:rPr>
    </w:pPr>
    <w:r>
      <w:rPr>
        <w:sz w:val="20"/>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6" name="文本框 6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TH1Ko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TH1KozAgAAZQ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28</w:t>
                    </w:r>
                    <w:r>
                      <w:fldChar w:fldCharType="end"/>
                    </w:r>
                  </w:p>
                </w:txbxContent>
              </v:textbox>
            </v:shape>
          </w:pict>
        </mc:Fallback>
      </mc:AlternateContent>
    </w:r>
    <w:r>
      <w:rPr>
        <w:rFonts w:ascii="宋体" w:hAnsi="宋体" w:eastAsia="宋体" w:cs="宋体"/>
        <w:spacing w:val="7"/>
        <w:sz w:val="20"/>
        <w:szCs w:val="20"/>
        <w14:textOutline w14:w="3795" w14:cap="sq" w14:cmpd="sng">
          <w14:solidFill>
            <w14:srgbClr w14:val="000000"/>
          </w14:solidFill>
          <w14:prstDash w14:val="solid"/>
          <w14:bevel/>
        </w14:textOutline>
      </w:rPr>
      <w:t>遵化市势竹矿业有限公司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w:t>
    </w:r>
    <w:r>
      <w:rPr>
        <w:rFonts w:ascii="宋体" w:hAnsi="宋体" w:eastAsia="宋体" w:cs="宋体"/>
        <w:spacing w:val="6"/>
        <w:sz w:val="20"/>
        <w:szCs w:val="20"/>
        <w14:textOutline w14:w="3795" w14:cap="sq" w14:cmpd="sng">
          <w14:solidFill>
            <w14:srgbClr w14:val="000000"/>
          </w14:solidFill>
          <w14:prstDash w14:val="solid"/>
          <w14:bevel/>
        </w14:textOutline>
      </w:rPr>
      <w:t>书</w:t>
    </w:r>
  </w:p>
  <w:p>
    <w:pPr>
      <w:spacing w:before="14" w:line="58" w:lineRule="exact"/>
      <w:ind w:firstLine="11"/>
      <w:textAlignment w:val="center"/>
    </w:pPr>
    <w:r>
      <w:pict>
        <v:shape id="_x0000_s2148" o:spid="_x0000_s2148" style="height:2.9pt;width:415.65pt;" fillcolor="#000000" filled="t" stroked="f" coordsize="8312,58" path="m0,0l8312,0,8312,57,0,57,0,0xe">
          <v:path/>
          <v:fill on="t" focussize="0,0"/>
          <v:stroke on="f"/>
          <v:imagedata o:title=""/>
          <o:lock v:ext="edit"/>
          <w10:wrap type="none"/>
          <w10:anchorlock/>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590"/>
      <w:rPr>
        <w:rFonts w:ascii="宋体" w:hAnsi="宋体" w:eastAsia="宋体" w:cs="宋体"/>
        <w:sz w:val="20"/>
        <w:szCs w:val="20"/>
      </w:rPr>
    </w:pPr>
    <w:r>
      <w:rPr>
        <w:sz w:val="20"/>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7" name="文本框 6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7SjY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e0o2NAIAAGUEAAAOAAAAAAAAAAEAIAAAAB8BAABkcnMvZTJvRG9jLnhtbFBL&#10;BQYAAAAABgAGAFkBAADF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32</w:t>
                    </w:r>
                    <w:r>
                      <w:fldChar w:fldCharType="end"/>
                    </w:r>
                  </w:p>
                </w:txbxContent>
              </v:textbox>
            </v:shape>
          </w:pict>
        </mc:Fallback>
      </mc:AlternateContent>
    </w:r>
    <w:r>
      <w:rPr>
        <w:rFonts w:ascii="宋体" w:hAnsi="宋体" w:eastAsia="宋体" w:cs="宋体"/>
        <w:spacing w:val="8"/>
        <w:sz w:val="20"/>
        <w:szCs w:val="20"/>
        <w14:textOutline w14:w="3795" w14:cap="sq" w14:cmpd="sng">
          <w14:solidFill>
            <w14:srgbClr w14:val="000000"/>
          </w14:solidFill>
          <w14:prstDash w14:val="solid"/>
          <w14:bevel/>
        </w14:textOutline>
      </w:rPr>
      <w:t>遵</w:t>
    </w:r>
    <w:r>
      <w:rPr>
        <w:rFonts w:ascii="宋体" w:hAnsi="宋体" w:eastAsia="宋体" w:cs="宋体"/>
        <w:spacing w:val="7"/>
        <w:sz w:val="20"/>
        <w:szCs w:val="20"/>
        <w14:textOutline w14:w="3795" w14:cap="sq" w14:cmpd="sng">
          <w14:solidFill>
            <w14:srgbClr w14:val="000000"/>
          </w14:solidFill>
          <w14:prstDash w14:val="solid"/>
          <w14:bevel/>
        </w14:textOutline>
      </w:rPr>
      <w:t>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环境影响报告书</w:t>
    </w:r>
  </w:p>
  <w:p>
    <w:pPr>
      <w:spacing w:before="14" w:line="58" w:lineRule="exact"/>
      <w:ind w:firstLine="122"/>
      <w:textAlignment w:val="center"/>
    </w:pPr>
    <w:r>
      <w:pict>
        <v:shape id="_x0000_s2150" o:spid="_x0000_s2150" style="height:2.9pt;width:697.95pt;" fillcolor="#000000" filled="t" stroked="f" coordsize="13959,58" path="m0,0l13958,0,13958,57,0,57,0,0xe">
          <v:path/>
          <v:fill on="t" focussize="0,0"/>
          <v:stroke on="f"/>
          <v:imagedata o:title=""/>
          <o:lock v:ext="edit"/>
          <w10:wrap type="none"/>
          <w10:anchorlock/>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firstLine="400" w:firstLineChars="200"/>
      <w:rPr>
        <w:rFonts w:ascii="宋体" w:hAnsi="宋体" w:eastAsia="宋体" w:cs="宋体"/>
        <w:sz w:val="17"/>
        <w:szCs w:val="17"/>
      </w:rPr>
    </w:pPr>
    <w:r>
      <w:rPr>
        <w:sz w:val="20"/>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9" name="文本框 6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IPPQ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CDz0NAIAAGUEAAAOAAAAAAAAAAEAIAAAAB8BAABkcnMvZTJvRG9jLnhtbFBL&#10;BQYAAAAABgAGAFkBAADF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36</w:t>
                    </w:r>
                    <w:r>
                      <w:fldChar w:fldCharType="end"/>
                    </w:r>
                  </w:p>
                </w:txbxContent>
              </v:textbox>
            </v:shape>
          </w:pict>
        </mc:Fallback>
      </mc:AlternateContent>
    </w:r>
    <w:r>
      <w:rPr>
        <w:rFonts w:ascii="宋体" w:hAnsi="宋体" w:eastAsia="宋体" w:cs="宋体"/>
        <w:b/>
        <w:bCs/>
        <w:spacing w:val="7"/>
        <w:sz w:val="20"/>
        <w:szCs w:val="20"/>
      </w:rPr>
      <w:t>遵化市势竹矿业有限公司</w:t>
    </w:r>
    <w:r>
      <w:rPr>
        <w:rFonts w:hint="eastAsia" w:ascii="宋体" w:hAnsi="宋体" w:eastAsia="宋体" w:cs="宋体"/>
        <w:b/>
        <w:bCs/>
        <w:spacing w:val="7"/>
        <w:sz w:val="20"/>
        <w:szCs w:val="20"/>
        <w:lang w:eastAsia="zh-CN"/>
      </w:rPr>
      <w:t>年处理110万吨铁矿石破碎改扩建项目</w:t>
    </w:r>
    <w:r>
      <w:rPr>
        <w:rFonts w:ascii="宋体" w:hAnsi="宋体" w:eastAsia="宋体" w:cs="宋体"/>
        <w:b/>
        <w:bCs/>
        <w:spacing w:val="7"/>
        <w:sz w:val="20"/>
        <w:szCs w:val="20"/>
      </w:rPr>
      <w:t>项目环境影响报告</w:t>
    </w:r>
    <w:r>
      <w:rPr>
        <w:rFonts w:ascii="宋体" w:hAnsi="宋体" w:eastAsia="宋体" w:cs="宋体"/>
        <w:b/>
        <w:bCs/>
        <w:spacing w:val="5"/>
        <w:sz w:val="20"/>
        <w:szCs w:val="20"/>
      </w:rPr>
      <w:t>书</w:t>
    </w:r>
  </w:p>
  <w:p>
    <w:pPr>
      <w:spacing w:before="15" w:line="43" w:lineRule="exact"/>
      <w:ind w:firstLine="17"/>
      <w:textAlignment w:val="center"/>
    </w:pPr>
    <w:r>
      <w:pict>
        <v:shape id="_x0000_s2164" o:spid="_x0000_s2164" style="height:2.2pt;width:413.85pt;" fillcolor="#000000" filled="t" stroked="f" coordsize="8277,44" path="m0,0l8276,0,8276,43,0,43,0,0xe">
          <v:path/>
          <v:fill on="t" focussize="0,0"/>
          <v:stroke on="f"/>
          <v:imagedata o:title=""/>
          <o:lock v:ext="edit"/>
          <w10:wrap type="none"/>
          <w10:anchorlock/>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firstLine="400" w:firstLineChars="200"/>
      <w:rPr>
        <w:rFonts w:ascii="宋体" w:hAnsi="宋体" w:eastAsia="宋体" w:cs="宋体"/>
        <w:b/>
        <w:bCs/>
        <w:sz w:val="20"/>
        <w:szCs w:val="20"/>
      </w:rPr>
    </w:pPr>
    <w:r>
      <w:rPr>
        <w:sz w:val="20"/>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0" name="文本框 6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kjY0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QZI2NMQIAAGU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40</w:t>
                    </w:r>
                    <w:r>
                      <w:fldChar w:fldCharType="end"/>
                    </w:r>
                  </w:p>
                </w:txbxContent>
              </v:textbox>
            </v:shape>
          </w:pict>
        </mc:Fallback>
      </mc:AlternateContent>
    </w:r>
    <w:r>
      <w:rPr>
        <w:rFonts w:ascii="宋体" w:hAnsi="宋体" w:eastAsia="宋体" w:cs="宋体"/>
        <w:b/>
        <w:bCs/>
        <w:spacing w:val="7"/>
        <w:sz w:val="20"/>
        <w:szCs w:val="20"/>
      </w:rPr>
      <w:t>遵化市势竹矿业有限公司</w:t>
    </w:r>
    <w:r>
      <w:rPr>
        <w:rFonts w:hint="eastAsia" w:ascii="宋体" w:hAnsi="宋体" w:eastAsia="宋体" w:cs="宋体"/>
        <w:b/>
        <w:bCs/>
        <w:spacing w:val="7"/>
        <w:sz w:val="20"/>
        <w:szCs w:val="20"/>
        <w:lang w:eastAsia="zh-CN"/>
      </w:rPr>
      <w:t>年处理110万吨铁矿石破碎改扩建项目</w:t>
    </w:r>
    <w:r>
      <w:rPr>
        <w:rFonts w:ascii="宋体" w:hAnsi="宋体" w:eastAsia="宋体" w:cs="宋体"/>
        <w:b/>
        <w:bCs/>
        <w:spacing w:val="7"/>
        <w:sz w:val="20"/>
        <w:szCs w:val="20"/>
      </w:rPr>
      <w:t>项目环境影响报告</w:t>
    </w:r>
    <w:r>
      <w:rPr>
        <w:rFonts w:ascii="宋体" w:hAnsi="宋体" w:eastAsia="宋体" w:cs="宋体"/>
        <w:b/>
        <w:bCs/>
        <w:spacing w:val="5"/>
        <w:sz w:val="20"/>
        <w:szCs w:val="20"/>
      </w:rPr>
      <w:t>书</w:t>
    </w:r>
  </w:p>
  <w:p>
    <w:pPr>
      <w:spacing w:before="15" w:line="43" w:lineRule="exact"/>
      <w:ind w:firstLine="11"/>
      <w:textAlignment w:val="center"/>
    </w:pPr>
    <w:r>
      <w:pict>
        <v:shape id="_x0000_s2166" o:spid="_x0000_s2166" style="height:2.2pt;width:415.65pt;" fillcolor="#000000" filled="t" stroked="f" coordsize="8312,44" path="m0,0l8312,0,8312,43,0,43,0,0xe">
          <v:path/>
          <v:fill on="t" focussize="0,0"/>
          <v:stroke on="f"/>
          <v:imagedata o:title=""/>
          <o:lock v:ext="edit"/>
          <w10:wrap type="none"/>
          <w10:anchorlock/>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firstLine="200" w:firstLineChars="100"/>
      <w:rPr>
        <w:rFonts w:ascii="宋体" w:hAnsi="宋体" w:eastAsia="宋体" w:cs="宋体"/>
        <w:sz w:val="17"/>
        <w:szCs w:val="17"/>
      </w:rPr>
    </w:pPr>
    <w:r>
      <w:rPr>
        <w:sz w:val="20"/>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 name="文本框 6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YExE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vYExEzAgAAZQ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41</w:t>
                    </w:r>
                    <w:r>
                      <w:fldChar w:fldCharType="end"/>
                    </w:r>
                  </w:p>
                </w:txbxContent>
              </v:textbox>
            </v:shape>
          </w:pict>
        </mc:Fallback>
      </mc:AlternateContent>
    </w:r>
    <w:r>
      <w:rPr>
        <w:rFonts w:ascii="宋体" w:hAnsi="宋体" w:eastAsia="宋体" w:cs="宋体"/>
        <w:b/>
        <w:bCs/>
        <w:spacing w:val="7"/>
        <w:sz w:val="20"/>
        <w:szCs w:val="20"/>
      </w:rPr>
      <w:t>遵化市势竹矿业有限公司</w:t>
    </w:r>
    <w:r>
      <w:rPr>
        <w:rFonts w:hint="eastAsia" w:ascii="宋体" w:hAnsi="宋体" w:eastAsia="宋体" w:cs="宋体"/>
        <w:b/>
        <w:bCs/>
        <w:spacing w:val="7"/>
        <w:sz w:val="20"/>
        <w:szCs w:val="20"/>
        <w:lang w:eastAsia="zh-CN"/>
      </w:rPr>
      <w:t>年处理110万吨铁矿石破碎改扩建项目</w:t>
    </w:r>
    <w:r>
      <w:rPr>
        <w:rFonts w:ascii="宋体" w:hAnsi="宋体" w:eastAsia="宋体" w:cs="宋体"/>
        <w:b/>
        <w:bCs/>
        <w:spacing w:val="7"/>
        <w:sz w:val="20"/>
        <w:szCs w:val="20"/>
      </w:rPr>
      <w:t>项目环境影响报告</w:t>
    </w:r>
    <w:r>
      <w:rPr>
        <w:rFonts w:ascii="宋体" w:hAnsi="宋体" w:eastAsia="宋体" w:cs="宋体"/>
        <w:b/>
        <w:bCs/>
        <w:spacing w:val="5"/>
        <w:sz w:val="20"/>
        <w:szCs w:val="20"/>
      </w:rPr>
      <w:t>书</w:t>
    </w:r>
  </w:p>
  <w:p>
    <w:pPr>
      <w:spacing w:before="15" w:line="43" w:lineRule="exact"/>
      <w:ind w:firstLine="11"/>
      <w:textAlignment w:val="center"/>
    </w:pPr>
    <w:r>
      <w:pict>
        <v:shape id="_x0000_s2168" o:spid="_x0000_s2168" style="height:2.2pt;width:415.65pt;" fillcolor="#000000" filled="t" stroked="f" coordsize="8312,44" path="m0,0l8312,0,8312,43,0,43,0,0xe">
          <v:path/>
          <v:fill on="t" focussize="0,0"/>
          <v:stroke on="f"/>
          <v:imagedata o:title=""/>
          <o:lock v:ext="edit"/>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682"/>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遵化市势竹矿业有限公司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w:t>
    </w:r>
    <w:r>
      <w:rPr>
        <w:rFonts w:ascii="宋体" w:hAnsi="宋体" w:eastAsia="宋体" w:cs="宋体"/>
        <w:spacing w:val="6"/>
        <w:sz w:val="20"/>
        <w:szCs w:val="20"/>
        <w14:textOutline w14:w="3795" w14:cap="sq" w14:cmpd="sng">
          <w14:solidFill>
            <w14:srgbClr w14:val="000000"/>
          </w14:solidFill>
          <w14:prstDash w14:val="solid"/>
          <w14:bevel/>
        </w14:textOutline>
      </w:rPr>
      <w:t>书</w:t>
    </w:r>
  </w:p>
  <w:p>
    <w:pPr>
      <w:spacing w:before="15" w:line="58" w:lineRule="exact"/>
      <w:ind w:firstLine="42"/>
      <w:textAlignment w:val="center"/>
    </w:pPr>
    <w:r>
      <w:pict>
        <v:shape id="_x0000_s2059" o:spid="_x0000_s2059" style="height:2.9pt;width:415pt;" fillcolor="#000000" filled="t" stroked="f" coordsize="8300,58" path="m0,0l8300,0,8300,57,0,57,0,0xe">
          <v:path/>
          <v:fill on="t" focussize="0,0"/>
          <v:stroke on="f"/>
          <v:imagedata o:title=""/>
          <o:lock v:ext="edit"/>
          <w10:wrap type="none"/>
          <w10:anchorlock/>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170" o:spid="_x0000_s2170" style="height:2.2pt;width:415.65pt;" fillcolor="#000000" filled="t" stroked="f" coordsize="8312,44" path="m0,0l8312,0,8312,43,0,43,0,0xe">
          <v:path/>
          <v:fill on="t" focussize="0,0"/>
          <v:stroke on="f"/>
          <v:imagedata o:title=""/>
          <o:lock v:ext="edit"/>
          <w10:wrap type="none"/>
          <w10:anchorlock/>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172" o:spid="_x0000_s2172" style="height:2.2pt;width:415.65pt;" fillcolor="#000000" filled="t" stroked="f" coordsize="8312,44" path="m0,0l8312,0,8312,43,0,43,0,0xe">
          <v:path/>
          <v:fill on="t" focussize="0,0"/>
          <v:stroke on="f"/>
          <v:imagedata o:title=""/>
          <o:lock v:ext="edit"/>
          <w10:wrap type="none"/>
          <w10:anchorlock/>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174" o:spid="_x0000_s2174" style="height:2.2pt;width:415.65pt;" fillcolor="#000000" filled="t" stroked="f" coordsize="8312,44" path="m0,0l8312,0,8312,43,0,43,0,0xe">
          <v:path/>
          <v:fill on="t" focussize="0,0"/>
          <v:stroke on="f"/>
          <v:imagedata o:title=""/>
          <o:lock v:ext="edit"/>
          <w10:wrap type="none"/>
          <w10:anchorlock/>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176" o:spid="_x0000_s2176" style="height:2.2pt;width:415.65pt;" fillcolor="#000000" filled="t" stroked="f" coordsize="8312,44" path="m0,0l8312,0,8312,43,0,43,0,0xe">
          <v:path/>
          <v:fill on="t" focussize="0,0"/>
          <v:stroke on="f"/>
          <v:imagedata o:title=""/>
          <o:lock v:ext="edit"/>
          <w10:wrap type="none"/>
          <w10:anchorlock/>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96"/>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29"/>
      <w:textAlignment w:val="center"/>
    </w:pPr>
    <w:r>
      <w:pict>
        <v:shape id="_x0000_s2178" o:spid="_x0000_s2178" style="height:2.2pt;width:415.65pt;" fillcolor="#000000" filled="t" stroked="f" coordsize="8312,44" path="m0,0l8312,0,8312,43,0,43,0,0xe">
          <v:path/>
          <v:fill on="t" focussize="0,0"/>
          <v:stroke on="f"/>
          <v:imagedata o:title=""/>
          <o:lock v:ext="edit"/>
          <w10:wrap type="none"/>
          <w10:anchorlock/>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089"/>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22"/>
      <w:textAlignment w:val="center"/>
    </w:pPr>
    <w:r>
      <mc:AlternateContent>
        <mc:Choice Requires="wps">
          <w:drawing>
            <wp:inline distT="0" distB="0" distL="114300" distR="114300">
              <wp:extent cx="5278755" cy="27940"/>
              <wp:effectExtent l="0" t="0" r="17145" b="635"/>
              <wp:docPr id="226" name="任意多边形 226"/>
              <wp:cNvGraphicFramePr/>
              <a:graphic xmlns:a="http://schemas.openxmlformats.org/drawingml/2006/main">
                <a:graphicData uri="http://schemas.microsoft.com/office/word/2010/wordprocessingShape">
                  <wps:wsp>
                    <wps:cNvSpPr/>
                    <wps:spPr>
                      <a:xfrm>
                        <a:off x="0" y="0"/>
                        <a:ext cx="5278755" cy="27940"/>
                      </a:xfrm>
                      <a:custGeom>
                        <a:avLst/>
                        <a:gdLst/>
                        <a:ahLst/>
                        <a:cxnLst/>
                        <a:pathLst>
                          <a:path w="8312" h="44">
                            <a:moveTo>
                              <a:pt x="0" y="0"/>
                            </a:moveTo>
                            <a:lnTo>
                              <a:pt x="8312" y="0"/>
                            </a:lnTo>
                            <a:lnTo>
                              <a:pt x="8312" y="43"/>
                            </a:lnTo>
                            <a:lnTo>
                              <a:pt x="0" y="43"/>
                            </a:lnTo>
                            <a:lnTo>
                              <a:pt x="0" y="0"/>
                            </a:lnTo>
                            <a:close/>
                          </a:path>
                        </a:pathLst>
                      </a:custGeom>
                      <a:solidFill>
                        <a:srgbClr val="000000"/>
                      </a:solidFill>
                      <a:ln>
                        <a:noFill/>
                      </a:ln>
                    </wps:spPr>
                    <wps:bodyPr upright="1"/>
                  </wps:wsp>
                </a:graphicData>
              </a:graphic>
            </wp:inline>
          </w:drawing>
        </mc:Choice>
        <mc:Fallback>
          <w:pict>
            <v:shape id="_x0000_s1026" o:spid="_x0000_s1026" o:spt="100" style="height:2.2pt;width:415.65pt;" fillcolor="#000000" filled="t" stroked="f" coordsize="8312,44" o:gfxdata="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qaCAHQAAAAAwEAAA8AAAAAAAAAAQAgAAAA&#10;IgAAAGRycy9kb3ducmV2LnhtbFBLAQIUABQAAAAIAIdO4kBneReBEwIAAIAEAAAOAAAAAAAAAAEA&#10;IAAAAB8BAABkcnMvZTJvRG9jLnhtbFBLBQYAAAAABgAGAFkBAACkBQAAAAA=&#10;" path="m0,0l8312,0,8312,43,0,43,0,0xe">
              <v:fill on="t" focussize="0,0"/>
              <v:stroke on="f"/>
              <v:imagedata o:title=""/>
              <o:lock v:ext="edit" aspectratio="f"/>
              <w10:wrap type="none"/>
              <w10:anchorlock/>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913"/>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3"/>
        <w:sz w:val="17"/>
        <w:szCs w:val="17"/>
      </w:rPr>
      <w:t>书</w:t>
    </w:r>
  </w:p>
  <w:p>
    <w:pPr>
      <w:spacing w:before="15" w:line="43" w:lineRule="exact"/>
      <w:ind w:firstLine="122"/>
      <w:textAlignment w:val="center"/>
    </w:pPr>
    <w:r>
      <w:pict>
        <v:shape id="_x0000_s2190" o:spid="_x0000_s2190" style="height:2.2pt;width:697.95pt;" fillcolor="#000000" filled="t" stroked="f" coordsize="13959,44" path="m0,0l13958,0,13958,43,0,43,0,0xe">
          <v:path/>
          <v:fill on="t" focussize="0,0"/>
          <v:stroke on="f"/>
          <v:imagedata o:title=""/>
          <o:lock v:ext="edit"/>
          <w10:wrap type="none"/>
          <w10:anchorlock/>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firstLine="430" w:firstLineChars="200"/>
      <w:rPr>
        <w:rFonts w:ascii="宋体" w:hAnsi="宋体" w:eastAsia="宋体" w:cs="宋体"/>
        <w:b/>
        <w:bCs/>
        <w:sz w:val="20"/>
        <w:szCs w:val="20"/>
      </w:rPr>
    </w:pPr>
    <w:r>
      <w:rPr>
        <w:rFonts w:ascii="宋体" w:hAnsi="宋体" w:eastAsia="宋体" w:cs="宋体"/>
        <w:b/>
        <w:bCs/>
        <w:spacing w:val="7"/>
        <w:sz w:val="20"/>
        <w:szCs w:val="20"/>
      </w:rPr>
      <w:t>遵化市势竹矿业有限公司</w:t>
    </w:r>
    <w:r>
      <w:rPr>
        <w:rFonts w:hint="eastAsia" w:ascii="宋体" w:hAnsi="宋体" w:eastAsia="宋体" w:cs="宋体"/>
        <w:b/>
        <w:bCs/>
        <w:spacing w:val="7"/>
        <w:sz w:val="20"/>
        <w:szCs w:val="20"/>
        <w:lang w:eastAsia="zh-CN"/>
      </w:rPr>
      <w:t>年处理110万吨铁矿石破碎改扩建项目</w:t>
    </w:r>
    <w:r>
      <w:rPr>
        <w:rFonts w:ascii="宋体" w:hAnsi="宋体" w:eastAsia="宋体" w:cs="宋体"/>
        <w:b/>
        <w:bCs/>
        <w:spacing w:val="7"/>
        <w:sz w:val="20"/>
        <w:szCs w:val="20"/>
      </w:rPr>
      <w:t>项目环境影响报告</w:t>
    </w:r>
    <w:r>
      <w:rPr>
        <w:rFonts w:ascii="宋体" w:hAnsi="宋体" w:eastAsia="宋体" w:cs="宋体"/>
        <w:b/>
        <w:bCs/>
        <w:spacing w:val="5"/>
        <w:sz w:val="20"/>
        <w:szCs w:val="20"/>
      </w:rPr>
      <w:t>书</w:t>
    </w:r>
  </w:p>
  <w:p>
    <w:pPr>
      <w:spacing w:before="15" w:line="43" w:lineRule="exact"/>
      <w:ind w:firstLine="42"/>
      <w:textAlignment w:val="center"/>
    </w:pPr>
    <w:r>
      <w:pict>
        <v:shape id="_x0000_s2204" o:spid="_x0000_s2204" style="height:2.2pt;width:415.3pt;" fillcolor="#000000" filled="t" stroked="f" coordsize="8305,44" path="m0,0l8305,0,8305,43,0,43,0,0xe">
          <v:path/>
          <v:fill on="t" focussize="0,0"/>
          <v:stroke on="f"/>
          <v:imagedata o:title=""/>
          <o:lock v:ext="edit"/>
          <w10:wrap type="none"/>
          <w10:anchorlock/>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4"/>
      <w:textAlignment w:val="center"/>
    </w:pPr>
    <w:r>
      <w:pict>
        <v:shape id="_x0000_s2206" o:spid="_x0000_s2206" style="height:2.2pt;width:415.3pt;" fillcolor="#000000" filled="t" stroked="f" coordsize="8305,44" path="m0,0l8305,0,8305,43,0,43,0,0xe">
          <v:path/>
          <v:fill on="t" focussize="0,0"/>
          <v:stroke on="f"/>
          <v:imagedata o:title=""/>
          <o:lock v:ext="edit"/>
          <w10:wrap type="non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682"/>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遵化市势竹矿业有限公司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w:t>
    </w:r>
    <w:r>
      <w:rPr>
        <w:rFonts w:ascii="宋体" w:hAnsi="宋体" w:eastAsia="宋体" w:cs="宋体"/>
        <w:spacing w:val="6"/>
        <w:sz w:val="20"/>
        <w:szCs w:val="20"/>
        <w14:textOutline w14:w="3795" w14:cap="sq" w14:cmpd="sng">
          <w14:solidFill>
            <w14:srgbClr w14:val="000000"/>
          </w14:solidFill>
          <w14:prstDash w14:val="solid"/>
          <w14:bevel/>
        </w14:textOutline>
      </w:rPr>
      <w:t>书</w:t>
    </w:r>
  </w:p>
  <w:p>
    <w:pPr>
      <w:spacing w:before="14" w:line="57" w:lineRule="exact"/>
      <w:ind w:firstLine="42"/>
      <w:textAlignment w:val="center"/>
    </w:pPr>
    <w:r>
      <w:pict>
        <v:shape id="_x0000_s2061" o:spid="_x0000_s2061" style="height:2.9pt;width:415pt;" fillcolor="#000000" filled="t" stroked="f" coordsize="8300,58" path="m0,0l8300,0,8300,57,0,57,0,0xe">
          <v:path/>
          <v:fill on="t" focussize="0,0"/>
          <v:stroke on="f"/>
          <v:imagedata o:title=""/>
          <o:lock v:ext="edit"/>
          <w10:wrap type="none"/>
          <w10:anchorlock/>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006"/>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42"/>
      <w:textAlignment w:val="center"/>
    </w:pPr>
    <w:r>
      <w:pict>
        <v:shape id="_x0000_s2208" o:spid="_x0000_s2208" style="height:2.2pt;width:415.3pt;" fillcolor="#000000" filled="t" stroked="f" coordsize="8305,44" path="m0,0l8305,0,8305,43,0,43,0,0xe">
          <v:path/>
          <v:fill on="t" focussize="0,0"/>
          <v:stroke on="f"/>
          <v:imagedata o:title=""/>
          <o:lock v:ext="edit"/>
          <w10:wrap type="none"/>
          <w10:anchorlock/>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4"/>
      <w:textAlignment w:val="center"/>
    </w:pPr>
    <w:r>
      <w:pict>
        <v:shape id="_x0000_s2210" o:spid="_x0000_s2210" style="height:2.2pt;width:415.3pt;" fillcolor="#000000" filled="t" stroked="f" coordsize="8305,44" path="m0,0l8305,0,8305,43,0,43,0,0xe">
          <v:path/>
          <v:fill on="t" focussize="0,0"/>
          <v:stroke on="f"/>
          <v:imagedata o:title=""/>
          <o:lock v:ext="edit"/>
          <w10:wrap type="none"/>
          <w10:anchorlock/>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4"/>
      <w:textAlignment w:val="center"/>
    </w:pPr>
    <w:r>
      <w:pict>
        <v:shape id="_x0000_s2212" o:spid="_x0000_s2212" style="height:2.2pt;width:415.3pt;" fillcolor="#000000" filled="t" stroked="f" coordsize="8305,44" path="m0,0l8305,0,8305,43,0,43,0,0xe">
          <v:path/>
          <v:fill on="t" focussize="0,0"/>
          <v:stroke on="f"/>
          <v:imagedata o:title=""/>
          <o:lock v:ext="edit"/>
          <w10:wrap type="none"/>
          <w10:anchorlock/>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261"/>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3" w:line="43" w:lineRule="exact"/>
      <w:textAlignment w:val="center"/>
    </w:pPr>
    <w:r>
      <w:pict>
        <v:shape id="_x0000_s2233" o:spid="_x0000_s2233" style="height:2.2pt;width:445.1pt;" fillcolor="#000000" filled="t" stroked="f" coordsize="8902,44" path="m0,0l8901,0,8901,43,0,43,0,0xe">
          <v:path/>
          <v:fill on="t" focussize="0,0"/>
          <v:stroke on="f"/>
          <v:imagedata o:title=""/>
          <o:lock v:ext="edit"/>
          <w10:wrap type="none"/>
          <w10:anchorlock/>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261"/>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3" w:line="43" w:lineRule="exact"/>
      <w:textAlignment w:val="center"/>
    </w:pPr>
    <w:r>
      <w:pict>
        <v:shape id="_x0000_s2239" o:spid="_x0000_s2239" style="height:2.2pt;width:445.1pt;" fillcolor="#000000" filled="t" stroked="f" coordsize="8902,44" path="m0,0l8901,0,8901,43,0,43,0,0xe">
          <v:path/>
          <v:fill on="t" focussize="0,0"/>
          <v:stroke on="f"/>
          <v:imagedata o:title=""/>
          <o:lock v:ext="edit"/>
          <w10:wrap type="none"/>
          <w10:anchorlock/>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870"/>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3" w:line="43" w:lineRule="exact"/>
      <w:textAlignment w:val="center"/>
    </w:pPr>
    <w:r>
      <w:pict>
        <v:shape id="_x0000_s2240" o:spid="_x0000_s2240" style="height:2.2pt;width:705.95pt;" fillcolor="#000000" filled="t" stroked="f" coordsize="14119,44" path="m0,0l14118,0,14118,43,0,43,0,0xe">
          <v:path/>
          <v:fill on="t" focussize="0,0"/>
          <v:stroke on="f"/>
          <v:imagedata o:title=""/>
          <o:lock v:ext="edit"/>
          <w10:wrap type="none"/>
          <w10:anchorlock/>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261"/>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3" w:line="43" w:lineRule="exact"/>
      <w:textAlignment w:val="center"/>
    </w:pPr>
    <w:r>
      <w:pict>
        <v:shape id="_x0000_s2242" o:spid="_x0000_s2242" style="height:2.2pt;width:445.1pt;" fillcolor="#000000" filled="t" stroked="f" coordsize="8902,44" path="m0,0l8901,0,8901,43,0,43,0,0xe">
          <v:path/>
          <v:fill on="t" focussize="0,0"/>
          <v:stroke on="f"/>
          <v:imagedata o:title=""/>
          <o:lock v:ext="edit"/>
          <w10:wrap type="none"/>
          <w10:anchorlock/>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261"/>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3" w:line="43" w:lineRule="exact"/>
      <w:textAlignment w:val="center"/>
    </w:pPr>
    <w:r>
      <w:pict>
        <v:shape id="_x0000_s2244" o:spid="_x0000_s2244" style="height:2.2pt;width:445.1pt;" fillcolor="#000000" filled="t" stroked="f" coordsize="8902,44" path="m0,0l8901,0,8901,43,0,43,0,0xe">
          <v:path/>
          <v:fill on="t" focussize="0,0"/>
          <v:stroke on="f"/>
          <v:imagedata o:title=""/>
          <o:lock v:ext="edit"/>
          <w10:wrap type="none"/>
          <w10:anchorlock/>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261"/>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3" w:line="43" w:lineRule="exact"/>
      <w:textAlignment w:val="center"/>
    </w:pPr>
    <w:r>
      <w:pict>
        <v:shape id="_x0000_s2245" o:spid="_x0000_s2245" style="height:2.2pt;width:445.1pt;" fillcolor="#000000" filled="t" stroked="f" coordsize="8902,44" path="m0,0l8901,0,8901,43,0,43,0,0xe">
          <v:path/>
          <v:fill on="t" focussize="0,0"/>
          <v:stroke on="f"/>
          <v:imagedata o:title=""/>
          <o:lock v:ext="edit"/>
          <w10:wrap type="none"/>
          <w10:anchorlock/>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791"/>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3"/>
        <w:sz w:val="17"/>
        <w:szCs w:val="17"/>
      </w:rPr>
      <w:t>书</w:t>
    </w:r>
  </w:p>
  <w:p>
    <w:pPr>
      <w:spacing w:before="15" w:line="43" w:lineRule="exact"/>
      <w:textAlignment w:val="center"/>
    </w:pPr>
    <w:r>
      <w:pict>
        <v:shape id="_x0000_s2246" o:spid="_x0000_s2246" style="height:2.2pt;width:697.95pt;" fillcolor="#000000" filled="t" stroked="f" coordsize="13959,44" path="m0,0l13958,0,13958,43,0,43,0,0xe">
          <v:path/>
          <v:fill on="t" focussize="0,0"/>
          <v:stroke on="f"/>
          <v:imagedata o:title=""/>
          <o:lock v:ext="edit"/>
          <w10:wrap type="non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22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遵</w:t>
    </w:r>
    <w:r>
      <w:rPr>
        <w:rFonts w:ascii="宋体" w:hAnsi="宋体" w:eastAsia="宋体" w:cs="宋体"/>
        <w:spacing w:val="7"/>
        <w:sz w:val="20"/>
        <w:szCs w:val="20"/>
        <w14:textOutline w14:w="3795" w14:cap="sq" w14:cmpd="sng">
          <w14:solidFill>
            <w14:srgbClr w14:val="000000"/>
          </w14:solidFill>
          <w14:prstDash w14:val="solid"/>
          <w14:bevel/>
        </w14:textOutline>
      </w:rPr>
      <w:t>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环境影响报告书</w:t>
    </w:r>
  </w:p>
  <w:p>
    <w:pPr>
      <w:spacing w:before="14" w:line="57" w:lineRule="exact"/>
      <w:ind w:firstLine="122"/>
      <w:textAlignment w:val="center"/>
    </w:pPr>
    <w:r>
      <w:pict>
        <v:shape id="_x0000_s2063" o:spid="_x0000_s2063" style="height:2.9pt;width:661.6pt;" fillcolor="#000000" filled="t" stroked="f" coordsize="13231,58" path="m0,0l13231,0,13231,57,0,57,0,0xe">
          <v:path/>
          <v:fill on="t" focussize="0,0"/>
          <v:stroke on="f"/>
          <v:imagedata o:title=""/>
          <o:lock v:ext="edit"/>
          <w10:wrap type="none"/>
          <w10:anchorlock/>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4"/>
      <w:textAlignment w:val="center"/>
    </w:pPr>
    <w:r>
      <w:pict>
        <v:shape id="_x0000_s2248" o:spid="_x0000_s2248" style="height:2.2pt;width:415.3pt;" fillcolor="#000000" filled="t" stroked="f" coordsize="8305,44" path="m0,0l8305,0,8305,43,0,43,0,0xe">
          <v:path/>
          <v:fill on="t" focussize="0,0"/>
          <v:stroke on="f"/>
          <v:imagedata o:title=""/>
          <o:lock v:ext="edit"/>
          <w10:wrap type="none"/>
          <w10:anchorlock/>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4"/>
      <w:textAlignment w:val="center"/>
    </w:pPr>
    <w:r>
      <w:pict>
        <v:shape id="_x0000_s2250" o:spid="_x0000_s2250" style="height:2.2pt;width:415.3pt;" fillcolor="#000000" filled="t" stroked="f" coordsize="8305,44" path="m0,0l8305,0,8305,43,0,43,0,0xe">
          <v:path/>
          <v:fill on="t" focussize="0,0"/>
          <v:stroke on="f"/>
          <v:imagedata o:title=""/>
          <o:lock v:ext="edit"/>
          <w10:wrap type="none"/>
          <w10:anchorlock/>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4"/>
      <w:textAlignment w:val="center"/>
    </w:pPr>
    <w:r>
      <w:pict>
        <v:shape id="_x0000_s2254" o:spid="_x0000_s2254" style="height:2.2pt;width:415.3pt;" fillcolor="#000000" filled="t" stroked="f" coordsize="8305,44" path="m0,0l8305,0,8305,43,0,43,0,0xe">
          <v:path/>
          <v:fill on="t" focussize="0,0"/>
          <v:stroke on="f"/>
          <v:imagedata o:title=""/>
          <o:lock v:ext="edit"/>
          <w10:wrap type="none"/>
          <w10:anchorlock/>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4"/>
      <w:textAlignment w:val="center"/>
    </w:pPr>
    <w:r>
      <w:pict>
        <v:shape id="_x0000_s2258" o:spid="_x0000_s2258" style="height:2.2pt;width:415.3pt;" fillcolor="#000000" filled="t" stroked="f" coordsize="8305,44" path="m0,0l8305,0,8305,43,0,43,0,0xe">
          <v:path/>
          <v:fill on="t" focussize="0,0"/>
          <v:stroke on="f"/>
          <v:imagedata o:title=""/>
          <o:lock v:ext="edit"/>
          <w10:wrap type="none"/>
          <w10:anchorlock/>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4"/>
      <w:textAlignment w:val="center"/>
    </w:pPr>
    <w:r>
      <w:pict>
        <v:shape id="_x0000_s2260" o:spid="_x0000_s2260" style="height:2.2pt;width:415.3pt;" fillcolor="#000000" filled="t" stroked="f" coordsize="8305,44" path="m0,0l8305,0,8305,43,0,43,0,0xe">
          <v:path/>
          <v:fill on="t" focussize="0,0"/>
          <v:stroke on="f"/>
          <v:imagedata o:title=""/>
          <o:lock v:ext="edit"/>
          <w10:wrap type="none"/>
          <w10:anchorlock/>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086"/>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22"/>
      <w:textAlignment w:val="center"/>
    </w:pPr>
    <w:r>
      <w:pict>
        <v:shape id="_x0000_s2262" o:spid="_x0000_s2262" style="height:2.2pt;width:415.3pt;" fillcolor="#000000" filled="t" stroked="f" coordsize="8305,44" path="m0,0l8305,0,8305,43,0,43,0,0xe">
          <v:path/>
          <v:fill on="t" focussize="0,0"/>
          <v:stroke on="f"/>
          <v:imagedata o:title=""/>
          <o:lock v:ext="edit"/>
          <w10:wrap type="none"/>
          <w10:anchorlock/>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086"/>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22"/>
      <w:textAlignment w:val="center"/>
    </w:pPr>
    <w:r>
      <w:pict>
        <v:shape id="_x0000_s2273" o:spid="_x0000_s2273" style="height:2.2pt;width:415.3pt;" fillcolor="#000000" filled="t" stroked="f" coordsize="8305,44" path="m0,0l8305,0,8305,43,0,43,0,0xe">
          <v:path/>
          <v:fill on="t" focussize="0,0"/>
          <v:stroke on="f"/>
          <v:imagedata o:title=""/>
          <o:lock v:ext="edit"/>
          <w10:wrap type="none"/>
          <w10:anchorlock/>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279" o:spid="_x0000_s2279" style="height:2.2pt;width:415.65pt;" fillcolor="#000000" filled="t" stroked="f" coordsize="8312,44" path="m0,0l8312,0,8312,43,0,43,0,0xe">
          <v:path/>
          <v:fill on="t" focussize="0,0"/>
          <v:stroke on="f"/>
          <v:imagedata o:title=""/>
          <o:lock v:ext="edit"/>
          <w10:wrap type="none"/>
          <w10:anchorlock/>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281" o:spid="_x0000_s2281" style="height:2.2pt;width:415.65pt;" fillcolor="#000000" filled="t" stroked="f" coordsize="8312,44" path="m0,0l8312,0,8312,43,0,43,0,0xe">
          <v:path/>
          <v:fill on="t" focussize="0,0"/>
          <v:stroke on="f"/>
          <v:imagedata o:title=""/>
          <o:lock v:ext="edit"/>
          <w10:wrap type="none"/>
          <w10:anchorlock/>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65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遵化市势竹矿业有限公司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w:t>
    </w:r>
    <w:r>
      <w:rPr>
        <w:rFonts w:ascii="宋体" w:hAnsi="宋体" w:eastAsia="宋体" w:cs="宋体"/>
        <w:spacing w:val="6"/>
        <w:sz w:val="20"/>
        <w:szCs w:val="20"/>
        <w14:textOutline w14:w="3795" w14:cap="sq" w14:cmpd="sng">
          <w14:solidFill>
            <w14:srgbClr w14:val="000000"/>
          </w14:solidFill>
          <w14:prstDash w14:val="solid"/>
          <w14:bevel/>
        </w14:textOutline>
      </w:rPr>
      <w:t>书</w:t>
    </w:r>
  </w:p>
  <w:p>
    <w:pPr>
      <w:spacing w:before="14" w:line="58" w:lineRule="exact"/>
      <w:ind w:firstLine="11"/>
      <w:textAlignment w:val="center"/>
    </w:pPr>
    <w:r>
      <w:pict>
        <v:shape id="_x0000_s2073" o:spid="_x0000_s2073" style="height:2.9pt;width:415.65pt;" fillcolor="#000000" filled="t" stroked="f" coordsize="8312,58" path="m0,0l8312,0,8312,57,0,57,0,0xe">
          <v:path/>
          <v:fill on="t" focussize="0,0"/>
          <v:stroke on="f"/>
          <v:imagedata o:title=""/>
          <o:lock v:ext="edit"/>
          <w10:wrap type="none"/>
          <w10:anchorlock/>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284" o:spid="_x0000_s2284" style="height:2.2pt;width:415.65pt;" fillcolor="#000000" filled="t" stroked="f" coordsize="8312,44" path="m0,0l8312,0,8312,43,0,43,0,0xe">
          <v:path/>
          <v:fill on="t" focussize="0,0"/>
          <v:stroke on="f"/>
          <v:imagedata o:title=""/>
          <o:lock v:ext="edit"/>
          <w10:wrap type="none"/>
          <w10:anchorlock/>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292" o:spid="_x0000_s2292" style="height:2.2pt;width:415.65pt;" fillcolor="#000000" filled="t" stroked="f" coordsize="8312,44" path="m0,0l8312,0,8312,43,0,43,0,0xe">
          <v:path/>
          <v:fill on="t" focussize="0,0"/>
          <v:stroke on="f"/>
          <v:imagedata o:title=""/>
          <o:lock v:ext="edit"/>
          <w10:wrap type="none"/>
          <w10:anchorlock/>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089"/>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22"/>
      <w:textAlignment w:val="center"/>
    </w:pPr>
    <w:r>
      <w:pict>
        <v:shape id="_x0000_s2295" o:spid="_x0000_s2295" style="height:2.2pt;width:415.65pt;" fillcolor="#000000" filled="t" stroked="f" coordsize="8312,44" path="m0,0l8312,0,8312,43,0,43,0,0xe">
          <v:path/>
          <v:fill on="t" focussize="0,0"/>
          <v:stroke on="f"/>
          <v:imagedata o:title=""/>
          <o:lock v:ext="edit"/>
          <w10:wrap type="none"/>
          <w10:anchorlock/>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315" o:spid="_x0000_s2315" style="height:2.2pt;width:415.65pt;" fillcolor="#000000" filled="t" stroked="f" coordsize="8312,44" path="m0,0l8312,0,8312,43,0,43,0,0xe">
          <v:path/>
          <v:fill on="t" focussize="0,0"/>
          <v:stroke on="f"/>
          <v:imagedata o:title=""/>
          <o:lock v:ext="edit"/>
          <w10:wrap type="none"/>
          <w10:anchorlock/>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317" o:spid="_x0000_s2317" style="height:2.2pt;width:415.65pt;" fillcolor="#000000" filled="t" stroked="f" coordsize="8312,44" path="m0,0l8312,0,8312,43,0,43,0,0xe">
          <v:path/>
          <v:fill on="t" focussize="0,0"/>
          <v:stroke on="f"/>
          <v:imagedata o:title=""/>
          <o:lock v:ext="edit"/>
          <w10:wrap type="none"/>
          <w10:anchorlock/>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319" o:spid="_x0000_s2319" style="height:2.2pt;width:415.65pt;" fillcolor="#000000" filled="t" stroked="f" coordsize="8312,44" path="m0,0l8312,0,8312,43,0,43,0,0xe">
          <v:path/>
          <v:fill on="t" focussize="0,0"/>
          <v:stroke on="f"/>
          <v:imagedata o:title=""/>
          <o:lock v:ext="edit"/>
          <w10:wrap type="none"/>
          <w10:anchorlock/>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337" o:spid="_x0000_s2337" style="height:2.2pt;width:415.65pt;" fillcolor="#000000" filled="t" stroked="f" coordsize="8312,44" path="m0,0l8312,0,8312,43,0,43,0,0xe">
          <v:path/>
          <v:fill on="t" focussize="0,0"/>
          <v:stroke on="f"/>
          <v:imagedata o:title=""/>
          <o:lock v:ext="edit"/>
          <w10:wrap type="none"/>
          <w10:anchorlock/>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339" o:spid="_x0000_s2339" style="height:2.2pt;width:415.65pt;" fillcolor="#000000" filled="t" stroked="f" coordsize="8312,44" path="m0,0l8312,0,8312,43,0,43,0,0xe">
          <v:path/>
          <v:fill on="t" focussize="0,0"/>
          <v:stroke on="f"/>
          <v:imagedata o:title=""/>
          <o:lock v:ext="edit"/>
          <w10:wrap type="none"/>
          <w10:anchorlock/>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mc:AlternateContent>
        <mc:Choice Requires="wps">
          <w:drawing>
            <wp:inline distT="0" distB="0" distL="114300" distR="114300">
              <wp:extent cx="5278755" cy="27940"/>
              <wp:effectExtent l="0" t="0" r="17145" b="635"/>
              <wp:docPr id="119" name="任意多边形 119"/>
              <wp:cNvGraphicFramePr/>
              <a:graphic xmlns:a="http://schemas.openxmlformats.org/drawingml/2006/main">
                <a:graphicData uri="http://schemas.microsoft.com/office/word/2010/wordprocessingShape">
                  <wps:wsp>
                    <wps:cNvSpPr/>
                    <wps:spPr>
                      <a:xfrm>
                        <a:off x="0" y="0"/>
                        <a:ext cx="5278755" cy="27940"/>
                      </a:xfrm>
                      <a:custGeom>
                        <a:avLst/>
                        <a:gdLst/>
                        <a:ahLst/>
                        <a:cxnLst/>
                        <a:pathLst>
                          <a:path w="8312" h="44">
                            <a:moveTo>
                              <a:pt x="0" y="0"/>
                            </a:moveTo>
                            <a:lnTo>
                              <a:pt x="8312" y="0"/>
                            </a:lnTo>
                            <a:lnTo>
                              <a:pt x="8312" y="43"/>
                            </a:lnTo>
                            <a:lnTo>
                              <a:pt x="0" y="43"/>
                            </a:lnTo>
                            <a:lnTo>
                              <a:pt x="0" y="0"/>
                            </a:lnTo>
                            <a:close/>
                          </a:path>
                        </a:pathLst>
                      </a:custGeom>
                      <a:solidFill>
                        <a:srgbClr val="000000"/>
                      </a:solidFill>
                      <a:ln>
                        <a:noFill/>
                      </a:ln>
                    </wps:spPr>
                    <wps:bodyPr upright="1"/>
                  </wps:wsp>
                </a:graphicData>
              </a:graphic>
            </wp:inline>
          </w:drawing>
        </mc:Choice>
        <mc:Fallback>
          <w:pict>
            <v:shape id="_x0000_s1026" o:spid="_x0000_s1026" o:spt="100" style="height:2.2pt;width:415.65pt;" fillcolor="#000000" filled="t" stroked="f" coordsize="8312,44" o:gfxdata="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qaCAHQAAAAAwEAAA8AAAAAAAAAAQAgAAAA&#10;IgAAAGRycy9kb3ducmV2LnhtbFBLAQIUABQAAAAIAIdO4kDnzkqzEwIAAIAEAAAOAAAAAAAAAAEA&#10;IAAAAB8BAABkcnMvZTJvRG9jLnhtbFBLBQYAAAAABgAGAFkBAACkBQAAAAA=&#10;" path="m0,0l8312,0,8312,43,0,43,0,0xe">
              <v:fill on="t" focussize="0,0"/>
              <v:stroke on="f"/>
              <v:imagedata o:title=""/>
              <o:lock v:ext="edit" aspectratio="f"/>
              <w10:wrap type="none"/>
              <w10:anchorlock/>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349" o:spid="_x0000_s2349" style="height:2.2pt;width:415.65pt;" fillcolor="#000000" filled="t" stroked="f" coordsize="8312,44" path="m0,0l8312,0,8312,43,0,43,0,0xe">
          <v:path/>
          <v:fill on="t" focussize="0,0"/>
          <v:stroke on="f"/>
          <v:imagedata o:title=""/>
          <o:lock v:ext="edit"/>
          <w10:wrap type="none"/>
          <w10:anchorlock/>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768"/>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遵化市势竹矿业有限公司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w:t>
    </w:r>
    <w:r>
      <w:rPr>
        <w:rFonts w:ascii="宋体" w:hAnsi="宋体" w:eastAsia="宋体" w:cs="宋体"/>
        <w:spacing w:val="6"/>
        <w:sz w:val="20"/>
        <w:szCs w:val="20"/>
        <w14:textOutline w14:w="3795" w14:cap="sq" w14:cmpd="sng">
          <w14:solidFill>
            <w14:srgbClr w14:val="000000"/>
          </w14:solidFill>
          <w14:prstDash w14:val="solid"/>
          <w14:bevel/>
        </w14:textOutline>
      </w:rPr>
      <w:t>书</w:t>
    </w:r>
  </w:p>
  <w:p>
    <w:pPr>
      <w:spacing w:before="14" w:line="58" w:lineRule="exact"/>
      <w:ind w:firstLine="122"/>
      <w:textAlignment w:val="center"/>
    </w:pPr>
    <w:r>
      <w:pict>
        <v:shape id="_x0000_s2085" o:spid="_x0000_s2085" style="height:2.9pt;width:415.65pt;" fillcolor="#000000" filled="t" stroked="f" coordsize="8312,58" path="m0,0l8312,0,8312,57,0,57,0,0xe">
          <v:path/>
          <v:fill on="t" focussize="0,0"/>
          <v:stroke on="f"/>
          <v:imagedata o:title=""/>
          <o:lock v:ext="edit"/>
          <w10:wrap type="none"/>
          <w10:anchorlock/>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090"/>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23"/>
      <w:textAlignment w:val="center"/>
    </w:pPr>
    <w:r>
      <w:pict>
        <v:shape id="_x0000_s2353" o:spid="_x0000_s2353" style="height:2.2pt;width:415.65pt;" fillcolor="#000000" filled="t" stroked="f" coordsize="8312,44" path="m0,0l8312,0,8312,43,0,43,0,0xe">
          <v:path/>
          <v:fill on="t" focussize="0,0"/>
          <v:stroke on="f"/>
          <v:imagedata o:title=""/>
          <o:lock v:ext="edit"/>
          <w10:wrap type="none"/>
          <w10:anchorlock/>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358" o:spid="_x0000_s2358" style="height:2.2pt;width:415.65pt;" fillcolor="#000000" filled="t" stroked="f" coordsize="8312,44" path="m0,0l8312,0,8312,43,0,43,0,0xe">
          <v:path/>
          <v:fill on="t" focussize="0,0"/>
          <v:stroke on="f"/>
          <v:imagedata o:title=""/>
          <o:lock v:ext="edit"/>
          <w10:wrap type="none"/>
          <w10:anchorlock/>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913"/>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3"/>
        <w:sz w:val="17"/>
        <w:szCs w:val="17"/>
      </w:rPr>
      <w:t>书</w:t>
    </w:r>
  </w:p>
  <w:p>
    <w:pPr>
      <w:spacing w:before="15" w:line="43" w:lineRule="exact"/>
      <w:ind w:firstLine="122"/>
      <w:textAlignment w:val="center"/>
    </w:pPr>
    <w:r>
      <w:pict>
        <v:shape id="_x0000_s2360" o:spid="_x0000_s2360" style="height:2.2pt;width:697.95pt;" fillcolor="#000000" filled="t" stroked="f" coordsize="13959,44" path="m0,0l13958,0,13958,43,0,43,0,0xe">
          <v:path/>
          <v:fill on="t" focussize="0,0"/>
          <v:stroke on="f"/>
          <v:imagedata o:title=""/>
          <o:lock v:ext="edit"/>
          <w10:wrap type="none"/>
          <w10:anchorlock/>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1124"/>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57"/>
      <w:textAlignment w:val="center"/>
    </w:pPr>
    <w:r>
      <w:pict>
        <v:shape id="_x0000_s2365" o:spid="_x0000_s2365" style="height:2.2pt;width:415.65pt;" fillcolor="#000000" filled="t" stroked="f" coordsize="8312,44" path="m0,0l8312,0,8312,43,0,43,0,0xe">
          <v:path/>
          <v:fill on="t" focussize="0,0"/>
          <v:stroke on="f"/>
          <v:imagedata o:title=""/>
          <o:lock v:ext="edit"/>
          <w10:wrap type="none"/>
          <w10:anchorlock/>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978"/>
      <w:rPr>
        <w:rFonts w:ascii="宋体" w:hAnsi="宋体" w:eastAsia="宋体" w:cs="宋体"/>
        <w:sz w:val="17"/>
        <w:szCs w:val="17"/>
      </w:rPr>
    </w:pPr>
    <w:r>
      <w:rPr>
        <w:rFonts w:ascii="宋体" w:hAnsi="宋体" w:eastAsia="宋体" w:cs="宋体"/>
        <w:spacing w:val="7"/>
        <w:sz w:val="17"/>
        <w:szCs w:val="17"/>
      </w:rPr>
      <w:t>遵化市势竹矿业有限公司</w:t>
    </w:r>
    <w:r>
      <w:rPr>
        <w:rFonts w:hint="eastAsia" w:ascii="宋体" w:hAnsi="宋体" w:eastAsia="宋体" w:cs="宋体"/>
        <w:spacing w:val="7"/>
        <w:sz w:val="17"/>
        <w:szCs w:val="17"/>
        <w:lang w:eastAsia="zh-CN"/>
      </w:rPr>
      <w:t>年处理110万吨铁矿石破碎改扩建项目</w:t>
    </w:r>
    <w:r>
      <w:rPr>
        <w:rFonts w:ascii="宋体" w:hAnsi="宋体" w:eastAsia="宋体" w:cs="宋体"/>
        <w:spacing w:val="7"/>
        <w:sz w:val="17"/>
        <w:szCs w:val="17"/>
      </w:rPr>
      <w:t>项目环境影响报告</w:t>
    </w:r>
    <w:r>
      <w:rPr>
        <w:rFonts w:ascii="宋体" w:hAnsi="宋体" w:eastAsia="宋体" w:cs="宋体"/>
        <w:spacing w:val="5"/>
        <w:sz w:val="17"/>
        <w:szCs w:val="17"/>
      </w:rPr>
      <w:t>书</w:t>
    </w:r>
  </w:p>
  <w:p>
    <w:pPr>
      <w:spacing w:before="15" w:line="43" w:lineRule="exact"/>
      <w:ind w:firstLine="11"/>
      <w:textAlignment w:val="center"/>
    </w:pPr>
    <w:r>
      <w:pict>
        <v:shape id="_x0000_s2378" o:spid="_x0000_s2378" style="height:2.2pt;width:415.65pt;" fillcolor="#000000" filled="t" stroked="f" coordsize="8312,44" path="m0,0l8312,0,8312,43,0,43,0,0xe">
          <v:path/>
          <v:fill on="t" focussize="0,0"/>
          <v:stroke on="f"/>
          <v:imagedata o:title=""/>
          <o:lock v:ext="edit"/>
          <w10:wrap type="none"/>
          <w10:anchorlock/>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65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遵化市势竹矿业有限公司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w:t>
    </w:r>
    <w:r>
      <w:rPr>
        <w:rFonts w:ascii="宋体" w:hAnsi="宋体" w:eastAsia="宋体" w:cs="宋体"/>
        <w:spacing w:val="6"/>
        <w:sz w:val="20"/>
        <w:szCs w:val="20"/>
        <w14:textOutline w14:w="3795" w14:cap="sq" w14:cmpd="sng">
          <w14:solidFill>
            <w14:srgbClr w14:val="000000"/>
          </w14:solidFill>
          <w14:prstDash w14:val="solid"/>
          <w14:bevel/>
        </w14:textOutline>
      </w:rPr>
      <w:t>书</w:t>
    </w:r>
  </w:p>
  <w:p>
    <w:pPr>
      <w:spacing w:before="14" w:line="58" w:lineRule="exact"/>
      <w:ind w:firstLine="11"/>
      <w:textAlignment w:val="center"/>
    </w:pPr>
    <w:r>
      <w:pict>
        <v:shape id="_x0000_s2105" o:spid="_x0000_s2105" style="height:2.9pt;width:415.65pt;" fillcolor="#000000" filled="t" stroked="f" coordsize="8312,58" path="m0,0l8312,0,8312,57,0,57,0,0xe">
          <v:path/>
          <v:fill on="t" focussize="0,0"/>
          <v:stroke on="f"/>
          <v:imagedata o:title=""/>
          <o:lock v:ext="edit"/>
          <w10:wrap type="none"/>
          <w10:anchorlock/>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698"/>
      <w:rPr>
        <w:rFonts w:ascii="宋体" w:hAnsi="宋体" w:eastAsia="宋体" w:cs="宋体"/>
        <w:sz w:val="20"/>
        <w:szCs w:val="20"/>
      </w:rPr>
    </w:pPr>
    <w:r>
      <w:rPr>
        <w:sz w:val="20"/>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9" name="文本框 6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xW50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xW50zAgAAZQ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r>
      <w:rPr>
        <w:rFonts w:ascii="宋体" w:hAnsi="宋体" w:eastAsia="宋体" w:cs="宋体"/>
        <w:spacing w:val="7"/>
        <w:sz w:val="20"/>
        <w:szCs w:val="20"/>
        <w14:textOutline w14:w="3795" w14:cap="sq" w14:cmpd="sng">
          <w14:solidFill>
            <w14:srgbClr w14:val="000000"/>
          </w14:solidFill>
          <w14:prstDash w14:val="solid"/>
          <w14:bevel/>
        </w14:textOutline>
      </w:rPr>
      <w:t>遵化市势竹矿业有限公司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w:t>
    </w:r>
    <w:r>
      <w:rPr>
        <w:rFonts w:ascii="宋体" w:hAnsi="宋体" w:eastAsia="宋体" w:cs="宋体"/>
        <w:spacing w:val="6"/>
        <w:sz w:val="20"/>
        <w:szCs w:val="20"/>
        <w14:textOutline w14:w="3795" w14:cap="sq" w14:cmpd="sng">
          <w14:solidFill>
            <w14:srgbClr w14:val="000000"/>
          </w14:solidFill>
          <w14:prstDash w14:val="solid"/>
          <w14:bevel/>
        </w14:textOutline>
      </w:rPr>
      <w:t>书</w:t>
    </w:r>
  </w:p>
  <w:p>
    <w:pPr>
      <w:spacing w:before="14" w:line="58" w:lineRule="exact"/>
      <w:ind w:firstLine="52"/>
      <w:textAlignment w:val="center"/>
    </w:pPr>
    <w:r>
      <w:pict>
        <v:shape id="_x0000_s2120" o:spid="_x0000_s2120" style="height:2.9pt;width:415.65pt;" fillcolor="#000000" filled="t" stroked="f" coordsize="8312,58" path="m0,0l8312,0,8312,57,0,57,0,0xe">
          <v:path/>
          <v:fill on="t" focussize="0,0"/>
          <v:stroke on="f"/>
          <v:imagedata o:title=""/>
          <o:lock v:ext="edit"/>
          <w10:wrap type="none"/>
          <w10:anchorlock/>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468"/>
      <w:rPr>
        <w:rFonts w:ascii="宋体" w:hAnsi="宋体" w:eastAsia="宋体" w:cs="宋体"/>
        <w:sz w:val="20"/>
        <w:szCs w:val="20"/>
      </w:rPr>
    </w:pPr>
    <w:r>
      <w:rPr>
        <w:sz w:val="20"/>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0" name="文本框 6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CcVc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xCcVczAgAAZQ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7</w:t>
                    </w:r>
                    <w:r>
                      <w:fldChar w:fldCharType="end"/>
                    </w:r>
                  </w:p>
                </w:txbxContent>
              </v:textbox>
            </v:shape>
          </w:pict>
        </mc:Fallback>
      </mc:AlternateContent>
    </w:r>
    <w:r>
      <w:rPr>
        <w:rFonts w:ascii="宋体" w:hAnsi="宋体" w:eastAsia="宋体" w:cs="宋体"/>
        <w:spacing w:val="8"/>
        <w:sz w:val="20"/>
        <w:szCs w:val="20"/>
        <w14:textOutline w14:w="3795" w14:cap="sq" w14:cmpd="sng">
          <w14:solidFill>
            <w14:srgbClr w14:val="000000"/>
          </w14:solidFill>
          <w14:prstDash w14:val="solid"/>
          <w14:bevel/>
        </w14:textOutline>
      </w:rPr>
      <w:t>遵</w:t>
    </w:r>
    <w:r>
      <w:rPr>
        <w:rFonts w:ascii="宋体" w:hAnsi="宋体" w:eastAsia="宋体" w:cs="宋体"/>
        <w:spacing w:val="7"/>
        <w:sz w:val="20"/>
        <w:szCs w:val="20"/>
        <w14:textOutline w14:w="3795" w14:cap="sq" w14:cmpd="sng">
          <w14:solidFill>
            <w14:srgbClr w14:val="000000"/>
          </w14:solidFill>
          <w14:prstDash w14:val="solid"/>
          <w14:bevel/>
        </w14:textOutline>
      </w:rPr>
      <w:t>化市势竹矿业有限公司</w:t>
    </w:r>
    <w:r>
      <w:rPr>
        <w:rFonts w:hint="eastAsia" w:ascii="宋体" w:hAnsi="宋体" w:eastAsia="宋体" w:cs="宋体"/>
        <w:spacing w:val="7"/>
        <w:sz w:val="20"/>
        <w:szCs w:val="20"/>
        <w:lang w:eastAsia="zh-CN"/>
        <w14:textOutline w14:w="3795" w14:cap="sq" w14:cmpd="sng">
          <w14:solidFill>
            <w14:srgbClr w14:val="000000"/>
          </w14:solidFill>
          <w14:prstDash w14:val="solid"/>
          <w14:bevel/>
        </w14:textOutline>
      </w:rPr>
      <w:t>年处理110万吨铁矿石破碎改扩建项目</w:t>
    </w:r>
    <w:r>
      <w:rPr>
        <w:rFonts w:ascii="宋体" w:hAnsi="宋体" w:eastAsia="宋体" w:cs="宋体"/>
        <w:spacing w:val="7"/>
        <w:sz w:val="20"/>
        <w:szCs w:val="20"/>
        <w14:textOutline w14:w="3795" w14:cap="sq" w14:cmpd="sng">
          <w14:solidFill>
            <w14:srgbClr w14:val="000000"/>
          </w14:solidFill>
          <w14:prstDash w14:val="solid"/>
          <w14:bevel/>
        </w14:textOutline>
      </w:rPr>
      <w:t>环境影响报告书</w:t>
    </w:r>
  </w:p>
  <w:p>
    <w:pPr>
      <w:spacing w:before="14" w:line="58" w:lineRule="exact"/>
      <w:textAlignment w:val="center"/>
    </w:pPr>
    <w:r>
      <w:pict>
        <v:shape id="_x0000_s2122" o:spid="_x0000_s2122" style="height:2.9pt;width:697.95pt;" fillcolor="#000000" filled="t" stroked="f" coordsize="13959,58" path="m0,0l13958,0,13958,57,0,57,0,0xe">
          <v:path/>
          <v:fill on="t" focussize="0,0"/>
          <v:stroke on="f"/>
          <v:imagedata o:title=""/>
          <o:lock v:ext="edit"/>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8722EF"/>
    <w:multiLevelType w:val="singleLevel"/>
    <w:tmpl w:val="DC8722EF"/>
    <w:lvl w:ilvl="0" w:tentative="0">
      <w:start w:val="4"/>
      <w:numFmt w:val="decimal"/>
      <w:suff w:val="nothing"/>
      <w:lvlText w:val="（%1）"/>
      <w:lvlJc w:val="left"/>
    </w:lvl>
  </w:abstractNum>
  <w:abstractNum w:abstractNumId="1">
    <w:nsid w:val="0970F111"/>
    <w:multiLevelType w:val="singleLevel"/>
    <w:tmpl w:val="0970F111"/>
    <w:lvl w:ilvl="0" w:tentative="0">
      <w:start w:val="2"/>
      <w:numFmt w:val="decimal"/>
      <w:suff w:val="nothing"/>
      <w:lvlText w:val="（%1）"/>
      <w:lvlJc w:val="left"/>
    </w:lvl>
  </w:abstractNum>
  <w:abstractNum w:abstractNumId="2">
    <w:nsid w:val="5B622D0B"/>
    <w:multiLevelType w:val="singleLevel"/>
    <w:tmpl w:val="5B622D0B"/>
    <w:lvl w:ilvl="0" w:tentative="0">
      <w:start w:val="4"/>
      <w:numFmt w:val="decimal"/>
      <w:suff w:val="nothing"/>
      <w:lvlText w:val="（%1）"/>
      <w:lvlJc w:val="left"/>
    </w:lvl>
  </w:abstractNum>
  <w:abstractNum w:abstractNumId="3">
    <w:nsid w:val="72D9239D"/>
    <w:multiLevelType w:val="singleLevel"/>
    <w:tmpl w:val="72D9239D"/>
    <w:lvl w:ilvl="0" w:tentative="0">
      <w:start w:val="2"/>
      <w:numFmt w:val="decimal"/>
      <w:suff w:val="space"/>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GM1ZjAyNjhhZmI3OWJhZTM2ZTBlZTdkYjZkOTEwNzYifQ=="/>
  </w:docVars>
  <w:rsids>
    <w:rsidRoot w:val="00000000"/>
    <w:rsid w:val="004C7400"/>
    <w:rsid w:val="00522633"/>
    <w:rsid w:val="005D6CD7"/>
    <w:rsid w:val="007364CE"/>
    <w:rsid w:val="00A67D58"/>
    <w:rsid w:val="00F54990"/>
    <w:rsid w:val="018F6A3E"/>
    <w:rsid w:val="019A3D07"/>
    <w:rsid w:val="01A84582"/>
    <w:rsid w:val="02207DD2"/>
    <w:rsid w:val="02292F03"/>
    <w:rsid w:val="022A352C"/>
    <w:rsid w:val="02AE55E9"/>
    <w:rsid w:val="02DE0FD6"/>
    <w:rsid w:val="02E02F52"/>
    <w:rsid w:val="02FA438B"/>
    <w:rsid w:val="03504EF8"/>
    <w:rsid w:val="03816C4B"/>
    <w:rsid w:val="03A514C0"/>
    <w:rsid w:val="03E2554B"/>
    <w:rsid w:val="041F2902"/>
    <w:rsid w:val="041F5C52"/>
    <w:rsid w:val="04207E21"/>
    <w:rsid w:val="04D819DD"/>
    <w:rsid w:val="05020416"/>
    <w:rsid w:val="054961F9"/>
    <w:rsid w:val="05727E82"/>
    <w:rsid w:val="05BF5D55"/>
    <w:rsid w:val="05D32685"/>
    <w:rsid w:val="060529A6"/>
    <w:rsid w:val="06120BC6"/>
    <w:rsid w:val="062310E7"/>
    <w:rsid w:val="064E772F"/>
    <w:rsid w:val="06964190"/>
    <w:rsid w:val="069C5CF2"/>
    <w:rsid w:val="06AB55C3"/>
    <w:rsid w:val="06AF3BB6"/>
    <w:rsid w:val="06B62CD8"/>
    <w:rsid w:val="06DF3FC3"/>
    <w:rsid w:val="06E710CA"/>
    <w:rsid w:val="071974D2"/>
    <w:rsid w:val="077B08A2"/>
    <w:rsid w:val="07D66A94"/>
    <w:rsid w:val="07F25F78"/>
    <w:rsid w:val="081D1CBD"/>
    <w:rsid w:val="08432B60"/>
    <w:rsid w:val="08460D4E"/>
    <w:rsid w:val="092379F3"/>
    <w:rsid w:val="092D144C"/>
    <w:rsid w:val="09BC4D22"/>
    <w:rsid w:val="09D1738E"/>
    <w:rsid w:val="0A286F7A"/>
    <w:rsid w:val="0A8266DE"/>
    <w:rsid w:val="0AAE5514"/>
    <w:rsid w:val="0B0B35D9"/>
    <w:rsid w:val="0B437481"/>
    <w:rsid w:val="0B5B5631"/>
    <w:rsid w:val="0B674E66"/>
    <w:rsid w:val="0B7F5BF2"/>
    <w:rsid w:val="0BB42823"/>
    <w:rsid w:val="0BD50C1B"/>
    <w:rsid w:val="0C1753D1"/>
    <w:rsid w:val="0C234D79"/>
    <w:rsid w:val="0C46469E"/>
    <w:rsid w:val="0C79096F"/>
    <w:rsid w:val="0CAC35B5"/>
    <w:rsid w:val="0CB51DBC"/>
    <w:rsid w:val="0D7C6C86"/>
    <w:rsid w:val="0D8E2297"/>
    <w:rsid w:val="0DA761E5"/>
    <w:rsid w:val="0DDE1A11"/>
    <w:rsid w:val="0DF5071B"/>
    <w:rsid w:val="0DF654E2"/>
    <w:rsid w:val="0E2227C9"/>
    <w:rsid w:val="0E4331D2"/>
    <w:rsid w:val="0E7121DB"/>
    <w:rsid w:val="0F1467D4"/>
    <w:rsid w:val="0F151D02"/>
    <w:rsid w:val="0F2A6A2D"/>
    <w:rsid w:val="0F522C33"/>
    <w:rsid w:val="0F571AAD"/>
    <w:rsid w:val="100E1475"/>
    <w:rsid w:val="102B60A4"/>
    <w:rsid w:val="1047079D"/>
    <w:rsid w:val="106B1430"/>
    <w:rsid w:val="10C269DD"/>
    <w:rsid w:val="113D7D7D"/>
    <w:rsid w:val="11627AC5"/>
    <w:rsid w:val="11662B03"/>
    <w:rsid w:val="11664606"/>
    <w:rsid w:val="11794E11"/>
    <w:rsid w:val="11F8062F"/>
    <w:rsid w:val="12FB2185"/>
    <w:rsid w:val="13082AF4"/>
    <w:rsid w:val="137D3A0A"/>
    <w:rsid w:val="13A520F1"/>
    <w:rsid w:val="13B73DD0"/>
    <w:rsid w:val="13BA2B7F"/>
    <w:rsid w:val="13CE33EF"/>
    <w:rsid w:val="13F54E26"/>
    <w:rsid w:val="14056D2E"/>
    <w:rsid w:val="142A40F9"/>
    <w:rsid w:val="147C3EEE"/>
    <w:rsid w:val="14B30CFF"/>
    <w:rsid w:val="14EB6630"/>
    <w:rsid w:val="14EF295C"/>
    <w:rsid w:val="14FC4308"/>
    <w:rsid w:val="15113A2B"/>
    <w:rsid w:val="15247367"/>
    <w:rsid w:val="1525173B"/>
    <w:rsid w:val="15351D81"/>
    <w:rsid w:val="15666AC3"/>
    <w:rsid w:val="15A00D17"/>
    <w:rsid w:val="15B1492C"/>
    <w:rsid w:val="15B14D7D"/>
    <w:rsid w:val="15C8108A"/>
    <w:rsid w:val="15E6052B"/>
    <w:rsid w:val="16D7384A"/>
    <w:rsid w:val="176F5397"/>
    <w:rsid w:val="178C0952"/>
    <w:rsid w:val="17C62C12"/>
    <w:rsid w:val="17EA70BA"/>
    <w:rsid w:val="18247666"/>
    <w:rsid w:val="1859120D"/>
    <w:rsid w:val="18A35A72"/>
    <w:rsid w:val="18BD7E3C"/>
    <w:rsid w:val="18C73B06"/>
    <w:rsid w:val="19305ABD"/>
    <w:rsid w:val="19411F5F"/>
    <w:rsid w:val="1957646F"/>
    <w:rsid w:val="19C53801"/>
    <w:rsid w:val="19CC113B"/>
    <w:rsid w:val="19E52E1C"/>
    <w:rsid w:val="1A093F64"/>
    <w:rsid w:val="1A606D71"/>
    <w:rsid w:val="1A72277B"/>
    <w:rsid w:val="1A8333ED"/>
    <w:rsid w:val="1AC708DA"/>
    <w:rsid w:val="1AD30E95"/>
    <w:rsid w:val="1AED6D74"/>
    <w:rsid w:val="1B3908AE"/>
    <w:rsid w:val="1B4141A9"/>
    <w:rsid w:val="1B593EEC"/>
    <w:rsid w:val="1B7120C7"/>
    <w:rsid w:val="1BBB4C35"/>
    <w:rsid w:val="1BF67B4B"/>
    <w:rsid w:val="1BFF0A9E"/>
    <w:rsid w:val="1C090454"/>
    <w:rsid w:val="1C385A92"/>
    <w:rsid w:val="1C761D82"/>
    <w:rsid w:val="1C7908EC"/>
    <w:rsid w:val="1C9C3703"/>
    <w:rsid w:val="1CD5383B"/>
    <w:rsid w:val="1CF06AD2"/>
    <w:rsid w:val="1D300ED0"/>
    <w:rsid w:val="1D31557C"/>
    <w:rsid w:val="1E270C6F"/>
    <w:rsid w:val="1E300B3D"/>
    <w:rsid w:val="1E37603B"/>
    <w:rsid w:val="1E7C74D7"/>
    <w:rsid w:val="1E855D10"/>
    <w:rsid w:val="1EDE00F0"/>
    <w:rsid w:val="1EF94372"/>
    <w:rsid w:val="1F23040F"/>
    <w:rsid w:val="1F327BCE"/>
    <w:rsid w:val="1F346382"/>
    <w:rsid w:val="1F3A4035"/>
    <w:rsid w:val="1F5D4CFF"/>
    <w:rsid w:val="1F887BC8"/>
    <w:rsid w:val="1FC20797"/>
    <w:rsid w:val="1FD04FE2"/>
    <w:rsid w:val="20036B1D"/>
    <w:rsid w:val="205C321F"/>
    <w:rsid w:val="20823624"/>
    <w:rsid w:val="208B4EA6"/>
    <w:rsid w:val="208D569D"/>
    <w:rsid w:val="21536F98"/>
    <w:rsid w:val="21537303"/>
    <w:rsid w:val="21616B9A"/>
    <w:rsid w:val="21745CA9"/>
    <w:rsid w:val="21A32498"/>
    <w:rsid w:val="21B9075D"/>
    <w:rsid w:val="21C16ADC"/>
    <w:rsid w:val="21E86845"/>
    <w:rsid w:val="2225160B"/>
    <w:rsid w:val="22291B1F"/>
    <w:rsid w:val="22DB168B"/>
    <w:rsid w:val="23264AB1"/>
    <w:rsid w:val="234121E1"/>
    <w:rsid w:val="234418B7"/>
    <w:rsid w:val="23CF68B1"/>
    <w:rsid w:val="243E1A47"/>
    <w:rsid w:val="24521E86"/>
    <w:rsid w:val="248106DD"/>
    <w:rsid w:val="24841FFA"/>
    <w:rsid w:val="248B7D53"/>
    <w:rsid w:val="24B35137"/>
    <w:rsid w:val="24CE07EB"/>
    <w:rsid w:val="25076782"/>
    <w:rsid w:val="25096983"/>
    <w:rsid w:val="25E95226"/>
    <w:rsid w:val="26566828"/>
    <w:rsid w:val="265D1F8F"/>
    <w:rsid w:val="267B2D8D"/>
    <w:rsid w:val="26873D48"/>
    <w:rsid w:val="26BD06F7"/>
    <w:rsid w:val="273A5E7E"/>
    <w:rsid w:val="27427F2B"/>
    <w:rsid w:val="27AE0637"/>
    <w:rsid w:val="27B52C2B"/>
    <w:rsid w:val="28675388"/>
    <w:rsid w:val="289E0F40"/>
    <w:rsid w:val="28E41A63"/>
    <w:rsid w:val="294B617C"/>
    <w:rsid w:val="29782F67"/>
    <w:rsid w:val="2A1E7BB8"/>
    <w:rsid w:val="2AB37B21"/>
    <w:rsid w:val="2B011F7D"/>
    <w:rsid w:val="2B0F16AC"/>
    <w:rsid w:val="2B1240B8"/>
    <w:rsid w:val="2BBC7E50"/>
    <w:rsid w:val="2BC10BA9"/>
    <w:rsid w:val="2BE623C5"/>
    <w:rsid w:val="2CFF066C"/>
    <w:rsid w:val="2D5B6E2A"/>
    <w:rsid w:val="2D5E35FD"/>
    <w:rsid w:val="2DAD4CBE"/>
    <w:rsid w:val="2DD4233A"/>
    <w:rsid w:val="2DD4333C"/>
    <w:rsid w:val="2DE83E71"/>
    <w:rsid w:val="2E273C19"/>
    <w:rsid w:val="2E66323F"/>
    <w:rsid w:val="2EAF31B7"/>
    <w:rsid w:val="2F571D35"/>
    <w:rsid w:val="2F6F3887"/>
    <w:rsid w:val="2F776DDA"/>
    <w:rsid w:val="2FB66570"/>
    <w:rsid w:val="2FCF4325"/>
    <w:rsid w:val="30721D23"/>
    <w:rsid w:val="307E16D0"/>
    <w:rsid w:val="31372E80"/>
    <w:rsid w:val="31774E13"/>
    <w:rsid w:val="31D01F54"/>
    <w:rsid w:val="31F83BDE"/>
    <w:rsid w:val="31FB3AF8"/>
    <w:rsid w:val="320911D7"/>
    <w:rsid w:val="322C6DBC"/>
    <w:rsid w:val="322E7D07"/>
    <w:rsid w:val="32590A97"/>
    <w:rsid w:val="329133FF"/>
    <w:rsid w:val="32CC1AFE"/>
    <w:rsid w:val="32D7395C"/>
    <w:rsid w:val="332F5AAF"/>
    <w:rsid w:val="336B6B24"/>
    <w:rsid w:val="3388644C"/>
    <w:rsid w:val="338D5BD8"/>
    <w:rsid w:val="33F151B2"/>
    <w:rsid w:val="344F64F9"/>
    <w:rsid w:val="34890734"/>
    <w:rsid w:val="34E45675"/>
    <w:rsid w:val="35131158"/>
    <w:rsid w:val="355C1F7F"/>
    <w:rsid w:val="35786EF7"/>
    <w:rsid w:val="359202CF"/>
    <w:rsid w:val="35FC3A60"/>
    <w:rsid w:val="366543A3"/>
    <w:rsid w:val="36A1730E"/>
    <w:rsid w:val="36A522E1"/>
    <w:rsid w:val="36B149B0"/>
    <w:rsid w:val="36DA29CB"/>
    <w:rsid w:val="36F17277"/>
    <w:rsid w:val="36F47CD3"/>
    <w:rsid w:val="36F90142"/>
    <w:rsid w:val="36FB7D3A"/>
    <w:rsid w:val="375755A3"/>
    <w:rsid w:val="376C021E"/>
    <w:rsid w:val="377F33C5"/>
    <w:rsid w:val="37D135FE"/>
    <w:rsid w:val="37FB28D9"/>
    <w:rsid w:val="380C7ECD"/>
    <w:rsid w:val="3814321D"/>
    <w:rsid w:val="38296EE9"/>
    <w:rsid w:val="38661397"/>
    <w:rsid w:val="388D709E"/>
    <w:rsid w:val="38AA3C3C"/>
    <w:rsid w:val="38BA1CB9"/>
    <w:rsid w:val="38D04EC1"/>
    <w:rsid w:val="38DD76F7"/>
    <w:rsid w:val="38F92D11"/>
    <w:rsid w:val="3917707D"/>
    <w:rsid w:val="397D7CE3"/>
    <w:rsid w:val="397E0A5F"/>
    <w:rsid w:val="399D0113"/>
    <w:rsid w:val="39F54A88"/>
    <w:rsid w:val="3A3C7F18"/>
    <w:rsid w:val="3AC61D11"/>
    <w:rsid w:val="3AF90F30"/>
    <w:rsid w:val="3B2B37FB"/>
    <w:rsid w:val="3B836B20"/>
    <w:rsid w:val="3BE35E8D"/>
    <w:rsid w:val="3C01771B"/>
    <w:rsid w:val="3C2105B2"/>
    <w:rsid w:val="3C4007DF"/>
    <w:rsid w:val="3C5003B9"/>
    <w:rsid w:val="3C86187B"/>
    <w:rsid w:val="3CD93BC9"/>
    <w:rsid w:val="3CDB2409"/>
    <w:rsid w:val="3CF57037"/>
    <w:rsid w:val="3D7D2C59"/>
    <w:rsid w:val="3DD9533F"/>
    <w:rsid w:val="3DE900D6"/>
    <w:rsid w:val="3E9C5D1B"/>
    <w:rsid w:val="3EB92AE9"/>
    <w:rsid w:val="3F073908"/>
    <w:rsid w:val="3F3C78B5"/>
    <w:rsid w:val="3F641A38"/>
    <w:rsid w:val="3FC10FC0"/>
    <w:rsid w:val="3FD636FD"/>
    <w:rsid w:val="3FDF3CB7"/>
    <w:rsid w:val="404C7B17"/>
    <w:rsid w:val="40500690"/>
    <w:rsid w:val="40A83AE3"/>
    <w:rsid w:val="40C10030"/>
    <w:rsid w:val="40D31727"/>
    <w:rsid w:val="40FD3396"/>
    <w:rsid w:val="41586A57"/>
    <w:rsid w:val="418F7CB0"/>
    <w:rsid w:val="419A590D"/>
    <w:rsid w:val="41CD0686"/>
    <w:rsid w:val="41CD76E2"/>
    <w:rsid w:val="420378EC"/>
    <w:rsid w:val="42265C79"/>
    <w:rsid w:val="425D4192"/>
    <w:rsid w:val="42936B9C"/>
    <w:rsid w:val="43061289"/>
    <w:rsid w:val="432B35F3"/>
    <w:rsid w:val="43423F0A"/>
    <w:rsid w:val="44171D60"/>
    <w:rsid w:val="444E7C9D"/>
    <w:rsid w:val="446C5A8E"/>
    <w:rsid w:val="44A2392C"/>
    <w:rsid w:val="44C52AA2"/>
    <w:rsid w:val="45440D33"/>
    <w:rsid w:val="45655EC2"/>
    <w:rsid w:val="457B735C"/>
    <w:rsid w:val="45A52BC6"/>
    <w:rsid w:val="46132C45"/>
    <w:rsid w:val="46185A1F"/>
    <w:rsid w:val="46872F21"/>
    <w:rsid w:val="468915C8"/>
    <w:rsid w:val="46B1257F"/>
    <w:rsid w:val="46BB0914"/>
    <w:rsid w:val="475744F8"/>
    <w:rsid w:val="476D13C7"/>
    <w:rsid w:val="4776251A"/>
    <w:rsid w:val="47D9479F"/>
    <w:rsid w:val="47DD4638"/>
    <w:rsid w:val="47DF1E44"/>
    <w:rsid w:val="48180986"/>
    <w:rsid w:val="482A7FC6"/>
    <w:rsid w:val="482D0B80"/>
    <w:rsid w:val="48627FD5"/>
    <w:rsid w:val="48CD7FCC"/>
    <w:rsid w:val="48E4420C"/>
    <w:rsid w:val="48E9025A"/>
    <w:rsid w:val="492E42F6"/>
    <w:rsid w:val="4935284B"/>
    <w:rsid w:val="49383470"/>
    <w:rsid w:val="493F514A"/>
    <w:rsid w:val="495F1282"/>
    <w:rsid w:val="496B2EB9"/>
    <w:rsid w:val="496F2199"/>
    <w:rsid w:val="4973515F"/>
    <w:rsid w:val="49E67656"/>
    <w:rsid w:val="4A1505F1"/>
    <w:rsid w:val="4A3947A9"/>
    <w:rsid w:val="4A89674D"/>
    <w:rsid w:val="4AAA0A89"/>
    <w:rsid w:val="4AAB1A96"/>
    <w:rsid w:val="4ACF4375"/>
    <w:rsid w:val="4B004857"/>
    <w:rsid w:val="4B571C67"/>
    <w:rsid w:val="4B8403A9"/>
    <w:rsid w:val="4BA84747"/>
    <w:rsid w:val="4BF34481"/>
    <w:rsid w:val="4C13243B"/>
    <w:rsid w:val="4C34492B"/>
    <w:rsid w:val="4C3752D5"/>
    <w:rsid w:val="4C3D6038"/>
    <w:rsid w:val="4CDC11A4"/>
    <w:rsid w:val="4CE203B1"/>
    <w:rsid w:val="4D04278D"/>
    <w:rsid w:val="4D2306A1"/>
    <w:rsid w:val="4D316D96"/>
    <w:rsid w:val="4D6E1447"/>
    <w:rsid w:val="4DBC0A86"/>
    <w:rsid w:val="4DC62B69"/>
    <w:rsid w:val="4DCC6B9B"/>
    <w:rsid w:val="4E6F70A8"/>
    <w:rsid w:val="4E753895"/>
    <w:rsid w:val="4EA03605"/>
    <w:rsid w:val="4EA512E2"/>
    <w:rsid w:val="4EEB7DA1"/>
    <w:rsid w:val="4F1E4E68"/>
    <w:rsid w:val="4F39371A"/>
    <w:rsid w:val="4F813436"/>
    <w:rsid w:val="4FB51992"/>
    <w:rsid w:val="4FB629B4"/>
    <w:rsid w:val="501E3056"/>
    <w:rsid w:val="509461CB"/>
    <w:rsid w:val="50C27487"/>
    <w:rsid w:val="50C845B7"/>
    <w:rsid w:val="50D330C7"/>
    <w:rsid w:val="50D628A4"/>
    <w:rsid w:val="50F23AAF"/>
    <w:rsid w:val="51E36263"/>
    <w:rsid w:val="52CB79C0"/>
    <w:rsid w:val="52FE6A6D"/>
    <w:rsid w:val="53426A39"/>
    <w:rsid w:val="53522C72"/>
    <w:rsid w:val="536F78CD"/>
    <w:rsid w:val="537A3549"/>
    <w:rsid w:val="53B21D92"/>
    <w:rsid w:val="53B65F0B"/>
    <w:rsid w:val="53E01DA6"/>
    <w:rsid w:val="5418222A"/>
    <w:rsid w:val="54317DC0"/>
    <w:rsid w:val="546D6916"/>
    <w:rsid w:val="54795D69"/>
    <w:rsid w:val="548D3DC7"/>
    <w:rsid w:val="54C92C18"/>
    <w:rsid w:val="54EF0E42"/>
    <w:rsid w:val="54FC7C7C"/>
    <w:rsid w:val="55440091"/>
    <w:rsid w:val="55600A99"/>
    <w:rsid w:val="55810DD4"/>
    <w:rsid w:val="55A64ED1"/>
    <w:rsid w:val="55B060EB"/>
    <w:rsid w:val="55C665E9"/>
    <w:rsid w:val="55FE6E8F"/>
    <w:rsid w:val="56222D48"/>
    <w:rsid w:val="567C1FB5"/>
    <w:rsid w:val="56870371"/>
    <w:rsid w:val="56A000CF"/>
    <w:rsid w:val="56B6598A"/>
    <w:rsid w:val="56CD2031"/>
    <w:rsid w:val="56D40988"/>
    <w:rsid w:val="57C4329E"/>
    <w:rsid w:val="57F75B63"/>
    <w:rsid w:val="58201313"/>
    <w:rsid w:val="583B614D"/>
    <w:rsid w:val="586C56CA"/>
    <w:rsid w:val="58ED1634"/>
    <w:rsid w:val="59653481"/>
    <w:rsid w:val="59B6197F"/>
    <w:rsid w:val="59C31E69"/>
    <w:rsid w:val="59FB5132"/>
    <w:rsid w:val="5A841875"/>
    <w:rsid w:val="5AC10B76"/>
    <w:rsid w:val="5AEE6194"/>
    <w:rsid w:val="5B44508B"/>
    <w:rsid w:val="5BA73F95"/>
    <w:rsid w:val="5BFB1E7B"/>
    <w:rsid w:val="5C597010"/>
    <w:rsid w:val="5C8806EF"/>
    <w:rsid w:val="5CFC6C29"/>
    <w:rsid w:val="5D7B77D4"/>
    <w:rsid w:val="5DB9023F"/>
    <w:rsid w:val="5DE30E18"/>
    <w:rsid w:val="5DE5620C"/>
    <w:rsid w:val="5E0828CE"/>
    <w:rsid w:val="5E532442"/>
    <w:rsid w:val="5E6437D8"/>
    <w:rsid w:val="5E7F3237"/>
    <w:rsid w:val="5E990FA9"/>
    <w:rsid w:val="5EA12410"/>
    <w:rsid w:val="5EED4933"/>
    <w:rsid w:val="5F8A2032"/>
    <w:rsid w:val="5FCB151A"/>
    <w:rsid w:val="5FE60423"/>
    <w:rsid w:val="603E715D"/>
    <w:rsid w:val="60A071F3"/>
    <w:rsid w:val="60AE7E03"/>
    <w:rsid w:val="60C63F1F"/>
    <w:rsid w:val="60E20918"/>
    <w:rsid w:val="615A4E5B"/>
    <w:rsid w:val="618A5A97"/>
    <w:rsid w:val="61A666A7"/>
    <w:rsid w:val="61B02588"/>
    <w:rsid w:val="629537E2"/>
    <w:rsid w:val="62A63A93"/>
    <w:rsid w:val="63211FB1"/>
    <w:rsid w:val="6377272F"/>
    <w:rsid w:val="63A66F74"/>
    <w:rsid w:val="641B7AF1"/>
    <w:rsid w:val="641D0A09"/>
    <w:rsid w:val="642B176B"/>
    <w:rsid w:val="642F7A63"/>
    <w:rsid w:val="64392BBD"/>
    <w:rsid w:val="647276C5"/>
    <w:rsid w:val="64893638"/>
    <w:rsid w:val="65240694"/>
    <w:rsid w:val="65262237"/>
    <w:rsid w:val="656211BC"/>
    <w:rsid w:val="656742D9"/>
    <w:rsid w:val="659159A3"/>
    <w:rsid w:val="66152A87"/>
    <w:rsid w:val="671A5599"/>
    <w:rsid w:val="6737093E"/>
    <w:rsid w:val="67970FDA"/>
    <w:rsid w:val="67A80B24"/>
    <w:rsid w:val="67D07D08"/>
    <w:rsid w:val="67E0768E"/>
    <w:rsid w:val="68237FE5"/>
    <w:rsid w:val="68546B84"/>
    <w:rsid w:val="6856372B"/>
    <w:rsid w:val="686D6D55"/>
    <w:rsid w:val="68B227EB"/>
    <w:rsid w:val="68B43ADD"/>
    <w:rsid w:val="68E11141"/>
    <w:rsid w:val="69230C63"/>
    <w:rsid w:val="695B42A0"/>
    <w:rsid w:val="695F1463"/>
    <w:rsid w:val="698F3A71"/>
    <w:rsid w:val="69B455E9"/>
    <w:rsid w:val="69BD7798"/>
    <w:rsid w:val="6A4B51AA"/>
    <w:rsid w:val="6A681638"/>
    <w:rsid w:val="6A71579D"/>
    <w:rsid w:val="6A8F4247"/>
    <w:rsid w:val="6AA94D50"/>
    <w:rsid w:val="6B005DC8"/>
    <w:rsid w:val="6B0B2B6B"/>
    <w:rsid w:val="6B295F22"/>
    <w:rsid w:val="6B3B7AFF"/>
    <w:rsid w:val="6B592248"/>
    <w:rsid w:val="6BEB5090"/>
    <w:rsid w:val="6C1E3AF0"/>
    <w:rsid w:val="6C4F68D4"/>
    <w:rsid w:val="6C550785"/>
    <w:rsid w:val="6C7A2862"/>
    <w:rsid w:val="6C8F4E6B"/>
    <w:rsid w:val="6CA01A81"/>
    <w:rsid w:val="6CEE770B"/>
    <w:rsid w:val="6CEF110B"/>
    <w:rsid w:val="6CF476EC"/>
    <w:rsid w:val="6D156B14"/>
    <w:rsid w:val="6D1E1E6D"/>
    <w:rsid w:val="6D2C6673"/>
    <w:rsid w:val="6D325918"/>
    <w:rsid w:val="6D8B7891"/>
    <w:rsid w:val="6DA63F32"/>
    <w:rsid w:val="6DAA3701"/>
    <w:rsid w:val="6DB95B3D"/>
    <w:rsid w:val="6DF521B9"/>
    <w:rsid w:val="6E514407"/>
    <w:rsid w:val="6E553B9E"/>
    <w:rsid w:val="6E7C388E"/>
    <w:rsid w:val="6E93662B"/>
    <w:rsid w:val="6FB00A34"/>
    <w:rsid w:val="701058DE"/>
    <w:rsid w:val="701B5529"/>
    <w:rsid w:val="707730CD"/>
    <w:rsid w:val="70A42689"/>
    <w:rsid w:val="70B86135"/>
    <w:rsid w:val="70BC5C25"/>
    <w:rsid w:val="70CE544C"/>
    <w:rsid w:val="71A127D6"/>
    <w:rsid w:val="71AB11C7"/>
    <w:rsid w:val="71C71CA6"/>
    <w:rsid w:val="71D34ECE"/>
    <w:rsid w:val="72090B0F"/>
    <w:rsid w:val="72361A07"/>
    <w:rsid w:val="72575CC3"/>
    <w:rsid w:val="733D6857"/>
    <w:rsid w:val="736969A1"/>
    <w:rsid w:val="738003D5"/>
    <w:rsid w:val="73AB312B"/>
    <w:rsid w:val="73F76F74"/>
    <w:rsid w:val="742222D9"/>
    <w:rsid w:val="74404DBF"/>
    <w:rsid w:val="74933B5B"/>
    <w:rsid w:val="74EC6556"/>
    <w:rsid w:val="74ED5F47"/>
    <w:rsid w:val="75E83329"/>
    <w:rsid w:val="76373A3C"/>
    <w:rsid w:val="7640788C"/>
    <w:rsid w:val="76751ED8"/>
    <w:rsid w:val="76964998"/>
    <w:rsid w:val="76E65BED"/>
    <w:rsid w:val="77115FC5"/>
    <w:rsid w:val="778D7747"/>
    <w:rsid w:val="780152E4"/>
    <w:rsid w:val="78637336"/>
    <w:rsid w:val="78770683"/>
    <w:rsid w:val="78973E14"/>
    <w:rsid w:val="78B57128"/>
    <w:rsid w:val="794069D3"/>
    <w:rsid w:val="795735E3"/>
    <w:rsid w:val="79617AFA"/>
    <w:rsid w:val="79736979"/>
    <w:rsid w:val="79CE0DCC"/>
    <w:rsid w:val="79ED0DBD"/>
    <w:rsid w:val="7A5B72B7"/>
    <w:rsid w:val="7AB408AE"/>
    <w:rsid w:val="7B1B57B1"/>
    <w:rsid w:val="7B8C1417"/>
    <w:rsid w:val="7BC159F1"/>
    <w:rsid w:val="7BE01C91"/>
    <w:rsid w:val="7C12235D"/>
    <w:rsid w:val="7C13614C"/>
    <w:rsid w:val="7C66113B"/>
    <w:rsid w:val="7C9F6BE5"/>
    <w:rsid w:val="7CAD7D28"/>
    <w:rsid w:val="7CBA3FD1"/>
    <w:rsid w:val="7CFB76BE"/>
    <w:rsid w:val="7D272678"/>
    <w:rsid w:val="7D514BD9"/>
    <w:rsid w:val="7D6E6D76"/>
    <w:rsid w:val="7DCC22D0"/>
    <w:rsid w:val="7DFE491A"/>
    <w:rsid w:val="7E5D6F16"/>
    <w:rsid w:val="7F1B620C"/>
    <w:rsid w:val="7F25286F"/>
    <w:rsid w:val="7F931C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2"/>
    <w:basedOn w:val="1"/>
    <w:next w:val="1"/>
    <w:qFormat/>
    <w:uiPriority w:val="0"/>
    <w:pPr>
      <w:keepNext/>
      <w:keepLines/>
      <w:spacing w:before="260" w:after="260" w:line="416" w:lineRule="auto"/>
      <w:ind w:firstLine="0" w:firstLineChars="0"/>
      <w:jc w:val="both"/>
      <w:textAlignment w:val="auto"/>
      <w:outlineLvl w:val="1"/>
    </w:pPr>
    <w:rPr>
      <w:rFonts w:ascii="Arial" w:hAnsi="Arial" w:eastAsia="黑体"/>
      <w:b/>
      <w:bCs/>
      <w:kern w:val="2"/>
      <w:sz w:val="32"/>
      <w:szCs w:val="32"/>
    </w:rPr>
  </w:style>
  <w:style w:type="paragraph" w:styleId="5">
    <w:name w:val="heading 3"/>
    <w:basedOn w:val="1"/>
    <w:next w:val="1"/>
    <w:qFormat/>
    <w:uiPriority w:val="0"/>
    <w:pPr>
      <w:keepNext/>
      <w:keepLines/>
      <w:spacing w:before="120" w:after="120"/>
      <w:ind w:firstLine="0" w:firstLineChars="0"/>
      <w:jc w:val="both"/>
      <w:textAlignment w:val="auto"/>
      <w:outlineLvl w:val="2"/>
    </w:pPr>
    <w:rPr>
      <w:b/>
      <w:bCs/>
      <w:kern w:val="2"/>
      <w:szCs w:val="32"/>
    </w:rPr>
  </w:style>
  <w:style w:type="paragraph" w:styleId="3">
    <w:name w:val="heading 4"/>
    <w:basedOn w:val="1"/>
    <w:next w:val="2"/>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7">
    <w:name w:val="Default Paragraph Font"/>
    <w:semiHidden/>
    <w:qFormat/>
    <w:uiPriority w:val="0"/>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spacing w:line="240" w:lineRule="auto"/>
      <w:ind w:firstLine="420"/>
      <w:jc w:val="both"/>
      <w:textAlignment w:val="auto"/>
    </w:pPr>
    <w:rPr>
      <w:kern w:val="2"/>
    </w:rPr>
  </w:style>
  <w:style w:type="paragraph" w:styleId="6">
    <w:name w:val="caption"/>
    <w:basedOn w:val="1"/>
    <w:next w:val="1"/>
    <w:qFormat/>
    <w:uiPriority w:val="0"/>
    <w:pPr>
      <w:spacing w:line="360" w:lineRule="exact"/>
      <w:jc w:val="center"/>
    </w:pPr>
    <w:rPr>
      <w:color w:val="FF0000"/>
      <w:sz w:val="24"/>
    </w:rPr>
  </w:style>
  <w:style w:type="paragraph" w:styleId="7">
    <w:name w:val="index 6"/>
    <w:basedOn w:val="1"/>
    <w:next w:val="1"/>
    <w:qFormat/>
    <w:uiPriority w:val="0"/>
    <w:pPr>
      <w:ind w:left="1000" w:leftChars="1000" w:firstLine="0"/>
    </w:pPr>
  </w:style>
  <w:style w:type="paragraph" w:styleId="8">
    <w:name w:val="Body Text"/>
    <w:basedOn w:val="1"/>
    <w:qFormat/>
    <w:uiPriority w:val="0"/>
    <w:pPr>
      <w:spacing w:after="120"/>
    </w:pPr>
  </w:style>
  <w:style w:type="paragraph" w:styleId="9">
    <w:name w:val="Body Text Indent"/>
    <w:basedOn w:val="1"/>
    <w:next w:val="6"/>
    <w:qFormat/>
    <w:uiPriority w:val="0"/>
    <w:pPr>
      <w:spacing w:after="120"/>
      <w:ind w:left="420" w:leftChars="200"/>
    </w:pPr>
  </w:style>
  <w:style w:type="paragraph" w:styleId="10">
    <w:name w:val="Plain Text"/>
    <w:basedOn w:val="1"/>
    <w:qFormat/>
    <w:uiPriority w:val="0"/>
    <w:pPr>
      <w:spacing w:line="240" w:lineRule="auto"/>
      <w:ind w:firstLine="0" w:firstLineChars="0"/>
      <w:jc w:val="both"/>
      <w:textAlignment w:val="auto"/>
    </w:pPr>
    <w:rPr>
      <w:rFonts w:ascii="宋体" w:hAnsi="Courier New"/>
      <w:kern w:val="2"/>
      <w:sz w:val="21"/>
      <w:szCs w:val="21"/>
    </w:rPr>
  </w:style>
  <w:style w:type="paragraph" w:styleId="11">
    <w:name w:val="footer"/>
    <w:basedOn w:val="1"/>
    <w:qFormat/>
    <w:uiPriority w:val="99"/>
    <w:pPr>
      <w:tabs>
        <w:tab w:val="center" w:pos="4153"/>
        <w:tab w:val="right" w:pos="8306"/>
      </w:tabs>
      <w:snapToGrid w:val="0"/>
      <w:spacing w:line="240" w:lineRule="auto"/>
      <w:ind w:firstLine="0" w:firstLineChars="0"/>
      <w:textAlignment w:val="auto"/>
    </w:pPr>
    <w:rPr>
      <w:kern w:val="2"/>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100" w:beforeAutospacing="1" w:after="100" w:afterAutospacing="1"/>
    </w:pPr>
    <w:rPr>
      <w:rFonts w:ascii="Arial Unicode MS" w:hAnsi="Arial Unicode MS" w:eastAsia="Times New Roman"/>
    </w:rPr>
  </w:style>
  <w:style w:type="paragraph" w:styleId="14">
    <w:name w:val="Body Text First Indent 2"/>
    <w:basedOn w:val="9"/>
    <w:next w:val="1"/>
    <w:qFormat/>
    <w:uiPriority w:val="0"/>
    <w:pPr>
      <w:ind w:firstLine="420" w:firstLineChars="200"/>
    </w:pPr>
  </w:style>
  <w:style w:type="table" w:styleId="16">
    <w:name w:val="Table Grid"/>
    <w:basedOn w:val="15"/>
    <w:qFormat/>
    <w:uiPriority w:val="0"/>
    <w:pPr>
      <w:widowControl w:val="0"/>
      <w:spacing w:line="360" w:lineRule="auto"/>
      <w:ind w:firstLine="200" w:firstLineChars="200"/>
      <w:textAlignment w:val="bottom"/>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qFormat/>
    <w:uiPriority w:val="99"/>
    <w:rPr>
      <w:rFonts w:ascii="Times New Roman" w:hAnsi="Times New Roman" w:eastAsia="宋体" w:cs="Times New Roman"/>
      <w:color w:val="0000FF"/>
      <w:u w:val="single"/>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正文233"/>
    <w:basedOn w:val="1"/>
    <w:qFormat/>
    <w:uiPriority w:val="0"/>
    <w:pPr>
      <w:widowControl/>
      <w:autoSpaceDE w:val="0"/>
      <w:autoSpaceDN w:val="0"/>
      <w:adjustRightInd w:val="0"/>
      <w:snapToGrid w:val="0"/>
      <w:spacing w:line="480" w:lineRule="exact"/>
      <w:jc w:val="both"/>
      <w:textAlignment w:val="auto"/>
    </w:pPr>
    <w:rPr>
      <w:rFonts w:cs="宋体"/>
      <w:sz w:val="24"/>
    </w:rPr>
  </w:style>
  <w:style w:type="paragraph" w:customStyle="1" w:styleId="21">
    <w:name w:val="表格文本"/>
    <w:basedOn w:val="1"/>
    <w:qFormat/>
    <w:uiPriority w:val="0"/>
    <w:pPr>
      <w:snapToGrid w:val="0"/>
      <w:spacing w:line="240" w:lineRule="auto"/>
      <w:ind w:firstLine="0" w:firstLineChars="0"/>
      <w:jc w:val="center"/>
      <w:textAlignment w:val="auto"/>
    </w:pPr>
    <w:rPr>
      <w:sz w:val="21"/>
      <w:szCs w:val="21"/>
      <w:lang w:val="zh-CN"/>
    </w:rPr>
  </w:style>
  <w:style w:type="paragraph" w:customStyle="1" w:styleId="22">
    <w:name w:val="15正文"/>
    <w:qFormat/>
    <w:uiPriority w:val="0"/>
    <w:pPr>
      <w:spacing w:line="480" w:lineRule="atLeast"/>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23">
    <w:name w:val="Default"/>
    <w:basedOn w:val="24"/>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24">
    <w:name w:val="纯文本1"/>
    <w:basedOn w:val="1"/>
    <w:qFormat/>
    <w:uiPriority w:val="0"/>
    <w:pPr>
      <w:widowControl/>
      <w:spacing w:beforeLines="10" w:afterLines="10" w:line="360" w:lineRule="auto"/>
      <w:ind w:firstLine="200" w:firstLineChars="200"/>
      <w:jc w:val="left"/>
    </w:pPr>
    <w:rPr>
      <w:rFonts w:hAnsi="宋体" w:cs="宋体"/>
      <w:kern w:val="0"/>
      <w:sz w:val="24"/>
    </w:rPr>
  </w:style>
  <w:style w:type="paragraph" w:customStyle="1" w:styleId="25">
    <w:name w:val="正文1"/>
    <w:basedOn w:val="1"/>
    <w:qFormat/>
    <w:uiPriority w:val="0"/>
    <w:pPr>
      <w:widowControl w:val="0"/>
      <w:spacing w:before="78" w:beforeLines="25" w:after="78" w:afterLines="25" w:line="360" w:lineRule="auto"/>
      <w:ind w:firstLine="480" w:firstLineChars="200"/>
      <w:jc w:val="both"/>
    </w:pPr>
    <w:rPr>
      <w:kern w:val="2"/>
    </w:rPr>
  </w:style>
  <w:style w:type="paragraph" w:customStyle="1" w:styleId="26">
    <w:name w:val="表格"/>
    <w:basedOn w:val="1"/>
    <w:next w:val="1"/>
    <w:qFormat/>
    <w:uiPriority w:val="0"/>
    <w:pPr>
      <w:adjustRightInd w:val="0"/>
      <w:snapToGrid w:val="0"/>
      <w:spacing w:line="360" w:lineRule="exact"/>
      <w:jc w:val="center"/>
      <w:textAlignment w:val="baseline"/>
    </w:pPr>
    <w:rPr>
      <w:sz w:val="21"/>
    </w:rPr>
  </w:style>
  <w:style w:type="paragraph" w:customStyle="1" w:styleId="27">
    <w:name w:val="Table Paragraph"/>
    <w:basedOn w:val="1"/>
    <w:qFormat/>
    <w:uiPriority w:val="1"/>
    <w:pPr>
      <w:autoSpaceDE w:val="0"/>
      <w:autoSpaceDN w:val="0"/>
      <w:jc w:val="center"/>
    </w:pPr>
    <w:rPr>
      <w:rFonts w:ascii="宋体" w:hAnsi="宋体" w:cs="宋体"/>
      <w:kern w:val="0"/>
      <w:sz w:val="22"/>
      <w:szCs w:val="22"/>
      <w:lang w:val="zh-CN" w:bidi="zh-CN"/>
    </w:rPr>
  </w:style>
  <w:style w:type="paragraph" w:customStyle="1" w:styleId="28">
    <w:name w:val="样式 Times New Roman 两端对齐 首行缩进:  0.85 厘米 行距: 固定值 22 磅"/>
    <w:basedOn w:val="1"/>
    <w:qFormat/>
    <w:uiPriority w:val="99"/>
    <w:pPr>
      <w:widowControl/>
      <w:spacing w:line="440" w:lineRule="exact"/>
      <w:ind w:firstLine="200" w:firstLineChars="200"/>
    </w:pPr>
    <w:rPr>
      <w:kern w:val="0"/>
      <w:sz w:val="24"/>
      <w:szCs w:val="24"/>
    </w:rPr>
  </w:style>
  <w:style w:type="paragraph" w:customStyle="1" w:styleId="29">
    <w:name w:val="WPSOffice手动目录 1"/>
    <w:qFormat/>
    <w:uiPriority w:val="0"/>
    <w:pPr>
      <w:ind w:leftChars="0"/>
    </w:pPr>
    <w:rPr>
      <w:rFonts w:ascii="Arial" w:hAnsi="Arial" w:eastAsia="Arial" w:cs="Arial"/>
      <w:sz w:val="20"/>
      <w:szCs w:val="20"/>
    </w:rPr>
  </w:style>
  <w:style w:type="paragraph" w:customStyle="1" w:styleId="30">
    <w:name w:val="WPSOffice手动目录 2"/>
    <w:qFormat/>
    <w:uiPriority w:val="0"/>
    <w:pPr>
      <w:ind w:leftChars="200"/>
    </w:pPr>
    <w:rPr>
      <w:rFonts w:ascii="Arial" w:hAnsi="Arial" w:eastAsia="Arial" w:cs="Arial"/>
      <w:sz w:val="20"/>
      <w:szCs w:val="20"/>
    </w:rPr>
  </w:style>
  <w:style w:type="paragraph" w:customStyle="1" w:styleId="31">
    <w:name w:val="WPSOffice手动目录 3"/>
    <w:qFormat/>
    <w:uiPriority w:val="0"/>
    <w:pPr>
      <w:ind w:leftChars="400"/>
    </w:pPr>
    <w:rPr>
      <w:rFonts w:ascii="Arial" w:hAnsi="Arial" w:eastAsia="Arial" w:cs="Arial"/>
      <w:sz w:val="20"/>
      <w:szCs w:val="20"/>
    </w:rPr>
  </w:style>
  <w:style w:type="paragraph" w:styleId="32">
    <w:name w:val="List Paragraph"/>
    <w:basedOn w:val="1"/>
    <w:qFormat/>
    <w:uiPriority w:val="0"/>
    <w:pPr>
      <w:spacing w:line="240" w:lineRule="auto"/>
      <w:ind w:firstLine="420"/>
      <w:jc w:val="both"/>
      <w:textAlignment w:val="auto"/>
    </w:pPr>
    <w:rPr>
      <w:kern w:val="2"/>
    </w:rPr>
  </w:style>
  <w:style w:type="paragraph" w:customStyle="1" w:styleId="33">
    <w:name w:val="表文字"/>
    <w:basedOn w:val="1"/>
    <w:qFormat/>
    <w:uiPriority w:val="0"/>
    <w:pPr>
      <w:overflowPunct w:val="0"/>
      <w:autoSpaceDE w:val="0"/>
      <w:autoSpaceDN w:val="0"/>
      <w:adjustRightInd w:val="0"/>
      <w:spacing w:line="240" w:lineRule="atLeast"/>
      <w:ind w:firstLine="0" w:firstLineChars="0"/>
      <w:jc w:val="center"/>
      <w:textAlignment w:val="baseline"/>
    </w:pPr>
    <w:rPr>
      <w:sz w:val="24"/>
    </w:rPr>
  </w:style>
</w:styles>
</file>

<file path=word/_rels/document.xml.rels><?xml version="1.0" encoding="UTF-8" standalone="yes"?>
<Relationships xmlns="http://schemas.openxmlformats.org/package/2006/relationships"><Relationship Id="rId99" Type="http://schemas.openxmlformats.org/officeDocument/2006/relationships/footer" Target="footer48.xml"/><Relationship Id="rId98" Type="http://schemas.openxmlformats.org/officeDocument/2006/relationships/header" Target="header47.xml"/><Relationship Id="rId97" Type="http://schemas.openxmlformats.org/officeDocument/2006/relationships/footer" Target="footer47.xml"/><Relationship Id="rId96" Type="http://schemas.openxmlformats.org/officeDocument/2006/relationships/header" Target="header46.xml"/><Relationship Id="rId95" Type="http://schemas.openxmlformats.org/officeDocument/2006/relationships/footer" Target="footer46.xml"/><Relationship Id="rId94" Type="http://schemas.openxmlformats.org/officeDocument/2006/relationships/header" Target="header45.xml"/><Relationship Id="rId93" Type="http://schemas.openxmlformats.org/officeDocument/2006/relationships/footer" Target="footer45.xml"/><Relationship Id="rId92" Type="http://schemas.openxmlformats.org/officeDocument/2006/relationships/header" Target="header44.xml"/><Relationship Id="rId91" Type="http://schemas.openxmlformats.org/officeDocument/2006/relationships/footer" Target="footer44.xml"/><Relationship Id="rId90" Type="http://schemas.openxmlformats.org/officeDocument/2006/relationships/header" Target="header43.xml"/><Relationship Id="rId9" Type="http://schemas.openxmlformats.org/officeDocument/2006/relationships/header" Target="header3.xml"/><Relationship Id="rId89" Type="http://schemas.openxmlformats.org/officeDocument/2006/relationships/footer" Target="footer43.xml"/><Relationship Id="rId88" Type="http://schemas.openxmlformats.org/officeDocument/2006/relationships/header" Target="header42.xml"/><Relationship Id="rId87" Type="http://schemas.openxmlformats.org/officeDocument/2006/relationships/footer" Target="footer42.xml"/><Relationship Id="rId86" Type="http://schemas.openxmlformats.org/officeDocument/2006/relationships/header" Target="header41.xml"/><Relationship Id="rId85" Type="http://schemas.openxmlformats.org/officeDocument/2006/relationships/footer" Target="footer41.xml"/><Relationship Id="rId84" Type="http://schemas.openxmlformats.org/officeDocument/2006/relationships/header" Target="header40.xml"/><Relationship Id="rId83" Type="http://schemas.openxmlformats.org/officeDocument/2006/relationships/footer" Target="footer40.xml"/><Relationship Id="rId82" Type="http://schemas.openxmlformats.org/officeDocument/2006/relationships/header" Target="header39.xml"/><Relationship Id="rId81" Type="http://schemas.openxmlformats.org/officeDocument/2006/relationships/footer" Target="footer39.xml"/><Relationship Id="rId80" Type="http://schemas.openxmlformats.org/officeDocument/2006/relationships/header" Target="header38.xml"/><Relationship Id="rId8" Type="http://schemas.openxmlformats.org/officeDocument/2006/relationships/footer" Target="footer2.xml"/><Relationship Id="rId79" Type="http://schemas.openxmlformats.org/officeDocument/2006/relationships/footer" Target="footer38.xml"/><Relationship Id="rId78" Type="http://schemas.openxmlformats.org/officeDocument/2006/relationships/header" Target="header37.xml"/><Relationship Id="rId77" Type="http://schemas.openxmlformats.org/officeDocument/2006/relationships/footer" Target="footer37.xml"/><Relationship Id="rId76" Type="http://schemas.openxmlformats.org/officeDocument/2006/relationships/header" Target="header36.xml"/><Relationship Id="rId75" Type="http://schemas.openxmlformats.org/officeDocument/2006/relationships/footer" Target="footer36.xml"/><Relationship Id="rId74" Type="http://schemas.openxmlformats.org/officeDocument/2006/relationships/header" Target="header35.xml"/><Relationship Id="rId73" Type="http://schemas.openxmlformats.org/officeDocument/2006/relationships/footer" Target="footer35.xml"/><Relationship Id="rId72" Type="http://schemas.openxmlformats.org/officeDocument/2006/relationships/header" Target="header34.xml"/><Relationship Id="rId71" Type="http://schemas.openxmlformats.org/officeDocument/2006/relationships/footer" Target="footer34.xml"/><Relationship Id="rId70" Type="http://schemas.openxmlformats.org/officeDocument/2006/relationships/header" Target="header33.xml"/><Relationship Id="rId7" Type="http://schemas.openxmlformats.org/officeDocument/2006/relationships/header" Target="header2.xml"/><Relationship Id="rId69" Type="http://schemas.openxmlformats.org/officeDocument/2006/relationships/footer" Target="footer33.xml"/><Relationship Id="rId68" Type="http://schemas.openxmlformats.org/officeDocument/2006/relationships/header" Target="header32.xml"/><Relationship Id="rId67" Type="http://schemas.openxmlformats.org/officeDocument/2006/relationships/footer" Target="footer32.xml"/><Relationship Id="rId66" Type="http://schemas.openxmlformats.org/officeDocument/2006/relationships/header" Target="header31.xml"/><Relationship Id="rId65" Type="http://schemas.openxmlformats.org/officeDocument/2006/relationships/footer" Target="footer31.xml"/><Relationship Id="rId64" Type="http://schemas.openxmlformats.org/officeDocument/2006/relationships/header" Target="header30.xml"/><Relationship Id="rId63" Type="http://schemas.openxmlformats.org/officeDocument/2006/relationships/footer" Target="footer30.xml"/><Relationship Id="rId62" Type="http://schemas.openxmlformats.org/officeDocument/2006/relationships/header" Target="header29.xml"/><Relationship Id="rId61" Type="http://schemas.openxmlformats.org/officeDocument/2006/relationships/footer" Target="footer29.xml"/><Relationship Id="rId60" Type="http://schemas.openxmlformats.org/officeDocument/2006/relationships/header" Target="header28.xml"/><Relationship Id="rId6" Type="http://schemas.openxmlformats.org/officeDocument/2006/relationships/footer" Target="footer1.xml"/><Relationship Id="rId59" Type="http://schemas.openxmlformats.org/officeDocument/2006/relationships/footer" Target="foot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2" Type="http://schemas.openxmlformats.org/officeDocument/2006/relationships/fontTable" Target="fontTable.xml"/><Relationship Id="rId201" Type="http://schemas.openxmlformats.org/officeDocument/2006/relationships/numbering" Target="numbering.xml"/><Relationship Id="rId200" Type="http://schemas.openxmlformats.org/officeDocument/2006/relationships/customXml" Target="../customXml/item1.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image" Target="media/image60.png"/><Relationship Id="rId198" Type="http://schemas.openxmlformats.org/officeDocument/2006/relationships/image" Target="media/image59.png"/><Relationship Id="rId197" Type="http://schemas.openxmlformats.org/officeDocument/2006/relationships/image" Target="media/image58.png"/><Relationship Id="rId196" Type="http://schemas.openxmlformats.org/officeDocument/2006/relationships/image" Target="media/image57.jpeg"/><Relationship Id="rId195" Type="http://schemas.openxmlformats.org/officeDocument/2006/relationships/image" Target="media/image56.jpeg"/><Relationship Id="rId194" Type="http://schemas.openxmlformats.org/officeDocument/2006/relationships/image" Target="media/image55.jpeg"/><Relationship Id="rId193" Type="http://schemas.openxmlformats.org/officeDocument/2006/relationships/image" Target="media/image54.jpeg"/><Relationship Id="rId192" Type="http://schemas.openxmlformats.org/officeDocument/2006/relationships/image" Target="media/image53.png"/><Relationship Id="rId191" Type="http://schemas.openxmlformats.org/officeDocument/2006/relationships/image" Target="media/image52.png"/><Relationship Id="rId190" Type="http://schemas.openxmlformats.org/officeDocument/2006/relationships/image" Target="media/image51.png"/><Relationship Id="rId19" Type="http://schemas.openxmlformats.org/officeDocument/2006/relationships/header" Target="header8.xml"/><Relationship Id="rId189" Type="http://schemas.openxmlformats.org/officeDocument/2006/relationships/image" Target="media/image50.png"/><Relationship Id="rId188" Type="http://schemas.openxmlformats.org/officeDocument/2006/relationships/image" Target="media/image49.png"/><Relationship Id="rId187" Type="http://schemas.openxmlformats.org/officeDocument/2006/relationships/image" Target="media/image48.jpeg"/><Relationship Id="rId186" Type="http://schemas.openxmlformats.org/officeDocument/2006/relationships/image" Target="media/image47.jpeg"/><Relationship Id="rId185" Type="http://schemas.openxmlformats.org/officeDocument/2006/relationships/image" Target="media/image46.jpeg"/><Relationship Id="rId184" Type="http://schemas.openxmlformats.org/officeDocument/2006/relationships/image" Target="media/image45.jpeg"/><Relationship Id="rId183" Type="http://schemas.openxmlformats.org/officeDocument/2006/relationships/image" Target="media/image44.png"/><Relationship Id="rId182" Type="http://schemas.openxmlformats.org/officeDocument/2006/relationships/image" Target="media/image43.png"/><Relationship Id="rId181" Type="http://schemas.openxmlformats.org/officeDocument/2006/relationships/image" Target="media/image42.png"/><Relationship Id="rId180" Type="http://schemas.openxmlformats.org/officeDocument/2006/relationships/image" Target="media/image41.png"/><Relationship Id="rId18" Type="http://schemas.openxmlformats.org/officeDocument/2006/relationships/footer" Target="footer7.xml"/><Relationship Id="rId179" Type="http://schemas.openxmlformats.org/officeDocument/2006/relationships/image" Target="media/image40.png"/><Relationship Id="rId178" Type="http://schemas.openxmlformats.org/officeDocument/2006/relationships/image" Target="media/image39.png"/><Relationship Id="rId177" Type="http://schemas.openxmlformats.org/officeDocument/2006/relationships/image" Target="media/image38.png"/><Relationship Id="rId176" Type="http://schemas.openxmlformats.org/officeDocument/2006/relationships/image" Target="media/image37.png"/><Relationship Id="rId175" Type="http://schemas.openxmlformats.org/officeDocument/2006/relationships/image" Target="media/image36.png"/><Relationship Id="rId174" Type="http://schemas.openxmlformats.org/officeDocument/2006/relationships/image" Target="media/image35.png"/><Relationship Id="rId173" Type="http://schemas.openxmlformats.org/officeDocument/2006/relationships/image" Target="media/image34.jpeg"/><Relationship Id="rId172" Type="http://schemas.openxmlformats.org/officeDocument/2006/relationships/image" Target="media/image33.jpeg"/><Relationship Id="rId171" Type="http://schemas.openxmlformats.org/officeDocument/2006/relationships/image" Target="media/image32.png"/><Relationship Id="rId170" Type="http://schemas.openxmlformats.org/officeDocument/2006/relationships/image" Target="media/image31.png"/><Relationship Id="rId17" Type="http://schemas.openxmlformats.org/officeDocument/2006/relationships/header" Target="header7.xml"/><Relationship Id="rId169" Type="http://schemas.openxmlformats.org/officeDocument/2006/relationships/image" Target="media/image30.png"/><Relationship Id="rId168" Type="http://schemas.openxmlformats.org/officeDocument/2006/relationships/image" Target="media/image29.png"/><Relationship Id="rId167" Type="http://schemas.openxmlformats.org/officeDocument/2006/relationships/image" Target="media/image28.jpeg"/><Relationship Id="rId166" Type="http://schemas.openxmlformats.org/officeDocument/2006/relationships/image" Target="media/image27.jpeg"/><Relationship Id="rId165" Type="http://schemas.openxmlformats.org/officeDocument/2006/relationships/image" Target="media/image26.png"/><Relationship Id="rId164" Type="http://schemas.openxmlformats.org/officeDocument/2006/relationships/image" Target="media/image25.png"/><Relationship Id="rId163" Type="http://schemas.openxmlformats.org/officeDocument/2006/relationships/image" Target="media/image24.jpeg"/><Relationship Id="rId162" Type="http://schemas.openxmlformats.org/officeDocument/2006/relationships/image" Target="media/image23.jpeg"/><Relationship Id="rId161" Type="http://schemas.openxmlformats.org/officeDocument/2006/relationships/image" Target="media/image22.jpeg"/><Relationship Id="rId160" Type="http://schemas.openxmlformats.org/officeDocument/2006/relationships/image" Target="media/image21.jpeg"/><Relationship Id="rId16" Type="http://schemas.openxmlformats.org/officeDocument/2006/relationships/footer" Target="footer6.xml"/><Relationship Id="rId159" Type="http://schemas.openxmlformats.org/officeDocument/2006/relationships/image" Target="media/image20.png"/><Relationship Id="rId158" Type="http://schemas.openxmlformats.org/officeDocument/2006/relationships/image" Target="media/image19.png"/><Relationship Id="rId157" Type="http://schemas.openxmlformats.org/officeDocument/2006/relationships/image" Target="media/image18.png"/><Relationship Id="rId156" Type="http://schemas.openxmlformats.org/officeDocument/2006/relationships/image" Target="media/image17.jpeg"/><Relationship Id="rId155" Type="http://schemas.openxmlformats.org/officeDocument/2006/relationships/image" Target="media/image16.png"/><Relationship Id="rId154" Type="http://schemas.openxmlformats.org/officeDocument/2006/relationships/image" Target="media/image15.png"/><Relationship Id="rId153" Type="http://schemas.openxmlformats.org/officeDocument/2006/relationships/image" Target="media/image14.png"/><Relationship Id="rId152" Type="http://schemas.openxmlformats.org/officeDocument/2006/relationships/image" Target="media/image13.jpeg"/><Relationship Id="rId151" Type="http://schemas.openxmlformats.org/officeDocument/2006/relationships/image" Target="media/image12.png"/><Relationship Id="rId150" Type="http://schemas.openxmlformats.org/officeDocument/2006/relationships/image" Target="media/image11.jpeg"/><Relationship Id="rId15" Type="http://schemas.openxmlformats.org/officeDocument/2006/relationships/header" Target="header6.xml"/><Relationship Id="rId149" Type="http://schemas.openxmlformats.org/officeDocument/2006/relationships/image" Target="media/image10.png"/><Relationship Id="rId148" Type="http://schemas.openxmlformats.org/officeDocument/2006/relationships/image" Target="media/image9.png"/><Relationship Id="rId147" Type="http://schemas.openxmlformats.org/officeDocument/2006/relationships/image" Target="media/image8.wmf"/><Relationship Id="rId146" Type="http://schemas.openxmlformats.org/officeDocument/2006/relationships/oleObject" Target="embeddings/oleObject2.bin"/><Relationship Id="rId145" Type="http://schemas.openxmlformats.org/officeDocument/2006/relationships/image" Target="media/image7.wmf"/><Relationship Id="rId144" Type="http://schemas.openxmlformats.org/officeDocument/2006/relationships/oleObject" Target="embeddings/oleObject1.bin"/><Relationship Id="rId143" Type="http://schemas.openxmlformats.org/officeDocument/2006/relationships/image" Target="media/image6.png"/><Relationship Id="rId142" Type="http://schemas.openxmlformats.org/officeDocument/2006/relationships/image" Target="media/image5.png"/><Relationship Id="rId141" Type="http://schemas.openxmlformats.org/officeDocument/2006/relationships/image" Target="media/image4.png"/><Relationship Id="rId140" Type="http://schemas.openxmlformats.org/officeDocument/2006/relationships/image" Target="media/image3.png"/><Relationship Id="rId14" Type="http://schemas.openxmlformats.org/officeDocument/2006/relationships/footer" Target="footer5.xml"/><Relationship Id="rId139" Type="http://schemas.openxmlformats.org/officeDocument/2006/relationships/image" Target="media/image2.png"/><Relationship Id="rId138" Type="http://schemas.openxmlformats.org/officeDocument/2006/relationships/image" Target="media/image1.png"/><Relationship Id="rId137" Type="http://schemas.openxmlformats.org/officeDocument/2006/relationships/theme" Target="theme/theme1.xml"/><Relationship Id="rId136" Type="http://schemas.openxmlformats.org/officeDocument/2006/relationships/footer" Target="footer67.xml"/><Relationship Id="rId135" Type="http://schemas.openxmlformats.org/officeDocument/2006/relationships/header" Target="header65.xml"/><Relationship Id="rId134" Type="http://schemas.openxmlformats.org/officeDocument/2006/relationships/footer" Target="footer66.xml"/><Relationship Id="rId133" Type="http://schemas.openxmlformats.org/officeDocument/2006/relationships/header" Target="header64.xml"/><Relationship Id="rId132" Type="http://schemas.openxmlformats.org/officeDocument/2006/relationships/footer" Target="footer65.xml"/><Relationship Id="rId131" Type="http://schemas.openxmlformats.org/officeDocument/2006/relationships/header" Target="header63.xml"/><Relationship Id="rId130" Type="http://schemas.openxmlformats.org/officeDocument/2006/relationships/footer" Target="footer64.xml"/><Relationship Id="rId13" Type="http://schemas.openxmlformats.org/officeDocument/2006/relationships/header" Target="header5.xml"/><Relationship Id="rId129" Type="http://schemas.openxmlformats.org/officeDocument/2006/relationships/header" Target="header62.xml"/><Relationship Id="rId128" Type="http://schemas.openxmlformats.org/officeDocument/2006/relationships/footer" Target="footer63.xml"/><Relationship Id="rId127" Type="http://schemas.openxmlformats.org/officeDocument/2006/relationships/header" Target="header61.xml"/><Relationship Id="rId126" Type="http://schemas.openxmlformats.org/officeDocument/2006/relationships/footer" Target="footer62.xml"/><Relationship Id="rId125" Type="http://schemas.openxmlformats.org/officeDocument/2006/relationships/header" Target="header60.xml"/><Relationship Id="rId124" Type="http://schemas.openxmlformats.org/officeDocument/2006/relationships/footer" Target="footer61.xml"/><Relationship Id="rId123" Type="http://schemas.openxmlformats.org/officeDocument/2006/relationships/header" Target="header59.xml"/><Relationship Id="rId122" Type="http://schemas.openxmlformats.org/officeDocument/2006/relationships/footer" Target="footer60.xml"/><Relationship Id="rId121" Type="http://schemas.openxmlformats.org/officeDocument/2006/relationships/header" Target="header58.xml"/><Relationship Id="rId120" Type="http://schemas.openxmlformats.org/officeDocument/2006/relationships/footer" Target="footer59.xml"/><Relationship Id="rId12" Type="http://schemas.openxmlformats.org/officeDocument/2006/relationships/footer" Target="footer4.xml"/><Relationship Id="rId119" Type="http://schemas.openxmlformats.org/officeDocument/2006/relationships/header" Target="header57.xml"/><Relationship Id="rId118" Type="http://schemas.openxmlformats.org/officeDocument/2006/relationships/footer" Target="footer58.xml"/><Relationship Id="rId117" Type="http://schemas.openxmlformats.org/officeDocument/2006/relationships/header" Target="header56.xml"/><Relationship Id="rId116" Type="http://schemas.openxmlformats.org/officeDocument/2006/relationships/footer" Target="footer57.xml"/><Relationship Id="rId115" Type="http://schemas.openxmlformats.org/officeDocument/2006/relationships/header" Target="header55.xml"/><Relationship Id="rId114" Type="http://schemas.openxmlformats.org/officeDocument/2006/relationships/footer" Target="footer56.xml"/><Relationship Id="rId113" Type="http://schemas.openxmlformats.org/officeDocument/2006/relationships/header" Target="header54.xml"/><Relationship Id="rId112" Type="http://schemas.openxmlformats.org/officeDocument/2006/relationships/footer" Target="footer55.xml"/><Relationship Id="rId111" Type="http://schemas.openxmlformats.org/officeDocument/2006/relationships/header" Target="header53.xml"/><Relationship Id="rId110" Type="http://schemas.openxmlformats.org/officeDocument/2006/relationships/footer" Target="footer54.xml"/><Relationship Id="rId11" Type="http://schemas.openxmlformats.org/officeDocument/2006/relationships/header" Target="header4.xml"/><Relationship Id="rId109" Type="http://schemas.openxmlformats.org/officeDocument/2006/relationships/header" Target="header52.xml"/><Relationship Id="rId108" Type="http://schemas.openxmlformats.org/officeDocument/2006/relationships/footer" Target="footer53.xml"/><Relationship Id="rId107" Type="http://schemas.openxmlformats.org/officeDocument/2006/relationships/header" Target="header51.xml"/><Relationship Id="rId106" Type="http://schemas.openxmlformats.org/officeDocument/2006/relationships/footer" Target="footer52.xml"/><Relationship Id="rId105" Type="http://schemas.openxmlformats.org/officeDocument/2006/relationships/header" Target="header50.xml"/><Relationship Id="rId104" Type="http://schemas.openxmlformats.org/officeDocument/2006/relationships/footer" Target="footer51.xml"/><Relationship Id="rId103" Type="http://schemas.openxmlformats.org/officeDocument/2006/relationships/footer" Target="footer50.xml"/><Relationship Id="rId102" Type="http://schemas.openxmlformats.org/officeDocument/2006/relationships/header" Target="header49.xml"/><Relationship Id="rId101" Type="http://schemas.openxmlformats.org/officeDocument/2006/relationships/footer" Target="footer49.xml"/><Relationship Id="rId100" Type="http://schemas.openxmlformats.org/officeDocument/2006/relationships/header" Target="header48.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9"/>
    <customShpInfo spid="_x0000_s1026" textRotate="1"/>
    <customShpInfo spid="_x0000_s2061"/>
    <customShpInfo spid="_x0000_s2063"/>
    <customShpInfo spid="_x0000_s2073"/>
    <customShpInfo spid="_x0000_s2085"/>
    <customShpInfo spid="_x0000_s2105"/>
    <customShpInfo spid="_x0000_s2120"/>
    <customShpInfo spid="_x0000_s2122"/>
    <customShpInfo spid="_x0000_s2132"/>
    <customShpInfo spid="_x0000_s2139"/>
    <customShpInfo spid="_x0000_s2141"/>
    <customShpInfo spid="_x0000_s2148"/>
    <customShpInfo spid="_x0000_s2150"/>
    <customShpInfo spid="_x0000_s2164"/>
    <customShpInfo spid="_x0000_s2166"/>
    <customShpInfo spid="_x0000_s2168"/>
    <customShpInfo spid="_x0000_s2170"/>
    <customShpInfo spid="_x0000_s2172"/>
    <customShpInfo spid="_x0000_s2174"/>
    <customShpInfo spid="_x0000_s2176"/>
    <customShpInfo spid="_x0000_s2178"/>
    <customShpInfo spid="_x0000_s2190"/>
    <customShpInfo spid="_x0000_s2204"/>
    <customShpInfo spid="_x0000_s2206"/>
    <customShpInfo spid="_x0000_s2208"/>
    <customShpInfo spid="_x0000_s2210"/>
    <customShpInfo spid="_x0000_s2212"/>
    <customShpInfo spid="_x0000_s2233"/>
    <customShpInfo spid="_x0000_s2239"/>
    <customShpInfo spid="_x0000_s2240"/>
    <customShpInfo spid="_x0000_s2241"/>
    <customShpInfo spid="_x0000_s2242"/>
    <customShpInfo spid="_x0000_s2244"/>
    <customShpInfo spid="_x0000_s2245"/>
    <customShpInfo spid="_x0000_s2246"/>
    <customShpInfo spid="_x0000_s2247"/>
    <customShpInfo spid="_x0000_s2248"/>
    <customShpInfo spid="_x0000_s2249"/>
    <customShpInfo spid="_x0000_s2250"/>
    <customShpInfo spid="_x0000_s2251"/>
    <customShpInfo spid="_x0000_s2254"/>
    <customShpInfo spid="_x0000_s2255"/>
    <customShpInfo spid="_x0000_s2258"/>
    <customShpInfo spid="_x0000_s2260"/>
    <customShpInfo spid="_x0000_s2261"/>
    <customShpInfo spid="_x0000_s2262"/>
    <customShpInfo spid="_x0000_s2273"/>
    <customShpInfo spid="_x0000_s2275"/>
    <customShpInfo spid="_x0000_s2279"/>
    <customShpInfo spid="_x0000_s2281"/>
    <customShpInfo spid="_x0000_s2282"/>
    <customShpInfo spid="_x0000_s2284"/>
    <customShpInfo spid="_x0000_s2292"/>
    <customShpInfo spid="_x0000_s2295"/>
    <customShpInfo spid="_x0000_s2315"/>
    <customShpInfo spid="_x0000_s2317"/>
    <customShpInfo spid="_x0000_s2319"/>
    <customShpInfo spid="_x0000_s2337"/>
    <customShpInfo spid="_x0000_s2339"/>
    <customShpInfo spid="_x0000_s2349"/>
    <customShpInfo spid="_x0000_s2353"/>
    <customShpInfo spid="_x0000_s2358"/>
    <customShpInfo spid="_x0000_s2360"/>
    <customShpInfo spid="_x0000_s2363"/>
    <customShpInfo spid="_x0000_s2365"/>
    <customShpInfo spid="_x0000_s2378"/>
    <customShpInfo spid="_x0000_s2379"/>
    <customShpInfo spid="_x0000_s1029"/>
    <customShpInfo spid="_x0000_s1031"/>
    <customShpInfo spid="_x0000_s1032"/>
    <customShpInfo spid="_x0000_s1033"/>
    <customShpInfo spid="_x0000_s1038"/>
    <customShpInfo spid="_x0000_s1041"/>
    <customShpInfo spid="_x0000_s1043"/>
    <customShpInfo spid="_x0000_s1044"/>
    <customShpInfo spid="_x0000_s1052"/>
    <customShpInfo spid="_x0000_s1054"/>
    <customShpInfo spid="_x0000_s1055"/>
    <customShpInfo spid="_x0000_s1056"/>
    <customShpInfo spid="_x0000_s1057"/>
    <customShpInfo spid="_x0000_s1060"/>
    <customShpInfo spid="_x0000_s1064"/>
    <customShpInfo spid="_x0000_s1066"/>
    <customShpInfo spid="_x0000_s1067"/>
    <customShpInfo spid="_x0000_s1068"/>
    <customShpInfo spid="_x0000_s1069"/>
    <customShpInfo spid="_x0000_s1072"/>
    <customShpInfo spid="_x0000_s1075"/>
    <customShpInfo spid="_x0000_s1076"/>
    <customShpInfo spid="_x0000_s1089"/>
    <customShpInfo spid="_x0000_s1090"/>
    <customShpInfo spid="_x0000_s1093"/>
    <customShpInfo spid="_x0000_s1095"/>
    <customShpInfo spid="_x0000_s1103"/>
    <customShpInfo spid="_x0000_s1104"/>
    <customShpInfo spid="_x0000_s1105"/>
    <customShpInfo spid="_x0000_s1111"/>
    <customShpInfo spid="_x0000_s1112"/>
    <customShpInfo spid="_x0000_s1113"/>
    <customShpInfo spid="_x0000_s1114"/>
    <customShpInfo spid="_x0000_s1122"/>
    <customShpInfo spid="_x0000_s1123"/>
    <customShpInfo spid="_x0000_s1124"/>
    <customShpInfo spid="_x0000_s1125"/>
    <customShpInfo spid="_x0000_s1127"/>
    <customShpInfo spid="_x0000_s1130"/>
    <customShpInfo spid="_x0000_s1131"/>
    <customShpInfo spid="_x0000_s1132"/>
    <customShpInfo spid="_x0000_s1138"/>
    <customShpInfo spid="_x0000_s1139"/>
    <customShpInfo spid="_x0000_s1140"/>
    <customShpInfo spid="_x0000_s1141"/>
    <customShpInfo spid="_x0000_s1142"/>
    <customShpInfo spid="_x0000_s1143"/>
    <customShpInfo spid="_x0000_s1144"/>
    <customShpInfo spid="_x0000_s1145"/>
    <customShpInfo spid="_x0000_s1147"/>
    <customShpInfo spid="_x0000_s1146"/>
    <customShpInfo spid="_x0000_s1148"/>
    <customShpInfo spid="_x0000_s1149"/>
    <customShpInfo spid="_x0000_s1150"/>
    <customShpInfo spid="_x0000_s1151"/>
    <customShpInfo spid="_x0000_s1152"/>
    <customShpInfo spid="_x0000_s1159"/>
    <customShpInfo spid="_x0000_s1160"/>
    <customShpInfo spid="_x0000_s1161"/>
    <customShpInfo spid="_x0000_s1162"/>
    <customShpInfo spid="_x0000_s1168"/>
    <customShpInfo spid="_x0000_s1169"/>
    <customShpInfo spid="_x0000_s1171"/>
    <customShpInfo spid="_x0000_s1176"/>
    <customShpInfo spid="_x0000_s1177"/>
    <customShpInfo spid="_x0000_s1178"/>
    <customShpInfo spid="_x0000_s1182"/>
    <customShpInfo spid="_x0000_s1183"/>
    <customShpInfo spid="_x0000_s1184"/>
    <customShpInfo spid="_x0000_s1185"/>
    <customShpInfo spid="_x0000_s1186"/>
    <customShpInfo spid="_x0000_s1187"/>
    <customShpInfo spid="_x0000_s1202"/>
    <customShpInfo spid="_x0000_s1203"/>
    <customShpInfo spid="_x0000_s1204"/>
    <customShpInfo spid="_x0000_s1208"/>
    <customShpInfo spid="_x0000_s1210"/>
    <customShpInfo spid="_x0000_s1212"/>
    <customShpInfo spid="_x0000_s1213"/>
    <customShpInfo spid="_x0000_s1214"/>
    <customShpInfo spid="_x0000_s1215"/>
    <customShpInfo spid="_x0000_s1217"/>
    <customShpInfo spid="_x0000_s1218"/>
    <customShpInfo spid="_x0000_s1219"/>
    <customShpInfo spid="_x0000_s1216"/>
    <customShpInfo spid="_x0000_s1220"/>
    <customShpInfo spid="_x0000_s1222"/>
    <customShpInfo spid="_x0000_s1224"/>
    <customShpInfo spid="_x0000_s1225"/>
    <customShpInfo spid="_x0000_s1226"/>
    <customShpInfo spid="_x0000_s1228"/>
    <customShpInfo spid="_x0000_s1229"/>
    <customShpInfo spid="_x0000_s1227"/>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7"/>
    <customShpInfo spid="_x0000_s1248"/>
    <customShpInfo spid="_x0000_s1249"/>
    <customShpInfo spid="_x0000_s1254"/>
    <customShpInfo spid="_x0000_s1255"/>
    <customShpInfo spid="_x0000_s1256"/>
    <customShpInfo spid="_x0000_s1257"/>
    <customShpInfo spid="_x0000_s1258"/>
    <customShpInfo spid="_x0000_s1259"/>
    <customShpInfo spid="_x0000_s1260"/>
    <customShpInfo spid="_x0000_s1269"/>
    <customShpInfo spid="_x0000_s1270"/>
    <customShpInfo spid="_x0000_s1272"/>
    <customShpInfo spid="_x0000_s1273"/>
    <customShpInfo spid="_x0000_s1274"/>
    <customShpInfo spid="_x0000_s1275"/>
    <customShpInfo spid="_x0000_s1276"/>
    <customShpInfo spid="_x0000_s1277"/>
    <customShpInfo spid="_x0000_s1279"/>
    <customShpInfo spid="_x0000_s1280"/>
    <customShpInfo spid="_x0000_s1281"/>
    <customShpInfo spid="_x0000_s1282"/>
    <customShpInfo spid="_x0000_s1284"/>
    <customShpInfo spid="_x0000_s1285"/>
    <customShpInfo spid="_x0000_s1289"/>
    <customShpInfo spid="_x0000_s1290"/>
    <customShpInfo spid="_x0000_s1292"/>
    <customShpInfo spid="_x0000_s1296"/>
    <customShpInfo spid="_x0000_s1322"/>
    <customShpInfo spid="_x0000_s1323"/>
    <customShpInfo spid="_x0000_s1324"/>
    <customShpInfo spid="_x0000_s1326"/>
    <customShpInfo spid="_x0000_s1327"/>
    <customShpInfo spid="_x0000_s1328"/>
    <customShpInfo spid="_x0000_s1325"/>
    <customShpInfo spid="_x0000_s1329"/>
    <customShpInfo spid="_x0000_s1330"/>
    <customShpInfo spid="_x0000_s1337"/>
    <customShpInfo spid="_x0000_s1338"/>
    <customShpInfo spid="_x0000_s1340"/>
    <customShpInfo spid="_x0000_s1342"/>
    <customShpInfo spid="_x0000_s1348"/>
    <customShpInfo spid="_x0000_s1349"/>
    <customShpInfo spid="_x0000_s1352"/>
    <customShpInfo spid="_x0000_s1354"/>
    <customShpInfo spid="_x0000_s1356"/>
    <customShpInfo spid="_x0000_s1357"/>
    <customShpInfo spid="_x0000_s1366"/>
    <customShpInfo spid="_x0000_s1371"/>
    <customShpInfo spid="_x0000_s1374"/>
    <customShpInfo spid="_x0000_s1376"/>
    <customShpInfo spid="_x0000_s1377"/>
    <customShpInfo spid="_x0000_s1379"/>
    <customShpInfo spid="_x0000_s1383"/>
    <customShpInfo spid="_x0000_s1386"/>
    <customShpInfo spid="_x0000_s1387"/>
    <customShpInfo spid="_x0000_s1388"/>
    <customShpInfo spid="_x0000_s1389"/>
    <customShpInfo spid="_x0000_s1391"/>
    <customShpInfo spid="_x0000_s1393"/>
    <customShpInfo spid="_x0000_s1399"/>
    <customShpInfo spid="_x0000_s1400"/>
    <customShpInfo spid="_x0000_s1401"/>
    <customShpInfo spid="_x0000_s1406"/>
    <customShpInfo spid="_x0000_s1411"/>
    <customShpInfo spid="_x0000_s1413"/>
    <customShpInfo spid="_x0000_s141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185</Pages>
  <Words>100515</Words>
  <Characters>116521</Characters>
  <TotalTime>19</TotalTime>
  <ScaleCrop>false</ScaleCrop>
  <LinksUpToDate>false</LinksUpToDate>
  <CharactersWithSpaces>121622</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2019-11-18T11:09:00Z</dcterms:created>
  <dc:creator>USER</dc:creator>
  <cp:lastModifiedBy>Administrator</cp:lastModifiedBy>
  <dcterms:modified xsi:type="dcterms:W3CDTF">2023-11-06T05:44:46Z</dcterms:modified>
  <dc:title>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2023-05-21T10:25:19Z</vt:filetime>
  </property>
  <property fmtid="{D5CDD505-2E9C-101B-9397-08002B2CF9AE}" pid="4" name="KSOProductBuildVer">
    <vt:lpwstr>2052-11.1.0.14309</vt:lpwstr>
  </property>
  <property fmtid="{D5CDD505-2E9C-101B-9397-08002B2CF9AE}" pid="5" name="ICV">
    <vt:lpwstr>5898AAC4A9E34A06819E36FAAFBE3D84_12</vt:lpwstr>
  </property>
</Properties>
</file>