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6" w:lineRule="auto"/>
        <w:rPr>
          <w:rFonts w:ascii="Arial"/>
          <w:sz w:val="21"/>
        </w:rPr>
      </w:pPr>
      <w:r>
        <w:pict>
          <v:rect id="_x0000_s1026" o:spid="_x0000_s1026" o:spt="1" style="position:absolute;left:0pt;margin-left:62.45pt;margin-top:64pt;height:1.05pt;width:477.5pt;mso-position-horizontal-relative:page;mso-position-vertical-relative:page;z-index:251661312;mso-width-relative:page;mso-height-relative:page;" fillcolor="#000000" filled="t" stroked="f" coordsize="21600,21600" o:allowincell="f">
            <v:path/>
            <v:fill on="t" focussize="0,0"/>
            <v:stroke on="f"/>
            <v:imagedata o:title=""/>
            <o:lock v:ext="edit"/>
          </v:rect>
        </w:pict>
      </w:r>
    </w:p>
    <w:p>
      <w:pPr>
        <w:spacing w:line="246" w:lineRule="auto"/>
        <w:rPr>
          <w:rFonts w:ascii="Arial"/>
          <w:sz w:val="21"/>
        </w:rPr>
      </w:pPr>
    </w:p>
    <w:p>
      <w:pPr>
        <w:spacing w:before="136" w:line="219" w:lineRule="auto"/>
        <w:ind w:left="3376"/>
        <w:rPr>
          <w:rFonts w:ascii="宋体" w:hAnsi="宋体" w:eastAsia="宋体" w:cs="宋体"/>
          <w:sz w:val="42"/>
          <w:szCs w:val="42"/>
        </w:rPr>
      </w:pPr>
      <w:r>
        <w:pict>
          <v:shape id="_x0000_s1027" o:spid="_x0000_s1027" o:spt="202" type="#_x0000_t202" style="position:absolute;left:0pt;margin-left:-0.35pt;margin-top:18.5pt;height:13.3pt;width:82.75pt;z-index:251659264;mso-width-relative:page;mso-height-relative:page;" filled="f" stroked="f" coordsize="21600,21600">
            <v:path/>
            <v:fill on="f" focussize="0,0"/>
            <v:stroke on="f"/>
            <v:imagedata o:title=""/>
            <o:lock v:ext="edit" aspectratio="f"/>
            <v:textbox inset="0mm,0mm,0mm,0mm">
              <w:txbxContent>
                <w:p>
                  <w:pPr>
                    <w:spacing w:before="20" w:line="219" w:lineRule="auto"/>
                    <w:ind w:left="20"/>
                    <w:rPr>
                      <w:rFonts w:ascii="宋体" w:hAnsi="宋体" w:eastAsia="宋体" w:cs="宋体"/>
                      <w:sz w:val="19"/>
                      <w:szCs w:val="19"/>
                    </w:rPr>
                  </w:pPr>
                  <w:r>
                    <w:rPr>
                      <w:rFonts w:ascii="宋体" w:hAnsi="宋体" w:eastAsia="宋体" w:cs="宋体"/>
                      <w:b/>
                      <w:bCs/>
                      <w:spacing w:val="-12"/>
                      <w:sz w:val="19"/>
                      <w:szCs w:val="19"/>
                    </w:rPr>
                    <w:t>税费优惠政策明白纸</w:t>
                  </w:r>
                </w:p>
              </w:txbxContent>
            </v:textbox>
          </v:shape>
        </w:pict>
      </w:r>
      <w:r>
        <w:pict>
          <v:shape id="_x0000_s1028" o:spid="_x0000_s1028" o:spt="202" type="#_x0000_t202" style="position:absolute;left:0pt;margin-left:417.45pt;margin-top:18.6pt;height:13.45pt;width:55.7pt;z-index:251660288;mso-width-relative:page;mso-height-relative:page;" filled="f" stroked="f" coordsize="21600,21600">
            <v:path/>
            <v:fill on="f" focussize="0,0"/>
            <v:stroke on="f"/>
            <v:imagedata o:title=""/>
            <o:lock v:ext="edit" aspectratio="f"/>
            <v:textbox inset="0mm,0mm,0mm,0mm">
              <w:txbxContent>
                <w:p>
                  <w:pPr>
                    <w:pStyle w:val="2"/>
                    <w:spacing w:before="20" w:line="222" w:lineRule="auto"/>
                    <w:ind w:left="20"/>
                    <w:rPr>
                      <w:sz w:val="19"/>
                      <w:szCs w:val="19"/>
                    </w:rPr>
                  </w:pPr>
                  <w:r>
                    <w:rPr>
                      <w:rFonts w:hint="eastAsia"/>
                      <w:spacing w:val="-10"/>
                      <w:sz w:val="19"/>
                      <w:szCs w:val="19"/>
                      <w:lang w:eastAsia="zh-CN"/>
                    </w:rPr>
                    <w:t>遵化</w:t>
                  </w:r>
                  <w:r>
                    <w:rPr>
                      <w:spacing w:val="-10"/>
                      <w:sz w:val="19"/>
                      <w:szCs w:val="19"/>
                    </w:rPr>
                    <w:t>市赋政局</w:t>
                  </w:r>
                </w:p>
              </w:txbxContent>
            </v:textbox>
          </v:shape>
        </w:pict>
      </w:r>
      <w:r>
        <w:rPr>
          <w:rFonts w:ascii="宋体" w:hAnsi="宋体" w:eastAsia="宋体" w:cs="宋体"/>
          <w:b/>
          <w:bCs/>
          <w:spacing w:val="12"/>
          <w:sz w:val="42"/>
          <w:szCs w:val="42"/>
        </w:rPr>
        <w:t>“六进”明白纸</w:t>
      </w:r>
    </w:p>
    <w:p>
      <w:pPr>
        <w:spacing w:before="284" w:line="207" w:lineRule="auto"/>
        <w:ind w:left="443"/>
        <w:outlineLvl w:val="0"/>
        <w:rPr>
          <w:rFonts w:ascii="黑体" w:hAnsi="黑体" w:eastAsia="黑体" w:cs="黑体"/>
          <w:sz w:val="24"/>
          <w:szCs w:val="24"/>
        </w:rPr>
      </w:pPr>
      <w:r>
        <w:rPr>
          <w:rFonts w:ascii="黑体" w:hAnsi="黑体" w:eastAsia="黑体" w:cs="黑体"/>
          <w:b/>
          <w:bCs/>
          <w:spacing w:val="-1"/>
          <w:sz w:val="24"/>
          <w:szCs w:val="24"/>
        </w:rPr>
        <w:t>一、3岁以下婴幼儿照护个人所得税专项附加</w:t>
      </w:r>
      <w:r>
        <w:rPr>
          <w:rFonts w:ascii="黑体" w:hAnsi="黑体" w:eastAsia="黑体" w:cs="黑体"/>
          <w:b/>
          <w:bCs/>
          <w:spacing w:val="-2"/>
          <w:sz w:val="24"/>
          <w:szCs w:val="24"/>
        </w:rPr>
        <w:t>扣除</w:t>
      </w:r>
    </w:p>
    <w:p>
      <w:pPr>
        <w:pStyle w:val="2"/>
        <w:spacing w:before="3" w:line="221" w:lineRule="auto"/>
        <w:ind w:left="9" w:right="396" w:firstLine="433"/>
      </w:pPr>
      <w:r>
        <w:rPr>
          <w:b/>
          <w:bCs/>
          <w:spacing w:val="2"/>
        </w:rPr>
        <w:t>纳税入照护3岁以下婴幼儿子女的相关支出，按照每</w:t>
      </w:r>
      <w:r>
        <w:rPr>
          <w:spacing w:val="2"/>
        </w:rPr>
        <w:t>个婴幼儿每月1000元的</w:t>
      </w:r>
      <w:r>
        <w:rPr>
          <w:spacing w:val="1"/>
        </w:rPr>
        <w:t>保准定额</w:t>
      </w:r>
      <w:r>
        <w:t xml:space="preserve">   </w:t>
      </w:r>
      <w:r>
        <w:rPr>
          <w:spacing w:val="-1"/>
        </w:rPr>
        <w:t>除。父母可以选择由其中一方按扣除标准的100%扣除，</w:t>
      </w:r>
      <w:r>
        <w:rPr>
          <w:spacing w:val="-2"/>
        </w:rPr>
        <w:t>也可以选择由双方分别按和除标准的</w:t>
      </w:r>
      <w:r>
        <w:t xml:space="preserve"> </w:t>
      </w:r>
      <w:r>
        <w:rPr>
          <w:spacing w:val="4"/>
        </w:rPr>
        <w:t>50%扣除，具体扣除方式在一个纳税年度内不能变更。执行期限2022年1月1日—。</w:t>
      </w:r>
    </w:p>
    <w:p>
      <w:pPr>
        <w:spacing w:before="216" w:line="207" w:lineRule="auto"/>
        <w:ind w:left="443"/>
        <w:outlineLvl w:val="0"/>
        <w:rPr>
          <w:rFonts w:ascii="黑体" w:hAnsi="黑体" w:eastAsia="黑体" w:cs="黑体"/>
          <w:sz w:val="24"/>
          <w:szCs w:val="24"/>
        </w:rPr>
      </w:pPr>
      <w:r>
        <w:rPr>
          <w:rFonts w:ascii="黑体" w:hAnsi="黑体" w:eastAsia="黑体" w:cs="黑体"/>
          <w:b/>
          <w:bCs/>
          <w:spacing w:val="-17"/>
          <w:sz w:val="24"/>
          <w:szCs w:val="24"/>
        </w:rPr>
        <w:t>二</w:t>
      </w:r>
      <w:r>
        <w:rPr>
          <w:rFonts w:ascii="黑体" w:hAnsi="黑体" w:eastAsia="黑体" w:cs="黑体"/>
          <w:spacing w:val="-17"/>
          <w:sz w:val="24"/>
          <w:szCs w:val="24"/>
        </w:rPr>
        <w:t xml:space="preserve"> </w:t>
      </w:r>
      <w:r>
        <w:rPr>
          <w:rFonts w:ascii="黑体" w:hAnsi="黑体" w:eastAsia="黑体" w:cs="黑体"/>
          <w:b/>
          <w:bCs/>
          <w:spacing w:val="-17"/>
          <w:sz w:val="24"/>
          <w:szCs w:val="24"/>
        </w:rPr>
        <w:t>、全年一次性奖金</w:t>
      </w:r>
    </w:p>
    <w:p>
      <w:pPr>
        <w:pStyle w:val="2"/>
        <w:spacing w:before="3" w:line="227" w:lineRule="auto"/>
        <w:ind w:left="9" w:right="451" w:firstLine="430"/>
        <w:jc w:val="both"/>
      </w:pPr>
      <w:r>
        <w:rPr>
          <w:spacing w:val="-3"/>
        </w:rPr>
        <w:t>对居民个人取得全年一次性奖金，不并入当年综合所得，以全年一次性奖金收入除以12</w:t>
      </w:r>
      <w:r>
        <w:rPr>
          <w:spacing w:val="11"/>
        </w:rPr>
        <w:t xml:space="preserve"> </w:t>
      </w:r>
      <w:r>
        <w:rPr>
          <w:spacing w:val="-3"/>
        </w:rPr>
        <w:t>个月得到的数额，按所附按月换算后的综合所得税率表，确定适用税率和速算扣除数，单独</w:t>
      </w:r>
      <w:r>
        <w:rPr>
          <w:spacing w:val="7"/>
        </w:rPr>
        <w:t xml:space="preserve"> </w:t>
      </w:r>
      <w:r>
        <w:rPr>
          <w:spacing w:val="16"/>
        </w:rPr>
        <w:t>计算纳税。执行期限延长至2023年12月31日。</w:t>
      </w:r>
    </w:p>
    <w:p>
      <w:pPr>
        <w:spacing w:before="191" w:line="210" w:lineRule="auto"/>
        <w:ind w:left="443"/>
        <w:outlineLvl w:val="0"/>
        <w:rPr>
          <w:rFonts w:ascii="黑体" w:hAnsi="黑体" w:eastAsia="黑体" w:cs="黑体"/>
          <w:sz w:val="24"/>
          <w:szCs w:val="24"/>
        </w:rPr>
      </w:pPr>
      <w:r>
        <w:rPr>
          <w:rFonts w:ascii="黑体" w:hAnsi="黑体" w:eastAsia="黑体" w:cs="黑体"/>
          <w:b/>
          <w:bCs/>
          <w:spacing w:val="-4"/>
          <w:sz w:val="24"/>
          <w:szCs w:val="24"/>
        </w:rPr>
        <w:t>三、兔于办理个人所得税综合所得汇算清缴</w:t>
      </w:r>
    </w:p>
    <w:p>
      <w:pPr>
        <w:pStyle w:val="2"/>
        <w:spacing w:line="222" w:lineRule="auto"/>
        <w:ind w:left="9" w:right="389" w:firstLine="430"/>
        <w:jc w:val="both"/>
      </w:pPr>
      <w:r>
        <w:t>对居民个人取得的综合所得，年度综合所得收入不超过12万元且需要汇算清缴补税的， 或者年度汇算清缴补税金额不超过400元的，居民个人可免于办理个人所得税综合所得汇算</w:t>
      </w:r>
      <w:r>
        <w:rPr>
          <w:spacing w:val="8"/>
        </w:rPr>
        <w:t xml:space="preserve"> </w:t>
      </w:r>
      <w:r>
        <w:rPr>
          <w:spacing w:val="13"/>
        </w:rPr>
        <w:t>清缴。执行期限延长至2023年12月31日 。</w:t>
      </w:r>
    </w:p>
    <w:p>
      <w:pPr>
        <w:spacing w:before="172" w:line="207" w:lineRule="auto"/>
        <w:ind w:left="443"/>
        <w:outlineLvl w:val="0"/>
        <w:rPr>
          <w:rFonts w:ascii="黑体" w:hAnsi="黑体" w:eastAsia="黑体" w:cs="黑体"/>
          <w:sz w:val="24"/>
          <w:szCs w:val="24"/>
        </w:rPr>
      </w:pPr>
      <w:r>
        <w:rPr>
          <w:rFonts w:ascii="黑体" w:hAnsi="黑体" w:eastAsia="黑体" w:cs="黑体"/>
          <w:b/>
          <w:bCs/>
          <w:spacing w:val="-11"/>
          <w:sz w:val="24"/>
          <w:szCs w:val="24"/>
        </w:rPr>
        <w:t>四</w:t>
      </w:r>
      <w:r>
        <w:rPr>
          <w:rFonts w:ascii="黑体" w:hAnsi="黑体" w:eastAsia="黑体" w:cs="黑体"/>
          <w:spacing w:val="-11"/>
          <w:sz w:val="24"/>
          <w:szCs w:val="24"/>
        </w:rPr>
        <w:t xml:space="preserve"> </w:t>
      </w:r>
      <w:r>
        <w:rPr>
          <w:rFonts w:ascii="黑体" w:hAnsi="黑体" w:eastAsia="黑体" w:cs="黑体"/>
          <w:b/>
          <w:bCs/>
          <w:spacing w:val="-11"/>
          <w:sz w:val="24"/>
          <w:szCs w:val="24"/>
        </w:rPr>
        <w:t>、企业年金和职业年金缴费的个人所得税处理</w:t>
      </w:r>
    </w:p>
    <w:p>
      <w:pPr>
        <w:pStyle w:val="2"/>
        <w:spacing w:before="2" w:line="207" w:lineRule="auto"/>
        <w:ind w:left="9" w:right="494" w:firstLine="430"/>
      </w:pPr>
      <w:r>
        <w:rPr>
          <w:spacing w:val="-3"/>
        </w:rPr>
        <w:t>企业和事业单位根据国家规定的办法和标准，为在本单位任职或者受雇的全体职工缴付</w:t>
      </w:r>
      <w:r>
        <w:rPr>
          <w:spacing w:val="8"/>
        </w:rPr>
        <w:t xml:space="preserve"> </w:t>
      </w:r>
      <w:r>
        <w:rPr>
          <w:spacing w:val="-13"/>
        </w:rPr>
        <w:t>的企业年金或职业年金单位缴费部分，在计入个人账户</w:t>
      </w:r>
      <w:r>
        <w:rPr>
          <w:spacing w:val="-14"/>
        </w:rPr>
        <w:t>时，个人暂不缴纳个人所得税。</w:t>
      </w:r>
    </w:p>
    <w:p>
      <w:pPr>
        <w:pStyle w:val="2"/>
        <w:spacing w:before="3" w:line="227" w:lineRule="auto"/>
        <w:ind w:left="9" w:right="406" w:firstLine="430"/>
      </w:pPr>
      <w:r>
        <w:t>个人根据国家规定缴付的年金个人缴费部分，在</w:t>
      </w:r>
      <w:r>
        <w:rPr>
          <w:spacing w:val="-1"/>
        </w:rPr>
        <w:t>不超过本入缴费工资计税基数的4%标准</w:t>
      </w:r>
      <w:r>
        <w:t xml:space="preserve"> </w:t>
      </w:r>
      <w:r>
        <w:rPr>
          <w:spacing w:val="-10"/>
        </w:rPr>
        <w:t>内的部分，暂从不人当期的应纳税所得额中扣除。</w:t>
      </w:r>
    </w:p>
    <w:p>
      <w:pPr>
        <w:pStyle w:val="2"/>
        <w:spacing w:before="6" w:line="220" w:lineRule="auto"/>
        <w:ind w:left="9" w:right="350" w:firstLine="430"/>
      </w:pPr>
      <w:r>
        <w:rPr>
          <w:spacing w:val="-5"/>
        </w:rPr>
        <w:t>超过规定标准缴付的年金单位缴费和个入缴费部分，应并入个人当期的工</w:t>
      </w:r>
      <w:r>
        <w:rPr>
          <w:spacing w:val="-6"/>
        </w:rPr>
        <w:t>资、薪金所得，</w:t>
      </w:r>
      <w:r>
        <w:t xml:space="preserve"> </w:t>
      </w:r>
      <w:r>
        <w:rPr>
          <w:spacing w:val="4"/>
        </w:rPr>
        <w:t>依法讦征个人所得税。</w:t>
      </w:r>
    </w:p>
    <w:p>
      <w:pPr>
        <w:pStyle w:val="2"/>
        <w:spacing w:before="2" w:line="223" w:lineRule="auto"/>
        <w:ind w:left="9" w:right="452" w:firstLine="430"/>
      </w:pPr>
      <w:r>
        <w:rPr>
          <w:spacing w:val="-3"/>
        </w:rPr>
        <w:t>企业年金个人缴费工资计税基数为本人上一年度月平均工资。月平均工资超过工作地上</w:t>
      </w:r>
      <w:r>
        <w:rPr>
          <w:spacing w:val="8"/>
        </w:rPr>
        <w:t xml:space="preserve"> </w:t>
      </w:r>
      <w:r>
        <w:rPr>
          <w:spacing w:val="-8"/>
        </w:rPr>
        <w:t>一年度职工月平均工资300%以上的部分，不计入个人缴费工资计税基数</w:t>
      </w:r>
      <w:r>
        <w:rPr>
          <w:spacing w:val="-9"/>
        </w:rPr>
        <w:t>。职工岗位工资和薪级</w:t>
      </w:r>
      <w:r>
        <w:t xml:space="preserve"> </w:t>
      </w:r>
      <w:r>
        <w:rPr>
          <w:spacing w:val="-3"/>
        </w:rPr>
        <w:t>工资之和超过职工工作地所在设区城市上一年度职工月平均工资300%以上的部分，不计入个</w:t>
      </w:r>
      <w:r>
        <w:rPr>
          <w:spacing w:val="11"/>
        </w:rPr>
        <w:t xml:space="preserve"> </w:t>
      </w:r>
      <w:r>
        <w:rPr>
          <w:spacing w:val="2"/>
        </w:rPr>
        <w:t>人缴费工资计税基数。</w:t>
      </w:r>
    </w:p>
    <w:p>
      <w:pPr>
        <w:spacing w:before="117" w:line="209" w:lineRule="auto"/>
        <w:ind w:left="443"/>
        <w:outlineLvl w:val="0"/>
        <w:rPr>
          <w:rFonts w:ascii="黑体" w:hAnsi="黑体" w:eastAsia="黑体" w:cs="黑体"/>
          <w:sz w:val="24"/>
          <w:szCs w:val="24"/>
        </w:rPr>
      </w:pPr>
      <w:r>
        <w:rPr>
          <w:rFonts w:ascii="黑体" w:hAnsi="黑体" w:eastAsia="黑体" w:cs="黑体"/>
          <w:b/>
          <w:bCs/>
          <w:spacing w:val="-5"/>
          <w:sz w:val="24"/>
          <w:szCs w:val="24"/>
        </w:rPr>
        <w:t>五、工伤职工取得的工伤保险待遇有关个人所得税政策</w:t>
      </w:r>
    </w:p>
    <w:p>
      <w:pPr>
        <w:pStyle w:val="2"/>
        <w:spacing w:before="1" w:line="223" w:lineRule="auto"/>
        <w:ind w:left="9" w:right="493" w:firstLine="430"/>
      </w:pPr>
      <w:r>
        <w:rPr>
          <w:spacing w:val="-5"/>
        </w:rPr>
        <w:t>对工伤职工及其近亲属按照《工伤保险条例》(</w:t>
      </w:r>
      <w:r>
        <w:rPr>
          <w:spacing w:val="-6"/>
        </w:rPr>
        <w:t>国务院令第586号)规定取得的工伤保险待</w:t>
      </w:r>
      <w:r>
        <w:t xml:space="preserve"> </w:t>
      </w:r>
      <w:r>
        <w:rPr>
          <w:spacing w:val="-16"/>
        </w:rPr>
        <w:t>遇，免征个人所得税。</w:t>
      </w:r>
    </w:p>
    <w:p>
      <w:pPr>
        <w:spacing w:before="178" w:line="208" w:lineRule="auto"/>
        <w:ind w:left="443"/>
        <w:outlineLvl w:val="0"/>
        <w:rPr>
          <w:rFonts w:ascii="黑体" w:hAnsi="黑体" w:eastAsia="黑体" w:cs="黑体"/>
          <w:sz w:val="24"/>
          <w:szCs w:val="24"/>
        </w:rPr>
      </w:pPr>
      <w:r>
        <w:rPr>
          <w:rFonts w:ascii="黑体" w:hAnsi="黑体" w:eastAsia="黑体" w:cs="黑体"/>
          <w:b/>
          <w:bCs/>
          <w:spacing w:val="-13"/>
          <w:sz w:val="24"/>
          <w:szCs w:val="24"/>
        </w:rPr>
        <w:t>六</w:t>
      </w:r>
      <w:r>
        <w:rPr>
          <w:rFonts w:ascii="黑体" w:hAnsi="黑体" w:eastAsia="黑体" w:cs="黑体"/>
          <w:spacing w:val="-55"/>
          <w:sz w:val="24"/>
          <w:szCs w:val="24"/>
        </w:rPr>
        <w:t xml:space="preserve"> </w:t>
      </w:r>
      <w:r>
        <w:rPr>
          <w:rFonts w:ascii="黑体" w:hAnsi="黑体" w:eastAsia="黑体" w:cs="黑体"/>
          <w:b/>
          <w:bCs/>
          <w:spacing w:val="-13"/>
          <w:sz w:val="24"/>
          <w:szCs w:val="24"/>
        </w:rPr>
        <w:t>、疫情防控</w:t>
      </w:r>
    </w:p>
    <w:p>
      <w:pPr>
        <w:pStyle w:val="2"/>
        <w:spacing w:before="3" w:line="225" w:lineRule="auto"/>
        <w:ind w:left="9" w:right="455" w:firstLine="430"/>
        <w:jc w:val="both"/>
        <w:rPr>
          <w:sz w:val="22"/>
          <w:szCs w:val="22"/>
        </w:rPr>
      </w:pPr>
      <w:r>
        <w:rPr>
          <w:spacing w:val="17"/>
          <w:sz w:val="22"/>
          <w:szCs w:val="22"/>
        </w:rPr>
        <w:t>对参加疫情防治工作的医务人员和防疫工作者按规定取得的临时性工作补助和奖金，单</w:t>
      </w:r>
      <w:r>
        <w:rPr>
          <w:spacing w:val="8"/>
          <w:sz w:val="22"/>
          <w:szCs w:val="22"/>
        </w:rPr>
        <w:t xml:space="preserve"> </w:t>
      </w:r>
      <w:r>
        <w:rPr>
          <w:spacing w:val="17"/>
          <w:sz w:val="22"/>
          <w:szCs w:val="22"/>
        </w:rPr>
        <w:t>位发给个人用于预防新冠肺炎的药品、医疗用品和防护用品等实务，免征个人所得税，执行</w:t>
      </w:r>
      <w:r>
        <w:rPr>
          <w:spacing w:val="4"/>
          <w:sz w:val="22"/>
          <w:szCs w:val="22"/>
        </w:rPr>
        <w:t xml:space="preserve"> </w:t>
      </w:r>
      <w:r>
        <w:rPr>
          <w:spacing w:val="37"/>
          <w:sz w:val="22"/>
          <w:szCs w:val="22"/>
        </w:rPr>
        <w:t>期限延长至2023年12月31日。</w:t>
      </w:r>
    </w:p>
    <w:p>
      <w:pPr>
        <w:spacing w:before="192" w:line="200" w:lineRule="auto"/>
        <w:ind w:left="443"/>
        <w:outlineLvl w:val="0"/>
        <w:rPr>
          <w:rFonts w:ascii="黑体" w:hAnsi="黑体" w:eastAsia="黑体" w:cs="黑体"/>
          <w:sz w:val="24"/>
          <w:szCs w:val="24"/>
        </w:rPr>
      </w:pPr>
      <w:r>
        <w:rPr>
          <w:rFonts w:ascii="黑体" w:hAnsi="黑体" w:eastAsia="黑体" w:cs="黑体"/>
          <w:b/>
          <w:bCs/>
          <w:spacing w:val="-5"/>
          <w:sz w:val="24"/>
          <w:szCs w:val="24"/>
        </w:rPr>
        <w:t>七、关于个人领取企业年金、职业年金的政策</w:t>
      </w:r>
    </w:p>
    <w:p>
      <w:pPr>
        <w:pStyle w:val="2"/>
        <w:spacing w:before="1" w:line="226" w:lineRule="auto"/>
        <w:ind w:left="9" w:right="446" w:firstLine="430"/>
        <w:jc w:val="both"/>
        <w:rPr>
          <w:sz w:val="22"/>
          <w:szCs w:val="22"/>
        </w:rPr>
      </w:pPr>
      <w:r>
        <w:rPr>
          <w:spacing w:val="5"/>
          <w:sz w:val="22"/>
          <w:szCs w:val="22"/>
        </w:rPr>
        <w:t>个人达到国家规定的退休年龄，领取的企业年金、职业年金，符合相关规定的；不并入综合</w:t>
      </w:r>
      <w:r>
        <w:rPr>
          <w:spacing w:val="11"/>
          <w:sz w:val="22"/>
          <w:szCs w:val="22"/>
        </w:rPr>
        <w:t xml:space="preserve"> </w:t>
      </w:r>
      <w:r>
        <w:rPr>
          <w:spacing w:val="1"/>
          <w:sz w:val="22"/>
          <w:szCs w:val="22"/>
        </w:rPr>
        <w:t>所得，全额单独计算应纳税款。其中按月领取的，</w:t>
      </w:r>
      <w:r>
        <w:rPr>
          <w:sz w:val="22"/>
          <w:szCs w:val="22"/>
        </w:rPr>
        <w:t xml:space="preserve">适用月度税率表计算纳税；按季领取的，平均分 </w:t>
      </w:r>
      <w:r>
        <w:rPr>
          <w:spacing w:val="6"/>
          <w:sz w:val="22"/>
          <w:szCs w:val="22"/>
        </w:rPr>
        <w:t>摊计入各月，按每月领取额适用月度税率表计算纳税；按年领取的，适用综合所得税率表计算纳</w:t>
      </w:r>
      <w:r>
        <w:rPr>
          <w:sz w:val="22"/>
          <w:szCs w:val="22"/>
        </w:rPr>
        <w:t xml:space="preserve"> </w:t>
      </w:r>
      <w:r>
        <w:rPr>
          <w:spacing w:val="-8"/>
          <w:sz w:val="22"/>
          <w:szCs w:val="22"/>
        </w:rPr>
        <w:t>税</w:t>
      </w:r>
      <w:r>
        <w:rPr>
          <w:spacing w:val="-56"/>
          <w:sz w:val="22"/>
          <w:szCs w:val="22"/>
        </w:rPr>
        <w:t xml:space="preserve"> </w:t>
      </w:r>
      <w:r>
        <w:rPr>
          <w:spacing w:val="-8"/>
          <w:sz w:val="22"/>
          <w:szCs w:val="22"/>
        </w:rPr>
        <w:t>。</w:t>
      </w:r>
    </w:p>
    <w:p>
      <w:pPr>
        <w:pStyle w:val="2"/>
        <w:spacing w:before="4" w:line="224" w:lineRule="auto"/>
        <w:ind w:left="9" w:right="457" w:firstLine="430"/>
        <w:jc w:val="both"/>
        <w:rPr>
          <w:sz w:val="22"/>
          <w:szCs w:val="22"/>
        </w:rPr>
      </w:pPr>
      <w:r>
        <w:rPr>
          <w:spacing w:val="11"/>
          <w:sz w:val="22"/>
          <w:szCs w:val="22"/>
        </w:rPr>
        <w:t>个人因出境定居而一次性领取的年金个人账户资金，或个人死亡后，其指定的受益人或法</w:t>
      </w:r>
      <w:r>
        <w:rPr>
          <w:spacing w:val="4"/>
          <w:sz w:val="22"/>
          <w:szCs w:val="22"/>
        </w:rPr>
        <w:t xml:space="preserve"> </w:t>
      </w:r>
      <w:r>
        <w:rPr>
          <w:spacing w:val="11"/>
          <w:sz w:val="22"/>
          <w:szCs w:val="22"/>
        </w:rPr>
        <w:t>定继承人一次性领取的年金个人账户余额，适用综合所得税率表计算纳税。对个人除上述特殊</w:t>
      </w:r>
      <w:r>
        <w:rPr>
          <w:spacing w:val="10"/>
          <w:sz w:val="22"/>
          <w:szCs w:val="22"/>
        </w:rPr>
        <w:t xml:space="preserve"> 原因外一次性领取年金个人账户资金或余额的，适用月度税率表计算纳税。</w:t>
      </w:r>
    </w:p>
    <w:p>
      <w:pPr>
        <w:spacing w:before="186" w:line="220" w:lineRule="auto"/>
        <w:ind w:left="443"/>
        <w:outlineLvl w:val="0"/>
        <w:rPr>
          <w:rFonts w:ascii="黑体" w:hAnsi="黑体" w:eastAsia="黑体" w:cs="黑体"/>
          <w:sz w:val="24"/>
          <w:szCs w:val="24"/>
        </w:rPr>
      </w:pPr>
      <w:r>
        <w:rPr>
          <w:rFonts w:ascii="黑体" w:hAnsi="黑体" w:eastAsia="黑体" w:cs="黑体"/>
          <w:b/>
          <w:bCs/>
          <w:spacing w:val="-8"/>
          <w:sz w:val="24"/>
          <w:szCs w:val="24"/>
        </w:rPr>
        <w:t>八</w:t>
      </w:r>
      <w:r>
        <w:rPr>
          <w:rFonts w:ascii="黑体" w:hAnsi="黑体" w:eastAsia="黑体" w:cs="黑体"/>
          <w:spacing w:val="-50"/>
          <w:sz w:val="24"/>
          <w:szCs w:val="24"/>
        </w:rPr>
        <w:t xml:space="preserve"> </w:t>
      </w:r>
      <w:r>
        <w:rPr>
          <w:rFonts w:ascii="黑体" w:hAnsi="黑体" w:eastAsia="黑体" w:cs="黑体"/>
          <w:b/>
          <w:bCs/>
          <w:spacing w:val="-8"/>
          <w:sz w:val="24"/>
          <w:szCs w:val="24"/>
        </w:rPr>
        <w:t>、基本养老保险费、基本医疗保险费、失业保险费、住房公积金有关个人所得税政策</w:t>
      </w:r>
    </w:p>
    <w:p>
      <w:pPr>
        <w:pStyle w:val="2"/>
        <w:spacing w:before="5" w:line="211" w:lineRule="auto"/>
        <w:ind w:left="9" w:right="429" w:firstLine="430"/>
      </w:pPr>
      <w:r>
        <w:rPr>
          <w:spacing w:val="-9"/>
        </w:rPr>
        <w:t>企事业单位按照国家或省(自治区、直辖市)人民政府规定的缴费比例或办法实际缴付的基</w:t>
      </w:r>
      <w:r>
        <w:rPr>
          <w:spacing w:val="15"/>
        </w:rPr>
        <w:t xml:space="preserve"> </w:t>
      </w:r>
      <w:r>
        <w:rPr>
          <w:spacing w:val="-11"/>
        </w:rPr>
        <w:t>本养老保险费、基本医疗保险费和失业保险费，免征个人所得税；个人按照国家或省(自治区、</w:t>
      </w:r>
      <w:r>
        <w:rPr>
          <w:spacing w:val="11"/>
        </w:rPr>
        <w:t xml:space="preserve"> </w:t>
      </w:r>
      <w:r>
        <w:rPr>
          <w:spacing w:val="-6"/>
        </w:rPr>
        <w:t>直辖市)人民政府规定的缴费比例或办法实际缴付的基本养老保险费、基本医疗保险费和失业</w:t>
      </w:r>
      <w:r>
        <w:rPr>
          <w:spacing w:val="10"/>
        </w:rPr>
        <w:t xml:space="preserve"> </w:t>
      </w:r>
      <w:r>
        <w:rPr>
          <w:spacing w:val="-12"/>
        </w:rPr>
        <w:t>保险费，允许在个人应纳税所得额中扣除。</w:t>
      </w:r>
    </w:p>
    <w:p>
      <w:pPr>
        <w:pStyle w:val="2"/>
        <w:spacing w:before="2" w:line="200" w:lineRule="auto"/>
        <w:ind w:left="9" w:right="508" w:firstLine="430"/>
      </w:pPr>
      <w:r>
        <w:rPr>
          <w:spacing w:val="-6"/>
        </w:rPr>
        <w:t>单位和个人分别在不超过职工本人上一年度月平均工资12%的幅度内，其实际缴存的住房</w:t>
      </w:r>
      <w:r>
        <w:t xml:space="preserve"> </w:t>
      </w:r>
      <w:r>
        <w:rPr>
          <w:spacing w:val="-12"/>
        </w:rPr>
        <w:t>公积金，允许在个人应纳税所得额中扣除。</w:t>
      </w:r>
    </w:p>
    <w:p>
      <w:pPr>
        <w:pStyle w:val="2"/>
        <w:spacing w:before="1" w:line="228" w:lineRule="auto"/>
        <w:ind w:left="9" w:right="390" w:firstLine="430"/>
      </w:pPr>
      <w:r>
        <w:rPr>
          <w:spacing w:val="-6"/>
        </w:rPr>
        <w:t>个人实际领取原提存的基本养老保险金、基本医疗保险金、失业保险金</w:t>
      </w:r>
      <w:r>
        <w:rPr>
          <w:spacing w:val="-7"/>
        </w:rPr>
        <w:t>和住房公积金时，</w:t>
      </w:r>
      <w:r>
        <w:t xml:space="preserve"> </w:t>
      </w:r>
      <w:r>
        <w:rPr>
          <w:spacing w:val="4"/>
        </w:rPr>
        <w:t>免征个人所得税。</w:t>
      </w:r>
    </w:p>
    <w:p>
      <w:pPr>
        <w:pStyle w:val="2"/>
        <w:spacing w:before="8" w:line="221" w:lineRule="auto"/>
        <w:ind w:left="440"/>
      </w:pPr>
      <w:r>
        <w:rPr>
          <w:spacing w:val="18"/>
        </w:rPr>
        <w:t>执行期限2006年6月27日</w:t>
      </w:r>
      <w:r>
        <w:rPr>
          <w:spacing w:val="-77"/>
        </w:rPr>
        <w:t xml:space="preserve"> </w:t>
      </w:r>
      <w:r>
        <w:rPr>
          <w:spacing w:val="18"/>
        </w:rPr>
        <w:t>—。</w:t>
      </w:r>
    </w:p>
    <w:p>
      <w:pPr>
        <w:spacing w:line="221" w:lineRule="auto"/>
        <w:sectPr>
          <w:pgSz w:w="11900" w:h="16840"/>
          <w:pgMar w:top="189" w:right="699" w:bottom="0" w:left="1249" w:header="0" w:footer="0" w:gutter="0"/>
          <w:cols w:space="720" w:num="1"/>
        </w:sectPr>
      </w:pPr>
    </w:p>
    <w:p>
      <w:pPr>
        <w:spacing w:line="331" w:lineRule="auto"/>
        <w:rPr>
          <w:rFonts w:ascii="Arial"/>
          <w:sz w:val="21"/>
        </w:rPr>
      </w:pPr>
      <w:r>
        <w:pict>
          <v:rect id="_x0000_s1029" o:spid="_x0000_s1029" o:spt="1" style="position:absolute;left:0pt;margin-left:62.95pt;margin-top:66.5pt;height:1.05pt;width:470.55pt;mso-position-horizontal-relative:page;mso-position-vertical-relative:page;z-index:251663360;mso-width-relative:page;mso-height-relative:page;" fillcolor="#000000" filled="t" stroked="f" coordsize="21600,21600" o:allowincell="f">
            <v:path/>
            <v:fill on="t" focussize="0,0"/>
            <v:stroke on="f"/>
            <v:imagedata o:title=""/>
            <o:lock v:ext="edit"/>
          </v:rect>
        </w:pict>
      </w:r>
    </w:p>
    <w:p>
      <w:pPr>
        <w:spacing w:line="332" w:lineRule="auto"/>
        <w:rPr>
          <w:rFonts w:ascii="Arial"/>
          <w:sz w:val="21"/>
        </w:rPr>
      </w:pPr>
    </w:p>
    <w:p>
      <w:pPr>
        <w:spacing w:before="156" w:line="219" w:lineRule="auto"/>
        <w:ind w:left="3506"/>
        <w:rPr>
          <w:rFonts w:ascii="宋体" w:hAnsi="宋体" w:eastAsia="宋体" w:cs="宋体"/>
          <w:sz w:val="48"/>
          <w:szCs w:val="48"/>
        </w:rPr>
      </w:pPr>
      <w:r>
        <w:pict>
          <v:shape id="_x0000_s1030" o:spid="_x0000_s1030" o:spt="202" type="#_x0000_t202" style="position:absolute;left:0pt;margin-left:-0.85pt;margin-top:18.4pt;height:13.3pt;width:81.25pt;z-index:251664384;mso-width-relative:page;mso-height-relative:page;" filled="f" stroked="f" coordsize="21600,21600">
            <v:path/>
            <v:fill on="f" focussize="0,0"/>
            <v:stroke on="f"/>
            <v:imagedata o:title=""/>
            <o:lock v:ext="edit" aspectratio="f"/>
            <v:textbox inset="0mm,0mm,0mm,0mm">
              <w:txbxContent>
                <w:p>
                  <w:pPr>
                    <w:spacing w:before="20" w:line="219" w:lineRule="auto"/>
                    <w:ind w:left="20"/>
                    <w:rPr>
                      <w:rFonts w:ascii="宋体" w:hAnsi="宋体" w:eastAsia="宋体" w:cs="宋体"/>
                      <w:sz w:val="19"/>
                      <w:szCs w:val="19"/>
                    </w:rPr>
                  </w:pPr>
                  <w:r>
                    <w:rPr>
                      <w:rFonts w:ascii="宋体" w:hAnsi="宋体" w:eastAsia="宋体" w:cs="宋体"/>
                      <w:b/>
                      <w:bCs/>
                      <w:spacing w:val="-15"/>
                      <w:sz w:val="19"/>
                      <w:szCs w:val="19"/>
                    </w:rPr>
                    <w:t>税费优惠政策明白纸</w:t>
                  </w:r>
                </w:p>
              </w:txbxContent>
            </v:textbox>
          </v:shape>
        </w:pict>
      </w:r>
      <w:r>
        <w:pict>
          <v:shape id="_x0000_s1031" o:spid="_x0000_s1031" o:spt="202" type="#_x0000_t202" style="position:absolute;left:0pt;margin-left:423.45pt;margin-top:22.05pt;height:13.3pt;width:54.8pt;z-index:251662336;mso-width-relative:page;mso-height-relative:page;" filled="f" stroked="f" coordsize="21600,21600">
            <v:path/>
            <v:fill on="f" focussize="0,0"/>
            <v:stroke on="f"/>
            <v:imagedata o:title=""/>
            <o:lock v:ext="edit" aspectratio="f"/>
            <v:textbox inset="0mm,0mm,0mm,0mm">
              <w:txbxContent>
                <w:p>
                  <w:pPr>
                    <w:spacing w:before="20" w:line="219" w:lineRule="auto"/>
                    <w:ind w:left="20"/>
                    <w:rPr>
                      <w:rFonts w:ascii="宋体" w:hAnsi="宋体" w:eastAsia="宋体" w:cs="宋体"/>
                      <w:sz w:val="19"/>
                      <w:szCs w:val="19"/>
                    </w:rPr>
                  </w:pPr>
                  <w:r>
                    <w:rPr>
                      <w:rFonts w:hint="eastAsia" w:ascii="宋体" w:hAnsi="宋体" w:eastAsia="宋体" w:cs="宋体"/>
                      <w:spacing w:val="-12"/>
                      <w:sz w:val="19"/>
                      <w:szCs w:val="19"/>
                      <w:lang w:eastAsia="zh-CN"/>
                    </w:rPr>
                    <w:t>遵化</w:t>
                  </w:r>
                  <w:r>
                    <w:rPr>
                      <w:rFonts w:ascii="宋体" w:hAnsi="宋体" w:eastAsia="宋体" w:cs="宋体"/>
                      <w:spacing w:val="-12"/>
                      <w:sz w:val="19"/>
                      <w:szCs w:val="19"/>
                    </w:rPr>
                    <w:t>市财政局</w:t>
                  </w:r>
                </w:p>
              </w:txbxContent>
            </v:textbox>
          </v:shape>
        </w:pict>
      </w:r>
      <w:r>
        <w:rPr>
          <w:rFonts w:ascii="宋体" w:hAnsi="宋体" w:eastAsia="宋体" w:cs="宋体"/>
          <w:b/>
          <w:bCs/>
          <w:spacing w:val="-38"/>
          <w:sz w:val="48"/>
          <w:szCs w:val="48"/>
        </w:rPr>
        <w:t>“六进”明白纸</w:t>
      </w:r>
    </w:p>
    <w:p>
      <w:pPr>
        <w:spacing w:before="312" w:line="639" w:lineRule="exact"/>
        <w:ind w:left="3604"/>
        <w:rPr>
          <w:rFonts w:ascii="黑体" w:hAnsi="黑体" w:eastAsia="黑体" w:cs="黑体"/>
          <w:sz w:val="29"/>
          <w:szCs w:val="29"/>
        </w:rPr>
      </w:pPr>
      <w:r>
        <w:rPr>
          <w:rFonts w:ascii="黑体" w:hAnsi="黑体" w:eastAsia="黑体" w:cs="黑体"/>
          <w:b/>
          <w:bCs/>
          <w:spacing w:val="-1"/>
          <w:position w:val="26"/>
          <w:sz w:val="29"/>
          <w:szCs w:val="29"/>
        </w:rPr>
        <w:t>个人所得税税费优惠政策</w:t>
      </w:r>
    </w:p>
    <w:p>
      <w:pPr>
        <w:spacing w:before="1" w:line="212" w:lineRule="auto"/>
        <w:ind w:left="493"/>
        <w:rPr>
          <w:rFonts w:ascii="黑体" w:hAnsi="黑体" w:eastAsia="黑体" w:cs="黑体"/>
          <w:sz w:val="24"/>
          <w:szCs w:val="24"/>
        </w:rPr>
      </w:pPr>
      <w:r>
        <w:rPr>
          <w:rFonts w:ascii="黑体" w:hAnsi="黑体" w:eastAsia="黑体" w:cs="黑体"/>
          <w:b/>
          <w:bCs/>
          <w:spacing w:val="-15"/>
          <w:sz w:val="24"/>
          <w:szCs w:val="24"/>
        </w:rPr>
        <w:t>一、下列各项个人所得，免征个人所得税</w:t>
      </w:r>
    </w:p>
    <w:p>
      <w:pPr>
        <w:spacing w:line="313" w:lineRule="auto"/>
        <w:rPr>
          <w:rFonts w:ascii="Arial"/>
          <w:sz w:val="21"/>
        </w:rPr>
      </w:pPr>
    </w:p>
    <w:p>
      <w:pPr>
        <w:pStyle w:val="2"/>
        <w:spacing w:before="78" w:line="234" w:lineRule="auto"/>
        <w:ind w:right="511" w:firstLine="489"/>
      </w:pPr>
      <w:r>
        <w:rPr>
          <w:spacing w:val="-9"/>
        </w:rPr>
        <w:t>1.省级人民政府国务院部委和中国人民解放军军以上单位，</w:t>
      </w:r>
      <w:r>
        <w:rPr>
          <w:spacing w:val="-10"/>
        </w:rPr>
        <w:t>以及外国组织、国际组织颁发</w:t>
      </w:r>
      <w:r>
        <w:t xml:space="preserve"> </w:t>
      </w:r>
      <w:r>
        <w:rPr>
          <w:spacing w:val="-5"/>
        </w:rPr>
        <w:t>的科学、教育、技术、文化、卫生、体育、环境保护等</w:t>
      </w:r>
      <w:r>
        <w:rPr>
          <w:spacing w:val="-6"/>
        </w:rPr>
        <w:t>方面的奖金；</w:t>
      </w:r>
      <w:bookmarkStart w:id="0" w:name="_GoBack"/>
      <w:bookmarkEnd w:id="0"/>
    </w:p>
    <w:p>
      <w:pPr>
        <w:pStyle w:val="2"/>
        <w:spacing w:before="32" w:line="221" w:lineRule="auto"/>
        <w:ind w:left="489"/>
      </w:pPr>
      <w:r>
        <w:rPr>
          <w:spacing w:val="-9"/>
        </w:rPr>
        <w:t>2.国债和国家发行的金融债券利息；</w:t>
      </w:r>
    </w:p>
    <w:p>
      <w:pPr>
        <w:pStyle w:val="2"/>
        <w:spacing w:before="33" w:line="238" w:lineRule="auto"/>
        <w:ind w:left="489"/>
      </w:pPr>
      <w:r>
        <w:rPr>
          <w:spacing w:val="-9"/>
        </w:rPr>
        <w:t>3.按照国家统一规定发给的补贴、津贴；</w:t>
      </w:r>
    </w:p>
    <w:p>
      <w:pPr>
        <w:pStyle w:val="2"/>
        <w:spacing w:before="2" w:line="220" w:lineRule="auto"/>
        <w:ind w:left="489"/>
      </w:pPr>
      <w:r>
        <w:rPr>
          <w:spacing w:val="-10"/>
        </w:rPr>
        <w:t>4.福利费、抚恤金、救济金；</w:t>
      </w:r>
    </w:p>
    <w:p>
      <w:pPr>
        <w:pStyle w:val="2"/>
        <w:spacing w:before="32" w:line="221" w:lineRule="auto"/>
        <w:ind w:left="489"/>
      </w:pPr>
      <w:r>
        <w:rPr>
          <w:spacing w:val="-18"/>
        </w:rPr>
        <w:t>5.保险赔款；</w:t>
      </w:r>
    </w:p>
    <w:p>
      <w:pPr>
        <w:pStyle w:val="2"/>
        <w:spacing w:before="50" w:line="219" w:lineRule="auto"/>
        <w:ind w:left="489"/>
      </w:pPr>
      <w:r>
        <w:rPr>
          <w:spacing w:val="-9"/>
        </w:rPr>
        <w:t>6.军人的转业费、复员费、退役金；</w:t>
      </w:r>
    </w:p>
    <w:p>
      <w:pPr>
        <w:pStyle w:val="2"/>
        <w:spacing w:before="58" w:line="229" w:lineRule="auto"/>
        <w:ind w:right="514" w:firstLine="489"/>
      </w:pPr>
      <w:r>
        <w:rPr>
          <w:spacing w:val="-3"/>
        </w:rPr>
        <w:t>7.按照国家统一规定发给干部、职工的安家</w:t>
      </w:r>
      <w:r>
        <w:rPr>
          <w:spacing w:val="-4"/>
        </w:rPr>
        <w:t>费、退职费、基本养老金或者退休费、离休</w:t>
      </w:r>
      <w:r>
        <w:t xml:space="preserve"> </w:t>
      </w:r>
      <w:r>
        <w:rPr>
          <w:spacing w:val="-13"/>
        </w:rPr>
        <w:t>费、离休生活补助费；</w:t>
      </w:r>
    </w:p>
    <w:p>
      <w:pPr>
        <w:spacing w:line="282" w:lineRule="auto"/>
        <w:rPr>
          <w:rFonts w:ascii="Arial"/>
          <w:sz w:val="21"/>
        </w:rPr>
      </w:pPr>
    </w:p>
    <w:p>
      <w:pPr>
        <w:spacing w:before="79" w:line="226" w:lineRule="auto"/>
        <w:ind w:left="3" w:right="522" w:firstLine="490"/>
        <w:rPr>
          <w:rFonts w:ascii="黑体" w:hAnsi="黑体" w:eastAsia="黑体" w:cs="黑体"/>
          <w:sz w:val="24"/>
          <w:szCs w:val="24"/>
        </w:rPr>
      </w:pPr>
      <w:r>
        <w:rPr>
          <w:rFonts w:ascii="黑体" w:hAnsi="黑体" w:eastAsia="黑体" w:cs="黑体"/>
          <w:b/>
          <w:bCs/>
          <w:spacing w:val="-21"/>
          <w:sz w:val="24"/>
          <w:szCs w:val="24"/>
        </w:rPr>
        <w:t>二</w:t>
      </w:r>
      <w:r>
        <w:rPr>
          <w:rFonts w:ascii="黑体" w:hAnsi="黑体" w:eastAsia="黑体" w:cs="黑体"/>
          <w:spacing w:val="-21"/>
          <w:sz w:val="24"/>
          <w:szCs w:val="24"/>
        </w:rPr>
        <w:t xml:space="preserve"> </w:t>
      </w:r>
      <w:r>
        <w:rPr>
          <w:rFonts w:ascii="黑体" w:hAnsi="黑体" w:eastAsia="黑体" w:cs="黑体"/>
          <w:b/>
          <w:bCs/>
          <w:spacing w:val="-21"/>
          <w:sz w:val="24"/>
          <w:szCs w:val="24"/>
        </w:rPr>
        <w:t>、有下列情形之一的，可以减征个人所得税，具体幅度和期限，由省、自治区、直辖市人</w:t>
      </w:r>
      <w:r>
        <w:rPr>
          <w:rFonts w:ascii="黑体" w:hAnsi="黑体" w:eastAsia="黑体" w:cs="黑体"/>
          <w:spacing w:val="-21"/>
          <w:sz w:val="24"/>
          <w:szCs w:val="24"/>
        </w:rPr>
        <w:t xml:space="preserve"> </w:t>
      </w:r>
      <w:r>
        <w:rPr>
          <w:rFonts w:ascii="黑体" w:hAnsi="黑体" w:eastAsia="黑体" w:cs="黑体"/>
          <w:b/>
          <w:bCs/>
          <w:spacing w:val="-12"/>
          <w:sz w:val="24"/>
          <w:szCs w:val="24"/>
        </w:rPr>
        <w:t>民政府规定，并报同级人民代表大会常务委员会备案</w:t>
      </w:r>
      <w:r>
        <w:rPr>
          <w:rFonts w:ascii="黑体" w:hAnsi="黑体" w:eastAsia="黑体" w:cs="黑体"/>
          <w:spacing w:val="-12"/>
          <w:sz w:val="24"/>
          <w:szCs w:val="24"/>
        </w:rPr>
        <w:t>：</w:t>
      </w:r>
    </w:p>
    <w:p>
      <w:pPr>
        <w:spacing w:line="287" w:lineRule="auto"/>
        <w:rPr>
          <w:rFonts w:ascii="Arial"/>
          <w:sz w:val="21"/>
        </w:rPr>
      </w:pPr>
    </w:p>
    <w:p>
      <w:pPr>
        <w:pStyle w:val="2"/>
        <w:spacing w:before="78" w:line="222" w:lineRule="auto"/>
        <w:ind w:left="489"/>
      </w:pPr>
      <w:r>
        <w:rPr>
          <w:spacing w:val="-8"/>
        </w:rPr>
        <w:t>1.残疾、孤老人员和烈属的所得；</w:t>
      </w:r>
    </w:p>
    <w:p>
      <w:pPr>
        <w:pStyle w:val="2"/>
        <w:spacing w:before="59" w:line="228" w:lineRule="auto"/>
        <w:ind w:right="485" w:firstLine="489"/>
      </w:pPr>
      <w:r>
        <w:rPr>
          <w:spacing w:val="-9"/>
        </w:rPr>
        <w:t>2.因自然灾害遭受重大损失的。国务院可以规定其他减税情形，报全国人民代表大会常务</w:t>
      </w:r>
      <w:r>
        <w:rPr>
          <w:spacing w:val="13"/>
        </w:rPr>
        <w:t xml:space="preserve"> </w:t>
      </w:r>
      <w:r>
        <w:rPr>
          <w:spacing w:val="-13"/>
        </w:rPr>
        <w:t>委员会备案。</w:t>
      </w:r>
    </w:p>
    <w:p>
      <w:pPr>
        <w:spacing w:line="265" w:lineRule="auto"/>
        <w:rPr>
          <w:rFonts w:ascii="Arial"/>
          <w:sz w:val="21"/>
        </w:rPr>
      </w:pPr>
    </w:p>
    <w:p>
      <w:pPr>
        <w:spacing w:before="79" w:line="221" w:lineRule="auto"/>
        <w:ind w:left="483"/>
        <w:outlineLvl w:val="0"/>
        <w:rPr>
          <w:rFonts w:ascii="黑体" w:hAnsi="黑体" w:eastAsia="黑体" w:cs="黑体"/>
          <w:sz w:val="24"/>
          <w:szCs w:val="24"/>
        </w:rPr>
      </w:pPr>
      <w:r>
        <w:rPr>
          <w:rFonts w:ascii="黑体" w:hAnsi="黑体" w:eastAsia="黑体" w:cs="黑体"/>
          <w:b/>
          <w:bCs/>
          <w:spacing w:val="-17"/>
          <w:sz w:val="24"/>
          <w:szCs w:val="24"/>
        </w:rPr>
        <w:t>三</w:t>
      </w:r>
      <w:r>
        <w:rPr>
          <w:rFonts w:ascii="黑体" w:hAnsi="黑体" w:eastAsia="黑体" w:cs="黑体"/>
          <w:spacing w:val="-17"/>
          <w:sz w:val="24"/>
          <w:szCs w:val="24"/>
        </w:rPr>
        <w:t xml:space="preserve"> </w:t>
      </w:r>
      <w:r>
        <w:rPr>
          <w:rFonts w:ascii="黑体" w:hAnsi="黑体" w:eastAsia="黑体" w:cs="黑体"/>
          <w:b/>
          <w:bCs/>
          <w:spacing w:val="-17"/>
          <w:sz w:val="24"/>
          <w:szCs w:val="24"/>
        </w:rPr>
        <w:t>、应纳税所得额的计算</w:t>
      </w:r>
    </w:p>
    <w:p>
      <w:pPr>
        <w:spacing w:line="315" w:lineRule="auto"/>
        <w:rPr>
          <w:rFonts w:ascii="Arial"/>
          <w:sz w:val="21"/>
        </w:rPr>
      </w:pPr>
    </w:p>
    <w:p>
      <w:pPr>
        <w:pStyle w:val="2"/>
        <w:spacing w:before="79" w:line="226" w:lineRule="auto"/>
        <w:ind w:right="511" w:firstLine="489"/>
      </w:pPr>
      <w:r>
        <w:rPr>
          <w:spacing w:val="-6"/>
        </w:rPr>
        <w:t>1.居民个人的综合所得，以每一纳税年度的收入额减除费用</w:t>
      </w:r>
      <w:r>
        <w:rPr>
          <w:spacing w:val="-7"/>
        </w:rPr>
        <w:t>6万元以及专项扣除、专项附</w:t>
      </w:r>
      <w:r>
        <w:t xml:space="preserve"> </w:t>
      </w:r>
      <w:r>
        <w:rPr>
          <w:spacing w:val="-11"/>
        </w:rPr>
        <w:t>加扣除和依法确定的其他扣除后的余额，为应纳税</w:t>
      </w:r>
      <w:r>
        <w:rPr>
          <w:spacing w:val="-12"/>
        </w:rPr>
        <w:t>所得额。</w:t>
      </w:r>
    </w:p>
    <w:p>
      <w:pPr>
        <w:pStyle w:val="2"/>
        <w:spacing w:before="59" w:line="232" w:lineRule="auto"/>
        <w:ind w:right="515" w:firstLine="489"/>
      </w:pPr>
      <w:r>
        <w:rPr>
          <w:spacing w:val="-3"/>
        </w:rPr>
        <w:t>2.非居民个人的工资、薪金所得，以每月收入额减除费用5</w:t>
      </w:r>
      <w:r>
        <w:rPr>
          <w:spacing w:val="-4"/>
        </w:rPr>
        <w:t>000元后的余额为应纳税所得</w:t>
      </w:r>
      <w:r>
        <w:t xml:space="preserve"> </w:t>
      </w:r>
      <w:r>
        <w:rPr>
          <w:spacing w:val="-11"/>
        </w:rPr>
        <w:t>额；劳务报酬所得、稿酬所得、特许权使用费所得，以每次收入额为应纳税所得额。</w:t>
      </w:r>
    </w:p>
    <w:p>
      <w:pPr>
        <w:pStyle w:val="2"/>
        <w:spacing w:before="31" w:line="218" w:lineRule="auto"/>
        <w:ind w:right="515" w:firstLine="489"/>
        <w:rPr>
          <w:rFonts w:ascii="宋体" w:hAnsi="宋体" w:eastAsia="宋体" w:cs="宋体"/>
        </w:rPr>
      </w:pPr>
      <w:r>
        <w:rPr>
          <w:spacing w:val="-15"/>
        </w:rPr>
        <w:t>3.经营所得，以每一纳税年度的收入总额减除成本、费用以及损失后的余额，为应纳税</w:t>
      </w:r>
      <w:r>
        <w:rPr>
          <w:spacing w:val="-16"/>
        </w:rPr>
        <w:t>所得</w:t>
      </w:r>
      <w:r>
        <w:t xml:space="preserve"> </w:t>
      </w:r>
      <w:r>
        <w:rPr>
          <w:rFonts w:ascii="宋体" w:hAnsi="宋体" w:eastAsia="宋体" w:cs="宋体"/>
          <w:spacing w:val="-12"/>
        </w:rPr>
        <w:t>额。</w:t>
      </w:r>
    </w:p>
    <w:p>
      <w:pPr>
        <w:pStyle w:val="2"/>
        <w:spacing w:before="72" w:line="227" w:lineRule="auto"/>
        <w:ind w:right="501" w:firstLine="489"/>
      </w:pPr>
      <w:r>
        <w:rPr>
          <w:spacing w:val="-12"/>
        </w:rPr>
        <w:t>4.财产租赁所得，每次收入不超过4000元</w:t>
      </w:r>
      <w:r>
        <w:rPr>
          <w:spacing w:val="-13"/>
        </w:rPr>
        <w:t>的，减除费用800元；4000元以上的，减除20%的费</w:t>
      </w:r>
      <w:r>
        <w:t xml:space="preserve"> </w:t>
      </w:r>
      <w:r>
        <w:rPr>
          <w:spacing w:val="-19"/>
        </w:rPr>
        <w:t>用，其余额为应纳税所得额。</w:t>
      </w:r>
    </w:p>
    <w:p>
      <w:pPr>
        <w:pStyle w:val="2"/>
        <w:spacing w:before="66" w:line="216" w:lineRule="auto"/>
        <w:ind w:right="515" w:firstLine="489"/>
        <w:rPr>
          <w:rFonts w:ascii="宋体" w:hAnsi="宋体" w:eastAsia="宋体" w:cs="宋体"/>
        </w:rPr>
      </w:pPr>
      <w:r>
        <w:rPr>
          <w:spacing w:val="-9"/>
        </w:rPr>
        <w:t>5.财产转让所得，以转让财产的收入额减除财产原</w:t>
      </w:r>
      <w:r>
        <w:rPr>
          <w:spacing w:val="-10"/>
        </w:rPr>
        <w:t>值和合理费用后的余额，为应纳税所得</w:t>
      </w:r>
      <w:r>
        <w:t xml:space="preserve"> </w:t>
      </w:r>
      <w:r>
        <w:rPr>
          <w:rFonts w:ascii="宋体" w:hAnsi="宋体" w:eastAsia="宋体" w:cs="宋体"/>
          <w:spacing w:val="-12"/>
        </w:rPr>
        <w:t>额。</w:t>
      </w:r>
    </w:p>
    <w:p>
      <w:pPr>
        <w:pStyle w:val="2"/>
        <w:spacing w:before="64" w:line="222" w:lineRule="auto"/>
        <w:ind w:left="489"/>
      </w:pPr>
      <w:r>
        <w:rPr>
          <w:spacing w:val="-11"/>
        </w:rPr>
        <w:t>6.利息、股息、红利所得和偶然所得，以每次收入额为</w:t>
      </w:r>
      <w:r>
        <w:rPr>
          <w:spacing w:val="-12"/>
        </w:rPr>
        <w:t>应纳税所得额。</w:t>
      </w:r>
    </w:p>
    <w:p>
      <w:pPr>
        <w:pStyle w:val="2"/>
        <w:spacing w:before="60" w:line="222" w:lineRule="auto"/>
        <w:ind w:right="409" w:firstLine="489"/>
      </w:pPr>
      <w:r>
        <w:rPr>
          <w:spacing w:val="-9"/>
        </w:rPr>
        <w:t>7.劳务报酬所得、稿酬所得、特许权使用费所得以收入减除20</w:t>
      </w:r>
      <w:r>
        <w:rPr>
          <w:spacing w:val="-10"/>
        </w:rPr>
        <w:t>%的费用后的余额为收入额。</w:t>
      </w:r>
      <w:r>
        <w:t xml:space="preserve"> </w:t>
      </w:r>
      <w:r>
        <w:rPr>
          <w:spacing w:val="-3"/>
        </w:rPr>
        <w:t>稿酬所得的收入额减按70%计算。</w:t>
      </w:r>
    </w:p>
    <w:p>
      <w:pPr>
        <w:pStyle w:val="2"/>
        <w:spacing w:before="45" w:line="241" w:lineRule="auto"/>
        <w:ind w:right="500" w:firstLine="489"/>
      </w:pPr>
      <w:r>
        <w:rPr>
          <w:spacing w:val="-9"/>
        </w:rPr>
        <w:t>8.个人将其所得对教育、扶贫、济困等公益慈善</w:t>
      </w:r>
      <w:r>
        <w:rPr>
          <w:spacing w:val="-10"/>
        </w:rPr>
        <w:t>事业进行捐赠，捐赠额未超过纳税人申报</w:t>
      </w:r>
      <w:r>
        <w:t xml:space="preserve"> </w:t>
      </w:r>
      <w:r>
        <w:rPr>
          <w:spacing w:val="-12"/>
        </w:rPr>
        <w:t>的应纳税所得额30%的部分，可以从其应纳税所得额中扣除；国务院规定对公益慈善</w:t>
      </w:r>
      <w:r>
        <w:rPr>
          <w:spacing w:val="-13"/>
        </w:rPr>
        <w:t>事业捐赠实</w:t>
      </w:r>
      <w:r>
        <w:t xml:space="preserve"> </w:t>
      </w:r>
      <w:r>
        <w:rPr>
          <w:spacing w:val="-11"/>
        </w:rPr>
        <w:t>行全额税前扣除的，从其规定。本条第1款规定的专项扣除，包括居民个</w:t>
      </w:r>
      <w:r>
        <w:rPr>
          <w:spacing w:val="-12"/>
        </w:rPr>
        <w:t>人按照国家规定的范围</w:t>
      </w:r>
      <w:r>
        <w:t xml:space="preserve"> </w:t>
      </w:r>
      <w:r>
        <w:rPr>
          <w:spacing w:val="-9"/>
        </w:rPr>
        <w:t>和标准缴纳的基本养老保险、基本医疗保险、失业保险等社会保险费和住房公积金等；专项附</w:t>
      </w:r>
      <w:r>
        <w:rPr>
          <w:spacing w:val="6"/>
        </w:rPr>
        <w:t xml:space="preserve"> </w:t>
      </w:r>
      <w:r>
        <w:rPr>
          <w:spacing w:val="-4"/>
        </w:rPr>
        <w:t>加扣除，包括子女教育、继续教育、大病医疗、住房贷款利息或者住房租金、赡养</w:t>
      </w:r>
      <w:r>
        <w:rPr>
          <w:spacing w:val="-5"/>
        </w:rPr>
        <w:t>老人等支</w:t>
      </w:r>
      <w:r>
        <w:t xml:space="preserve"> </w:t>
      </w:r>
      <w:r>
        <w:rPr>
          <w:spacing w:val="-11"/>
        </w:rPr>
        <w:t>出，具体范围、标准和实施步骤由国务院确定，并报全国人民代表大会常务委员会备案。</w:t>
      </w:r>
    </w:p>
    <w:sectPr>
      <w:pgSz w:w="11900" w:h="16840"/>
      <w:pgMar w:top="0" w:right="800" w:bottom="0" w:left="111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WQyOTY3OTkyZTQyMzlhZTJlMjEzYjEwODFmY2Q2MTcifQ=="/>
  </w:docVars>
  <w:rsids>
    <w:rsidRoot w:val="00000000"/>
    <w:rsid w:val="015F51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24"/>
      <w:szCs w:val="24"/>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28"/>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2371</Words>
  <Characters>2452</Characters>
  <TotalTime>0</TotalTime>
  <ScaleCrop>false</ScaleCrop>
  <LinksUpToDate>false</LinksUpToDate>
  <CharactersWithSpaces>2503</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2023-11-20T16:41:00Z</dcterms:created>
  <dc:creator>Kingsoft-PDF</dc:creator>
  <cp:lastModifiedBy>为你变乖</cp:lastModifiedBy>
  <cp:lastPrinted>2023-11-20T08:52:55Z</cp:lastPrinted>
  <dcterms:modified xsi:type="dcterms:W3CDTF">2023-11-20T08:56:45Z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2023-11-20T16:41:14Z</vt:filetime>
  </property>
  <property fmtid="{D5CDD505-2E9C-101B-9397-08002B2CF9AE}" pid="4" name="UsrData">
    <vt:lpwstr>655b1ba4d48727001f626250wl</vt:lpwstr>
  </property>
  <property fmtid="{D5CDD505-2E9C-101B-9397-08002B2CF9AE}" pid="5" name="KSOProductBuildVer">
    <vt:lpwstr>2052-11.1.0.14309</vt:lpwstr>
  </property>
  <property fmtid="{D5CDD505-2E9C-101B-9397-08002B2CF9AE}" pid="6" name="ICV">
    <vt:lpwstr>EF6BDE0D061349048A862460B5A88009_13</vt:lpwstr>
  </property>
</Properties>
</file>