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5" w:lineRule="auto"/>
        <w:rPr>
          <w:rFonts w:ascii="Arial"/>
          <w:sz w:val="21"/>
        </w:rPr>
      </w:pPr>
      <w:r>
        <w:pict>
          <v:rect id="_x0000_s1026" o:spid="_x0000_s1026" o:spt="1" style="position:absolute;left:0pt;margin-left:65.95pt;margin-top:64.5pt;height:0.5pt;width:470.55pt;mso-position-horizontal-relative:page;mso-position-vertical-relative:page;z-index:251662336;mso-width-relative:page;mso-height-relative:page;" fillcolor="#000000" filled="t" stroked="f" coordsize="21600,21600" o:allowincell="f">
            <v:path/>
            <v:fill on="t" focussize="0,0"/>
            <v:stroke on="f"/>
            <v:imagedata o:title=""/>
            <o:lock v:ext="edit"/>
          </v:rect>
        </w:pict>
      </w:r>
      <w:r>
        <w:drawing>
          <wp:anchor distT="0" distB="0" distL="0" distR="0" simplePos="0" relativeHeight="251659264" behindDoc="1" locked="0" layoutInCell="0" allowOverlap="1">
            <wp:simplePos x="0" y="0"/>
            <wp:positionH relativeFrom="page">
              <wp:posOffset>6374765</wp:posOffset>
            </wp:positionH>
            <wp:positionV relativeFrom="page">
              <wp:posOffset>253365</wp:posOffset>
            </wp:positionV>
            <wp:extent cx="641985" cy="31813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642072" cy="317986"/>
                    </a:xfrm>
                    <a:prstGeom prst="rect">
                      <a:avLst/>
                    </a:prstGeom>
                  </pic:spPr>
                </pic:pic>
              </a:graphicData>
            </a:graphic>
          </wp:anchor>
        </w:drawing>
      </w:r>
    </w:p>
    <w:p>
      <w:pPr>
        <w:spacing w:before="156" w:line="219" w:lineRule="auto"/>
        <w:ind w:left="3346"/>
        <w:rPr>
          <w:rFonts w:ascii="宋体" w:hAnsi="宋体" w:eastAsia="宋体" w:cs="宋体"/>
          <w:sz w:val="48"/>
          <w:szCs w:val="48"/>
        </w:rPr>
      </w:pPr>
      <w:r>
        <w:pict>
          <v:shape id="_x0000_s1027" o:spid="_x0000_s1027" o:spt="202" type="#_x0000_t202" style="position:absolute;left:0pt;margin-left:417.95pt;margin-top:20.6pt;height:13.3pt;width:55.35pt;z-index:251661312;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19"/>
                      <w:szCs w:val="19"/>
                    </w:rPr>
                  </w:pPr>
                  <w:r>
                    <w:rPr>
                      <w:rFonts w:hint="eastAsia" w:ascii="宋体" w:hAnsi="宋体" w:eastAsia="宋体" w:cs="宋体"/>
                      <w:spacing w:val="-11"/>
                      <w:sz w:val="19"/>
                      <w:szCs w:val="19"/>
                      <w:lang w:eastAsia="zh-CN"/>
                    </w:rPr>
                    <w:t>遵化</w:t>
                  </w:r>
                  <w:r>
                    <w:rPr>
                      <w:rFonts w:ascii="宋体" w:hAnsi="宋体" w:eastAsia="宋体" w:cs="宋体"/>
                      <w:spacing w:val="-11"/>
                      <w:sz w:val="19"/>
                      <w:szCs w:val="19"/>
                    </w:rPr>
                    <w:t>市财政局</w:t>
                  </w:r>
                </w:p>
              </w:txbxContent>
            </v:textbox>
          </v:shape>
        </w:pict>
      </w:r>
      <w:r>
        <w:pict>
          <v:shape id="_x0000_s1028" o:spid="_x0000_s1028" o:spt="202" type="#_x0000_t202" style="position:absolute;left:0pt;margin-left:-0.95pt;margin-top:21pt;height:13.4pt;width:82.4pt;z-index:251660288;mso-width-relative:page;mso-height-relative:page;" filled="f" stroked="f" coordsize="21600,21600">
            <v:path/>
            <v:fill on="f" focussize="0,0"/>
            <v:stroke on="f"/>
            <v:imagedata o:title=""/>
            <o:lock v:ext="edit" aspectratio="f"/>
            <v:textbox inset="0mm,0mm,0mm,0mm">
              <w:txbxContent>
                <w:p>
                  <w:pPr>
                    <w:spacing w:before="19" w:line="221" w:lineRule="auto"/>
                    <w:ind w:left="20"/>
                    <w:rPr>
                      <w:rFonts w:ascii="黑体" w:hAnsi="黑体" w:eastAsia="黑体" w:cs="黑体"/>
                      <w:sz w:val="19"/>
                      <w:szCs w:val="19"/>
                    </w:rPr>
                  </w:pPr>
                  <w:r>
                    <w:rPr>
                      <w:rFonts w:ascii="黑体" w:hAnsi="黑体" w:eastAsia="黑体" w:cs="黑体"/>
                      <w:spacing w:val="-11"/>
                      <w:sz w:val="19"/>
                      <w:szCs w:val="19"/>
                    </w:rPr>
                    <w:t>税费优惠政策明白纸</w:t>
                  </w:r>
                </w:p>
              </w:txbxContent>
            </v:textbox>
          </v:shape>
        </w:pict>
      </w:r>
      <w:r>
        <w:rPr>
          <w:rFonts w:ascii="宋体" w:hAnsi="宋体" w:eastAsia="宋体" w:cs="宋体"/>
          <w:b/>
          <w:bCs/>
          <w:spacing w:val="-36"/>
          <w:sz w:val="48"/>
          <w:szCs w:val="48"/>
        </w:rPr>
        <w:t>“六进”明白纸</w:t>
      </w:r>
    </w:p>
    <w:p>
      <w:pPr>
        <w:spacing w:before="332" w:line="221" w:lineRule="auto"/>
        <w:ind w:left="4044"/>
        <w:outlineLvl w:val="0"/>
        <w:rPr>
          <w:rFonts w:ascii="黑体" w:hAnsi="黑体" w:eastAsia="黑体" w:cs="黑体"/>
          <w:sz w:val="30"/>
          <w:szCs w:val="30"/>
        </w:rPr>
      </w:pPr>
      <w:r>
        <w:rPr>
          <w:rFonts w:ascii="黑体" w:hAnsi="黑体" w:eastAsia="黑体" w:cs="黑体"/>
          <w:b/>
          <w:bCs/>
          <w:spacing w:val="-5"/>
          <w:sz w:val="30"/>
          <w:szCs w:val="30"/>
        </w:rPr>
        <w:t>科技发展类政策</w:t>
      </w:r>
    </w:p>
    <w:p>
      <w:pPr>
        <w:spacing w:line="330" w:lineRule="auto"/>
        <w:rPr>
          <w:rFonts w:ascii="Arial"/>
          <w:sz w:val="21"/>
        </w:rPr>
      </w:pPr>
    </w:p>
    <w:p>
      <w:pPr>
        <w:pStyle w:val="2"/>
        <w:spacing w:before="78" w:line="253" w:lineRule="auto"/>
        <w:ind w:right="282" w:firstLine="459"/>
      </w:pPr>
      <w:r>
        <w:rPr>
          <w:spacing w:val="-7"/>
        </w:rPr>
        <w:t>1.允许集成电路设计、生产、封测、装备、材料企业(以下称集成电路企业),按照当期可</w:t>
      </w:r>
      <w:r>
        <w:rPr>
          <w:spacing w:val="13"/>
        </w:rPr>
        <w:t xml:space="preserve"> </w:t>
      </w:r>
      <w:r>
        <w:rPr>
          <w:spacing w:val="-6"/>
        </w:rPr>
        <w:t>抵扣进项税额加计15%抵减应纳增值税税额(以下称加计抵减政策)。对适用加计抵减政策的集</w:t>
      </w:r>
    </w:p>
    <w:p>
      <w:pPr>
        <w:pStyle w:val="2"/>
        <w:spacing w:before="62" w:line="221" w:lineRule="auto"/>
      </w:pPr>
      <w:r>
        <w:rPr>
          <w:spacing w:val="-10"/>
        </w:rPr>
        <w:t>成电路企业采取清单管理，具体适用条件、管理方式和企业清单由工业和信息化部会同发展改</w:t>
      </w:r>
    </w:p>
    <w:p>
      <w:pPr>
        <w:pStyle w:val="2"/>
        <w:spacing w:before="82" w:line="262" w:lineRule="auto"/>
        <w:ind w:right="299"/>
        <w:jc w:val="both"/>
      </w:pPr>
      <w:r>
        <w:t>革委、财政部、税务总局等部门制定。集成电路</w:t>
      </w:r>
      <w:r>
        <w:rPr>
          <w:spacing w:val="-1"/>
        </w:rPr>
        <w:t>企业按照当期可抵扣进项税额的15%计提当</w:t>
      </w:r>
      <w:r>
        <w:t xml:space="preserve"> </w:t>
      </w:r>
      <w:r>
        <w:rPr>
          <w:spacing w:val="-10"/>
        </w:rPr>
        <w:t>期加计抵减额。企业外购芯片对应的进项税额，以及按照现行规定不得从销项税额中抵扣的进</w:t>
      </w:r>
      <w:r>
        <w:rPr>
          <w:spacing w:val="15"/>
        </w:rPr>
        <w:t xml:space="preserve"> </w:t>
      </w:r>
      <w:r>
        <w:rPr>
          <w:spacing w:val="-20"/>
        </w:rPr>
        <w:t>项税额，不得计提加计抵减额；已计提加计抵减额的进项税额</w:t>
      </w:r>
      <w:r>
        <w:rPr>
          <w:spacing w:val="-21"/>
        </w:rPr>
        <w:t>，按规定作进项税额转出的，应在进</w:t>
      </w:r>
      <w:r>
        <w:t xml:space="preserve"> </w:t>
      </w:r>
      <w:r>
        <w:rPr>
          <w:spacing w:val="-17"/>
        </w:rPr>
        <w:t>项税额转出当期，相应调减加计抵减额。</w:t>
      </w:r>
    </w:p>
    <w:p>
      <w:pPr>
        <w:pStyle w:val="2"/>
        <w:spacing w:before="100" w:line="257" w:lineRule="auto"/>
        <w:ind w:right="180" w:firstLine="459"/>
      </w:pPr>
      <w:r>
        <w:rPr>
          <w:spacing w:val="-12"/>
        </w:rPr>
        <w:t>2.科技型中小企业开展研发活动中实际发生的</w:t>
      </w:r>
      <w:r>
        <w:rPr>
          <w:spacing w:val="-13"/>
        </w:rPr>
        <w:t>研发费用，未形成无形资产计入当期损益的，</w:t>
      </w:r>
      <w:r>
        <w:t xml:space="preserve"> </w:t>
      </w:r>
      <w:r>
        <w:rPr>
          <w:spacing w:val="-6"/>
        </w:rPr>
        <w:t>在按规定据实扣除的基础上，自2022年1月1日起，再按照实际发生额的100%在税前加计扣除；</w:t>
      </w:r>
      <w:r>
        <w:rPr>
          <w:spacing w:val="14"/>
        </w:rPr>
        <w:t xml:space="preserve"> </w:t>
      </w:r>
      <w:r>
        <w:rPr>
          <w:spacing w:val="-3"/>
        </w:rPr>
        <w:t>形成无形资产的，自2022年1月1</w:t>
      </w:r>
      <w:r>
        <w:rPr>
          <w:spacing w:val="-25"/>
        </w:rPr>
        <w:t xml:space="preserve"> </w:t>
      </w:r>
      <w:r>
        <w:rPr>
          <w:spacing w:val="-3"/>
        </w:rPr>
        <w:t>日起，按照无形资产成本的200%</w:t>
      </w:r>
      <w:r>
        <w:rPr>
          <w:spacing w:val="-4"/>
        </w:rPr>
        <w:t>在税前摊销。</w:t>
      </w:r>
    </w:p>
    <w:p>
      <w:pPr>
        <w:pStyle w:val="2"/>
        <w:spacing w:before="74" w:line="258" w:lineRule="auto"/>
        <w:ind w:right="282" w:firstLine="459"/>
      </w:pPr>
      <w:r>
        <w:rPr>
          <w:spacing w:val="-9"/>
        </w:rPr>
        <w:t>3.企业开展研发活动中实际发生的研发费用，未形成无</w:t>
      </w:r>
      <w:r>
        <w:rPr>
          <w:spacing w:val="-10"/>
        </w:rPr>
        <w:t>形资产计入当期损益的，在按规定</w:t>
      </w:r>
      <w:r>
        <w:t xml:space="preserve"> </w:t>
      </w:r>
      <w:r>
        <w:rPr>
          <w:spacing w:val="-5"/>
        </w:rPr>
        <w:t>据实扣除的基础上，自2023年1月1 日起，再按照实际发生额的10</w:t>
      </w:r>
      <w:r>
        <w:rPr>
          <w:spacing w:val="-6"/>
        </w:rPr>
        <w:t>0%在税前加计扣除；形成无</w:t>
      </w:r>
      <w:r>
        <w:t xml:space="preserve"> </w:t>
      </w:r>
      <w:r>
        <w:rPr>
          <w:spacing w:val="-3"/>
        </w:rPr>
        <w:t>形资产的，自2023年1月1</w:t>
      </w:r>
      <w:r>
        <w:rPr>
          <w:spacing w:val="-21"/>
        </w:rPr>
        <w:t xml:space="preserve"> </w:t>
      </w:r>
      <w:r>
        <w:rPr>
          <w:spacing w:val="-3"/>
        </w:rPr>
        <w:t>日起，按照无形资产成本的200%在税前摊销。</w:t>
      </w:r>
    </w:p>
    <w:p>
      <w:pPr>
        <w:pStyle w:val="2"/>
        <w:spacing w:before="88" w:line="249" w:lineRule="auto"/>
        <w:ind w:right="330" w:firstLine="459"/>
      </w:pPr>
      <w:r>
        <w:rPr>
          <w:spacing w:val="-10"/>
        </w:rPr>
        <w:t>4. 《关于促进集成电路产业和软件产业高质量发展企业所得税政策的公告》(财政部、税</w:t>
      </w:r>
      <w:r>
        <w:rPr>
          <w:spacing w:val="18"/>
        </w:rPr>
        <w:t xml:space="preserve"> </w:t>
      </w:r>
      <w:r>
        <w:rPr>
          <w:spacing w:val="5"/>
        </w:rPr>
        <w:t>务总局、发展改革委、工业和信息化部公告2020年第4</w:t>
      </w:r>
      <w:r>
        <w:rPr>
          <w:spacing w:val="4"/>
        </w:rPr>
        <w:t>5号)</w:t>
      </w:r>
    </w:p>
    <w:p>
      <w:pPr>
        <w:pStyle w:val="2"/>
        <w:spacing w:before="70" w:line="269" w:lineRule="auto"/>
        <w:ind w:right="304" w:firstLine="459"/>
      </w:pPr>
      <w:r>
        <w:rPr>
          <w:spacing w:val="-3"/>
        </w:rPr>
        <w:t>(1)国家鼓励的集成电路线宽小于28纳米(含),且经营期在15年以上的集</w:t>
      </w:r>
      <w:r>
        <w:rPr>
          <w:spacing w:val="-4"/>
        </w:rPr>
        <w:t>成电路生产企业</w:t>
      </w:r>
      <w:r>
        <w:t xml:space="preserve"> </w:t>
      </w:r>
      <w:r>
        <w:rPr>
          <w:spacing w:val="-11"/>
        </w:rPr>
        <w:t>或项目，第一年至第十年免征企业所得税；国家鼓</w:t>
      </w:r>
      <w:r>
        <w:rPr>
          <w:spacing w:val="-12"/>
        </w:rPr>
        <w:t>励的集成电路线宽小于65纳米(含),且经营期</w:t>
      </w:r>
      <w:r>
        <w:t xml:space="preserve"> </w:t>
      </w:r>
      <w:r>
        <w:rPr>
          <w:spacing w:val="-9"/>
        </w:rPr>
        <w:t>在15年以上的集成电路生产企业或项目，第一年至第五年</w:t>
      </w:r>
      <w:r>
        <w:rPr>
          <w:spacing w:val="-10"/>
        </w:rPr>
        <w:t>免征企业所得税，第六年至第十年按</w:t>
      </w:r>
      <w:r>
        <w:t xml:space="preserve"> </w:t>
      </w:r>
      <w:r>
        <w:rPr>
          <w:spacing w:val="-6"/>
        </w:rPr>
        <w:t>照25%的法定税率减半征收企业所得税；国家鼓励的集成电路线宽小于130纳米(含),且经营期</w:t>
      </w:r>
      <w:r>
        <w:rPr>
          <w:spacing w:val="5"/>
        </w:rPr>
        <w:t xml:space="preserve"> </w:t>
      </w:r>
      <w:r>
        <w:rPr>
          <w:spacing w:val="-9"/>
        </w:rPr>
        <w:t>在10年以上的集成电路生产企业或项目，第一年至第二年</w:t>
      </w:r>
      <w:r>
        <w:rPr>
          <w:spacing w:val="-10"/>
        </w:rPr>
        <w:t>免征企业所得税，第三年至第五年按</w:t>
      </w:r>
      <w:r>
        <w:t xml:space="preserve"> </w:t>
      </w:r>
      <w:r>
        <w:rPr>
          <w:spacing w:val="-3"/>
        </w:rPr>
        <w:t>照25%的法定税率减半征收企业所得税。</w:t>
      </w:r>
    </w:p>
    <w:p>
      <w:pPr>
        <w:pStyle w:val="2"/>
        <w:spacing w:before="64" w:line="264" w:lineRule="auto"/>
        <w:ind w:right="306" w:firstLine="459"/>
      </w:pPr>
      <w:r>
        <w:rPr>
          <w:spacing w:val="-8"/>
        </w:rPr>
        <w:t>(2)国家鼓励的线宽小于130纳米(含)</w:t>
      </w:r>
      <w:r>
        <w:rPr>
          <w:spacing w:val="-9"/>
        </w:rPr>
        <w:t>的集成电路生产企业，属于国家鼓励的集成电路生产</w:t>
      </w:r>
      <w:r>
        <w:t xml:space="preserve"> </w:t>
      </w:r>
      <w:r>
        <w:rPr>
          <w:spacing w:val="-7"/>
        </w:rPr>
        <w:t>企业清单年度之前5个纳税年度发生的尚未弥补完的亏损，准予向以后年度结转，总结转年限</w:t>
      </w:r>
      <w:r>
        <w:rPr>
          <w:spacing w:val="12"/>
        </w:rPr>
        <w:t xml:space="preserve"> </w:t>
      </w:r>
      <w:r>
        <w:rPr>
          <w:spacing w:val="5"/>
        </w:rPr>
        <w:t>最长不得超过10年。</w:t>
      </w:r>
    </w:p>
    <w:p>
      <w:pPr>
        <w:pStyle w:val="2"/>
        <w:spacing w:before="79" w:line="245" w:lineRule="auto"/>
        <w:ind w:right="210" w:firstLine="459"/>
      </w:pPr>
      <w:r>
        <w:rPr>
          <w:spacing w:val="-10"/>
        </w:rPr>
        <w:t>(3)国家鼓励的集成电路设计、装备、材料、封装、测试企业和软件企业，自获利年度起，</w:t>
      </w:r>
      <w:r>
        <w:rPr>
          <w:spacing w:val="18"/>
        </w:rPr>
        <w:t xml:space="preserve"> </w:t>
      </w:r>
      <w:r>
        <w:rPr>
          <w:spacing w:val="-8"/>
        </w:rPr>
        <w:t>第一年至第二年免征企业所得税，第三年至第五年按照25%的法定税率减半征收企业所得税。</w:t>
      </w:r>
    </w:p>
    <w:p>
      <w:pPr>
        <w:pStyle w:val="2"/>
        <w:spacing w:before="74" w:line="254" w:lineRule="auto"/>
        <w:ind w:right="314" w:firstLine="459"/>
      </w:pPr>
      <w:r>
        <w:rPr>
          <w:spacing w:val="-12"/>
        </w:rPr>
        <w:t>(4)国家鼓励的重点集成电路设计企业和软件企业，自获利年度起，第一年至第五</w:t>
      </w:r>
      <w:r>
        <w:rPr>
          <w:spacing w:val="-13"/>
        </w:rPr>
        <w:t>年免征企</w:t>
      </w:r>
      <w:r>
        <w:t xml:space="preserve"> </w:t>
      </w:r>
      <w:r>
        <w:rPr>
          <w:spacing w:val="-9"/>
        </w:rPr>
        <w:t>业所得税，接续年度减按10%的税率征收企业所得税。</w:t>
      </w:r>
    </w:p>
    <w:p>
      <w:pPr>
        <w:pStyle w:val="2"/>
        <w:spacing w:before="67" w:line="266" w:lineRule="auto"/>
        <w:ind w:right="305" w:firstLine="459"/>
      </w:pPr>
      <w:r>
        <w:rPr>
          <w:spacing w:val="-10"/>
        </w:rPr>
        <w:t>(5)符合原有政策条件且在2019年(含)之</w:t>
      </w:r>
      <w:r>
        <w:rPr>
          <w:spacing w:val="-11"/>
        </w:rPr>
        <w:t>前已经进入优惠期的企业或项目，2020年(含)起可</w:t>
      </w:r>
      <w:r>
        <w:t xml:space="preserve"> </w:t>
      </w:r>
      <w:r>
        <w:rPr>
          <w:spacing w:val="-14"/>
        </w:rPr>
        <w:t>按原有政策规定继续享受至期满为止，如也符合本公告第(1)条至第(4)条规定，可</w:t>
      </w:r>
      <w:r>
        <w:rPr>
          <w:spacing w:val="-15"/>
        </w:rPr>
        <w:t>按本公告规定</w:t>
      </w:r>
      <w:r>
        <w:t xml:space="preserve"> </w:t>
      </w:r>
      <w:r>
        <w:rPr>
          <w:spacing w:val="-15"/>
        </w:rPr>
        <w:t>享受相关优惠，其中定期减免税优惠，可按本公告规定计算优惠期，并就剩余期限享受优惠至期</w:t>
      </w:r>
      <w:r>
        <w:rPr>
          <w:spacing w:val="4"/>
        </w:rPr>
        <w:t xml:space="preserve"> </w:t>
      </w:r>
      <w:r>
        <w:rPr>
          <w:spacing w:val="-13"/>
        </w:rPr>
        <w:t>满为止。符合原有政策条件，2019年(含)之前尚未进入优惠期的企业或项</w:t>
      </w:r>
      <w:r>
        <w:rPr>
          <w:spacing w:val="-14"/>
        </w:rPr>
        <w:t>目，2020年(含)起不再</w:t>
      </w:r>
      <w:r>
        <w:t xml:space="preserve"> </w:t>
      </w:r>
      <w:r>
        <w:rPr>
          <w:spacing w:val="-10"/>
        </w:rPr>
        <w:t>执行原有政策。</w:t>
      </w:r>
    </w:p>
    <w:p>
      <w:pPr>
        <w:pStyle w:val="2"/>
        <w:spacing w:before="82" w:line="258" w:lineRule="auto"/>
        <w:ind w:right="313" w:firstLine="459"/>
      </w:pPr>
      <w:r>
        <w:rPr>
          <w:spacing w:val="-6"/>
        </w:rPr>
        <w:t>(6)集成电路企业或项目、软件企业按照本公告规定同时</w:t>
      </w:r>
      <w:r>
        <w:rPr>
          <w:spacing w:val="-7"/>
        </w:rPr>
        <w:t>符合多项定期减免税优惠政策条</w:t>
      </w:r>
      <w:r>
        <w:t xml:space="preserve"> </w:t>
      </w:r>
      <w:r>
        <w:rPr>
          <w:spacing w:val="-15"/>
        </w:rPr>
        <w:t>件的，由企业选择其中一项政策享受相关优惠。其中，已经进入优惠期的，可由企</w:t>
      </w:r>
      <w:r>
        <w:rPr>
          <w:spacing w:val="-16"/>
        </w:rPr>
        <w:t>业在剩余期限</w:t>
      </w:r>
      <w:r>
        <w:t xml:space="preserve"> </w:t>
      </w:r>
      <w:r>
        <w:rPr>
          <w:spacing w:val="-6"/>
        </w:rPr>
        <w:t>内选择其中一项政策享受相关优惠。财税〔2012〕27号第二条中</w:t>
      </w:r>
      <w:r>
        <w:rPr>
          <w:spacing w:val="-7"/>
        </w:rPr>
        <w:t>“经认定后，减按15%的税率</w:t>
      </w:r>
    </w:p>
    <w:p>
      <w:pPr>
        <w:spacing w:line="258" w:lineRule="auto"/>
        <w:sectPr>
          <w:headerReference r:id="rId5" w:type="default"/>
          <w:pgSz w:w="12060" w:h="16950"/>
          <w:pgMar w:top="400" w:right="1009" w:bottom="0" w:left="1290" w:header="0" w:footer="0" w:gutter="0"/>
          <w:cols w:space="720" w:num="1"/>
        </w:sectPr>
      </w:pPr>
    </w:p>
    <w:p>
      <w:pPr>
        <w:spacing w:line="244" w:lineRule="auto"/>
        <w:rPr>
          <w:rFonts w:ascii="Arial"/>
          <w:sz w:val="21"/>
        </w:rPr>
      </w:pPr>
      <w:r>
        <w:pict>
          <v:rect id="_x0000_s1029" o:spid="_x0000_s1029" o:spt="1" style="position:absolute;left:0pt;margin-left:67.5pt;margin-top:62.5pt;height:0.5pt;width:470.5pt;mso-position-horizontal-relative:page;mso-position-vertical-relative:page;z-index:251665408;mso-width-relative:page;mso-height-relative:page;" fillcolor="#000000" filled="t" stroked="f" coordsize="21600,21600" o:allowincell="f">
            <v:path/>
            <v:fill on="t" focussize="0,0"/>
            <v:stroke on="f"/>
            <v:imagedata o:title=""/>
            <o:lock v:ext="edit"/>
          </v:rect>
        </w:pict>
      </w:r>
    </w:p>
    <w:p>
      <w:pPr>
        <w:spacing w:before="146" w:line="219" w:lineRule="auto"/>
        <w:ind w:left="3261"/>
        <w:rPr>
          <w:rFonts w:ascii="宋体" w:hAnsi="宋体" w:eastAsia="宋体" w:cs="宋体"/>
          <w:sz w:val="45"/>
          <w:szCs w:val="45"/>
        </w:rPr>
      </w:pPr>
      <w:r>
        <w:pict>
          <v:shape id="_x0000_s1030" o:spid="_x0000_s1030" o:spt="202" type="#_x0000_t202" style="position:absolute;left:0pt;margin-left:-0.95pt;margin-top:17.1pt;height:13.3pt;width:82pt;z-index:251663360;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19"/>
                      <w:szCs w:val="19"/>
                    </w:rPr>
                  </w:pPr>
                  <w:r>
                    <w:rPr>
                      <w:rFonts w:ascii="宋体" w:hAnsi="宋体" w:eastAsia="宋体" w:cs="宋体"/>
                      <w:spacing w:val="-11"/>
                      <w:sz w:val="19"/>
                      <w:szCs w:val="19"/>
                    </w:rPr>
                    <w:t>税费优惠政策明白纸</w:t>
                  </w:r>
                </w:p>
              </w:txbxContent>
            </v:textbox>
          </v:shape>
        </w:pict>
      </w:r>
      <w:r>
        <w:pict>
          <v:shape id="_x0000_s1031" o:spid="_x0000_s1031" o:spt="202" type="#_x0000_t202" style="position:absolute;left:0pt;margin-left:420pt;margin-top:17.6pt;height:13.3pt;width:55.35pt;z-index:251664384;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19"/>
                      <w:szCs w:val="19"/>
                    </w:rPr>
                  </w:pPr>
                  <w:r>
                    <w:rPr>
                      <w:rFonts w:hint="eastAsia" w:ascii="宋体" w:hAnsi="宋体" w:eastAsia="宋体" w:cs="宋体"/>
                      <w:spacing w:val="-11"/>
                      <w:sz w:val="19"/>
                      <w:szCs w:val="19"/>
                      <w:lang w:eastAsia="zh-CN"/>
                    </w:rPr>
                    <w:t>遵化</w:t>
                  </w:r>
                  <w:r>
                    <w:rPr>
                      <w:rFonts w:ascii="宋体" w:hAnsi="宋体" w:eastAsia="宋体" w:cs="宋体"/>
                      <w:spacing w:val="-11"/>
                      <w:sz w:val="19"/>
                      <w:szCs w:val="19"/>
                    </w:rPr>
                    <w:t>市财政局</w:t>
                  </w:r>
                </w:p>
              </w:txbxContent>
            </v:textbox>
          </v:shape>
        </w:pict>
      </w:r>
      <w:r>
        <w:rPr>
          <w:rFonts w:ascii="宋体" w:hAnsi="宋体" w:eastAsia="宋体" w:cs="宋体"/>
          <w:b/>
          <w:bCs/>
          <w:spacing w:val="-3"/>
          <w:sz w:val="45"/>
          <w:szCs w:val="45"/>
        </w:rPr>
        <w:t>“</w:t>
      </w:r>
      <w:r>
        <w:rPr>
          <w:rFonts w:ascii="宋体" w:hAnsi="宋体" w:eastAsia="宋体" w:cs="宋体"/>
          <w:b/>
          <w:bCs/>
          <w:strike/>
          <w:spacing w:val="-3"/>
          <w:sz w:val="45"/>
          <w:szCs w:val="45"/>
        </w:rPr>
        <w:t>六进”明白纸</w:t>
      </w:r>
    </w:p>
    <w:p>
      <w:pPr>
        <w:pStyle w:val="2"/>
        <w:spacing w:before="39" w:line="255" w:lineRule="auto"/>
        <w:ind w:right="92"/>
        <w:rPr>
          <w:sz w:val="23"/>
          <w:szCs w:val="23"/>
        </w:rPr>
      </w:pPr>
      <w:r>
        <w:rPr>
          <w:spacing w:val="1"/>
          <w:sz w:val="23"/>
          <w:szCs w:val="23"/>
        </w:rPr>
        <w:t>征收企业所得税”的规定和第四条“国家规划布局内的重点软件企业</w:t>
      </w:r>
      <w:r>
        <w:rPr>
          <w:sz w:val="23"/>
          <w:szCs w:val="23"/>
        </w:rPr>
        <w:t xml:space="preserve">和集成电路设计企业，如 </w:t>
      </w:r>
      <w:r>
        <w:rPr>
          <w:spacing w:val="2"/>
          <w:sz w:val="23"/>
          <w:szCs w:val="23"/>
        </w:rPr>
        <w:t>当年未享受免税优惠的，可减按10%的税率征收企业所得税”同时停止执</w:t>
      </w:r>
      <w:r>
        <w:rPr>
          <w:spacing w:val="1"/>
          <w:sz w:val="23"/>
          <w:szCs w:val="23"/>
        </w:rPr>
        <w:t>行。</w:t>
      </w:r>
    </w:p>
    <w:p>
      <w:pPr>
        <w:pStyle w:val="2"/>
        <w:spacing w:before="86" w:line="222" w:lineRule="auto"/>
        <w:ind w:left="490"/>
        <w:rPr>
          <w:sz w:val="23"/>
          <w:szCs w:val="23"/>
        </w:rPr>
      </w:pPr>
      <w:r>
        <w:rPr>
          <w:spacing w:val="3"/>
          <w:sz w:val="23"/>
          <w:szCs w:val="23"/>
        </w:rPr>
        <w:t>5.对内资研发机构和外资研发中心采购国产设备全额退还增值税。</w:t>
      </w:r>
    </w:p>
    <w:p>
      <w:pPr>
        <w:pStyle w:val="2"/>
        <w:spacing w:before="93" w:line="222" w:lineRule="auto"/>
        <w:ind w:left="490"/>
        <w:rPr>
          <w:sz w:val="23"/>
          <w:szCs w:val="23"/>
        </w:rPr>
      </w:pPr>
      <w:r>
        <w:rPr>
          <w:spacing w:val="6"/>
          <w:sz w:val="23"/>
          <w:szCs w:val="23"/>
        </w:rPr>
        <w:t>6.对国家级、省级科技企业孵化器、大学科技园和国家备案众创空间</w:t>
      </w:r>
      <w:r>
        <w:rPr>
          <w:spacing w:val="5"/>
          <w:sz w:val="23"/>
          <w:szCs w:val="23"/>
        </w:rPr>
        <w:t>自用以及无偿或通</w:t>
      </w:r>
    </w:p>
    <w:p>
      <w:pPr>
        <w:pStyle w:val="2"/>
        <w:spacing w:before="80" w:line="257" w:lineRule="auto"/>
        <w:ind w:right="98"/>
        <w:rPr>
          <w:sz w:val="23"/>
          <w:szCs w:val="23"/>
        </w:rPr>
      </w:pPr>
      <w:r>
        <w:rPr>
          <w:spacing w:val="-5"/>
          <w:sz w:val="23"/>
          <w:szCs w:val="23"/>
        </w:rPr>
        <w:t>过出租等方式提供给在孵对象使用的房产、土地，免征房产税和城镇土地使用税；对其向在孵对</w:t>
      </w:r>
      <w:r>
        <w:rPr>
          <w:spacing w:val="4"/>
          <w:sz w:val="23"/>
          <w:szCs w:val="23"/>
        </w:rPr>
        <w:t xml:space="preserve"> </w:t>
      </w:r>
      <w:r>
        <w:rPr>
          <w:spacing w:val="-5"/>
          <w:sz w:val="23"/>
          <w:szCs w:val="23"/>
        </w:rPr>
        <w:t>象提供孵化服务取得的收入，免征增值税。</w:t>
      </w:r>
    </w:p>
    <w:p>
      <w:pPr>
        <w:pStyle w:val="2"/>
        <w:spacing w:before="79" w:line="273" w:lineRule="auto"/>
        <w:ind w:right="70" w:firstLine="490"/>
        <w:rPr>
          <w:sz w:val="23"/>
          <w:szCs w:val="23"/>
        </w:rPr>
      </w:pPr>
      <w:r>
        <w:rPr>
          <w:spacing w:val="3"/>
          <w:sz w:val="23"/>
          <w:szCs w:val="23"/>
        </w:rPr>
        <w:t>7.委托境外进行研发活动所发生的费用，按照费用实际发生额的80%计入委托方的委托境</w:t>
      </w:r>
      <w:r>
        <w:rPr>
          <w:spacing w:val="14"/>
          <w:sz w:val="23"/>
          <w:szCs w:val="23"/>
        </w:rPr>
        <w:t xml:space="preserve"> </w:t>
      </w:r>
      <w:r>
        <w:rPr>
          <w:spacing w:val="3"/>
          <w:sz w:val="23"/>
          <w:szCs w:val="23"/>
        </w:rPr>
        <w:t>外研发费用。委托境外研发费用不超过境内符合条件的研发费用2/3的部分，可</w:t>
      </w:r>
      <w:r>
        <w:rPr>
          <w:spacing w:val="2"/>
          <w:sz w:val="23"/>
          <w:szCs w:val="23"/>
        </w:rPr>
        <w:t>以按规定在企</w:t>
      </w:r>
      <w:r>
        <w:rPr>
          <w:sz w:val="23"/>
          <w:szCs w:val="23"/>
        </w:rPr>
        <w:t xml:space="preserve"> </w:t>
      </w:r>
      <w:r>
        <w:rPr>
          <w:spacing w:val="9"/>
          <w:sz w:val="23"/>
          <w:szCs w:val="23"/>
        </w:rPr>
        <w:t>业所得税前加计扣除。财税〔2015〕119号文件第二</w:t>
      </w:r>
      <w:r>
        <w:rPr>
          <w:spacing w:val="8"/>
          <w:sz w:val="23"/>
          <w:szCs w:val="23"/>
        </w:rPr>
        <w:t>条中“企业委托境外机构或个人进行研</w:t>
      </w:r>
      <w:r>
        <w:rPr>
          <w:sz w:val="23"/>
          <w:szCs w:val="23"/>
        </w:rPr>
        <w:t xml:space="preserve"> </w:t>
      </w:r>
      <w:r>
        <w:rPr>
          <w:spacing w:val="-2"/>
          <w:sz w:val="23"/>
          <w:szCs w:val="23"/>
        </w:rPr>
        <w:t>发活动所发生的费用，不得加计扣除”的规定同时废</w:t>
      </w:r>
      <w:r>
        <w:rPr>
          <w:spacing w:val="-3"/>
          <w:sz w:val="23"/>
          <w:szCs w:val="23"/>
        </w:rPr>
        <w:t>止。</w:t>
      </w:r>
    </w:p>
    <w:p>
      <w:pPr>
        <w:pStyle w:val="2"/>
        <w:spacing w:before="109" w:line="266" w:lineRule="auto"/>
        <w:ind w:right="91" w:firstLine="490"/>
        <w:rPr>
          <w:sz w:val="23"/>
          <w:szCs w:val="23"/>
        </w:rPr>
      </w:pPr>
      <w:r>
        <w:rPr>
          <w:spacing w:val="6"/>
          <w:sz w:val="23"/>
          <w:szCs w:val="23"/>
        </w:rPr>
        <w:t>8.依法批准设立的非营利性研究开发机构和高等学校根据《中华人民共和国促进科</w:t>
      </w:r>
      <w:r>
        <w:rPr>
          <w:spacing w:val="5"/>
          <w:sz w:val="23"/>
          <w:szCs w:val="23"/>
        </w:rPr>
        <w:t>技成</w:t>
      </w:r>
      <w:r>
        <w:rPr>
          <w:sz w:val="23"/>
          <w:szCs w:val="23"/>
        </w:rPr>
        <w:t xml:space="preserve"> </w:t>
      </w:r>
      <w:r>
        <w:rPr>
          <w:spacing w:val="-2"/>
          <w:sz w:val="23"/>
          <w:szCs w:val="23"/>
        </w:rPr>
        <w:t>果转化法》规定，从职务科技成果转化收入中给予科技人员的现金奖励，可减按50</w:t>
      </w:r>
      <w:r>
        <w:rPr>
          <w:spacing w:val="-3"/>
          <w:sz w:val="23"/>
          <w:szCs w:val="23"/>
        </w:rPr>
        <w:t>%计入科技人</w:t>
      </w:r>
      <w:r>
        <w:rPr>
          <w:sz w:val="23"/>
          <w:szCs w:val="23"/>
        </w:rPr>
        <w:t xml:space="preserve"> </w:t>
      </w:r>
      <w:r>
        <w:rPr>
          <w:spacing w:val="1"/>
          <w:sz w:val="23"/>
          <w:szCs w:val="23"/>
        </w:rPr>
        <w:t>员当月“工资、薪金所得”,依法缴纳个人所得税。</w:t>
      </w:r>
    </w:p>
    <w:p>
      <w:pPr>
        <w:pStyle w:val="2"/>
        <w:spacing w:before="109" w:line="222" w:lineRule="auto"/>
        <w:ind w:left="490"/>
        <w:rPr>
          <w:sz w:val="23"/>
          <w:szCs w:val="23"/>
        </w:rPr>
      </w:pPr>
      <w:r>
        <w:rPr>
          <w:spacing w:val="2"/>
          <w:sz w:val="23"/>
          <w:szCs w:val="23"/>
        </w:rPr>
        <w:t>9. 《关于集成电路生产企业有关企业所得税</w:t>
      </w:r>
      <w:r>
        <w:rPr>
          <w:spacing w:val="1"/>
          <w:sz w:val="23"/>
          <w:szCs w:val="23"/>
        </w:rPr>
        <w:t>政策问题的通知》(财税〔2018〕27号)</w:t>
      </w:r>
    </w:p>
    <w:p>
      <w:pPr>
        <w:pStyle w:val="2"/>
        <w:spacing w:before="81" w:line="261" w:lineRule="auto"/>
        <w:ind w:right="62" w:firstLine="490"/>
        <w:rPr>
          <w:sz w:val="23"/>
          <w:szCs w:val="23"/>
        </w:rPr>
      </w:pPr>
      <w:r>
        <w:rPr>
          <w:spacing w:val="14"/>
          <w:sz w:val="23"/>
          <w:szCs w:val="23"/>
        </w:rPr>
        <w:t>(1)2018年1月1 日后投资新设的集成电路线宽小于130纳米，且</w:t>
      </w:r>
      <w:r>
        <w:rPr>
          <w:spacing w:val="13"/>
          <w:sz w:val="23"/>
          <w:szCs w:val="23"/>
        </w:rPr>
        <w:t>经营期在10年以上的</w:t>
      </w:r>
      <w:r>
        <w:rPr>
          <w:sz w:val="23"/>
          <w:szCs w:val="23"/>
        </w:rPr>
        <w:t xml:space="preserve"> </w:t>
      </w:r>
      <w:r>
        <w:rPr>
          <w:spacing w:val="-3"/>
          <w:sz w:val="23"/>
          <w:szCs w:val="23"/>
        </w:rPr>
        <w:t>集成电路生产企业或项目，第一年至第二年免征企业所得税，第三年至第五年按照25%的法定税</w:t>
      </w:r>
      <w:r>
        <w:rPr>
          <w:spacing w:val="18"/>
          <w:sz w:val="23"/>
          <w:szCs w:val="23"/>
        </w:rPr>
        <w:t xml:space="preserve"> </w:t>
      </w:r>
      <w:r>
        <w:rPr>
          <w:spacing w:val="-5"/>
          <w:sz w:val="23"/>
          <w:szCs w:val="23"/>
        </w:rPr>
        <w:t>率减半征收企业所得税，并享受至期满为止。</w:t>
      </w:r>
    </w:p>
    <w:p>
      <w:pPr>
        <w:pStyle w:val="2"/>
        <w:spacing w:before="118" w:line="260" w:lineRule="auto"/>
        <w:ind w:right="68" w:firstLine="490"/>
        <w:rPr>
          <w:sz w:val="23"/>
          <w:szCs w:val="23"/>
        </w:rPr>
      </w:pPr>
      <w:r>
        <w:rPr>
          <w:spacing w:val="9"/>
          <w:sz w:val="23"/>
          <w:szCs w:val="23"/>
        </w:rPr>
        <w:t>(2)2018年1月1</w:t>
      </w:r>
      <w:r>
        <w:rPr>
          <w:spacing w:val="-19"/>
          <w:sz w:val="23"/>
          <w:szCs w:val="23"/>
        </w:rPr>
        <w:t xml:space="preserve"> </w:t>
      </w:r>
      <w:r>
        <w:rPr>
          <w:spacing w:val="9"/>
          <w:sz w:val="23"/>
          <w:szCs w:val="23"/>
        </w:rPr>
        <w:t>日后投资新设的集成电路线宽小于65纳米或投资额超过1</w:t>
      </w:r>
      <w:r>
        <w:rPr>
          <w:spacing w:val="8"/>
          <w:sz w:val="23"/>
          <w:szCs w:val="23"/>
        </w:rPr>
        <w:t>50亿元，且经</w:t>
      </w:r>
      <w:r>
        <w:rPr>
          <w:sz w:val="23"/>
          <w:szCs w:val="23"/>
        </w:rPr>
        <w:t xml:space="preserve"> </w:t>
      </w:r>
      <w:r>
        <w:rPr>
          <w:spacing w:val="1"/>
          <w:sz w:val="23"/>
          <w:szCs w:val="23"/>
        </w:rPr>
        <w:t>营期在15年以上的集成电路生产企业或项目，第—年至第</w:t>
      </w:r>
      <w:r>
        <w:rPr>
          <w:sz w:val="23"/>
          <w:szCs w:val="23"/>
        </w:rPr>
        <w:t>五年免征企业所得税，第六年至第十 年按照25%的法定税率减半征收企业所得税，并享受至期满为止。</w:t>
      </w:r>
    </w:p>
    <w:p>
      <w:pPr>
        <w:pStyle w:val="2"/>
        <w:spacing w:before="98" w:line="268" w:lineRule="auto"/>
        <w:ind w:right="51" w:firstLine="490"/>
        <w:rPr>
          <w:sz w:val="23"/>
          <w:szCs w:val="23"/>
        </w:rPr>
      </w:pPr>
      <w:r>
        <w:rPr>
          <w:spacing w:val="16"/>
          <w:sz w:val="23"/>
          <w:szCs w:val="23"/>
        </w:rPr>
        <w:t>(3)2017年12月31 日前设立但未获利的集成电路线宽小于0.25微米或投资额超过80</w:t>
      </w:r>
      <w:r>
        <w:rPr>
          <w:spacing w:val="11"/>
          <w:sz w:val="23"/>
          <w:szCs w:val="23"/>
        </w:rPr>
        <w:t xml:space="preserve"> </w:t>
      </w:r>
      <w:r>
        <w:rPr>
          <w:spacing w:val="1"/>
          <w:sz w:val="23"/>
          <w:szCs w:val="23"/>
        </w:rPr>
        <w:t>亿元，且经营期在15年以上的集成电路生产企业，</w:t>
      </w:r>
      <w:r>
        <w:rPr>
          <w:sz w:val="23"/>
          <w:szCs w:val="23"/>
        </w:rPr>
        <w:t xml:space="preserve">自获利年度起第一年至第五年免征企业所得 </w:t>
      </w:r>
      <w:r>
        <w:rPr>
          <w:spacing w:val="-3"/>
          <w:sz w:val="23"/>
          <w:szCs w:val="23"/>
        </w:rPr>
        <w:t>税，第六年至第十年按照25%的法定税率减半征收企业所得税，并享受至期满为止。</w:t>
      </w:r>
    </w:p>
    <w:p>
      <w:pPr>
        <w:pStyle w:val="2"/>
        <w:spacing w:before="76" w:line="266" w:lineRule="auto"/>
        <w:ind w:right="60" w:firstLine="490"/>
        <w:rPr>
          <w:sz w:val="23"/>
          <w:szCs w:val="23"/>
        </w:rPr>
      </w:pPr>
      <w:r>
        <w:rPr>
          <w:spacing w:val="9"/>
          <w:sz w:val="23"/>
          <w:szCs w:val="23"/>
        </w:rPr>
        <w:t>(4)2017年12月31</w:t>
      </w:r>
      <w:r>
        <w:rPr>
          <w:spacing w:val="-19"/>
          <w:sz w:val="23"/>
          <w:szCs w:val="23"/>
        </w:rPr>
        <w:t xml:space="preserve"> </w:t>
      </w:r>
      <w:r>
        <w:rPr>
          <w:spacing w:val="9"/>
          <w:sz w:val="23"/>
          <w:szCs w:val="23"/>
        </w:rPr>
        <w:t>日前设立但未获利的集成电路线宽小于0.8微米(含</w:t>
      </w:r>
      <w:r>
        <w:rPr>
          <w:spacing w:val="8"/>
          <w:sz w:val="23"/>
          <w:szCs w:val="23"/>
        </w:rPr>
        <w:t>)的集成电路生产</w:t>
      </w:r>
      <w:r>
        <w:rPr>
          <w:sz w:val="23"/>
          <w:szCs w:val="23"/>
        </w:rPr>
        <w:t xml:space="preserve"> </w:t>
      </w:r>
      <w:r>
        <w:rPr>
          <w:spacing w:val="-2"/>
          <w:sz w:val="23"/>
          <w:szCs w:val="23"/>
        </w:rPr>
        <w:t>企业，自获利年度起第一年至第二年免征企</w:t>
      </w:r>
      <w:r>
        <w:rPr>
          <w:spacing w:val="-3"/>
          <w:sz w:val="23"/>
          <w:szCs w:val="23"/>
        </w:rPr>
        <w:t>业所得税，第三年至第五年按照25%的法定税率减半</w:t>
      </w:r>
      <w:r>
        <w:rPr>
          <w:sz w:val="23"/>
          <w:szCs w:val="23"/>
        </w:rPr>
        <w:t xml:space="preserve"> </w:t>
      </w:r>
      <w:r>
        <w:rPr>
          <w:spacing w:val="-6"/>
          <w:sz w:val="23"/>
          <w:szCs w:val="23"/>
        </w:rPr>
        <w:t>征收企业所得税，并享受至期满为止。</w:t>
      </w:r>
    </w:p>
    <w:p>
      <w:pPr>
        <w:pStyle w:val="2"/>
        <w:spacing w:before="107" w:line="222" w:lineRule="auto"/>
        <w:ind w:left="490"/>
        <w:rPr>
          <w:sz w:val="23"/>
          <w:szCs w:val="23"/>
        </w:rPr>
      </w:pPr>
      <w:r>
        <w:rPr>
          <w:spacing w:val="3"/>
          <w:sz w:val="23"/>
          <w:szCs w:val="23"/>
        </w:rPr>
        <w:t>10. 《关于完善研究开发费用税前加计扣除政策的通知》(财税〔2015〕119号)</w:t>
      </w:r>
    </w:p>
    <w:p>
      <w:pPr>
        <w:pStyle w:val="2"/>
        <w:spacing w:before="70" w:line="277" w:lineRule="auto"/>
        <w:ind w:right="68" w:firstLine="490"/>
        <w:rPr>
          <w:sz w:val="23"/>
          <w:szCs w:val="23"/>
        </w:rPr>
      </w:pPr>
      <w:r>
        <w:rPr>
          <w:spacing w:val="2"/>
          <w:sz w:val="23"/>
          <w:szCs w:val="23"/>
        </w:rPr>
        <w:t>11.</w:t>
      </w:r>
      <w:r>
        <w:rPr>
          <w:spacing w:val="-55"/>
          <w:sz w:val="23"/>
          <w:szCs w:val="23"/>
        </w:rPr>
        <w:t xml:space="preserve"> </w:t>
      </w:r>
      <w:r>
        <w:rPr>
          <w:spacing w:val="2"/>
          <w:sz w:val="23"/>
          <w:szCs w:val="23"/>
        </w:rPr>
        <w:t>符合条件的集成电路封装、测试企业以及集成电路关键专用材料生产企业、集成电路</w:t>
      </w:r>
      <w:r>
        <w:rPr>
          <w:sz w:val="23"/>
          <w:szCs w:val="23"/>
        </w:rPr>
        <w:t xml:space="preserve"> </w:t>
      </w:r>
      <w:r>
        <w:rPr>
          <w:spacing w:val="-4"/>
          <w:sz w:val="23"/>
          <w:szCs w:val="23"/>
        </w:rPr>
        <w:t>专用设备生产企业，在2017年(含2017年)前实现获利的</w:t>
      </w:r>
      <w:r>
        <w:rPr>
          <w:spacing w:val="-5"/>
          <w:sz w:val="23"/>
          <w:szCs w:val="23"/>
        </w:rPr>
        <w:t>，自获利年度起，第一年至第二年免征企</w:t>
      </w:r>
      <w:r>
        <w:rPr>
          <w:sz w:val="23"/>
          <w:szCs w:val="23"/>
        </w:rPr>
        <w:t xml:space="preserve"> </w:t>
      </w:r>
      <w:r>
        <w:rPr>
          <w:spacing w:val="-2"/>
          <w:sz w:val="23"/>
          <w:szCs w:val="23"/>
        </w:rPr>
        <w:t>业所得税，第三年至第五年按照25%的法定税率减半征收企业所得税，并享受至期满为止；20</w:t>
      </w:r>
      <w:r>
        <w:rPr>
          <w:spacing w:val="-3"/>
          <w:sz w:val="23"/>
          <w:szCs w:val="23"/>
        </w:rPr>
        <w:t>17</w:t>
      </w:r>
      <w:r>
        <w:rPr>
          <w:sz w:val="23"/>
          <w:szCs w:val="23"/>
        </w:rPr>
        <w:t xml:space="preserve"> </w:t>
      </w:r>
      <w:r>
        <w:rPr>
          <w:spacing w:val="-2"/>
          <w:sz w:val="23"/>
          <w:szCs w:val="23"/>
        </w:rPr>
        <w:t>年前未实现获利的，自2017年起计算优惠期，享受至期满为止。</w:t>
      </w:r>
    </w:p>
    <w:p>
      <w:pPr>
        <w:pStyle w:val="2"/>
        <w:spacing w:before="73" w:line="263" w:lineRule="auto"/>
        <w:ind w:right="60" w:firstLine="490"/>
        <w:rPr>
          <w:sz w:val="23"/>
          <w:szCs w:val="23"/>
        </w:rPr>
      </w:pPr>
      <w:r>
        <w:rPr>
          <w:spacing w:val="-2"/>
          <w:sz w:val="23"/>
          <w:szCs w:val="23"/>
        </w:rPr>
        <w:t>12.企业外购的软件，凡符合固定资产或无形资产确认条件的，可以按照固定资产或无形资</w:t>
      </w:r>
      <w:r>
        <w:rPr>
          <w:sz w:val="23"/>
          <w:szCs w:val="23"/>
        </w:rPr>
        <w:t xml:space="preserve"> </w:t>
      </w:r>
      <w:r>
        <w:rPr>
          <w:spacing w:val="-6"/>
          <w:sz w:val="23"/>
          <w:szCs w:val="23"/>
        </w:rPr>
        <w:t>产进行核算，其折旧或摊销年限可以适当缩短，最短可为2年(含)。</w:t>
      </w:r>
    </w:p>
    <w:p>
      <w:pPr>
        <w:pStyle w:val="2"/>
        <w:spacing w:before="84" w:line="220" w:lineRule="auto"/>
        <w:ind w:left="490"/>
        <w:rPr>
          <w:sz w:val="23"/>
          <w:szCs w:val="23"/>
        </w:rPr>
      </w:pPr>
      <w:r>
        <w:rPr>
          <w:spacing w:val="-4"/>
          <w:sz w:val="23"/>
          <w:szCs w:val="23"/>
        </w:rPr>
        <w:t>13. 非营利性科研机构自用的房产、土地，免征房产税、城镇土地使</w:t>
      </w:r>
      <w:r>
        <w:rPr>
          <w:spacing w:val="-5"/>
          <w:sz w:val="23"/>
          <w:szCs w:val="23"/>
        </w:rPr>
        <w:t>用税。</w:t>
      </w:r>
    </w:p>
    <w:p>
      <w:pPr>
        <w:pStyle w:val="2"/>
        <w:spacing w:before="73" w:line="273" w:lineRule="auto"/>
        <w:ind w:firstLine="490"/>
        <w:rPr>
          <w:sz w:val="23"/>
          <w:szCs w:val="23"/>
        </w:rPr>
      </w:pPr>
      <w:r>
        <w:rPr>
          <w:spacing w:val="6"/>
          <w:sz w:val="23"/>
          <w:szCs w:val="23"/>
        </w:rPr>
        <w:t>14.对企业出资给非营利性科学技术研究开发机构(科</w:t>
      </w:r>
      <w:r>
        <w:rPr>
          <w:spacing w:val="5"/>
          <w:sz w:val="23"/>
          <w:szCs w:val="23"/>
        </w:rPr>
        <w:t>学技术研究开发机构以下简称科研</w:t>
      </w:r>
      <w:r>
        <w:rPr>
          <w:sz w:val="23"/>
          <w:szCs w:val="23"/>
        </w:rPr>
        <w:t xml:space="preserve">  </w:t>
      </w:r>
      <w:r>
        <w:rPr>
          <w:spacing w:val="-1"/>
          <w:sz w:val="23"/>
          <w:szCs w:val="23"/>
        </w:rPr>
        <w:t>机构)、高等学校和政府性自然科学基金用于基础研究的支出，</w:t>
      </w:r>
      <w:r>
        <w:rPr>
          <w:spacing w:val="-2"/>
          <w:sz w:val="23"/>
          <w:szCs w:val="23"/>
        </w:rPr>
        <w:t>在计算应纳税所得额时可按实际</w:t>
      </w:r>
      <w:r>
        <w:rPr>
          <w:sz w:val="23"/>
          <w:szCs w:val="23"/>
        </w:rPr>
        <w:t xml:space="preserve"> </w:t>
      </w:r>
      <w:r>
        <w:rPr>
          <w:spacing w:val="3"/>
          <w:sz w:val="23"/>
          <w:szCs w:val="23"/>
        </w:rPr>
        <w:t>发生额在税前扣除，并可按100%在税前加计扣除。对非营利性科研机构、高等学</w:t>
      </w:r>
      <w:r>
        <w:rPr>
          <w:spacing w:val="2"/>
          <w:sz w:val="23"/>
          <w:szCs w:val="23"/>
        </w:rPr>
        <w:t>校接收企业、</w:t>
      </w:r>
      <w:r>
        <w:rPr>
          <w:sz w:val="23"/>
          <w:szCs w:val="23"/>
        </w:rPr>
        <w:t xml:space="preserve"> </w:t>
      </w:r>
      <w:r>
        <w:rPr>
          <w:spacing w:val="-2"/>
          <w:sz w:val="23"/>
          <w:szCs w:val="23"/>
        </w:rPr>
        <w:t>个人和其他组织机构基础研究资金收入，免征企业所得税。</w:t>
      </w:r>
    </w:p>
    <w:p>
      <w:pPr>
        <w:pStyle w:val="2"/>
        <w:spacing w:before="104" w:line="252" w:lineRule="auto"/>
        <w:ind w:right="92" w:firstLine="490"/>
        <w:rPr>
          <w:sz w:val="23"/>
          <w:szCs w:val="23"/>
        </w:rPr>
      </w:pPr>
      <w:r>
        <w:rPr>
          <w:spacing w:val="3"/>
          <w:sz w:val="23"/>
          <w:szCs w:val="23"/>
        </w:rPr>
        <w:t>15.对物流企业自有(包括自用和出租)或承租的大宗商品仓储设施用地</w:t>
      </w:r>
      <w:r>
        <w:rPr>
          <w:spacing w:val="2"/>
          <w:sz w:val="23"/>
          <w:szCs w:val="23"/>
        </w:rPr>
        <w:t>，减按所属土地等</w:t>
      </w:r>
      <w:r>
        <w:rPr>
          <w:sz w:val="23"/>
          <w:szCs w:val="23"/>
        </w:rPr>
        <w:t xml:space="preserve"> </w:t>
      </w:r>
      <w:r>
        <w:rPr>
          <w:spacing w:val="7"/>
          <w:sz w:val="23"/>
          <w:szCs w:val="23"/>
        </w:rPr>
        <w:t>级适用税额标准的50%计征城镇土地使用税。</w:t>
      </w:r>
    </w:p>
    <w:p>
      <w:pPr>
        <w:spacing w:line="252" w:lineRule="auto"/>
        <w:rPr>
          <w:sz w:val="23"/>
          <w:szCs w:val="23"/>
        </w:rPr>
        <w:sectPr>
          <w:headerReference r:id="rId6" w:type="default"/>
          <w:pgSz w:w="11900" w:h="16840"/>
          <w:pgMar w:top="400" w:right="1055" w:bottom="0" w:left="1289" w:header="0" w:footer="0" w:gutter="0"/>
          <w:cols w:space="720" w:num="1"/>
        </w:sectPr>
      </w:pPr>
    </w:p>
    <w:p>
      <w:pPr>
        <w:spacing w:before="333" w:line="219" w:lineRule="auto"/>
        <w:ind w:left="3406"/>
        <w:rPr>
          <w:rFonts w:ascii="宋体" w:hAnsi="宋体" w:eastAsia="宋体" w:cs="宋体"/>
          <w:sz w:val="48"/>
          <w:szCs w:val="48"/>
        </w:rPr>
      </w:pPr>
      <w:r>
        <w:pict>
          <v:rect id="_x0000_s1032" o:spid="_x0000_s1032" o:spt="1" style="position:absolute;left:0pt;margin-left:66.45pt;margin-top:61pt;height:0.5pt;width:471.55pt;mso-position-horizontal-relative:page;mso-position-vertical-relative:page;z-index:251668480;mso-width-relative:page;mso-height-relative:page;" fillcolor="#000000" filled="t" stroked="f" coordsize="21600,21600" o:allowincell="f">
            <v:path/>
            <v:fill on="t" focussize="0,0"/>
            <v:stroke on="f"/>
            <v:imagedata o:title=""/>
            <o:lock v:ext="edit"/>
          </v:rect>
        </w:pict>
      </w:r>
      <w:r>
        <w:pict>
          <v:shape id="_x0000_s1033" o:spid="_x0000_s1033" o:spt="202" type="#_x0000_t202" style="position:absolute;left:0pt;margin-left:419.5pt;margin-top:29.35pt;height:12.1pt;width:52.75pt;z-index:251667456;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17"/>
                      <w:szCs w:val="17"/>
                    </w:rPr>
                  </w:pPr>
                  <w:r>
                    <w:rPr>
                      <w:rFonts w:hint="eastAsia" w:ascii="宋体" w:hAnsi="宋体" w:eastAsia="宋体" w:cs="宋体"/>
                      <w:spacing w:val="-1"/>
                      <w:sz w:val="17"/>
                      <w:szCs w:val="17"/>
                      <w:lang w:eastAsia="zh-CN"/>
                    </w:rPr>
                    <w:t>遵化</w:t>
                  </w:r>
                  <w:r>
                    <w:rPr>
                      <w:rFonts w:ascii="宋体" w:hAnsi="宋体" w:eastAsia="宋体" w:cs="宋体"/>
                      <w:spacing w:val="-1"/>
                      <w:sz w:val="17"/>
                      <w:szCs w:val="17"/>
                    </w:rPr>
                    <w:t>市财政居</w:t>
                  </w:r>
                </w:p>
              </w:txbxContent>
            </v:textbox>
          </v:shape>
        </w:pict>
      </w:r>
      <w:r>
        <w:pict>
          <v:shape id="_x0000_s1034" o:spid="_x0000_s1034" o:spt="202" type="#_x0000_t202" style="position:absolute;left:0pt;margin-left:-0.95pt;margin-top:29.4pt;height:13.3pt;width:82pt;z-index:251666432;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19"/>
                      <w:szCs w:val="19"/>
                    </w:rPr>
                  </w:pPr>
                  <w:r>
                    <w:rPr>
                      <w:rFonts w:ascii="宋体" w:hAnsi="宋体" w:eastAsia="宋体" w:cs="宋体"/>
                      <w:spacing w:val="-11"/>
                      <w:sz w:val="19"/>
                      <w:szCs w:val="19"/>
                    </w:rPr>
                    <w:t>税费优惠政策明白纸</w:t>
                  </w:r>
                </w:p>
              </w:txbxContent>
            </v:textbox>
          </v:shape>
        </w:pict>
      </w:r>
      <w:r>
        <w:rPr>
          <w:rFonts w:ascii="宋体" w:hAnsi="宋体" w:eastAsia="宋体" w:cs="宋体"/>
          <w:b/>
          <w:bCs/>
          <w:spacing w:val="-40"/>
          <w:sz w:val="48"/>
          <w:szCs w:val="48"/>
        </w:rPr>
        <w:t>“六进”明白纸</w:t>
      </w:r>
    </w:p>
    <w:p>
      <w:pPr>
        <w:spacing w:before="332" w:line="221" w:lineRule="auto"/>
        <w:ind w:left="3794"/>
        <w:rPr>
          <w:rFonts w:ascii="黑体" w:hAnsi="黑体" w:eastAsia="黑体" w:cs="黑体"/>
          <w:sz w:val="29"/>
          <w:szCs w:val="29"/>
        </w:rPr>
      </w:pPr>
      <w:r>
        <w:rPr>
          <w:rFonts w:ascii="黑体" w:hAnsi="黑体" w:eastAsia="黑体" w:cs="黑体"/>
          <w:b/>
          <w:bCs/>
          <w:spacing w:val="-7"/>
          <w:sz w:val="29"/>
          <w:szCs w:val="29"/>
        </w:rPr>
        <w:t>自主创新类政策</w:t>
      </w:r>
    </w:p>
    <w:p>
      <w:pPr>
        <w:spacing w:line="330" w:lineRule="auto"/>
        <w:rPr>
          <w:rFonts w:ascii="Arial"/>
          <w:sz w:val="21"/>
        </w:rPr>
      </w:pPr>
    </w:p>
    <w:p>
      <w:pPr>
        <w:pStyle w:val="2"/>
        <w:spacing w:before="78" w:line="219" w:lineRule="auto"/>
        <w:ind w:left="470"/>
      </w:pPr>
      <w:r>
        <w:rPr>
          <w:spacing w:val="-7"/>
        </w:rPr>
        <w:t>1.关于企业转增股本个人所得税政策</w:t>
      </w:r>
    </w:p>
    <w:p>
      <w:pPr>
        <w:pStyle w:val="2"/>
        <w:spacing w:before="70" w:line="246" w:lineRule="auto"/>
        <w:ind w:right="115" w:firstLine="470"/>
      </w:pPr>
      <w:r>
        <w:rPr>
          <w:spacing w:val="38"/>
        </w:rPr>
        <w:t>①自2016年1月1</w:t>
      </w:r>
      <w:r>
        <w:rPr>
          <w:spacing w:val="-7"/>
        </w:rPr>
        <w:t xml:space="preserve"> </w:t>
      </w:r>
      <w:r>
        <w:rPr>
          <w:spacing w:val="-13"/>
        </w:rPr>
        <w:t>日起，全国范围内的中小高新技术企业以未分配利润、盈余公积、资</w:t>
      </w:r>
      <w:r>
        <w:t xml:space="preserve"> </w:t>
      </w:r>
      <w:r>
        <w:rPr>
          <w:spacing w:val="-9"/>
        </w:rPr>
        <w:t>本公积向个人股东转增股本时，个人股东一次缴纳</w:t>
      </w:r>
      <w:r>
        <w:rPr>
          <w:spacing w:val="-10"/>
        </w:rPr>
        <w:t>个人所得税确有困难的，可根据实际情况自</w:t>
      </w:r>
    </w:p>
    <w:p>
      <w:pPr>
        <w:pStyle w:val="2"/>
        <w:spacing w:before="76" w:line="252" w:lineRule="auto"/>
        <w:ind w:right="124"/>
      </w:pPr>
      <w:r>
        <w:rPr>
          <w:spacing w:val="-12"/>
        </w:rPr>
        <w:t>行制定分期缴税计划，在不超过5个公历年度内(含)分期缴纳，并将有关资料报主管税务机关备</w:t>
      </w:r>
      <w:r>
        <w:rPr>
          <w:spacing w:val="1"/>
        </w:rPr>
        <w:t xml:space="preserve"> </w:t>
      </w:r>
      <w:r>
        <w:rPr>
          <w:spacing w:val="-13"/>
        </w:rPr>
        <w:t>案。</w:t>
      </w:r>
    </w:p>
    <w:p>
      <w:pPr>
        <w:pStyle w:val="2"/>
        <w:spacing w:before="103" w:line="244" w:lineRule="auto"/>
        <w:ind w:right="104" w:firstLine="470"/>
      </w:pPr>
      <w:r>
        <w:rPr>
          <w:spacing w:val="-12"/>
        </w:rPr>
        <w:t>②个人股东获得转增的股本，应按照“利息、股息、红利所得”项目，适用20%税率征收个</w:t>
      </w:r>
      <w:r>
        <w:rPr>
          <w:spacing w:val="6"/>
        </w:rPr>
        <w:t xml:space="preserve"> </w:t>
      </w:r>
      <w:r>
        <w:rPr>
          <w:spacing w:val="-9"/>
        </w:rPr>
        <w:t>人所得税。</w:t>
      </w:r>
    </w:p>
    <w:p>
      <w:pPr>
        <w:pStyle w:val="2"/>
        <w:spacing w:before="97" w:line="259" w:lineRule="auto"/>
        <w:ind w:right="105" w:firstLine="470"/>
      </w:pPr>
      <w:r>
        <w:rPr>
          <w:spacing w:val="-9"/>
        </w:rPr>
        <w:t>③在股东转让该部分股权之前，企业依法宣告破产，</w:t>
      </w:r>
      <w:r>
        <w:rPr>
          <w:spacing w:val="-10"/>
        </w:rPr>
        <w:t>股东进行相关权益处置后没有取得收</w:t>
      </w:r>
      <w:r>
        <w:t xml:space="preserve"> </w:t>
      </w:r>
      <w:r>
        <w:rPr>
          <w:spacing w:val="-9"/>
        </w:rPr>
        <w:t>益或收益小于初始投资额的，主管税务机关对其尚未缴纳的个人</w:t>
      </w:r>
      <w:r>
        <w:rPr>
          <w:spacing w:val="-10"/>
        </w:rPr>
        <w:t>所得税可不予追征。</w:t>
      </w:r>
    </w:p>
    <w:p>
      <w:pPr>
        <w:pStyle w:val="2"/>
        <w:spacing w:before="51" w:line="222" w:lineRule="auto"/>
        <w:ind w:left="470"/>
      </w:pPr>
      <w:r>
        <w:rPr>
          <w:spacing w:val="-6"/>
        </w:rPr>
        <w:t>2.关于股权奖励个人所得税政策</w:t>
      </w:r>
    </w:p>
    <w:p>
      <w:pPr>
        <w:pStyle w:val="2"/>
        <w:spacing w:before="78" w:line="253" w:lineRule="auto"/>
        <w:ind w:right="122" w:firstLine="470"/>
      </w:pPr>
      <w:r>
        <w:rPr>
          <w:spacing w:val="33"/>
        </w:rPr>
        <w:t>①自2016年1月1</w:t>
      </w:r>
      <w:r>
        <w:rPr>
          <w:spacing w:val="-9"/>
        </w:rPr>
        <w:t xml:space="preserve"> </w:t>
      </w:r>
      <w:r>
        <w:rPr>
          <w:spacing w:val="-19"/>
        </w:rPr>
        <w:t>日起，全国范围内的高新技术企业转化科技成果，给予本企业相关技术</w:t>
      </w:r>
      <w:r>
        <w:t xml:space="preserve"> </w:t>
      </w:r>
      <w:r>
        <w:rPr>
          <w:spacing w:val="-15"/>
        </w:rPr>
        <w:t>人员的股权奖励，个人一次缴纳税款有困难的，可根据实际情况自行制定分期缴税计划</w:t>
      </w:r>
      <w:r>
        <w:rPr>
          <w:spacing w:val="-16"/>
        </w:rPr>
        <w:t>，在不超</w:t>
      </w:r>
      <w:r>
        <w:t xml:space="preserve"> </w:t>
      </w:r>
      <w:r>
        <w:rPr>
          <w:spacing w:val="-9"/>
        </w:rPr>
        <w:t>过5个公历年度内(含)分期缴纳，并将有关资料报主管税务机关备案。</w:t>
      </w:r>
    </w:p>
    <w:p>
      <w:pPr>
        <w:pStyle w:val="2"/>
        <w:spacing w:before="103" w:line="254" w:lineRule="auto"/>
        <w:ind w:right="124" w:firstLine="470"/>
      </w:pPr>
      <w:r>
        <w:rPr>
          <w:spacing w:val="-16"/>
        </w:rPr>
        <w:t>②个人获得股权奖励时，按照“工资薪金所得”项目，参照《关于个人股票期权所得征收个</w:t>
      </w:r>
      <w:r>
        <w:rPr>
          <w:spacing w:val="14"/>
        </w:rPr>
        <w:t xml:space="preserve"> </w:t>
      </w:r>
      <w:r>
        <w:rPr>
          <w:spacing w:val="-6"/>
        </w:rPr>
        <w:t>人所得税问题的通知》(财税〔2005〕35号)有关规定计算确定应纳税额。股权奖励的计税价</w:t>
      </w:r>
    </w:p>
    <w:p>
      <w:pPr>
        <w:pStyle w:val="2"/>
        <w:spacing w:before="53" w:line="222" w:lineRule="auto"/>
        <w:ind w:left="470"/>
      </w:pPr>
      <w:r>
        <w:rPr>
          <w:spacing w:val="-7"/>
        </w:rPr>
        <w:t>格参照获得股权时的公平市场价格确定。</w:t>
      </w:r>
    </w:p>
    <w:p>
      <w:pPr>
        <w:pStyle w:val="2"/>
        <w:spacing w:before="66" w:line="260" w:lineRule="auto"/>
        <w:ind w:firstLine="470"/>
      </w:pPr>
      <w:r>
        <w:rPr>
          <w:spacing w:val="-4"/>
        </w:rPr>
        <w:t>③技术人员在转让奖励的股权之前企业依法宣告破产，技术人员进行相关权益处置后没</w:t>
      </w:r>
      <w:r>
        <w:rPr>
          <w:spacing w:val="2"/>
        </w:rPr>
        <w:t xml:space="preserve">  </w:t>
      </w:r>
      <w:r>
        <w:rPr>
          <w:spacing w:val="-7"/>
        </w:rPr>
        <w:t>有取得收益或资产，或取得的收益和资产不足以缴纳其取得股权尚未缴纳的应纳税款的部分，</w:t>
      </w:r>
      <w:r>
        <w:rPr>
          <w:spacing w:val="16"/>
        </w:rPr>
        <w:t xml:space="preserve"> </w:t>
      </w:r>
      <w:r>
        <w:rPr>
          <w:spacing w:val="-8"/>
        </w:rPr>
        <w:t>税务机关可不予追征。</w:t>
      </w:r>
    </w:p>
    <w:p>
      <w:pPr>
        <w:pStyle w:val="2"/>
        <w:spacing w:before="92" w:line="222" w:lineRule="auto"/>
        <w:ind w:left="470"/>
      </w:pPr>
      <w:r>
        <w:rPr>
          <w:spacing w:val="-6"/>
        </w:rPr>
        <w:t>3. 《关于软件产品增值税政策的通知》(财税〔2</w:t>
      </w:r>
      <w:r>
        <w:rPr>
          <w:spacing w:val="-7"/>
        </w:rPr>
        <w:t>011〕100号)</w:t>
      </w:r>
    </w:p>
    <w:p>
      <w:pPr>
        <w:pStyle w:val="2"/>
        <w:spacing w:before="58" w:line="257" w:lineRule="auto"/>
        <w:ind w:right="117" w:firstLine="470"/>
      </w:pPr>
      <w:r>
        <w:rPr>
          <w:spacing w:val="-6"/>
        </w:rPr>
        <w:t>①增值税一般纳税人销售其自行开发生产的软件</w:t>
      </w:r>
      <w:r>
        <w:rPr>
          <w:spacing w:val="-7"/>
        </w:rPr>
        <w:t>产品，按17%税率征收增值税后，对其增</w:t>
      </w:r>
      <w:r>
        <w:t xml:space="preserve"> </w:t>
      </w:r>
      <w:r>
        <w:rPr>
          <w:spacing w:val="-1"/>
        </w:rPr>
        <w:t>值税实际税负超过3%的部分实行即征即退政策。</w:t>
      </w:r>
    </w:p>
    <w:p>
      <w:pPr>
        <w:pStyle w:val="2"/>
        <w:spacing w:before="74" w:line="246" w:lineRule="auto"/>
        <w:ind w:right="122" w:firstLine="470"/>
      </w:pPr>
      <w:r>
        <w:rPr>
          <w:spacing w:val="-4"/>
        </w:rPr>
        <w:t>②增值税一般纳税人将进口软件产品进行本地化改造后对外销售，其销售的软件产品可</w:t>
      </w:r>
      <w:r>
        <w:rPr>
          <w:spacing w:val="8"/>
        </w:rPr>
        <w:t xml:space="preserve"> </w:t>
      </w:r>
      <w:r>
        <w:rPr>
          <w:spacing w:val="-7"/>
        </w:rPr>
        <w:t>享受本条第一款规定的增值税即征即退政策。</w:t>
      </w:r>
    </w:p>
    <w:p>
      <w:pPr>
        <w:pStyle w:val="2"/>
        <w:spacing w:before="80" w:line="259" w:lineRule="auto"/>
        <w:ind w:right="80" w:firstLine="470"/>
      </w:pPr>
      <w:r>
        <w:rPr>
          <w:spacing w:val="-10"/>
        </w:rPr>
        <w:t>③纳税人受托开发软件产品，著作权属于受托方的征收增值税，著作权属于委托方或属于</w:t>
      </w:r>
      <w:r>
        <w:rPr>
          <w:spacing w:val="7"/>
        </w:rPr>
        <w:t xml:space="preserve"> </w:t>
      </w:r>
      <w:r>
        <w:rPr>
          <w:spacing w:val="-14"/>
        </w:rPr>
        <w:t>双方共同拥有的不征收增值税；对经过国家版权局注册登记，纳税人在销售时一并转让著</w:t>
      </w:r>
      <w:r>
        <w:rPr>
          <w:spacing w:val="-15"/>
        </w:rPr>
        <w:t>作权、</w:t>
      </w:r>
      <w:r>
        <w:t xml:space="preserve"> </w:t>
      </w:r>
      <w:r>
        <w:rPr>
          <w:spacing w:val="-22"/>
        </w:rPr>
        <w:t>所有权的，不征收增值税。</w:t>
      </w:r>
    </w:p>
    <w:p>
      <w:pPr>
        <w:spacing w:line="292" w:lineRule="auto"/>
        <w:rPr>
          <w:rFonts w:ascii="Arial"/>
          <w:sz w:val="21"/>
        </w:rPr>
      </w:pPr>
    </w:p>
    <w:p>
      <w:pPr>
        <w:spacing w:before="94" w:line="221" w:lineRule="auto"/>
        <w:ind w:left="3744"/>
        <w:rPr>
          <w:rFonts w:ascii="黑体" w:hAnsi="黑体" w:eastAsia="黑体" w:cs="黑体"/>
          <w:sz w:val="29"/>
          <w:szCs w:val="29"/>
        </w:rPr>
      </w:pPr>
      <w:r>
        <w:rPr>
          <w:rFonts w:ascii="黑体" w:hAnsi="黑体" w:eastAsia="黑体" w:cs="黑体"/>
          <w:b/>
          <w:bCs/>
          <w:spacing w:val="-5"/>
          <w:sz w:val="29"/>
          <w:szCs w:val="29"/>
        </w:rPr>
        <w:t>外包服务类政策</w:t>
      </w:r>
    </w:p>
    <w:p>
      <w:pPr>
        <w:spacing w:line="355" w:lineRule="auto"/>
        <w:rPr>
          <w:rFonts w:ascii="Arial"/>
          <w:sz w:val="21"/>
        </w:rPr>
      </w:pPr>
    </w:p>
    <w:p>
      <w:pPr>
        <w:pStyle w:val="2"/>
        <w:spacing w:before="79" w:line="222" w:lineRule="auto"/>
        <w:ind w:left="470"/>
      </w:pPr>
      <w:r>
        <w:rPr>
          <w:spacing w:val="-7"/>
        </w:rPr>
        <w:t>1.对经认定的技术先进型服务企业(服务贸易类),减按15%的税率征收企业所得税。</w:t>
      </w:r>
    </w:p>
    <w:p>
      <w:pPr>
        <w:pStyle w:val="2"/>
        <w:spacing w:before="57" w:line="259" w:lineRule="auto"/>
        <w:ind w:right="140" w:firstLine="470"/>
      </w:pPr>
      <w:r>
        <w:rPr>
          <w:spacing w:val="-7"/>
        </w:rPr>
        <w:t>2. 《关于将技术先进型服务企业所得税政策推广至全国，在全国范围内实行以下企</w:t>
      </w:r>
      <w:r>
        <w:rPr>
          <w:spacing w:val="-8"/>
        </w:rPr>
        <w:t>业所</w:t>
      </w:r>
      <w:r>
        <w:t xml:space="preserve"> </w:t>
      </w:r>
      <w:r>
        <w:rPr>
          <w:spacing w:val="-14"/>
        </w:rPr>
        <w:t>得税优惠政策：</w:t>
      </w:r>
    </w:p>
    <w:p>
      <w:pPr>
        <w:pStyle w:val="2"/>
        <w:spacing w:before="59" w:line="222" w:lineRule="auto"/>
        <w:ind w:left="470"/>
      </w:pPr>
      <w:r>
        <w:rPr>
          <w:spacing w:val="-7"/>
        </w:rPr>
        <w:t>①对经认定的技术先进型服务企业，减按15%的税率征收企业所得税。</w:t>
      </w:r>
    </w:p>
    <w:p>
      <w:pPr>
        <w:pStyle w:val="2"/>
        <w:spacing w:before="90" w:line="247" w:lineRule="auto"/>
        <w:ind w:right="134" w:firstLine="470"/>
      </w:pPr>
      <w:r>
        <w:rPr>
          <w:spacing w:val="-4"/>
        </w:rPr>
        <w:t>②经认定的技术先进型服务企业发生的职工教育经费支出，不超过工资薪金总额8%的部</w:t>
      </w:r>
      <w:r>
        <w:t xml:space="preserve"> </w:t>
      </w:r>
      <w:r>
        <w:rPr>
          <w:spacing w:val="-19"/>
        </w:rPr>
        <w:t>分，准予在计算应纳税所得额时扣除；超过</w:t>
      </w:r>
      <w:r>
        <w:rPr>
          <w:spacing w:val="-20"/>
        </w:rPr>
        <w:t>部分，准予在以后纳税年度结转扣除。</w:t>
      </w:r>
    </w:p>
    <w:p>
      <w:pPr>
        <w:spacing w:line="247" w:lineRule="auto"/>
        <w:sectPr>
          <w:pgSz w:w="11900" w:h="16840"/>
          <w:pgMar w:top="400" w:right="1029" w:bottom="0" w:left="1299" w:header="0" w:footer="0" w:gutter="0"/>
          <w:cols w:space="720" w:num="1"/>
        </w:sectPr>
      </w:pPr>
    </w:p>
    <w:p>
      <w:pPr>
        <w:spacing w:line="298" w:lineRule="auto"/>
        <w:rPr>
          <w:rFonts w:ascii="Arial"/>
          <w:sz w:val="21"/>
        </w:rPr>
      </w:pPr>
    </w:p>
    <w:p>
      <w:pPr>
        <w:spacing w:before="153" w:line="219" w:lineRule="auto"/>
        <w:ind w:left="3371"/>
        <w:rPr>
          <w:rFonts w:ascii="宋体" w:hAnsi="宋体" w:eastAsia="宋体" w:cs="宋体"/>
          <w:sz w:val="47"/>
          <w:szCs w:val="47"/>
        </w:rPr>
      </w:pPr>
      <w:r>
        <w:pict>
          <v:rect id="_x0000_s1035" o:spid="_x0000_s1035" o:spt="1" style="position:absolute;left:0pt;margin-left:2pt;margin-top:29.5pt;height:1.05pt;width:471.05pt;z-index:251671552;mso-width-relative:page;mso-height-relative:page;" fillcolor="#000000" filled="t" stroked="f" coordsize="21600,21600">
            <v:path/>
            <v:fill on="t" focussize="0,0"/>
            <v:stroke on="f"/>
            <v:imagedata o:title=""/>
            <o:lock v:ext="edit"/>
          </v:rect>
        </w:pict>
      </w:r>
      <w:r>
        <w:pict>
          <v:shape id="_x0000_s1036" o:spid="_x0000_s1036" o:spt="202" type="#_x0000_t202" style="position:absolute;left:0pt;margin-left:418.5pt;margin-top:19.4pt;height:13.3pt;width:55.35pt;z-index:251670528;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19"/>
                      <w:szCs w:val="19"/>
                    </w:rPr>
                  </w:pPr>
                  <w:r>
                    <w:rPr>
                      <w:rFonts w:hint="eastAsia" w:ascii="宋体" w:hAnsi="宋体" w:eastAsia="宋体" w:cs="宋体"/>
                      <w:spacing w:val="-11"/>
                      <w:sz w:val="19"/>
                      <w:szCs w:val="19"/>
                      <w:lang w:eastAsia="zh-CN"/>
                    </w:rPr>
                    <w:t>遵化</w:t>
                  </w:r>
                  <w:r>
                    <w:rPr>
                      <w:rFonts w:ascii="宋体" w:hAnsi="宋体" w:eastAsia="宋体" w:cs="宋体"/>
                      <w:spacing w:val="-11"/>
                      <w:sz w:val="19"/>
                      <w:szCs w:val="19"/>
                    </w:rPr>
                    <w:t>市财政局</w:t>
                  </w:r>
                </w:p>
              </w:txbxContent>
            </v:textbox>
          </v:shape>
        </w:pict>
      </w:r>
      <w:r>
        <w:pict>
          <v:shape id="_x0000_s1037" o:spid="_x0000_s1037" o:spt="202" type="#_x0000_t202" style="position:absolute;left:0pt;margin-left:-0.95pt;margin-top:20.4pt;height:13.3pt;width:82pt;z-index:251669504;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19"/>
                      <w:szCs w:val="19"/>
                    </w:rPr>
                  </w:pPr>
                  <w:r>
                    <w:rPr>
                      <w:rFonts w:ascii="宋体" w:hAnsi="宋体" w:eastAsia="宋体" w:cs="宋体"/>
                      <w:spacing w:val="-11"/>
                      <w:sz w:val="19"/>
                      <w:szCs w:val="19"/>
                    </w:rPr>
                    <w:t>税费优惠政策明白纸</w:t>
                  </w:r>
                </w:p>
              </w:txbxContent>
            </v:textbox>
          </v:shape>
        </w:pict>
      </w:r>
      <w:r>
        <w:rPr>
          <w:rFonts w:ascii="宋体" w:hAnsi="宋体" w:eastAsia="宋体" w:cs="宋体"/>
          <w:b/>
          <w:bCs/>
          <w:spacing w:val="-34"/>
          <w:sz w:val="47"/>
          <w:szCs w:val="47"/>
        </w:rPr>
        <w:t>“六进”明白纸</w:t>
      </w:r>
    </w:p>
    <w:p>
      <w:pPr>
        <w:spacing w:line="348" w:lineRule="auto"/>
        <w:rPr>
          <w:rFonts w:ascii="Arial"/>
          <w:sz w:val="21"/>
        </w:rPr>
      </w:pPr>
    </w:p>
    <w:p>
      <w:pPr>
        <w:spacing w:before="94" w:line="221" w:lineRule="auto"/>
        <w:ind w:left="3774"/>
        <w:rPr>
          <w:rFonts w:ascii="黑体" w:hAnsi="黑体" w:eastAsia="黑体" w:cs="黑体"/>
          <w:sz w:val="29"/>
          <w:szCs w:val="29"/>
        </w:rPr>
      </w:pPr>
      <w:r>
        <w:rPr>
          <w:rFonts w:ascii="黑体" w:hAnsi="黑体" w:eastAsia="黑体" w:cs="黑体"/>
          <w:b/>
          <w:bCs/>
          <w:spacing w:val="-3"/>
          <w:sz w:val="29"/>
          <w:szCs w:val="29"/>
        </w:rPr>
        <w:t>高新技术类政策</w:t>
      </w:r>
    </w:p>
    <w:p>
      <w:pPr>
        <w:spacing w:line="472" w:lineRule="auto"/>
        <w:rPr>
          <w:rFonts w:ascii="Arial"/>
          <w:sz w:val="21"/>
        </w:rPr>
      </w:pPr>
    </w:p>
    <w:p>
      <w:pPr>
        <w:pStyle w:val="2"/>
        <w:spacing w:before="78" w:line="221" w:lineRule="auto"/>
        <w:ind w:right="8"/>
        <w:jc w:val="right"/>
      </w:pPr>
      <w:r>
        <w:rPr>
          <w:spacing w:val="-9"/>
        </w:rPr>
        <w:t>1.当年具备高新技术企业或科技型中小企业资格(以下统称资格)的企业，其具备资格年度</w:t>
      </w:r>
    </w:p>
    <w:p>
      <w:pPr>
        <w:pStyle w:val="2"/>
        <w:spacing w:before="159" w:line="219" w:lineRule="auto"/>
      </w:pPr>
      <w:r>
        <w:rPr>
          <w:spacing w:val="-3"/>
        </w:rPr>
        <w:t>之前5个年度发生的尚未弥补完的亏损，准予结转以后年</w:t>
      </w:r>
      <w:r>
        <w:rPr>
          <w:spacing w:val="-4"/>
        </w:rPr>
        <w:t>度弥补，最长结转年限由5年延长至</w:t>
      </w:r>
    </w:p>
    <w:p>
      <w:pPr>
        <w:pStyle w:val="2"/>
        <w:spacing w:before="122" w:line="222" w:lineRule="auto"/>
        <w:rPr>
          <w:sz w:val="29"/>
          <w:szCs w:val="29"/>
        </w:rPr>
      </w:pPr>
      <w:r>
        <w:rPr>
          <w:spacing w:val="-16"/>
          <w:sz w:val="29"/>
          <w:szCs w:val="29"/>
        </w:rPr>
        <w:t>10年。</w:t>
      </w:r>
    </w:p>
    <w:p>
      <w:pPr>
        <w:pStyle w:val="2"/>
        <w:spacing w:before="136" w:line="347" w:lineRule="auto"/>
        <w:ind w:right="16" w:firstLine="459"/>
        <w:jc w:val="both"/>
      </w:pPr>
      <w:r>
        <w:t xml:space="preserve">2.对经济特区和上海浦东新区内在2008年1月1 日(含)之后完成登记注册的国家需要重 </w:t>
      </w:r>
      <w:r>
        <w:rPr>
          <w:spacing w:val="-10"/>
        </w:rPr>
        <w:t>点扶持的高新技术企业，在经济特区和上海浦东新区内取得的所得，自取得第一笔生产经营收</w:t>
      </w:r>
      <w:r>
        <w:rPr>
          <w:spacing w:val="3"/>
        </w:rPr>
        <w:t xml:space="preserve"> </w:t>
      </w:r>
      <w:r>
        <w:rPr>
          <w:spacing w:val="-12"/>
        </w:rPr>
        <w:t>入所属纳税年度起，第一年至第二年免征企业所得税，第三年至第五年按照25%的法定税率减半</w:t>
      </w:r>
    </w:p>
    <w:p>
      <w:pPr>
        <w:pStyle w:val="2"/>
        <w:spacing w:line="222" w:lineRule="auto"/>
      </w:pPr>
      <w:r>
        <w:rPr>
          <w:spacing w:val="-10"/>
        </w:rPr>
        <w:t>征收企业所得税。</w:t>
      </w:r>
    </w:p>
    <w:p>
      <w:pPr>
        <w:spacing w:line="441" w:lineRule="auto"/>
        <w:rPr>
          <w:rFonts w:ascii="Arial"/>
          <w:sz w:val="21"/>
        </w:rPr>
      </w:pPr>
    </w:p>
    <w:p>
      <w:pPr>
        <w:spacing w:before="95" w:line="221" w:lineRule="auto"/>
        <w:ind w:left="3754"/>
        <w:rPr>
          <w:rFonts w:ascii="黑体" w:hAnsi="黑体" w:eastAsia="黑体" w:cs="黑体"/>
          <w:sz w:val="29"/>
          <w:szCs w:val="29"/>
        </w:rPr>
      </w:pPr>
      <w:r>
        <w:rPr>
          <w:rFonts w:ascii="黑体" w:hAnsi="黑体" w:eastAsia="黑体" w:cs="黑体"/>
          <w:b/>
          <w:bCs/>
          <w:sz w:val="29"/>
          <w:szCs w:val="29"/>
        </w:rPr>
        <w:t>投资创业类政策</w:t>
      </w:r>
    </w:p>
    <w:p>
      <w:pPr>
        <w:spacing w:line="251" w:lineRule="auto"/>
        <w:rPr>
          <w:rFonts w:ascii="Arial"/>
          <w:sz w:val="21"/>
        </w:rPr>
      </w:pPr>
    </w:p>
    <w:p>
      <w:pPr>
        <w:spacing w:line="252" w:lineRule="auto"/>
        <w:rPr>
          <w:rFonts w:ascii="Arial"/>
          <w:sz w:val="21"/>
        </w:rPr>
      </w:pPr>
    </w:p>
    <w:p>
      <w:pPr>
        <w:pStyle w:val="2"/>
        <w:spacing w:before="78" w:line="337" w:lineRule="auto"/>
        <w:ind w:firstLine="459"/>
      </w:pPr>
      <w:r>
        <w:rPr>
          <w:spacing w:val="-6"/>
        </w:rPr>
        <w:t>1.公司制创业投资企业采取股权投资方式直接投资于</w:t>
      </w:r>
      <w:r>
        <w:rPr>
          <w:spacing w:val="-7"/>
        </w:rPr>
        <w:t>种子期、初创期科技型企业(以下简</w:t>
      </w:r>
      <w:r>
        <w:t xml:space="preserve"> </w:t>
      </w:r>
      <w:r>
        <w:rPr>
          <w:spacing w:val="-8"/>
        </w:rPr>
        <w:t>称初创科技型企业)满2年(24个月，下同)的，可以按照投资额的70%在股权持有满2年的当年抵</w:t>
      </w:r>
    </w:p>
    <w:p>
      <w:pPr>
        <w:pStyle w:val="2"/>
        <w:spacing w:before="1" w:line="218" w:lineRule="auto"/>
      </w:pPr>
      <w:r>
        <w:rPr>
          <w:spacing w:val="-14"/>
        </w:rPr>
        <w:t>扣该公司制创业投资企业的应纳税所得额；当年不足抵扣的，可以在以后纳税年度结转抵扣。</w:t>
      </w:r>
    </w:p>
    <w:p>
      <w:pPr>
        <w:pStyle w:val="2"/>
        <w:spacing w:before="179" w:line="442" w:lineRule="exact"/>
        <w:ind w:right="4"/>
        <w:jc w:val="right"/>
      </w:pPr>
      <w:r>
        <w:rPr>
          <w:spacing w:val="-3"/>
          <w:position w:val="15"/>
        </w:rPr>
        <w:t>2.有限合伙制创业投资企业(以下简称合伙创投企业)采取股权投资方式直接投资于初创</w:t>
      </w:r>
    </w:p>
    <w:p>
      <w:pPr>
        <w:pStyle w:val="2"/>
        <w:spacing w:line="222" w:lineRule="auto"/>
      </w:pPr>
      <w:r>
        <w:rPr>
          <w:spacing w:val="-7"/>
        </w:rPr>
        <w:t>科技型企业满2年的，该合伙创投企业的合伙人分别按</w:t>
      </w:r>
      <w:r>
        <w:rPr>
          <w:spacing w:val="-8"/>
        </w:rPr>
        <w:t>以下方式处理：</w:t>
      </w:r>
    </w:p>
    <w:p>
      <w:pPr>
        <w:pStyle w:val="2"/>
        <w:spacing w:before="160" w:line="416" w:lineRule="exact"/>
        <w:ind w:right="10"/>
        <w:jc w:val="right"/>
      </w:pPr>
      <w:r>
        <w:rPr>
          <w:position w:val="12"/>
        </w:rPr>
        <w:t>①法人合伙人可以按照对初创科技型企业投资额的70%抵扣法人合伙人从合伙创投企业</w:t>
      </w:r>
    </w:p>
    <w:p>
      <w:pPr>
        <w:pStyle w:val="2"/>
        <w:spacing w:before="1" w:line="218" w:lineRule="auto"/>
      </w:pPr>
      <w:r>
        <w:rPr>
          <w:spacing w:val="-16"/>
        </w:rPr>
        <w:t>分得的所得；当年不足抵扣的，可以在以后纳税</w:t>
      </w:r>
      <w:r>
        <w:rPr>
          <w:spacing w:val="-17"/>
        </w:rPr>
        <w:t>年度结转抵扣。</w:t>
      </w:r>
    </w:p>
    <w:p>
      <w:pPr>
        <w:pStyle w:val="2"/>
        <w:spacing w:before="190" w:line="416" w:lineRule="exact"/>
        <w:ind w:right="13"/>
        <w:jc w:val="right"/>
      </w:pPr>
      <w:r>
        <w:rPr>
          <w:position w:val="12"/>
        </w:rPr>
        <w:t>②个人合伙人可以按照对初创科技型企业投资额的70%抵扣个人合伙人从合伙创投企业</w:t>
      </w:r>
    </w:p>
    <w:p>
      <w:pPr>
        <w:pStyle w:val="2"/>
        <w:spacing w:before="1" w:line="218" w:lineRule="auto"/>
      </w:pPr>
      <w:r>
        <w:rPr>
          <w:spacing w:val="-16"/>
        </w:rPr>
        <w:t>分得的经营所得；当年不足抵扣的，可以在以后纳税年度结转抵扣。</w:t>
      </w:r>
    </w:p>
    <w:p>
      <w:pPr>
        <w:pStyle w:val="2"/>
        <w:spacing w:before="179" w:line="337" w:lineRule="auto"/>
        <w:ind w:firstLine="459"/>
      </w:pPr>
      <w:r>
        <w:rPr>
          <w:spacing w:val="-6"/>
        </w:rPr>
        <w:t>③天使投资个人采取股权投资方式直接投资于初创科技型企业满2年的，可以按照投资额</w:t>
      </w:r>
      <w:r>
        <w:rPr>
          <w:spacing w:val="9"/>
        </w:rPr>
        <w:t xml:space="preserve"> </w:t>
      </w:r>
      <w:r>
        <w:rPr>
          <w:spacing w:val="-11"/>
        </w:rPr>
        <w:t>的70%抵扣转让该初创科技型企业股权取得的</w:t>
      </w:r>
      <w:r>
        <w:rPr>
          <w:spacing w:val="-12"/>
        </w:rPr>
        <w:t>应纳税所得额；当期不足抵扣的，可以在以后取得</w:t>
      </w:r>
    </w:p>
    <w:p>
      <w:pPr>
        <w:pStyle w:val="2"/>
        <w:spacing w:before="1" w:line="218" w:lineRule="auto"/>
      </w:pPr>
      <w:r>
        <w:rPr>
          <w:spacing w:val="-5"/>
        </w:rPr>
        <w:t>转让该初创科技型企业股权的应纳税所得额时结转抵扣。</w:t>
      </w:r>
    </w:p>
    <w:p>
      <w:pPr>
        <w:pStyle w:val="2"/>
        <w:spacing w:before="150" w:line="450" w:lineRule="exact"/>
        <w:ind w:right="12"/>
        <w:jc w:val="right"/>
      </w:pPr>
      <w:r>
        <w:rPr>
          <w:spacing w:val="-9"/>
          <w:position w:val="15"/>
        </w:rPr>
        <w:t>天使投资个人投资多个初创科技型企业的，对其中办理注销清算的初创科技</w:t>
      </w:r>
      <w:r>
        <w:rPr>
          <w:spacing w:val="-10"/>
          <w:position w:val="15"/>
        </w:rPr>
        <w:t>型企业，天使</w:t>
      </w:r>
    </w:p>
    <w:p>
      <w:pPr>
        <w:pStyle w:val="2"/>
        <w:spacing w:line="221" w:lineRule="auto"/>
      </w:pPr>
      <w:r>
        <w:rPr>
          <w:spacing w:val="-4"/>
        </w:rPr>
        <w:t>投资个人对其投资额的70%尚未抵扣完的，可自注销清算之日</w:t>
      </w:r>
      <w:r>
        <w:rPr>
          <w:spacing w:val="-5"/>
        </w:rPr>
        <w:t>起36个月内抵扣天使投资个人</w:t>
      </w:r>
    </w:p>
    <w:p>
      <w:pPr>
        <w:pStyle w:val="2"/>
        <w:spacing w:before="158" w:line="219" w:lineRule="auto"/>
        <w:ind w:left="459"/>
      </w:pPr>
      <w:r>
        <w:rPr>
          <w:spacing w:val="-4"/>
        </w:rPr>
        <w:t>转让其他初创科技型企业股权取得的应纳税所得额。</w:t>
      </w:r>
    </w:p>
    <w:p>
      <w:pPr>
        <w:spacing w:line="219" w:lineRule="auto"/>
        <w:sectPr>
          <w:pgSz w:w="12130" w:h="17000"/>
          <w:pgMar w:top="400" w:right="1352" w:bottom="0" w:left="1299" w:header="0" w:footer="0" w:gutter="0"/>
          <w:cols w:space="720" w:num="1"/>
        </w:sectPr>
      </w:pPr>
    </w:p>
    <w:p>
      <w:pPr>
        <w:spacing w:before="333" w:line="219" w:lineRule="auto"/>
        <w:ind w:left="3421"/>
        <w:rPr>
          <w:rFonts w:ascii="宋体" w:hAnsi="宋体" w:eastAsia="宋体" w:cs="宋体"/>
          <w:sz w:val="47"/>
          <w:szCs w:val="47"/>
        </w:rPr>
      </w:pPr>
      <w:r>
        <w:pict>
          <v:rect id="_x0000_s1038" o:spid="_x0000_s1038" o:spt="1" style="position:absolute;left:0pt;margin-left:67.5pt;margin-top:60.45pt;height:0.55pt;width:471pt;mso-position-horizontal-relative:page;mso-position-vertical-relative:page;z-index:251674624;mso-width-relative:page;mso-height-relative:page;" fillcolor="#000000" filled="t" stroked="f" coordsize="21600,21600" o:allowincell="f">
            <v:path/>
            <v:fill on="t" focussize="0,0"/>
            <v:stroke on="f"/>
            <v:imagedata o:title=""/>
            <o:lock v:ext="edit"/>
          </v:rect>
        </w:pict>
      </w:r>
      <w:r>
        <w:pict>
          <v:shape id="_x0000_s1039" o:spid="_x0000_s1039" o:spt="202" type="#_x0000_t202" style="position:absolute;left:0pt;margin-left:-0.5pt;margin-top:28.9pt;height:13.3pt;width:82pt;z-index:251672576;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19"/>
                      <w:szCs w:val="19"/>
                    </w:rPr>
                  </w:pPr>
                  <w:r>
                    <w:rPr>
                      <w:rFonts w:ascii="宋体" w:hAnsi="宋体" w:eastAsia="宋体" w:cs="宋体"/>
                      <w:spacing w:val="-11"/>
                      <w:sz w:val="19"/>
                      <w:szCs w:val="19"/>
                    </w:rPr>
                    <w:t>税费优惠政策明白纸</w:t>
                  </w:r>
                </w:p>
              </w:txbxContent>
            </v:textbox>
          </v:shape>
        </w:pict>
      </w:r>
      <w:r>
        <w:pict>
          <v:shape id="_x0000_s1040" o:spid="_x0000_s1040" o:spt="202" type="#_x0000_t202" style="position:absolute;left:0pt;margin-left:420.5pt;margin-top:28.9pt;height:13.3pt;width:53.8pt;z-index:251673600;mso-width-relative:page;mso-height-relative:page;" filled="f" stroked="f" coordsize="21600,21600">
            <v:path/>
            <v:fill on="f" focussize="0,0"/>
            <v:stroke on="f"/>
            <v:imagedata o:title=""/>
            <o:lock v:ext="edit" aspectratio="f"/>
            <v:textbox inset="0mm,0mm,0mm,0mm">
              <w:txbxContent>
                <w:p>
                  <w:pPr>
                    <w:spacing w:before="20" w:line="219" w:lineRule="auto"/>
                    <w:ind w:right="2"/>
                    <w:jc w:val="right"/>
                    <w:rPr>
                      <w:rFonts w:ascii="宋体" w:hAnsi="宋体" w:eastAsia="宋体" w:cs="宋体"/>
                      <w:sz w:val="19"/>
                      <w:szCs w:val="19"/>
                    </w:rPr>
                  </w:pPr>
                  <w:r>
                    <w:rPr>
                      <w:rFonts w:hint="eastAsia" w:ascii="宋体" w:hAnsi="宋体" w:eastAsia="宋体" w:cs="宋体"/>
                      <w:spacing w:val="-15"/>
                      <w:sz w:val="19"/>
                      <w:szCs w:val="19"/>
                      <w:lang w:eastAsia="zh-CN"/>
                    </w:rPr>
                    <w:t>遵化</w:t>
                  </w:r>
                  <w:r>
                    <w:rPr>
                      <w:rFonts w:ascii="宋体" w:hAnsi="宋体" w:eastAsia="宋体" w:cs="宋体"/>
                      <w:spacing w:val="-15"/>
                      <w:sz w:val="19"/>
                      <w:szCs w:val="19"/>
                    </w:rPr>
                    <w:t>市财政局</w:t>
                  </w:r>
                </w:p>
              </w:txbxContent>
            </v:textbox>
          </v:shape>
        </w:pict>
      </w:r>
      <w:r>
        <w:rPr>
          <w:rFonts w:ascii="宋体" w:hAnsi="宋体" w:eastAsia="宋体" w:cs="宋体"/>
          <w:b/>
          <w:bCs/>
          <w:spacing w:val="-32"/>
          <w:sz w:val="47"/>
          <w:szCs w:val="47"/>
        </w:rPr>
        <w:t>“六进”明白纸</w:t>
      </w:r>
    </w:p>
    <w:p>
      <w:pPr>
        <w:spacing w:line="288" w:lineRule="auto"/>
        <w:rPr>
          <w:rFonts w:ascii="Arial"/>
          <w:sz w:val="21"/>
        </w:rPr>
      </w:pPr>
    </w:p>
    <w:p>
      <w:pPr>
        <w:spacing w:before="94" w:line="221" w:lineRule="auto"/>
        <w:ind w:left="3654"/>
        <w:rPr>
          <w:rFonts w:ascii="黑体" w:hAnsi="黑体" w:eastAsia="黑体" w:cs="黑体"/>
          <w:sz w:val="29"/>
          <w:szCs w:val="29"/>
        </w:rPr>
      </w:pPr>
      <w:r>
        <w:rPr>
          <w:rFonts w:ascii="黑体" w:hAnsi="黑体" w:eastAsia="黑体" w:cs="黑体"/>
          <w:b/>
          <w:bCs/>
          <w:spacing w:val="-6"/>
          <w:sz w:val="29"/>
          <w:szCs w:val="29"/>
        </w:rPr>
        <w:t>留抵退税相关政策</w:t>
      </w:r>
    </w:p>
    <w:p>
      <w:pPr>
        <w:spacing w:line="244" w:lineRule="auto"/>
        <w:rPr>
          <w:rFonts w:ascii="Arial"/>
          <w:sz w:val="21"/>
        </w:rPr>
      </w:pPr>
    </w:p>
    <w:p>
      <w:pPr>
        <w:pStyle w:val="2"/>
        <w:spacing w:before="78" w:line="222" w:lineRule="auto"/>
        <w:ind w:left="9" w:right="134" w:firstLine="470"/>
      </w:pPr>
      <w:r>
        <w:rPr>
          <w:spacing w:val="-9"/>
        </w:rPr>
        <w:t>1.扩大全额退还增值税留抵税额政策行业范围，将《关</w:t>
      </w:r>
      <w:r>
        <w:rPr>
          <w:spacing w:val="-10"/>
        </w:rPr>
        <w:t>于进一步加大增值税期末留抵退税</w:t>
      </w:r>
      <w:r>
        <w:t xml:space="preserve"> </w:t>
      </w:r>
      <w:r>
        <w:rPr>
          <w:spacing w:val="2"/>
        </w:rPr>
        <w:t>政策实施力度的公告》(财政部税务总局公告2022年第14号，以下称2022年第14号公告)第</w:t>
      </w:r>
    </w:p>
    <w:p>
      <w:pPr>
        <w:pStyle w:val="2"/>
        <w:spacing w:line="223" w:lineRule="auto"/>
        <w:ind w:left="9"/>
        <w:jc w:val="both"/>
      </w:pPr>
      <w:r>
        <w:rPr>
          <w:spacing w:val="-8"/>
        </w:rPr>
        <w:t>二条规定的制造业等行业按月全额退还增值税增量留抵税额、</w:t>
      </w:r>
      <w:r>
        <w:rPr>
          <w:spacing w:val="56"/>
        </w:rPr>
        <w:t xml:space="preserve"> </w:t>
      </w:r>
      <w:r>
        <w:rPr>
          <w:spacing w:val="-8"/>
        </w:rPr>
        <w:t>一次性退还存量留抵税额的政</w:t>
      </w:r>
      <w:r>
        <w:t xml:space="preserve">  </w:t>
      </w:r>
      <w:r>
        <w:rPr>
          <w:spacing w:val="-27"/>
        </w:rPr>
        <w:t>策范围，扩大至“批发和零售业”、</w:t>
      </w:r>
      <w:r>
        <w:rPr>
          <w:spacing w:val="81"/>
        </w:rPr>
        <w:t xml:space="preserve"> </w:t>
      </w:r>
      <w:r>
        <w:rPr>
          <w:spacing w:val="-27"/>
        </w:rPr>
        <w:t>“农、林、牧、渔业”、   “住宿和</w:t>
      </w:r>
      <w:r>
        <w:rPr>
          <w:spacing w:val="-28"/>
        </w:rPr>
        <w:t>餐饮业”、  “居民服务、</w:t>
      </w:r>
      <w:r>
        <w:t xml:space="preserve"> </w:t>
      </w:r>
      <w:r>
        <w:rPr>
          <w:spacing w:val="-6"/>
        </w:rPr>
        <w:t>修理和其他服务业”、“教育”、“卫生和社</w:t>
      </w:r>
      <w:r>
        <w:rPr>
          <w:spacing w:val="-7"/>
        </w:rPr>
        <w:t>会工作”和“文化、体育和娱乐业”(以下称批</w:t>
      </w:r>
      <w:r>
        <w:t xml:space="preserve">  </w:t>
      </w:r>
      <w:r>
        <w:rPr>
          <w:spacing w:val="-18"/>
        </w:rPr>
        <w:t>发零售业等行业)企业(含个体工商户，下同)。</w:t>
      </w:r>
    </w:p>
    <w:p>
      <w:pPr>
        <w:pStyle w:val="2"/>
        <w:spacing w:before="42" w:line="229" w:lineRule="auto"/>
        <w:ind w:left="9" w:right="141" w:firstLine="470"/>
      </w:pPr>
      <w:r>
        <w:t>①符合条件的批发零售业等行业企业，可以自2022年7月</w:t>
      </w:r>
      <w:r>
        <w:rPr>
          <w:spacing w:val="-1"/>
        </w:rPr>
        <w:t>纳税申报期起向主管税务机关</w:t>
      </w:r>
      <w:r>
        <w:t xml:space="preserve"> </w:t>
      </w:r>
      <w:r>
        <w:rPr>
          <w:spacing w:val="-7"/>
        </w:rPr>
        <w:t>申请退还增量留抵税额。</w:t>
      </w:r>
    </w:p>
    <w:p>
      <w:pPr>
        <w:pStyle w:val="2"/>
        <w:spacing w:before="25" w:line="224" w:lineRule="auto"/>
        <w:ind w:left="9" w:right="151" w:firstLine="470"/>
      </w:pPr>
      <w:r>
        <w:rPr>
          <w:spacing w:val="-1"/>
        </w:rPr>
        <w:t>②符合条件的批发零售业等行业企业，可以自2022年7月纳税申报期起向主管税务机关</w:t>
      </w:r>
      <w:r>
        <w:rPr>
          <w:spacing w:val="17"/>
        </w:rPr>
        <w:t xml:space="preserve"> </w:t>
      </w:r>
      <w:r>
        <w:rPr>
          <w:spacing w:val="-8"/>
        </w:rPr>
        <w:t>申请一次性退还存量留抵税额。</w:t>
      </w:r>
    </w:p>
    <w:p>
      <w:pPr>
        <w:pStyle w:val="2"/>
        <w:spacing w:before="28" w:line="229" w:lineRule="auto"/>
        <w:ind w:left="9" w:right="90" w:firstLine="470"/>
      </w:pPr>
      <w:r>
        <w:rPr>
          <w:spacing w:val="-3"/>
        </w:rPr>
        <w:t>③2022年第14号公告和本公告所称制造业、批发零售业等行</w:t>
      </w:r>
      <w:r>
        <w:rPr>
          <w:spacing w:val="-4"/>
        </w:rPr>
        <w:t>业企业，是指从事《国民经</w:t>
      </w:r>
      <w:r>
        <w:t xml:space="preserve"> </w:t>
      </w:r>
      <w:r>
        <w:rPr>
          <w:spacing w:val="-20"/>
        </w:rPr>
        <w:t>济行业分类》中“批发和零售业”、</w:t>
      </w:r>
      <w:r>
        <w:rPr>
          <w:spacing w:val="27"/>
        </w:rPr>
        <w:t xml:space="preserve">  </w:t>
      </w:r>
      <w:r>
        <w:rPr>
          <w:spacing w:val="-20"/>
        </w:rPr>
        <w:t>“农、林、牧、渔业”、  “住宿和餐饮业”、  “居民服</w:t>
      </w:r>
      <w:r>
        <w:t xml:space="preserve"> </w:t>
      </w:r>
      <w:r>
        <w:rPr>
          <w:spacing w:val="-25"/>
        </w:rPr>
        <w:t>务、修理和其他服务业”、  “教育”、</w:t>
      </w:r>
      <w:r>
        <w:rPr>
          <w:spacing w:val="49"/>
        </w:rPr>
        <w:t xml:space="preserve"> </w:t>
      </w:r>
      <w:r>
        <w:rPr>
          <w:spacing w:val="-25"/>
        </w:rPr>
        <w:t>“卫生和社会工作”、</w:t>
      </w:r>
      <w:r>
        <w:rPr>
          <w:spacing w:val="79"/>
        </w:rPr>
        <w:t xml:space="preserve"> </w:t>
      </w:r>
      <w:r>
        <w:rPr>
          <w:spacing w:val="-25"/>
        </w:rPr>
        <w:t>“文化、体育和娱乐业”、</w:t>
      </w:r>
      <w:r>
        <w:rPr>
          <w:spacing w:val="15"/>
        </w:rPr>
        <w:t xml:space="preserve"> </w:t>
      </w:r>
      <w:r>
        <w:rPr>
          <w:spacing w:val="-25"/>
        </w:rPr>
        <w:t>“制</w:t>
      </w:r>
      <w:r>
        <w:t xml:space="preserve"> </w:t>
      </w:r>
      <w:r>
        <w:rPr>
          <w:spacing w:val="-18"/>
        </w:rPr>
        <w:t>造业”、  “科学研究和技术服务业”、  “电力、热力、燃气及水生产和供应业”、  “软件和</w:t>
      </w:r>
      <w:r>
        <w:rPr>
          <w:spacing w:val="12"/>
        </w:rPr>
        <w:t xml:space="preserve"> </w:t>
      </w:r>
      <w:r>
        <w:rPr>
          <w:spacing w:val="-10"/>
        </w:rPr>
        <w:t>信息技术服务业”、</w:t>
      </w:r>
      <w:r>
        <w:rPr>
          <w:spacing w:val="28"/>
        </w:rPr>
        <w:t xml:space="preserve">  </w:t>
      </w:r>
      <w:r>
        <w:rPr>
          <w:spacing w:val="-10"/>
        </w:rPr>
        <w:t>“生态保护和环境治理业”和“交通运输、仓储和邮政业”业务相应发</w:t>
      </w:r>
      <w:r>
        <w:rPr>
          <w:spacing w:val="1"/>
        </w:rPr>
        <w:t xml:space="preserve"> </w:t>
      </w:r>
      <w:r>
        <w:rPr>
          <w:spacing w:val="-2"/>
        </w:rPr>
        <w:t>生的增值税销售额占全部增值税销售额的比重超过50%的纳税人。</w:t>
      </w:r>
    </w:p>
    <w:p>
      <w:pPr>
        <w:pStyle w:val="2"/>
        <w:spacing w:before="22" w:line="226" w:lineRule="auto"/>
        <w:ind w:left="9" w:right="135" w:firstLine="470"/>
      </w:pPr>
      <w:r>
        <w:rPr>
          <w:spacing w:val="-3"/>
        </w:rPr>
        <w:t>上述销售额比重根据纳税人申请退税前连续12个月的销售额计算</w:t>
      </w:r>
      <w:r>
        <w:rPr>
          <w:spacing w:val="-4"/>
        </w:rPr>
        <w:t>确定；申请退税前经营</w:t>
      </w:r>
      <w:r>
        <w:t xml:space="preserve"> </w:t>
      </w:r>
      <w:r>
        <w:rPr>
          <w:spacing w:val="-2"/>
        </w:rPr>
        <w:t>期不满12个月但满3个月的，按照实际经营期的销售额计算确定。</w:t>
      </w:r>
    </w:p>
    <w:p>
      <w:pPr>
        <w:pStyle w:val="2"/>
        <w:spacing w:before="15" w:line="228" w:lineRule="auto"/>
        <w:ind w:firstLine="479"/>
      </w:pPr>
      <w:r>
        <w:rPr>
          <w:spacing w:val="6"/>
        </w:rPr>
        <w:t>④按照2022年第14号公告第六条规定适用《中小</w:t>
      </w:r>
      <w:r>
        <w:rPr>
          <w:spacing w:val="5"/>
        </w:rPr>
        <w:t>企业划型标准规定》(工信部联企业</w:t>
      </w:r>
      <w:r>
        <w:t xml:space="preserve">  </w:t>
      </w:r>
      <w:r>
        <w:rPr>
          <w:spacing w:val="-7"/>
        </w:rPr>
        <w:t>〔2011〕300号)和《金融业企业划型标准规定》(银发〔2015〕309号)时，纳税人的行业归</w:t>
      </w:r>
      <w:r>
        <w:rPr>
          <w:spacing w:val="-8"/>
        </w:rPr>
        <w:t>属，</w:t>
      </w:r>
      <w:r>
        <w:t xml:space="preserve"> </w:t>
      </w:r>
      <w:r>
        <w:rPr>
          <w:spacing w:val="-15"/>
        </w:rPr>
        <w:t>根据《国民经济行业分类》关于以主要经济活动确定行业归属的原则，以上一会计年度从事《国</w:t>
      </w:r>
      <w:r>
        <w:rPr>
          <w:spacing w:val="3"/>
        </w:rPr>
        <w:t xml:space="preserve">  </w:t>
      </w:r>
      <w:r>
        <w:rPr>
          <w:spacing w:val="-5"/>
        </w:rPr>
        <w:t>民经济行业分类》对应业务增值税销售额占全部增值税销售额比重最高的行业确定。</w:t>
      </w:r>
    </w:p>
    <w:p>
      <w:pPr>
        <w:pStyle w:val="2"/>
        <w:spacing w:before="22" w:line="230" w:lineRule="auto"/>
        <w:ind w:left="9" w:right="143" w:firstLine="470"/>
      </w:pPr>
      <w:r>
        <w:rPr>
          <w:spacing w:val="-3"/>
        </w:rPr>
        <w:t>⑤制造业、批发零售业等行业企业申请留抵退税的其他规定，继续</w:t>
      </w:r>
      <w:r>
        <w:rPr>
          <w:spacing w:val="-4"/>
        </w:rPr>
        <w:t>按照2022年第14号公</w:t>
      </w:r>
      <w:r>
        <w:t xml:space="preserve"> </w:t>
      </w:r>
      <w:r>
        <w:rPr>
          <w:spacing w:val="-8"/>
        </w:rPr>
        <w:t>告等有关规定执行。</w:t>
      </w:r>
    </w:p>
    <w:p>
      <w:pPr>
        <w:pStyle w:val="2"/>
        <w:spacing w:before="12" w:line="220" w:lineRule="auto"/>
        <w:ind w:left="479"/>
      </w:pPr>
      <w:r>
        <w:rPr>
          <w:spacing w:val="-7"/>
        </w:rPr>
        <w:t>⑥本公告第(1)条和第(2)条自2022年7月1 日起执行；第(3)条自公告发布之日起执行。</w:t>
      </w:r>
    </w:p>
    <w:p>
      <w:pPr>
        <w:pStyle w:val="2"/>
        <w:spacing w:before="12" w:line="229" w:lineRule="auto"/>
        <w:ind w:left="9" w:right="40" w:firstLine="470"/>
      </w:pPr>
      <w:r>
        <w:rPr>
          <w:spacing w:val="-9"/>
        </w:rPr>
        <w:t>2.提前退还大型企业存量留抵税额，将《关于进一步加大增</w:t>
      </w:r>
      <w:r>
        <w:rPr>
          <w:spacing w:val="-10"/>
        </w:rPr>
        <w:t>值税期末留抵退税政策实施力</w:t>
      </w:r>
      <w:r>
        <w:t xml:space="preserve">  </w:t>
      </w:r>
      <w:r>
        <w:rPr>
          <w:spacing w:val="2"/>
        </w:rPr>
        <w:t>度的公告》(财政部税务总局公告2022年第14号)第二条第二项规定的“符合条件的制造业</w:t>
      </w:r>
      <w:r>
        <w:rPr>
          <w:spacing w:val="4"/>
        </w:rPr>
        <w:t xml:space="preserve">  </w:t>
      </w:r>
      <w:r>
        <w:rPr>
          <w:spacing w:val="-4"/>
        </w:rPr>
        <w:t>等行业大型企业，可以自2022年10月纳税申报期起向主管税务机关申请一次性退还存量留抵</w:t>
      </w:r>
      <w:r>
        <w:rPr>
          <w:spacing w:val="4"/>
        </w:rPr>
        <w:t xml:space="preserve">  </w:t>
      </w:r>
      <w:r>
        <w:t>税额”调整为“符合条件的制造业等行业大型企业</w:t>
      </w:r>
      <w:r>
        <w:rPr>
          <w:spacing w:val="-1"/>
        </w:rPr>
        <w:t xml:space="preserve">，可以自2022年6月纳税申报期起向主管 </w:t>
      </w:r>
      <w:r>
        <w:rPr>
          <w:spacing w:val="-6"/>
        </w:rPr>
        <w:t>税务机关申请一次性退还存量留抵税额”。2022年6月30</w:t>
      </w:r>
      <w:r>
        <w:rPr>
          <w:spacing w:val="-17"/>
        </w:rPr>
        <w:t xml:space="preserve"> </w:t>
      </w:r>
      <w:r>
        <w:rPr>
          <w:spacing w:val="-6"/>
        </w:rPr>
        <w:t>日前，在纳税人自愿申请的基础上，</w:t>
      </w:r>
      <w:r>
        <w:t xml:space="preserve"> </w:t>
      </w:r>
      <w:r>
        <w:rPr>
          <w:spacing w:val="-6"/>
        </w:rPr>
        <w:t>集中退还大型企业存量留抵税额。</w:t>
      </w:r>
    </w:p>
    <w:p>
      <w:pPr>
        <w:pStyle w:val="2"/>
        <w:spacing w:before="47" w:line="223" w:lineRule="auto"/>
        <w:ind w:left="9" w:right="143" w:firstLine="470"/>
      </w:pPr>
      <w:r>
        <w:rPr>
          <w:spacing w:val="-3"/>
        </w:rPr>
        <w:t>3.</w:t>
      </w:r>
      <w:r>
        <w:rPr>
          <w:spacing w:val="-18"/>
        </w:rPr>
        <w:t xml:space="preserve"> </w:t>
      </w:r>
      <w:r>
        <w:rPr>
          <w:spacing w:val="-3"/>
        </w:rPr>
        <w:t>《关于进一步加快增值税期末留抵退税政策实施进度的公告》(财政部税务总局公告</w:t>
      </w:r>
      <w:r>
        <w:t xml:space="preserve"> </w:t>
      </w:r>
      <w:r>
        <w:rPr>
          <w:spacing w:val="17"/>
        </w:rPr>
        <w:t>2022年第17号)</w:t>
      </w:r>
    </w:p>
    <w:p>
      <w:pPr>
        <w:pStyle w:val="2"/>
        <w:spacing w:before="8" w:line="225" w:lineRule="auto"/>
        <w:ind w:left="9" w:right="40" w:firstLine="470"/>
      </w:pPr>
      <w:r>
        <w:rPr>
          <w:spacing w:val="-16"/>
        </w:rPr>
        <w:t>①抓紧办理小微企业留抵退税，在纳税人自愿申请的基础上，加快退税进度，积极落实微型</w:t>
      </w:r>
      <w:r>
        <w:rPr>
          <w:spacing w:val="5"/>
        </w:rPr>
        <w:t xml:space="preserve">  企业、小型企业存量留抵税额分别于2022年4</w:t>
      </w:r>
      <w:r>
        <w:rPr>
          <w:spacing w:val="4"/>
        </w:rPr>
        <w:t>月30日前、6月30日前集中退还的退税政策。</w:t>
      </w:r>
    </w:p>
    <w:p>
      <w:pPr>
        <w:pStyle w:val="2"/>
        <w:spacing w:before="18" w:line="228" w:lineRule="auto"/>
        <w:ind w:left="9" w:right="135" w:firstLine="470"/>
      </w:pPr>
      <w:r>
        <w:rPr>
          <w:spacing w:val="-3"/>
        </w:rPr>
        <w:t>②提前退还中型企业存量留抵税额，将2022年第14号公告第二</w:t>
      </w:r>
      <w:r>
        <w:rPr>
          <w:spacing w:val="-4"/>
        </w:rPr>
        <w:t>条第二项规定的“符合条</w:t>
      </w:r>
      <w:r>
        <w:t xml:space="preserve"> 件的制造业等行业中型企业，可以自2022年7月纳税</w:t>
      </w:r>
      <w:r>
        <w:rPr>
          <w:spacing w:val="-1"/>
        </w:rPr>
        <w:t>申报期起向主管税务机关申请一次性退</w:t>
      </w:r>
      <w:r>
        <w:t xml:space="preserve"> 还存量留抵税额”调整为“符合条件的制造业等行</w:t>
      </w:r>
      <w:r>
        <w:rPr>
          <w:spacing w:val="-1"/>
        </w:rPr>
        <w:t>业中型企业，可以自2022年5月纳税申报</w:t>
      </w:r>
      <w:r>
        <w:t xml:space="preserve"> 期起向主管税务机关申请一次性退还存量留抵税额”。20</w:t>
      </w:r>
      <w:r>
        <w:rPr>
          <w:spacing w:val="-1"/>
        </w:rPr>
        <w:t>22年6月30日前，在纳税人自愿申</w:t>
      </w:r>
      <w:r>
        <w:t xml:space="preserve"> </w:t>
      </w:r>
      <w:r>
        <w:rPr>
          <w:spacing w:val="-14"/>
        </w:rPr>
        <w:t>请的基础上，集中退还中型企业存量留抵税额。</w:t>
      </w:r>
    </w:p>
    <w:p>
      <w:pPr>
        <w:pStyle w:val="2"/>
        <w:spacing w:before="47" w:line="227" w:lineRule="auto"/>
        <w:ind w:left="9" w:right="137" w:firstLine="470"/>
      </w:pPr>
      <w:r>
        <w:rPr>
          <w:spacing w:val="-3"/>
        </w:rPr>
        <w:t>4.</w:t>
      </w:r>
      <w:r>
        <w:rPr>
          <w:spacing w:val="-12"/>
        </w:rPr>
        <w:t xml:space="preserve"> </w:t>
      </w:r>
      <w:r>
        <w:rPr>
          <w:spacing w:val="-3"/>
        </w:rPr>
        <w:t>《关于进一步加大增值税期末留抵退税政策实施力度的公告》(财政部税务总局公告</w:t>
      </w:r>
      <w:r>
        <w:t xml:space="preserve"> </w:t>
      </w:r>
      <w:r>
        <w:rPr>
          <w:spacing w:val="17"/>
        </w:rPr>
        <w:t>2022年第14号)</w:t>
      </w:r>
    </w:p>
    <w:p>
      <w:pPr>
        <w:spacing w:line="227" w:lineRule="auto"/>
        <w:sectPr>
          <w:pgSz w:w="11900" w:h="16840"/>
          <w:pgMar w:top="400" w:right="1000" w:bottom="0" w:left="1290" w:header="0" w:footer="0" w:gutter="0"/>
          <w:cols w:space="720" w:num="1"/>
        </w:sectPr>
      </w:pPr>
    </w:p>
    <w:p>
      <w:pPr>
        <w:spacing w:line="254" w:lineRule="auto"/>
        <w:rPr>
          <w:rFonts w:ascii="Arial"/>
          <w:sz w:val="21"/>
        </w:rPr>
      </w:pPr>
      <w:r>
        <w:pict>
          <v:rect id="_x0000_s1041" o:spid="_x0000_s1041" o:spt="1" style="position:absolute;left:0pt;margin-left:63.45pt;margin-top:62.95pt;height:1.05pt;width:470.55pt;mso-position-horizontal-relative:page;mso-position-vertical-relative:page;z-index:251677696;mso-width-relative:page;mso-height-relative:page;" fillcolor="#000000" filled="t" stroked="f" coordsize="21600,21600" o:allowincell="f">
            <v:path/>
            <v:fill on="t" focussize="0,0"/>
            <v:stroke on="f"/>
            <v:imagedata o:title=""/>
            <o:lock v:ext="edit"/>
          </v:rect>
        </w:pict>
      </w:r>
    </w:p>
    <w:p>
      <w:pPr>
        <w:spacing w:before="146" w:line="207" w:lineRule="auto"/>
        <w:ind w:left="3451"/>
        <w:rPr>
          <w:rFonts w:ascii="宋体" w:hAnsi="宋体" w:eastAsia="宋体" w:cs="宋体"/>
          <w:sz w:val="45"/>
          <w:szCs w:val="45"/>
        </w:rPr>
      </w:pPr>
      <w:r>
        <w:pict>
          <v:shape id="_x0000_s1042" o:spid="_x0000_s1042" o:spt="202" type="#_x0000_t202" style="position:absolute;left:0pt;margin-left:-0.95pt;margin-top:16.65pt;height:13.3pt;width:82pt;z-index:251675648;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19"/>
                      <w:szCs w:val="19"/>
                    </w:rPr>
                  </w:pPr>
                  <w:r>
                    <w:rPr>
                      <w:rFonts w:ascii="宋体" w:hAnsi="宋体" w:eastAsia="宋体" w:cs="宋体"/>
                      <w:spacing w:val="-11"/>
                      <w:sz w:val="19"/>
                      <w:szCs w:val="19"/>
                    </w:rPr>
                    <w:t>税费优惠政策明白纸</w:t>
                  </w:r>
                </w:p>
              </w:txbxContent>
            </v:textbox>
          </v:shape>
        </w:pict>
      </w:r>
      <w:r>
        <w:pict>
          <v:shape id="_x0000_s1043" o:spid="_x0000_s1043" o:spt="202" type="#_x0000_t202" style="position:absolute;left:0pt;margin-left:424.45pt;margin-top:19.6pt;height:13.3pt;width:54.3pt;z-index:251676672;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19"/>
                      <w:szCs w:val="19"/>
                    </w:rPr>
                  </w:pPr>
                  <w:r>
                    <w:rPr>
                      <w:rFonts w:hint="eastAsia" w:ascii="宋体" w:hAnsi="宋体" w:eastAsia="宋体" w:cs="宋体"/>
                      <w:spacing w:val="-14"/>
                      <w:sz w:val="19"/>
                      <w:szCs w:val="19"/>
                      <w:lang w:eastAsia="zh-CN"/>
                    </w:rPr>
                    <w:t>遵化</w:t>
                  </w:r>
                  <w:r>
                    <w:rPr>
                      <w:rFonts w:ascii="宋体" w:hAnsi="宋体" w:eastAsia="宋体" w:cs="宋体"/>
                      <w:spacing w:val="-14"/>
                      <w:sz w:val="19"/>
                      <w:szCs w:val="19"/>
                    </w:rPr>
                    <w:t>市财政局</w:t>
                  </w:r>
                </w:p>
              </w:txbxContent>
            </v:textbox>
          </v:shape>
        </w:pict>
      </w:r>
      <w:r>
        <w:rPr>
          <w:rFonts w:ascii="宋体" w:hAnsi="宋体" w:eastAsia="宋体" w:cs="宋体"/>
          <w:b/>
          <w:bCs/>
          <w:spacing w:val="-19"/>
          <w:sz w:val="45"/>
          <w:szCs w:val="45"/>
        </w:rPr>
        <w:t>“六进”明白纸</w:t>
      </w:r>
    </w:p>
    <w:p>
      <w:pPr>
        <w:pStyle w:val="2"/>
        <w:spacing w:before="2" w:line="223" w:lineRule="auto"/>
        <w:ind w:right="64" w:firstLine="479"/>
      </w:pPr>
      <w:r>
        <w:rPr>
          <w:spacing w:val="-4"/>
        </w:rPr>
        <w:t>①</w:t>
      </w:r>
      <w:r>
        <w:rPr>
          <w:spacing w:val="-61"/>
        </w:rPr>
        <w:t xml:space="preserve"> </w:t>
      </w:r>
      <w:r>
        <w:rPr>
          <w:spacing w:val="-4"/>
        </w:rPr>
        <w:t>加大小微企业增值税期末留抵退税政策力度，</w:t>
      </w:r>
      <w:r>
        <w:rPr>
          <w:spacing w:val="-5"/>
        </w:rPr>
        <w:t>将先进制造业按月全额退还增值税增量</w:t>
      </w:r>
      <w:r>
        <w:t xml:space="preserve"> </w:t>
      </w:r>
      <w:r>
        <w:rPr>
          <w:spacing w:val="-12"/>
        </w:rPr>
        <w:t>留抵税额政策范围扩大至符合条件的小微企业(含个体工商户，下同),并一次性退还小微企业存</w:t>
      </w:r>
    </w:p>
    <w:p>
      <w:pPr>
        <w:pStyle w:val="2"/>
        <w:spacing w:before="19" w:line="222" w:lineRule="auto"/>
      </w:pPr>
      <w:r>
        <w:rPr>
          <w:spacing w:val="-8"/>
        </w:rPr>
        <w:t>量留抵税额。</w:t>
      </w:r>
    </w:p>
    <w:p>
      <w:pPr>
        <w:pStyle w:val="2"/>
        <w:spacing w:before="37" w:line="225" w:lineRule="auto"/>
        <w:ind w:right="47" w:firstLine="479"/>
      </w:pPr>
      <w:r>
        <w:rPr>
          <w:spacing w:val="-1"/>
        </w:rPr>
        <w:t>②</w:t>
      </w:r>
      <w:r>
        <w:rPr>
          <w:spacing w:val="-53"/>
        </w:rPr>
        <w:t xml:space="preserve"> </w:t>
      </w:r>
      <w:r>
        <w:rPr>
          <w:spacing w:val="-1"/>
        </w:rPr>
        <w:t>符合条件的小微企业，可以自2022年4月纳税申报期起向主管税务机关申请退还增量</w:t>
      </w:r>
      <w:r>
        <w:t xml:space="preserve"> </w:t>
      </w:r>
      <w:r>
        <w:rPr>
          <w:spacing w:val="-3"/>
        </w:rPr>
        <w:t>留抵税额。在2022年12月31 日前，退税条件按照本公告第(3)条规定执行。</w:t>
      </w:r>
    </w:p>
    <w:p>
      <w:pPr>
        <w:pStyle w:val="2"/>
        <w:spacing w:before="35" w:line="219" w:lineRule="auto"/>
        <w:ind w:right="88" w:firstLine="479"/>
      </w:pPr>
      <w:r>
        <w:t>③符合条件的微型企业，可以自2022年4月纳税申报期</w:t>
      </w:r>
      <w:r>
        <w:rPr>
          <w:spacing w:val="-1"/>
        </w:rPr>
        <w:t>起向主管税务机关申请一次性退</w:t>
      </w:r>
      <w:r>
        <w:t xml:space="preserve"> </w:t>
      </w:r>
      <w:r>
        <w:rPr>
          <w:spacing w:val="-6"/>
        </w:rPr>
        <w:t>还存量留抵税额；符合条件的小型企业，可以自2022年</w:t>
      </w:r>
      <w:r>
        <w:rPr>
          <w:spacing w:val="-7"/>
        </w:rPr>
        <w:t>5月纳税申报期起向主管税务机关申请</w:t>
      </w:r>
      <w:r>
        <w:t xml:space="preserve"> </w:t>
      </w:r>
      <w:r>
        <w:rPr>
          <w:spacing w:val="-7"/>
        </w:rPr>
        <w:t>一次性退还存量留抵税额。</w:t>
      </w:r>
      <w:bookmarkStart w:id="0" w:name="_GoBack"/>
      <w:bookmarkEnd w:id="0"/>
    </w:p>
    <w:p>
      <w:pPr>
        <w:pStyle w:val="2"/>
        <w:spacing w:before="51" w:line="223" w:lineRule="auto"/>
        <w:ind w:right="80" w:firstLine="479"/>
      </w:pPr>
      <w:r>
        <w:rPr>
          <w:spacing w:val="-5"/>
        </w:rPr>
        <w:t>④</w:t>
      </w:r>
      <w:r>
        <w:rPr>
          <w:spacing w:val="-57"/>
        </w:rPr>
        <w:t xml:space="preserve"> </w:t>
      </w:r>
      <w:r>
        <w:rPr>
          <w:spacing w:val="-5"/>
        </w:rPr>
        <w:t>加大“制造业”、“科学研究和技术服务业”、“电力、热力、燃气及水生产和供应</w:t>
      </w:r>
      <w:r>
        <w:t xml:space="preserve"> </w:t>
      </w:r>
      <w:r>
        <w:rPr>
          <w:spacing w:val="-4"/>
        </w:rPr>
        <w:t>业”、“软件和信息技术服务业”、“生态保护和环境治理业”和“交通运输、仓储和邮政</w:t>
      </w:r>
      <w:r>
        <w:rPr>
          <w:spacing w:val="6"/>
        </w:rPr>
        <w:t xml:space="preserve"> </w:t>
      </w:r>
      <w:r>
        <w:rPr>
          <w:spacing w:val="-9"/>
        </w:rPr>
        <w:t>业”(以下称制造业等行业)增值税期末留抵退税政策力</w:t>
      </w:r>
      <w:r>
        <w:rPr>
          <w:spacing w:val="-10"/>
        </w:rPr>
        <w:t>度，将先进制造业按月全额退还增值税</w:t>
      </w:r>
      <w:r>
        <w:t xml:space="preserve"> </w:t>
      </w:r>
      <w:r>
        <w:rPr>
          <w:spacing w:val="-12"/>
        </w:rPr>
        <w:t>增量留抵税额政策范围扩大至符合条件的制造业等行业企业(含个体工商户，下同),并一次性退</w:t>
      </w:r>
      <w:r>
        <w:rPr>
          <w:spacing w:val="1"/>
        </w:rPr>
        <w:t xml:space="preserve"> </w:t>
      </w:r>
      <w:r>
        <w:rPr>
          <w:spacing w:val="-5"/>
        </w:rPr>
        <w:t>还制造业等行业企业存量留抵税额。</w:t>
      </w:r>
    </w:p>
    <w:p>
      <w:pPr>
        <w:pStyle w:val="2"/>
        <w:spacing w:before="76" w:line="216" w:lineRule="auto"/>
        <w:ind w:right="57" w:firstLine="479"/>
      </w:pPr>
      <w:r>
        <w:t>⑤符合条件的制造业等行业企业，可以自2022年4月纳税申报期起向主管税务机关申请</w:t>
      </w:r>
      <w:r>
        <w:rPr>
          <w:spacing w:val="17"/>
        </w:rPr>
        <w:t xml:space="preserve"> </w:t>
      </w:r>
      <w:r>
        <w:rPr>
          <w:spacing w:val="-6"/>
        </w:rPr>
        <w:t>退还增量留抵税额。</w:t>
      </w:r>
    </w:p>
    <w:p>
      <w:pPr>
        <w:pStyle w:val="2"/>
        <w:spacing w:before="30" w:line="221" w:lineRule="auto"/>
        <w:ind w:right="107" w:firstLine="479"/>
      </w:pPr>
      <w:r>
        <w:rPr>
          <w:spacing w:val="-1"/>
        </w:rPr>
        <w:t>⑥符合条件的制造业等行业中型企业，可以自2022年7月纳税申报期起向主管税务机关</w:t>
      </w:r>
      <w:r>
        <w:rPr>
          <w:spacing w:val="7"/>
        </w:rPr>
        <w:t xml:space="preserve"> </w:t>
      </w:r>
      <w:r>
        <w:rPr>
          <w:spacing w:val="-9"/>
        </w:rPr>
        <w:t>申请一次性退还存量留抵税额；符合条件的制造业等行业大型企</w:t>
      </w:r>
      <w:r>
        <w:rPr>
          <w:spacing w:val="-10"/>
        </w:rPr>
        <w:t>业，可以自2022年10月纳税申</w:t>
      </w:r>
      <w:r>
        <w:t xml:space="preserve"> </w:t>
      </w:r>
      <w:r>
        <w:rPr>
          <w:spacing w:val="-4"/>
        </w:rPr>
        <w:t>报期起向主管税务机关申请一次性退还存量留抵税额。</w:t>
      </w:r>
    </w:p>
    <w:p>
      <w:pPr>
        <w:pStyle w:val="2"/>
        <w:spacing w:before="50" w:line="216" w:lineRule="auto"/>
        <w:ind w:right="125" w:firstLine="479"/>
      </w:pPr>
      <w:r>
        <w:rPr>
          <w:spacing w:val="-4"/>
        </w:rPr>
        <w:t>5. 《关于深化增值税改革有关政策的公告》(财政部税务总局海关总署公告2019年第39</w:t>
      </w:r>
      <w:r>
        <w:rPr>
          <w:spacing w:val="1"/>
        </w:rPr>
        <w:t xml:space="preserve"> 号)</w:t>
      </w:r>
    </w:p>
    <w:p>
      <w:pPr>
        <w:pStyle w:val="2"/>
        <w:spacing w:before="36" w:line="223" w:lineRule="auto"/>
        <w:ind w:right="79" w:firstLine="479"/>
      </w:pPr>
      <w:r>
        <w:rPr>
          <w:spacing w:val="-6"/>
        </w:rPr>
        <w:t>①增值税一般纳税人(以下称纳税人)发生增值税应税销售行为或者进口货物，原适用16%</w:t>
      </w:r>
      <w:r>
        <w:rPr>
          <w:spacing w:val="1"/>
        </w:rPr>
        <w:t xml:space="preserve"> </w:t>
      </w:r>
      <w:r>
        <w:rPr>
          <w:spacing w:val="-9"/>
        </w:rPr>
        <w:t>税率的，税率调整为13%;原适用10%税率的，税率调整为9%。</w:t>
      </w:r>
    </w:p>
    <w:p>
      <w:pPr>
        <w:pStyle w:val="2"/>
        <w:spacing w:before="40" w:line="218" w:lineRule="auto"/>
        <w:ind w:right="86" w:firstLine="479"/>
      </w:pPr>
      <w:r>
        <w:rPr>
          <w:spacing w:val="-12"/>
        </w:rPr>
        <w:t>②纳税人购进农产品，原适用10%扣除率的，扣除率调整为9%。纳税人购进用于生产或者委</w:t>
      </w:r>
      <w:r>
        <w:rPr>
          <w:spacing w:val="12"/>
        </w:rPr>
        <w:t xml:space="preserve"> </w:t>
      </w:r>
      <w:r>
        <w:rPr>
          <w:spacing w:val="-4"/>
        </w:rPr>
        <w:t>托加工13%税率货物的农产品，按照10%的扣除率计算进项税额。</w:t>
      </w:r>
    </w:p>
    <w:p>
      <w:pPr>
        <w:pStyle w:val="2"/>
        <w:spacing w:before="27" w:line="228" w:lineRule="auto"/>
        <w:ind w:right="82" w:firstLine="479"/>
      </w:pPr>
      <w:r>
        <w:rPr>
          <w:spacing w:val="3"/>
        </w:rPr>
        <w:t>③原适用16%税率且出口退税率为16%的出口货物劳务，</w:t>
      </w:r>
      <w:r>
        <w:rPr>
          <w:spacing w:val="2"/>
        </w:rPr>
        <w:t>出口退税率调整为13%;原适用</w:t>
      </w:r>
      <w:r>
        <w:t xml:space="preserve"> </w:t>
      </w:r>
      <w:r>
        <w:rPr>
          <w:spacing w:val="-1"/>
        </w:rPr>
        <w:t>10%税率且出口退税率为10%的出口货物、跨境应税行为，出口退税率调整为9%。2019年6月</w:t>
      </w:r>
      <w:r>
        <w:rPr>
          <w:spacing w:val="18"/>
        </w:rPr>
        <w:t xml:space="preserve"> </w:t>
      </w:r>
      <w:r>
        <w:rPr>
          <w:spacing w:val="2"/>
        </w:rPr>
        <w:t>30日前(含2019年4月1 日前),纳税人出口前款所涉货物劳务、发生前款所</w:t>
      </w:r>
      <w:r>
        <w:rPr>
          <w:spacing w:val="1"/>
        </w:rPr>
        <w:t>涉跨境应税行为</w:t>
      </w:r>
      <w:r>
        <w:t xml:space="preserve"> </w:t>
      </w:r>
      <w:r>
        <w:rPr>
          <w:spacing w:val="-15"/>
        </w:rPr>
        <w:t>适用增值税免退税办法的，购进时已按调整前税率征收增值税的，执行调整前的出口退税</w:t>
      </w:r>
      <w:r>
        <w:rPr>
          <w:spacing w:val="-16"/>
        </w:rPr>
        <w:t>率，购</w:t>
      </w:r>
      <w:r>
        <w:t xml:space="preserve"> </w:t>
      </w:r>
      <w:r>
        <w:rPr>
          <w:spacing w:val="-15"/>
        </w:rPr>
        <w:t>进时已按调整后税率征收增值税的，执行调整后的出口退税率；适用增值税免抵退税办法</w:t>
      </w:r>
      <w:r>
        <w:rPr>
          <w:spacing w:val="-16"/>
        </w:rPr>
        <w:t>的，执</w:t>
      </w:r>
      <w:r>
        <w:t xml:space="preserve"> </w:t>
      </w:r>
      <w:r>
        <w:rPr>
          <w:spacing w:val="-15"/>
        </w:rPr>
        <w:t>行调整前的出口退税率，在计算免抵退税时，适用税率低于出口退税率的，适用税</w:t>
      </w:r>
      <w:r>
        <w:rPr>
          <w:spacing w:val="-16"/>
        </w:rPr>
        <w:t>率与出口退税</w:t>
      </w:r>
      <w:r>
        <w:t xml:space="preserve"> </w:t>
      </w:r>
      <w:r>
        <w:rPr>
          <w:spacing w:val="-6"/>
        </w:rPr>
        <w:t>率之差视为零参与免抵退税计算。</w:t>
      </w:r>
    </w:p>
    <w:p>
      <w:pPr>
        <w:pStyle w:val="2"/>
        <w:spacing w:before="41" w:line="218" w:lineRule="auto"/>
        <w:ind w:right="70" w:firstLine="479"/>
      </w:pPr>
      <w:r>
        <w:t>④适用13%税率的境外旅客购物离境退税物品，退税率为11%;适用9%税率的境外客购物</w:t>
      </w:r>
      <w:r>
        <w:rPr>
          <w:spacing w:val="3"/>
        </w:rPr>
        <w:t xml:space="preserve"> </w:t>
      </w:r>
      <w:r>
        <w:rPr>
          <w:spacing w:val="-14"/>
        </w:rPr>
        <w:t>离境退税物品，退税率为8%。</w:t>
      </w:r>
    </w:p>
    <w:p>
      <w:pPr>
        <w:pStyle w:val="2"/>
        <w:spacing w:before="43" w:line="229" w:lineRule="auto"/>
        <w:ind w:right="5" w:firstLine="479"/>
      </w:pPr>
      <w:r>
        <w:rPr>
          <w:spacing w:val="6"/>
        </w:rPr>
        <w:t>⑤自2019年4月1日起，《营业税改征增值税试点有关事</w:t>
      </w:r>
      <w:r>
        <w:rPr>
          <w:spacing w:val="5"/>
        </w:rPr>
        <w:t>项的规定》(财税〔2016〕36</w:t>
      </w:r>
      <w:r>
        <w:t xml:space="preserve"> </w:t>
      </w:r>
      <w:r>
        <w:rPr>
          <w:spacing w:val="-6"/>
        </w:rPr>
        <w:t>号印发)第一条第(四)项第1点、第二条第(一)项第1点停止执行，纳税人取得不动</w:t>
      </w:r>
      <w:r>
        <w:rPr>
          <w:spacing w:val="-7"/>
        </w:rPr>
        <w:t>产或者不动</w:t>
      </w:r>
      <w:r>
        <w:t xml:space="preserve"> </w:t>
      </w:r>
      <w:r>
        <w:rPr>
          <w:spacing w:val="-4"/>
        </w:rPr>
        <w:t>产在建工程的进项税额不再分2年抵扣。此前按照上述规定尚未抵扣完毕的</w:t>
      </w:r>
      <w:r>
        <w:rPr>
          <w:spacing w:val="-5"/>
        </w:rPr>
        <w:t>待抵扣进项税额，</w:t>
      </w:r>
      <w:r>
        <w:t xml:space="preserve"> </w:t>
      </w:r>
      <w:r>
        <w:rPr>
          <w:spacing w:val="6"/>
        </w:rPr>
        <w:t>可自2019年4月税款所属期起从销项税额中抵扣。</w:t>
      </w:r>
    </w:p>
    <w:p>
      <w:pPr>
        <w:pStyle w:val="2"/>
        <w:spacing w:before="21" w:line="227" w:lineRule="auto"/>
        <w:ind w:right="109" w:firstLine="479"/>
      </w:pPr>
      <w:r>
        <w:rPr>
          <w:spacing w:val="-10"/>
        </w:rPr>
        <w:t>⑥纳税人购进国内旅客运输服务，其进项税额允许从销项税额中抵扣。纳税人</w:t>
      </w:r>
      <w:r>
        <w:rPr>
          <w:spacing w:val="-11"/>
        </w:rPr>
        <w:t>未取得增值</w:t>
      </w:r>
      <w:r>
        <w:t xml:space="preserve"> </w:t>
      </w:r>
      <w:r>
        <w:rPr>
          <w:spacing w:val="-15"/>
        </w:rPr>
        <w:t>税专用发票的，暂按照以下规定确定进项税额：取得增值税电子普通发票的，为发</w:t>
      </w:r>
      <w:r>
        <w:rPr>
          <w:spacing w:val="-16"/>
        </w:rPr>
        <w:t>票上注明的税</w:t>
      </w:r>
      <w:r>
        <w:t xml:space="preserve"> </w:t>
      </w:r>
      <w:r>
        <w:rPr>
          <w:spacing w:val="-13"/>
        </w:rPr>
        <w:t>额；取得注明旅客身份信息的航空运输电子客票行程单的，</w:t>
      </w:r>
    </w:p>
    <w:p>
      <w:pPr>
        <w:pStyle w:val="2"/>
        <w:spacing w:before="25" w:line="226" w:lineRule="auto"/>
        <w:ind w:right="91" w:firstLine="479"/>
      </w:pPr>
      <w:r>
        <w:rPr>
          <w:spacing w:val="-10"/>
        </w:rPr>
        <w:t>⑦纳税人出口货物劳务、发生跨境应税行为不适用加计抵减政策，其对应的进项税额不得</w:t>
      </w:r>
      <w:r>
        <w:rPr>
          <w:spacing w:val="13"/>
        </w:rPr>
        <w:t xml:space="preserve"> </w:t>
      </w:r>
      <w:r>
        <w:rPr>
          <w:spacing w:val="-4"/>
        </w:rPr>
        <w:t>计提加计抵减额。纳税人兼营出口货物劳务、发生跨境应税行为且无法划分不得计提加计抵</w:t>
      </w:r>
      <w:r>
        <w:rPr>
          <w:spacing w:val="6"/>
        </w:rPr>
        <w:t xml:space="preserve"> </w:t>
      </w:r>
      <w:r>
        <w:rPr>
          <w:spacing w:val="-6"/>
        </w:rPr>
        <w:t>减额的进项税额，按照以下公式计算：不得计提</w:t>
      </w:r>
      <w:r>
        <w:rPr>
          <w:spacing w:val="-7"/>
        </w:rPr>
        <w:t>加计抵减额的进项税额=当期无法划分的全部</w:t>
      </w:r>
      <w:r>
        <w:t xml:space="preserve"> </w:t>
      </w:r>
      <w:r>
        <w:rPr>
          <w:spacing w:val="-4"/>
        </w:rPr>
        <w:t>进项税额×当期出口货物劳务和发生跨境应税行为的销售额÷当期</w:t>
      </w:r>
      <w:r>
        <w:rPr>
          <w:spacing w:val="-5"/>
        </w:rPr>
        <w:t>全部销售额</w:t>
      </w:r>
    </w:p>
    <w:p>
      <w:pPr>
        <w:pStyle w:val="2"/>
        <w:spacing w:before="32" w:line="219" w:lineRule="auto"/>
        <w:ind w:right="89" w:firstLine="479"/>
      </w:pPr>
      <w:r>
        <w:rPr>
          <w:spacing w:val="-4"/>
        </w:rPr>
        <w:t>⑧纳税人应单独核算加计抵减额的计提、抵减、调减、结余等变动情况。骗取适用加计</w:t>
      </w:r>
      <w:r>
        <w:rPr>
          <w:spacing w:val="17"/>
        </w:rPr>
        <w:t xml:space="preserve"> </w:t>
      </w:r>
      <w:r>
        <w:rPr>
          <w:spacing w:val="-9"/>
        </w:rPr>
        <w:t>抵减政策或虚增加计抵减额的，按照《中华人民共和国税收征收管理法》等有关规定处理。</w:t>
      </w:r>
    </w:p>
    <w:p>
      <w:pPr>
        <w:pStyle w:val="2"/>
        <w:spacing w:before="31" w:line="221" w:lineRule="auto"/>
        <w:ind w:left="479"/>
      </w:pPr>
      <w:r>
        <w:rPr>
          <w:spacing w:val="-15"/>
        </w:rPr>
        <w:t>⑨</w:t>
      </w:r>
      <w:r>
        <w:rPr>
          <w:spacing w:val="-61"/>
        </w:rPr>
        <w:t xml:space="preserve"> </w:t>
      </w:r>
      <w:r>
        <w:rPr>
          <w:spacing w:val="-15"/>
        </w:rPr>
        <w:t>加计抵减政策执行到期后，纳税人不再计提加计抵减额，结余的加计抵减额停止抵减。</w:t>
      </w:r>
    </w:p>
    <w:sectPr>
      <w:pgSz w:w="11900" w:h="16840"/>
      <w:pgMar w:top="400" w:right="1204" w:bottom="0" w:left="114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QyOTY3OTkyZTQyMzlhZTJlMjEzYjEwODFmY2Q2MTcifQ=="/>
  </w:docVars>
  <w:rsids>
    <w:rsidRoot w:val="00000000"/>
    <w:rsid w:val="2AA936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7436</Words>
  <Characters>7870</Characters>
  <TotalTime>1</TotalTime>
  <ScaleCrop>false</ScaleCrop>
  <LinksUpToDate>false</LinksUpToDate>
  <CharactersWithSpaces>8058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2023-11-20T16:41:00Z</dcterms:created>
  <dc:creator>Kingsoft-PDF</dc:creator>
  <cp:lastModifiedBy>为你变乖</cp:lastModifiedBy>
  <cp:lastPrinted>2023-11-20T08:52:24Z</cp:lastPrinted>
  <dcterms:modified xsi:type="dcterms:W3CDTF">2023-11-20T08:56:40Z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2023-11-20T16:41:24Z</vt:filetime>
  </property>
  <property fmtid="{D5CDD505-2E9C-101B-9397-08002B2CF9AE}" pid="4" name="UsrData">
    <vt:lpwstr>655b1bac6dfa6f001f64abd3wl</vt:lpwstr>
  </property>
  <property fmtid="{D5CDD505-2E9C-101B-9397-08002B2CF9AE}" pid="5" name="KSOProductBuildVer">
    <vt:lpwstr>2052-11.1.0.14309</vt:lpwstr>
  </property>
  <property fmtid="{D5CDD505-2E9C-101B-9397-08002B2CF9AE}" pid="6" name="ICV">
    <vt:lpwstr>26AE5E9A08A24F6E8CC607C608EF1056_13</vt:lpwstr>
  </property>
</Properties>
</file>