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遵化</w:t>
      </w:r>
      <w:r>
        <w:rPr>
          <w:rFonts w:hint="eastAsia" w:ascii="方正小标宋简体" w:hAnsi="黑体" w:eastAsia="方正小标宋简体"/>
          <w:sz w:val="44"/>
          <w:szCs w:val="44"/>
        </w:rPr>
        <w:t>市城市管理综合行政执法局</w:t>
      </w:r>
    </w:p>
    <w:p>
      <w:pPr>
        <w:spacing w:line="57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重大执法决定法制审核流程图</w:t>
      </w:r>
    </w:p>
    <w:p>
      <w:pPr>
        <w:spacing w:line="57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pict>
          <v:shape id="_x0000_s1029" o:spid="_x0000_s1029" o:spt="202" type="#_x0000_t202" style="position:absolute;left:0pt;margin-left:159pt;margin-top:18.4pt;height:186.35pt;width:266.65pt;z-index:251662336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1"/>
                    </w:numPr>
                    <w:shd w:val="clear" w:color="auto" w:fill="FFFFFF"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auto"/>
                    <w:textAlignment w:val="auto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 xml:space="preserve">涉及重大公共利益的； 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1"/>
                    </w:numPr>
                    <w:shd w:val="clear" w:color="auto" w:fill="FFFFFF"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auto"/>
                    <w:ind w:left="0" w:leftChars="0" w:firstLine="0" w:firstLineChars="0"/>
                    <w:textAlignment w:val="auto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 xml:space="preserve">可能造成重大影响或者引发社会风险的； （三）直接关系行政相对人或者第三人重大权益的； 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1"/>
                    </w:numPr>
                    <w:shd w:val="clear" w:color="auto" w:fill="FFFFFF"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auto"/>
                    <w:ind w:left="0" w:leftChars="0" w:firstLine="0" w:firstLineChars="0"/>
                    <w:textAlignment w:val="auto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需经听证程序作出的；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numId w:val="0"/>
                    </w:numPr>
                    <w:shd w:val="clear" w:color="auto" w:fill="FFFFFF"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240" w:lineRule="auto"/>
                    <w:ind w:leftChars="0"/>
                    <w:textAlignment w:val="auto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（五）案件情况疑难复杂，涉及多个法律关系的； （六）法律、法规、规章规定的其他情形。</w:t>
                  </w:r>
                </w:p>
              </w:txbxContent>
            </v:textbox>
          </v:shape>
        </w:pict>
      </w:r>
      <w:r>
        <w:rPr>
          <w:rFonts w:ascii="仿宋" w:hAnsi="仿宋" w:eastAsia="仿宋"/>
          <w:sz w:val="32"/>
          <w:szCs w:val="32"/>
        </w:rPr>
        <w:pict>
          <v:shape id="_x0000_s1027" o:spid="_x0000_s1027" o:spt="202" type="#_x0000_t202" style="position:absolute;left:0pt;margin-left:71.25pt;margin-top:18.9pt;height:185.85pt;width:51pt;z-index:251660288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作出符合法制审核条件的行政处罚、行政强制等重大执法决定</w:t>
                  </w:r>
                </w:p>
              </w:txbxContent>
            </v:textbox>
          </v:shape>
        </w:pict>
      </w:r>
      <w:r>
        <w:rPr>
          <w:rFonts w:ascii="仿宋" w:hAnsi="仿宋" w:eastAsia="仿宋"/>
          <w:sz w:val="32"/>
          <w:szCs w:val="32"/>
        </w:rPr>
        <w:pict>
          <v:shape id="_x0000_s1026" o:spid="_x0000_s1026" o:spt="202" type="#_x0000_t202" style="position:absolute;left:0pt;margin-left:1.65pt;margin-top:18.4pt;height:186.35pt;width:36.25pt;z-index:251659264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局相关处室和各执法</w:t>
                  </w:r>
                  <w:r>
                    <w:rPr>
                      <w:rFonts w:hint="eastAsia"/>
                      <w:lang w:eastAsia="zh-CN"/>
                    </w:rPr>
                    <w:t>中</w:t>
                  </w:r>
                  <w:r>
                    <w:rPr>
                      <w:rFonts w:hint="eastAsia"/>
                    </w:rPr>
                    <w:t>队</w:t>
                  </w:r>
                </w:p>
              </w:txbxContent>
            </v:textbox>
          </v:shape>
        </w:pict>
      </w:r>
    </w:p>
    <w:p>
      <w:pPr>
        <w:tabs>
          <w:tab w:val="left" w:pos="3675"/>
        </w:tabs>
        <w:spacing w:line="57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</w:p>
    <w:p>
      <w:pPr>
        <w:tabs>
          <w:tab w:val="left" w:pos="3075"/>
        </w:tabs>
        <w:spacing w:line="57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pict>
          <v:shape id="_x0000_s1028" o:spid="_x0000_s1028" o:spt="32" type="#_x0000_t32" style="position:absolute;left:0pt;margin-left:37.9pt;margin-top:9.75pt;height:0.75pt;width:33.35pt;z-index:25166131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" w:hAnsi="仿宋" w:eastAsia="仿宋"/>
          <w:sz w:val="32"/>
          <w:szCs w:val="32"/>
        </w:rPr>
        <w:pict>
          <v:shape id="_x0000_s1030" o:spid="_x0000_s1030" o:spt="32" type="#_x0000_t32" style="position:absolute;left:0pt;margin-left:122.25pt;margin-top:10.5pt;height:0pt;width:36.75pt;z-index:25166336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" w:hAnsi="仿宋" w:eastAsia="仿宋"/>
          <w:sz w:val="32"/>
          <w:szCs w:val="32"/>
        </w:rPr>
        <w:tab/>
      </w:r>
    </w:p>
    <w:p>
      <w:pPr>
        <w:spacing w:line="570" w:lineRule="exact"/>
        <w:rPr>
          <w:rFonts w:ascii="仿宋" w:hAnsi="仿宋" w:eastAsia="仿宋"/>
          <w:sz w:val="32"/>
          <w:szCs w:val="32"/>
        </w:rPr>
      </w:pPr>
    </w:p>
    <w:p>
      <w:pPr>
        <w:spacing w:line="570" w:lineRule="exact"/>
        <w:rPr>
          <w:rFonts w:ascii="仿宋" w:hAnsi="仿宋" w:eastAsia="仿宋"/>
          <w:sz w:val="32"/>
          <w:szCs w:val="32"/>
        </w:rPr>
      </w:pPr>
    </w:p>
    <w:p>
      <w:pPr>
        <w:spacing w:line="570" w:lineRule="exact"/>
        <w:ind w:firstLine="640"/>
        <w:rPr>
          <w:rFonts w:ascii="仿宋" w:hAnsi="仿宋" w:eastAsia="仿宋"/>
          <w:sz w:val="32"/>
          <w:szCs w:val="32"/>
        </w:rPr>
      </w:pPr>
    </w:p>
    <w:p>
      <w:pPr>
        <w:spacing w:line="570" w:lineRule="exact"/>
        <w:ind w:firstLine="640"/>
        <w:rPr>
          <w:rFonts w:ascii="仿宋" w:hAnsi="仿宋" w:eastAsia="仿宋"/>
          <w:sz w:val="32"/>
          <w:szCs w:val="32"/>
        </w:rPr>
      </w:pPr>
    </w:p>
    <w:p>
      <w:pPr>
        <w:spacing w:line="57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pict>
          <v:shape id="_x0000_s1033" o:spid="_x0000_s1033" o:spt="32" type="#_x0000_t32" style="position:absolute;left:0pt;margin-left:408pt;margin-top:5.25pt;height:45.45pt;width:0pt;z-index:25166540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line="57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pict>
          <v:shape id="_x0000_s1034" o:spid="_x0000_s1034" o:spt="202" type="#_x0000_t202" style="position:absolute;left:0pt;margin-left:96.75pt;margin-top:23.05pt;height:132.35pt;width:62.25pt;z-index:251666432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将拟作出的行政执法决定报送局法制机构进行合法性审查</w:t>
                  </w:r>
                </w:p>
              </w:txbxContent>
            </v:textbox>
          </v:shape>
        </w:pict>
      </w:r>
      <w:r>
        <w:rPr>
          <w:rFonts w:ascii="仿宋" w:hAnsi="仿宋" w:eastAsia="仿宋"/>
          <w:sz w:val="32"/>
          <w:szCs w:val="32"/>
        </w:rPr>
        <w:pict>
          <v:shape id="_x0000_s1036" o:spid="_x0000_s1036" o:spt="202" type="#_x0000_t202" style="position:absolute;left:0pt;margin-left:-3pt;margin-top:22.2pt;height:133.2pt;width:69.75pt;z-index:251668480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执法部门法制机构对拟作出的行政执法决定的合法性、适当性进行审查。</w:t>
                  </w:r>
                </w:p>
              </w:txbxContent>
            </v:textbox>
          </v:shape>
        </w:pic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pict>
          <v:shape id="_x0000_s1031" o:spid="_x0000_s1031" o:spt="202" type="#_x0000_t202" style="position:absolute;left:0pt;margin-left:186pt;margin-top:22.2pt;height:179.55pt;width:238.45pt;z-index:251664384;mso-width-relative:margin;mso-height-relative:margin;mso-height-percent:200;" coordsize="21600,21600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/>
                    </w:rPr>
                    <w:t>拟作出的重大行政执法决定报送法制审查时应提交下列材料：</w:t>
                  </w:r>
                </w:p>
                <w:p>
                  <w:r>
                    <w:rPr>
                      <w:rFonts w:hint="eastAsia"/>
                    </w:rPr>
                    <w:t>1.提请审查报告1份；</w:t>
                  </w:r>
                </w:p>
                <w:p>
                  <w:r>
                    <w:rPr>
                      <w:rFonts w:hint="eastAsia"/>
                    </w:rPr>
                    <w:t>2.拟作出的重大行政执法决定文书1份；</w:t>
                  </w:r>
                </w:p>
                <w:p>
                  <w:r>
                    <w:rPr>
                      <w:rFonts w:hint="eastAsia"/>
                    </w:rPr>
                    <w:t>3.拟作出决定的主要事实证据和法律依据材料；</w:t>
                  </w:r>
                </w:p>
                <w:p>
                  <w:r>
                    <w:rPr>
                      <w:rFonts w:hint="eastAsia"/>
                    </w:rPr>
                    <w:t>4.拟作出决定的程序材料；</w:t>
                  </w:r>
                </w:p>
                <w:p>
                  <w:r>
                    <w:rPr>
                      <w:rFonts w:hint="eastAsia"/>
                    </w:rPr>
                    <w:t>5.经听证的还应当提交听证笔录复印件；</w:t>
                  </w:r>
                </w:p>
                <w:p>
                  <w:r>
                    <w:rPr>
                      <w:rFonts w:hint="eastAsia"/>
                    </w:rPr>
                    <w:t>6.其他应当提交的材料。</w:t>
                  </w:r>
                </w:p>
              </w:txbxContent>
            </v:textbox>
          </v:shape>
        </w:pict>
      </w:r>
    </w:p>
    <w:p>
      <w:pPr>
        <w:spacing w:line="570" w:lineRule="exact"/>
        <w:ind w:firstLine="640"/>
        <w:rPr>
          <w:rFonts w:ascii="仿宋" w:hAnsi="仿宋" w:eastAsia="仿宋"/>
          <w:sz w:val="32"/>
          <w:szCs w:val="32"/>
        </w:rPr>
      </w:pPr>
    </w:p>
    <w:p>
      <w:pPr>
        <w:spacing w:line="570" w:lineRule="exact"/>
        <w:ind w:firstLine="640"/>
        <w:rPr>
          <w:rFonts w:ascii="仿宋" w:hAnsi="仿宋" w:eastAsia="仿宋"/>
          <w:sz w:val="32"/>
          <w:szCs w:val="32"/>
        </w:rPr>
      </w:pPr>
    </w:p>
    <w:p>
      <w:pPr>
        <w:tabs>
          <w:tab w:val="left" w:pos="3315"/>
          <w:tab w:val="left" w:pos="5010"/>
        </w:tabs>
        <w:spacing w:line="57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pict>
          <v:shape id="_x0000_s1051" o:spid="_x0000_s1051" o:spt="32" type="#_x0000_t32" style="position:absolute;left:0pt;flip:x;margin-left:66.75pt;margin-top:19.5pt;height:0pt;width:30pt;z-index:25168179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" w:hAnsi="仿宋" w:eastAsia="仿宋"/>
          <w:sz w:val="32"/>
          <w:szCs w:val="32"/>
        </w:rPr>
        <w:pict>
          <v:shape id="_x0000_s1035" o:spid="_x0000_s1035" o:spt="32" type="#_x0000_t32" style="position:absolute;left:0pt;flip:x;margin-left:159pt;margin-top:19.5pt;height:0pt;width:27.95pt;z-index:25166745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pict>
          <v:shape id="_x0000_s1044" o:spid="_x0000_s1044" o:spt="32" type="#_x0000_t32" style="position:absolute;left:0pt;margin-left:37.9pt;margin-top:10.2pt;height:48.6pt;width:23.6pt;z-index:25167462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" w:hAnsi="仿宋" w:eastAsia="仿宋"/>
          <w:sz w:val="32"/>
          <w:szCs w:val="32"/>
        </w:rPr>
        <w:pict>
          <v:shape id="_x0000_s1043" o:spid="_x0000_s1043" o:spt="32" type="#_x0000_t32" style="position:absolute;left:0pt;margin-left:37.9pt;margin-top:10.2pt;height:48.6pt;width:189.35pt;z-index:25167360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" w:hAnsi="仿宋" w:eastAsia="仿宋"/>
          <w:sz w:val="32"/>
          <w:szCs w:val="32"/>
        </w:rPr>
        <w:pict>
          <v:shape id="_x0000_s1042" o:spid="_x0000_s1042" o:spt="32" type="#_x0000_t32" style="position:absolute;left:0pt;margin-left:37.9pt;margin-top:10.2pt;height:48.6pt;width:329.6pt;z-index:25167257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pict>
          <v:shape id="_x0000_s1038" o:spid="_x0000_s1038" o:spt="202" type="#_x0000_t202" style="position:absolute;left:0pt;margin-left:148.95pt;margin-top:1.6pt;height:54.75pt;width:125.25pt;z-index:251669504;mso-width-relative:margin;mso-height-relative:margin;mso-height-percent:200;" coordsize="21600,21600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/>
                    </w:rPr>
                    <w:t>材料不齐全或者不符合要求的，补齐相关材料，材料补齐后予以审查</w:t>
                  </w:r>
                </w:p>
              </w:txbxContent>
            </v:textbox>
          </v:shape>
        </w:pict>
      </w:r>
      <w:r>
        <w:rPr>
          <w:rFonts w:ascii="仿宋" w:hAnsi="仿宋" w:eastAsia="仿宋"/>
          <w:sz w:val="32"/>
          <w:szCs w:val="32"/>
        </w:rPr>
        <w:pict>
          <v:shape id="_x0000_s1040" o:spid="_x0000_s1040" o:spt="202" type="#_x0000_t202" style="position:absolute;left:0pt;margin-left:-2.2pt;margin-top:1.2pt;height:55.15pt;width:110.5pt;z-index:251671552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材料齐全且符要求的，3日内予以审查</w:t>
                  </w:r>
                </w:p>
              </w:txbxContent>
            </v:textbox>
          </v:shape>
        </w:pict>
      </w:r>
      <w:r>
        <w:rPr>
          <w:rFonts w:ascii="仿宋" w:hAnsi="仿宋" w:eastAsia="仿宋"/>
          <w:sz w:val="32"/>
          <w:szCs w:val="32"/>
        </w:rPr>
        <w:pict>
          <v:shape id="_x0000_s1039" o:spid="_x0000_s1039" o:spt="202" type="#_x0000_t202" style="position:absolute;left:0pt;margin-left:316.5pt;margin-top:1.2pt;height:132.75pt;width:108.4pt;z-index:251670528;mso-width-relative:margin;mso-height-relative:margin;mso-height-percent:200;" coordsize="21600,21600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/>
                    </w:rPr>
                    <w:t>不属于重大行政执法决定的，退回办理办案单位</w:t>
                  </w:r>
                </w:p>
              </w:txbxContent>
            </v:textbox>
          </v:shape>
        </w:pic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pict>
          <v:shape id="_x0000_s1047" o:spid="_x0000_s1047" o:spt="32" type="#_x0000_t32" style="position:absolute;left:0pt;margin-left:30.75pt;margin-top:25.55pt;height:37.25pt;width:0pt;z-index:25167769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" w:hAnsi="仿宋" w:eastAsia="仿宋"/>
          <w:sz w:val="32"/>
          <w:szCs w:val="32"/>
        </w:rPr>
        <w:pict>
          <v:shape id="_x0000_s1048" o:spid="_x0000_s1048" o:spt="32" type="#_x0000_t32" style="position:absolute;left:0pt;margin-left:30.75pt;margin-top:25.15pt;height:37.65pt;width:66pt;z-index:25167872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" w:hAnsi="仿宋" w:eastAsia="仿宋"/>
          <w:sz w:val="32"/>
          <w:szCs w:val="32"/>
        </w:rPr>
        <w:pict>
          <v:shape id="_x0000_s1050" o:spid="_x0000_s1050" o:spt="32" type="#_x0000_t32" style="position:absolute;left:0pt;margin-left:34.15pt;margin-top:26pt;height:37.5pt;width:260.3pt;z-index:25168076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pict>
          <v:shape id="_x0000_s1049" o:spid="_x0000_s1049" o:spt="202" type="#_x0000_t202" style="position:absolute;left:0pt;margin-left:162.15pt;margin-top:3.4pt;height:55.85pt;width:265.9pt;z-index:251679744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特别重大、复杂的执法决定，经法制部门审查后，按照相关规定提请案件审理委员会集体讨论决定</w:t>
                  </w:r>
                </w:p>
              </w:txbxContent>
            </v:textbox>
          </v:shape>
        </w:pict>
      </w:r>
      <w:r>
        <w:rPr>
          <w:rFonts w:ascii="仿宋" w:hAnsi="仿宋" w:eastAsia="仿宋"/>
          <w:sz w:val="32"/>
          <w:szCs w:val="32"/>
        </w:rPr>
        <w:pict>
          <v:shape id="_x0000_s1046" o:spid="_x0000_s1046" o:spt="202" type="#_x0000_t202" style="position:absolute;left:0pt;margin-left:1.1pt;margin-top:1.1pt;height:58.85pt;width:51.25pt;z-index:251676672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同意作出决定</w:t>
                  </w:r>
                </w:p>
              </w:txbxContent>
            </v:textbox>
          </v:shape>
        </w:pict>
      </w:r>
      <w:r>
        <w:rPr>
          <w:rFonts w:ascii="仿宋" w:hAnsi="仿宋" w:eastAsia="仿宋"/>
          <w:sz w:val="32"/>
          <w:szCs w:val="32"/>
        </w:rPr>
        <w:pict>
          <v:shape id="_x0000_s1045" o:spid="_x0000_s1045" o:spt="202" type="#_x0000_t202" style="position:absolute;left:0pt;margin-left:81.75pt;margin-top:0.4pt;height:58.85pt;width:47.25pt;z-index:251675648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不同意作出决定</w:t>
                  </w:r>
                </w:p>
              </w:txbxContent>
            </v:textbox>
          </v:shape>
        </w:pic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tabs>
          <w:tab w:val="left" w:pos="6412"/>
        </w:tabs>
      </w:pPr>
      <w:r>
        <w:tab/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E917AC"/>
    <w:multiLevelType w:val="singleLevel"/>
    <w:tmpl w:val="4FE917A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E3YjA3Y2Q3YWQ3M2FmYzZhNzA4OWJkNWRmNDU3NzQifQ=="/>
  </w:docVars>
  <w:rsids>
    <w:rsidRoot w:val="00195493"/>
    <w:rsid w:val="00004828"/>
    <w:rsid w:val="00015393"/>
    <w:rsid w:val="000222D9"/>
    <w:rsid w:val="00027396"/>
    <w:rsid w:val="00042719"/>
    <w:rsid w:val="000470FC"/>
    <w:rsid w:val="000629A3"/>
    <w:rsid w:val="000669EE"/>
    <w:rsid w:val="00083AAD"/>
    <w:rsid w:val="00085588"/>
    <w:rsid w:val="00095A43"/>
    <w:rsid w:val="00097383"/>
    <w:rsid w:val="000B4179"/>
    <w:rsid w:val="00111E19"/>
    <w:rsid w:val="00132C64"/>
    <w:rsid w:val="0013309C"/>
    <w:rsid w:val="00150C74"/>
    <w:rsid w:val="001642E1"/>
    <w:rsid w:val="00182DC5"/>
    <w:rsid w:val="00186E0B"/>
    <w:rsid w:val="00195493"/>
    <w:rsid w:val="00197F30"/>
    <w:rsid w:val="001B28C3"/>
    <w:rsid w:val="001D191A"/>
    <w:rsid w:val="001D42FA"/>
    <w:rsid w:val="001E7DEA"/>
    <w:rsid w:val="001F2F95"/>
    <w:rsid w:val="002032BF"/>
    <w:rsid w:val="00206947"/>
    <w:rsid w:val="00210A8C"/>
    <w:rsid w:val="00211BD5"/>
    <w:rsid w:val="002201E9"/>
    <w:rsid w:val="00222EBA"/>
    <w:rsid w:val="00223543"/>
    <w:rsid w:val="00255E5A"/>
    <w:rsid w:val="00265BA3"/>
    <w:rsid w:val="00282F26"/>
    <w:rsid w:val="002B0641"/>
    <w:rsid w:val="002B3BDF"/>
    <w:rsid w:val="002D46B4"/>
    <w:rsid w:val="002D6D4C"/>
    <w:rsid w:val="002E2A66"/>
    <w:rsid w:val="002E40D1"/>
    <w:rsid w:val="002E5000"/>
    <w:rsid w:val="002E57FB"/>
    <w:rsid w:val="002E7D8B"/>
    <w:rsid w:val="002F6082"/>
    <w:rsid w:val="00301952"/>
    <w:rsid w:val="00313154"/>
    <w:rsid w:val="003213C6"/>
    <w:rsid w:val="00325983"/>
    <w:rsid w:val="00331737"/>
    <w:rsid w:val="00332C47"/>
    <w:rsid w:val="00334E3D"/>
    <w:rsid w:val="00356C22"/>
    <w:rsid w:val="0037434C"/>
    <w:rsid w:val="00375924"/>
    <w:rsid w:val="00380C85"/>
    <w:rsid w:val="0038339E"/>
    <w:rsid w:val="00384C03"/>
    <w:rsid w:val="003A1554"/>
    <w:rsid w:val="003B0A55"/>
    <w:rsid w:val="003C5307"/>
    <w:rsid w:val="003C7D1F"/>
    <w:rsid w:val="003E18C7"/>
    <w:rsid w:val="003E6768"/>
    <w:rsid w:val="00417025"/>
    <w:rsid w:val="00423E4B"/>
    <w:rsid w:val="004719F3"/>
    <w:rsid w:val="00474BA3"/>
    <w:rsid w:val="004A4C7B"/>
    <w:rsid w:val="004A52BF"/>
    <w:rsid w:val="004A717A"/>
    <w:rsid w:val="004B22B0"/>
    <w:rsid w:val="004C388A"/>
    <w:rsid w:val="004D5354"/>
    <w:rsid w:val="004E0D7B"/>
    <w:rsid w:val="004E434F"/>
    <w:rsid w:val="004F4F5E"/>
    <w:rsid w:val="00507A42"/>
    <w:rsid w:val="0054048B"/>
    <w:rsid w:val="00547D76"/>
    <w:rsid w:val="00553451"/>
    <w:rsid w:val="00564E29"/>
    <w:rsid w:val="0058309E"/>
    <w:rsid w:val="00595D1A"/>
    <w:rsid w:val="005A3CFA"/>
    <w:rsid w:val="005A5B40"/>
    <w:rsid w:val="005C692D"/>
    <w:rsid w:val="005D6DF4"/>
    <w:rsid w:val="00600B57"/>
    <w:rsid w:val="0060268D"/>
    <w:rsid w:val="00623DC3"/>
    <w:rsid w:val="00625B77"/>
    <w:rsid w:val="00626BA9"/>
    <w:rsid w:val="00645005"/>
    <w:rsid w:val="00654BF5"/>
    <w:rsid w:val="00660C27"/>
    <w:rsid w:val="00670822"/>
    <w:rsid w:val="00673D4A"/>
    <w:rsid w:val="00682432"/>
    <w:rsid w:val="00684B6B"/>
    <w:rsid w:val="00687689"/>
    <w:rsid w:val="006A2712"/>
    <w:rsid w:val="006B464B"/>
    <w:rsid w:val="006B6D05"/>
    <w:rsid w:val="006B745E"/>
    <w:rsid w:val="006C0C7F"/>
    <w:rsid w:val="006C1DB2"/>
    <w:rsid w:val="006F2271"/>
    <w:rsid w:val="006F6AB3"/>
    <w:rsid w:val="00700949"/>
    <w:rsid w:val="0070276F"/>
    <w:rsid w:val="0071787C"/>
    <w:rsid w:val="00724B23"/>
    <w:rsid w:val="00726EED"/>
    <w:rsid w:val="0073405C"/>
    <w:rsid w:val="0075503A"/>
    <w:rsid w:val="00761DB0"/>
    <w:rsid w:val="00764196"/>
    <w:rsid w:val="007713F2"/>
    <w:rsid w:val="0077428B"/>
    <w:rsid w:val="007824B0"/>
    <w:rsid w:val="007879A1"/>
    <w:rsid w:val="0079215E"/>
    <w:rsid w:val="007C2C77"/>
    <w:rsid w:val="007C60BA"/>
    <w:rsid w:val="007C7027"/>
    <w:rsid w:val="007D2DA0"/>
    <w:rsid w:val="007D3087"/>
    <w:rsid w:val="007F7002"/>
    <w:rsid w:val="007F7376"/>
    <w:rsid w:val="00801325"/>
    <w:rsid w:val="00825352"/>
    <w:rsid w:val="00825A3E"/>
    <w:rsid w:val="00842EC0"/>
    <w:rsid w:val="00856A5B"/>
    <w:rsid w:val="008609DE"/>
    <w:rsid w:val="00865546"/>
    <w:rsid w:val="008722DC"/>
    <w:rsid w:val="008835CC"/>
    <w:rsid w:val="00895C45"/>
    <w:rsid w:val="008D0EF7"/>
    <w:rsid w:val="008D7CBB"/>
    <w:rsid w:val="008F420E"/>
    <w:rsid w:val="00905925"/>
    <w:rsid w:val="00946345"/>
    <w:rsid w:val="0097406B"/>
    <w:rsid w:val="00990265"/>
    <w:rsid w:val="009D0E6E"/>
    <w:rsid w:val="009D25DE"/>
    <w:rsid w:val="009D38EC"/>
    <w:rsid w:val="009D7F3C"/>
    <w:rsid w:val="009F78C5"/>
    <w:rsid w:val="00A11E23"/>
    <w:rsid w:val="00A26A50"/>
    <w:rsid w:val="00A4261E"/>
    <w:rsid w:val="00A43AA3"/>
    <w:rsid w:val="00A44D12"/>
    <w:rsid w:val="00A507C3"/>
    <w:rsid w:val="00A52182"/>
    <w:rsid w:val="00A55C7F"/>
    <w:rsid w:val="00A62DAF"/>
    <w:rsid w:val="00A73A37"/>
    <w:rsid w:val="00A85C0D"/>
    <w:rsid w:val="00A9064A"/>
    <w:rsid w:val="00AB5C28"/>
    <w:rsid w:val="00AB760A"/>
    <w:rsid w:val="00AC27B4"/>
    <w:rsid w:val="00AF2E2C"/>
    <w:rsid w:val="00B15476"/>
    <w:rsid w:val="00B17A29"/>
    <w:rsid w:val="00B23F3A"/>
    <w:rsid w:val="00B27A46"/>
    <w:rsid w:val="00B46F22"/>
    <w:rsid w:val="00B624DF"/>
    <w:rsid w:val="00B62ED8"/>
    <w:rsid w:val="00B72F7C"/>
    <w:rsid w:val="00B76934"/>
    <w:rsid w:val="00BA3035"/>
    <w:rsid w:val="00BB369F"/>
    <w:rsid w:val="00BC4C83"/>
    <w:rsid w:val="00BD3FF7"/>
    <w:rsid w:val="00BD40B6"/>
    <w:rsid w:val="00BF5FC6"/>
    <w:rsid w:val="00C203CD"/>
    <w:rsid w:val="00C303A2"/>
    <w:rsid w:val="00C30893"/>
    <w:rsid w:val="00C3115A"/>
    <w:rsid w:val="00C671D9"/>
    <w:rsid w:val="00C72C66"/>
    <w:rsid w:val="00C80027"/>
    <w:rsid w:val="00C86BCE"/>
    <w:rsid w:val="00CB3FBB"/>
    <w:rsid w:val="00CC3A80"/>
    <w:rsid w:val="00CC42B1"/>
    <w:rsid w:val="00CF296D"/>
    <w:rsid w:val="00CF5E67"/>
    <w:rsid w:val="00D04722"/>
    <w:rsid w:val="00D0713A"/>
    <w:rsid w:val="00D13ADB"/>
    <w:rsid w:val="00D343E4"/>
    <w:rsid w:val="00D375F4"/>
    <w:rsid w:val="00D44E86"/>
    <w:rsid w:val="00D52519"/>
    <w:rsid w:val="00D57F40"/>
    <w:rsid w:val="00D604F5"/>
    <w:rsid w:val="00D760CB"/>
    <w:rsid w:val="00D808AA"/>
    <w:rsid w:val="00D9086E"/>
    <w:rsid w:val="00DA3769"/>
    <w:rsid w:val="00DB05B4"/>
    <w:rsid w:val="00DC062D"/>
    <w:rsid w:val="00DC3E49"/>
    <w:rsid w:val="00DD0F12"/>
    <w:rsid w:val="00DE031A"/>
    <w:rsid w:val="00DE1D35"/>
    <w:rsid w:val="00DF43B1"/>
    <w:rsid w:val="00E002F1"/>
    <w:rsid w:val="00E06281"/>
    <w:rsid w:val="00E11BBD"/>
    <w:rsid w:val="00E12B21"/>
    <w:rsid w:val="00E157A0"/>
    <w:rsid w:val="00E16EFD"/>
    <w:rsid w:val="00E263E7"/>
    <w:rsid w:val="00E565AB"/>
    <w:rsid w:val="00E577DE"/>
    <w:rsid w:val="00E672B6"/>
    <w:rsid w:val="00E823A9"/>
    <w:rsid w:val="00EC795E"/>
    <w:rsid w:val="00ED3B3D"/>
    <w:rsid w:val="00ED493D"/>
    <w:rsid w:val="00ED6DB6"/>
    <w:rsid w:val="00F017BB"/>
    <w:rsid w:val="00F04FF2"/>
    <w:rsid w:val="00F22DF0"/>
    <w:rsid w:val="00F4792D"/>
    <w:rsid w:val="00F57023"/>
    <w:rsid w:val="00F66D28"/>
    <w:rsid w:val="00F742D9"/>
    <w:rsid w:val="00F76417"/>
    <w:rsid w:val="00F76700"/>
    <w:rsid w:val="00F767E2"/>
    <w:rsid w:val="00F91475"/>
    <w:rsid w:val="00F96B30"/>
    <w:rsid w:val="00F9761D"/>
    <w:rsid w:val="00FA1994"/>
    <w:rsid w:val="00FA6988"/>
    <w:rsid w:val="00FB4719"/>
    <w:rsid w:val="00FC2BE3"/>
    <w:rsid w:val="00FC6326"/>
    <w:rsid w:val="00FD0F36"/>
    <w:rsid w:val="00FD3460"/>
    <w:rsid w:val="00FD67FB"/>
    <w:rsid w:val="00FE01BB"/>
    <w:rsid w:val="133C73F3"/>
    <w:rsid w:val="35CF0153"/>
    <w:rsid w:val="48DD6FDF"/>
    <w:rsid w:val="56382099"/>
    <w:rsid w:val="7F300C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30"/>
        <o:r id="V:Rule3" type="connector" idref="#_x0000_s1033"/>
        <o:r id="V:Rule4" type="connector" idref="#_x0000_s1035"/>
        <o:r id="V:Rule5" type="connector" idref="#_x0000_s1042"/>
        <o:r id="V:Rule6" type="connector" idref="#_x0000_s1043"/>
        <o:r id="V:Rule7" type="connector" idref="#_x0000_s1044"/>
        <o:r id="V:Rule8" type="connector" idref="#_x0000_s1047"/>
        <o:r id="V:Rule9" type="connector" idref="#_x0000_s1048"/>
        <o:r id="V:Rule10" type="connector" idref="#_x0000_s1050"/>
        <o:r id="V:Rule11" type="connector" idref="#_x0000_s105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7"/>
    <customShpInfo spid="_x0000_s1026"/>
    <customShpInfo spid="_x0000_s1028"/>
    <customShpInfo spid="_x0000_s1030"/>
    <customShpInfo spid="_x0000_s1033"/>
    <customShpInfo spid="_x0000_s1034"/>
    <customShpInfo spid="_x0000_s1036"/>
    <customShpInfo spid="_x0000_s1031"/>
    <customShpInfo spid="_x0000_s1051"/>
    <customShpInfo spid="_x0000_s1035"/>
    <customShpInfo spid="_x0000_s1044"/>
    <customShpInfo spid="_x0000_s1043"/>
    <customShpInfo spid="_x0000_s1042"/>
    <customShpInfo spid="_x0000_s1038"/>
    <customShpInfo spid="_x0000_s1040"/>
    <customShpInfo spid="_x0000_s1039"/>
    <customShpInfo spid="_x0000_s1047"/>
    <customShpInfo spid="_x0000_s1048"/>
    <customShpInfo spid="_x0000_s1050"/>
    <customShpInfo spid="_x0000_s1049"/>
    <customShpInfo spid="_x0000_s1046"/>
    <customShpInfo spid="_x0000_s10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</Words>
  <Characters>67</Characters>
  <Lines>1</Lines>
  <Paragraphs>1</Paragraphs>
  <TotalTime>16</TotalTime>
  <ScaleCrop>false</ScaleCrop>
  <LinksUpToDate>false</LinksUpToDate>
  <CharactersWithSpaces>77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2017-06-06T07:51:00Z</dcterms:created>
  <dc:creator>孙二海</dc:creator>
  <cp:lastModifiedBy>Administrator</cp:lastModifiedBy>
  <dcterms:modified xsi:type="dcterms:W3CDTF">2023-12-05T02:04:17Z</dcterms:modified>
  <dc:title>唐山市城市管理局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4226CEADC8E34DDCB9FDE581F1742A76_12</vt:lpwstr>
  </property>
</Properties>
</file>