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3" w:firstLineChars="200"/>
        <w:jc w:val="center"/>
        <w:rPr>
          <w:rFonts w:ascii="宋体" w:hAnsi="宋体" w:cs="Times New Roman"/>
          <w:b/>
          <w:sz w:val="44"/>
          <w:szCs w:val="44"/>
        </w:rPr>
      </w:pPr>
      <w:r>
        <w:rPr>
          <w:rFonts w:hint="eastAsia" w:ascii="宋体" w:hAnsi="宋体" w:cs="Times New Roman"/>
          <w:b/>
          <w:sz w:val="44"/>
          <w:szCs w:val="44"/>
        </w:rPr>
        <w:t>遵化市审计局本级2021年预算信息公开情况说明</w:t>
      </w:r>
    </w:p>
    <w:p>
      <w:pPr>
        <w:spacing w:line="560" w:lineRule="exact"/>
        <w:ind w:firstLine="640" w:firstLineChars="200"/>
        <w:rPr>
          <w:rFonts w:ascii="仿宋" w:hAnsi="仿宋" w:eastAsia="仿宋" w:cs="Times New Roman"/>
          <w:sz w:val="32"/>
          <w:szCs w:val="32"/>
        </w:rPr>
      </w:pPr>
    </w:p>
    <w:p>
      <w:pPr>
        <w:spacing w:line="560" w:lineRule="exact"/>
        <w:ind w:firstLine="640" w:firstLineChars="200"/>
        <w:rPr>
          <w:rFonts w:ascii="方正仿宋简体" w:hAnsi="仿宋" w:eastAsia="方正仿宋简体" w:cs="Times New Roman"/>
          <w:sz w:val="32"/>
          <w:szCs w:val="32"/>
        </w:rPr>
      </w:pPr>
      <w:r>
        <w:rPr>
          <w:rFonts w:hint="eastAsia" w:ascii="方正仿宋简体" w:hAnsi="仿宋" w:eastAsia="方正仿宋简体" w:cs="Times New Roman"/>
          <w:sz w:val="32"/>
          <w:szCs w:val="32"/>
        </w:rPr>
        <w:t>按照《中华人民共和国预算法》、《地方预决算公开操作规程》和《河北省省级预算公开办法》规定，现将遵化市审计局2021年本级预算公开如下：</w:t>
      </w:r>
    </w:p>
    <w:p>
      <w:pPr>
        <w:spacing w:line="560" w:lineRule="exact"/>
        <w:ind w:firstLine="640"/>
        <w:rPr>
          <w:rFonts w:ascii="黑体" w:hAnsi="宋体" w:eastAsia="黑体" w:cs="Times New Roman"/>
          <w:sz w:val="32"/>
          <w:szCs w:val="32"/>
        </w:rPr>
      </w:pPr>
      <w:r>
        <w:rPr>
          <w:rFonts w:hint="eastAsia" w:ascii="黑体" w:hAnsi="宋体" w:eastAsia="黑体" w:cs="Times New Roman"/>
          <w:sz w:val="32"/>
          <w:szCs w:val="32"/>
        </w:rPr>
        <w:t>一、本级职责及机构设置情况</w:t>
      </w:r>
    </w:p>
    <w:p>
      <w:pPr>
        <w:spacing w:line="560" w:lineRule="exact"/>
        <w:ind w:firstLine="602" w:firstLineChars="200"/>
        <w:rPr>
          <w:rFonts w:ascii="楷体" w:hAnsi="楷体" w:eastAsia="楷体" w:cs="Times New Roman"/>
          <w:b/>
          <w:sz w:val="30"/>
          <w:szCs w:val="30"/>
        </w:rPr>
      </w:pPr>
      <w:r>
        <w:rPr>
          <w:rFonts w:hint="eastAsia" w:ascii="楷体" w:hAnsi="楷体" w:eastAsia="楷体" w:cs="Times New Roman"/>
          <w:b/>
          <w:sz w:val="30"/>
          <w:szCs w:val="30"/>
        </w:rPr>
        <w:t>（一）本级职责：</w:t>
      </w:r>
    </w:p>
    <w:p>
      <w:pPr>
        <w:ind w:firstLine="640" w:firstLineChars="200"/>
        <w:rPr>
          <w:rFonts w:ascii="方正仿宋简体" w:hAnsi="仿宋" w:eastAsia="方正仿宋简体" w:cs="方正仿宋简体"/>
          <w:sz w:val="32"/>
          <w:szCs w:val="32"/>
        </w:rPr>
      </w:pPr>
      <w:r>
        <w:rPr>
          <w:rFonts w:hint="eastAsia" w:ascii="方正仿宋简体" w:hAnsi="仿宋" w:eastAsia="方正仿宋简体" w:cs="方正仿宋简体"/>
          <w:sz w:val="32"/>
          <w:szCs w:val="32"/>
        </w:rPr>
        <w:t>根据遵办字[2020]（11）号文件《遵化市审计局职能配置、内设机构和人员编制规定》文件，遵化市审计局主要职责是：</w:t>
      </w:r>
    </w:p>
    <w:p>
      <w:pPr>
        <w:pStyle w:val="7"/>
        <w:numPr>
          <w:ilvl w:val="0"/>
          <w:numId w:val="1"/>
        </w:numPr>
        <w:rPr>
          <w:rFonts w:ascii="方正仿宋简体" w:hAnsi="仿宋" w:eastAsia="方正仿宋简体" w:cs="方正仿宋简体"/>
          <w:kern w:val="2"/>
          <w:sz w:val="32"/>
          <w:szCs w:val="32"/>
          <w:shd w:val="clear" w:color="050000" w:fill="auto"/>
          <w:lang w:eastAsia="zh-CN"/>
        </w:rPr>
      </w:pPr>
      <w:r>
        <w:rPr>
          <w:rFonts w:hint="eastAsia" w:ascii="方正仿宋简体" w:hAnsi="仿宋" w:eastAsia="方正仿宋简体" w:cs="方正仿宋简体"/>
          <w:kern w:val="2"/>
          <w:sz w:val="32"/>
          <w:szCs w:val="32"/>
          <w:shd w:val="clear" w:color="050000" w:fill="auto"/>
          <w:lang w:eastAsia="zh-CN"/>
        </w:rPr>
        <w:t>负责对全市财政收支的真实、合法和效益进行审计监督，对国有资产和领导干部经济责任审计情况实行审计全覆盖。</w:t>
      </w:r>
    </w:p>
    <w:p>
      <w:pPr>
        <w:pStyle w:val="7"/>
        <w:numPr>
          <w:ilvl w:val="0"/>
          <w:numId w:val="1"/>
        </w:numPr>
        <w:rPr>
          <w:rFonts w:ascii="方正仿宋简体" w:hAnsi="仿宋" w:eastAsia="方正仿宋简体" w:cs="方正仿宋简体"/>
          <w:kern w:val="2"/>
          <w:sz w:val="32"/>
          <w:szCs w:val="32"/>
          <w:shd w:val="clear" w:color="050000" w:fill="auto"/>
          <w:lang w:eastAsia="zh-CN"/>
        </w:rPr>
      </w:pPr>
      <w:r>
        <w:rPr>
          <w:rFonts w:hint="eastAsia" w:ascii="方正仿宋简体" w:hAnsi="仿宋" w:eastAsia="方正仿宋简体" w:cs="方正仿宋简体"/>
          <w:kern w:val="2"/>
          <w:sz w:val="32"/>
          <w:szCs w:val="32"/>
          <w:shd w:val="clear" w:color="050000" w:fill="auto"/>
          <w:lang w:eastAsia="zh-CN"/>
        </w:rPr>
        <w:t>对重大政策落实情况进行跟踪审计，对政府投资的工程项目进行审计等。</w:t>
      </w:r>
    </w:p>
    <w:p>
      <w:pPr>
        <w:pStyle w:val="7"/>
        <w:rPr>
          <w:rFonts w:ascii="方正仿宋简体" w:hAnsi="仿宋" w:eastAsia="方正仿宋简体" w:cs="方正仿宋简体"/>
          <w:kern w:val="2"/>
          <w:sz w:val="32"/>
          <w:szCs w:val="32"/>
          <w:shd w:val="clear" w:color="050000" w:fill="auto"/>
          <w:lang w:eastAsia="zh-CN"/>
        </w:rPr>
      </w:pPr>
      <w:r>
        <w:rPr>
          <w:rFonts w:hint="eastAsia" w:ascii="方正仿宋简体" w:hAnsi="仿宋" w:eastAsia="方正仿宋简体" w:cs="方正仿宋简体"/>
          <w:kern w:val="2"/>
          <w:sz w:val="32"/>
          <w:szCs w:val="32"/>
          <w:shd w:val="clear" w:color="050000" w:fill="auto"/>
          <w:lang w:eastAsia="zh-CN"/>
        </w:rPr>
        <w:t>（三）依法检查审计决定执行情况，督促整改审计查出的问题。</w:t>
      </w:r>
    </w:p>
    <w:p>
      <w:pPr>
        <w:pStyle w:val="7"/>
        <w:rPr>
          <w:rFonts w:ascii="方正仿宋简体" w:hAnsi="仿宋" w:eastAsia="方正仿宋简体" w:cs="方正仿宋简体"/>
          <w:kern w:val="2"/>
          <w:sz w:val="32"/>
          <w:szCs w:val="32"/>
          <w:shd w:val="clear" w:color="050000" w:fill="auto"/>
          <w:lang w:eastAsia="zh-CN"/>
        </w:rPr>
      </w:pPr>
      <w:r>
        <w:rPr>
          <w:rFonts w:hint="eastAsia" w:ascii="方正仿宋简体" w:hAnsi="仿宋" w:eastAsia="方正仿宋简体" w:cs="方正仿宋简体"/>
          <w:kern w:val="2"/>
          <w:sz w:val="32"/>
          <w:szCs w:val="32"/>
          <w:shd w:val="clear" w:color="050000" w:fill="auto"/>
          <w:lang w:eastAsia="zh-CN"/>
        </w:rPr>
        <w:t>（四）完成上级机关以及市委市政府交办的其他任务。</w:t>
      </w:r>
    </w:p>
    <w:p>
      <w:pPr>
        <w:pStyle w:val="7"/>
        <w:rPr>
          <w:rFonts w:ascii="方正仿宋简体" w:hAnsi="仿宋" w:eastAsia="方正仿宋简体" w:cs="方正仿宋简体"/>
          <w:kern w:val="2"/>
          <w:sz w:val="32"/>
          <w:szCs w:val="32"/>
          <w:shd w:val="clear" w:color="050000" w:fill="auto"/>
          <w:lang w:eastAsia="zh-CN"/>
        </w:rPr>
      </w:pPr>
      <w:r>
        <w:rPr>
          <w:rFonts w:hint="eastAsia" w:ascii="方正仿宋简体" w:hAnsi="仿宋" w:eastAsia="方正仿宋简体" w:cs="方正仿宋简体"/>
          <w:kern w:val="2"/>
          <w:sz w:val="32"/>
          <w:szCs w:val="32"/>
          <w:shd w:val="clear" w:color="050000" w:fill="auto"/>
          <w:lang w:eastAsia="zh-CN"/>
        </w:rPr>
        <w:t>（五）职能转变，加强审计工作统筹，明晰职能定位，构建集中统一、全面覆盖的审计。</w:t>
      </w:r>
    </w:p>
    <w:p>
      <w:pPr>
        <w:spacing w:line="560" w:lineRule="exact"/>
        <w:ind w:firstLine="643" w:firstLineChars="200"/>
        <w:rPr>
          <w:rFonts w:ascii="方正仿宋简体" w:hAnsi="仿宋" w:eastAsia="方正仿宋简体" w:cs="Times New Roman"/>
          <w:b/>
          <w:sz w:val="32"/>
          <w:szCs w:val="32"/>
        </w:rPr>
      </w:pPr>
      <w:r>
        <w:rPr>
          <w:rFonts w:hint="eastAsia" w:ascii="方正仿宋简体" w:hAnsi="仿宋" w:eastAsia="方正仿宋简体" w:cs="Times New Roman"/>
          <w:b/>
          <w:sz w:val="32"/>
          <w:szCs w:val="32"/>
        </w:rPr>
        <w:t>（二）机构设置：</w:t>
      </w:r>
    </w:p>
    <w:p>
      <w:pPr>
        <w:widowControl/>
        <w:spacing w:line="570" w:lineRule="exact"/>
        <w:ind w:firstLine="640" w:firstLineChars="200"/>
        <w:rPr>
          <w:rFonts w:ascii="仿宋_GB2312" w:hAnsi="仿宋_GB2312" w:eastAsia="仿宋_GB2312" w:cs="仿宋_GB2312"/>
          <w:sz w:val="32"/>
          <w:szCs w:val="32"/>
        </w:rPr>
      </w:pPr>
      <w:r>
        <w:rPr>
          <w:rFonts w:hint="eastAsia" w:ascii="仿宋" w:hAnsi="仿宋" w:eastAsia="仿宋" w:cs="宋体"/>
          <w:color w:val="000000"/>
          <w:kern w:val="0"/>
          <w:sz w:val="32"/>
          <w:szCs w:val="32"/>
        </w:rPr>
        <w:t>1、办公</w:t>
      </w:r>
      <w:r>
        <w:rPr>
          <w:rFonts w:hint="eastAsia" w:ascii="仿宋" w:hAnsi="仿宋" w:eastAsia="仿宋"/>
          <w:kern w:val="0"/>
          <w:sz w:val="32"/>
          <w:szCs w:val="32"/>
        </w:rPr>
        <w:t>室。</w:t>
      </w:r>
      <w:r>
        <w:rPr>
          <w:rFonts w:hint="eastAsia" w:ascii="仿宋_GB2312" w:hAnsi="仿宋_GB2312" w:eastAsia="仿宋_GB2312" w:cs="仿宋_GB2312"/>
          <w:kern w:val="0"/>
          <w:sz w:val="32"/>
          <w:szCs w:val="32"/>
        </w:rPr>
        <w:t>负责机关日常运转，负责重要行政文稿的起草及公文流转、会务、安全、保密机要、信访、档案、政务公开、应急值班等工作。负责审计信息、新闻宣传，管理市级审计网站，编辑内部刊物。承担人大代表建议、政协提案办理工作。负责机关财务和资产管理。</w:t>
      </w:r>
      <w:r>
        <w:rPr>
          <w:rFonts w:hint="eastAsia" w:ascii="仿宋_GB2312" w:hAnsi="仿宋_GB2312" w:eastAsia="仿宋_GB2312" w:cs="仿宋_GB2312"/>
          <w:sz w:val="32"/>
          <w:szCs w:val="32"/>
        </w:rPr>
        <w:t>负责机关干部人事、机构编制、劳动工资、社会保障等工作。负责审计教育培训工作。负责机关离退休干部工作。</w:t>
      </w:r>
      <w:r>
        <w:rPr>
          <w:rFonts w:hint="eastAsia" w:ascii="仿宋_GB2312" w:hAnsi="Times New Roman" w:eastAsia="仿宋_GB2312" w:cs="仿宋_GB2312"/>
          <w:kern w:val="0"/>
          <w:sz w:val="32"/>
          <w:szCs w:val="32"/>
        </w:rPr>
        <w:t>负责机关党群工作</w:t>
      </w:r>
      <w:r>
        <w:rPr>
          <w:rFonts w:hint="eastAsia" w:ascii="仿宋_GB2312" w:hAnsi="仿宋_GB2312" w:eastAsia="仿宋_GB2312" w:cs="仿宋_GB2312"/>
          <w:sz w:val="32"/>
          <w:szCs w:val="32"/>
        </w:rPr>
        <w:t>。</w:t>
      </w:r>
    </w:p>
    <w:p>
      <w:pPr>
        <w:widowControl/>
        <w:spacing w:line="570" w:lineRule="exact"/>
        <w:ind w:firstLine="640" w:firstLineChars="200"/>
        <w:rPr>
          <w:rFonts w:ascii="仿宋_GB2312" w:hAnsi="仿宋_GB2312" w:eastAsia="仿宋_GB2312" w:cs="仿宋_GB2312"/>
          <w:sz w:val="32"/>
          <w:szCs w:val="32"/>
        </w:rPr>
      </w:pP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、财政审计科</w:t>
      </w:r>
      <w:r>
        <w:rPr>
          <w:rFonts w:hint="eastAsia" w:ascii="仿宋" w:hAnsi="仿宋" w:eastAsia="仿宋"/>
          <w:kern w:val="0"/>
          <w:sz w:val="32"/>
          <w:szCs w:val="32"/>
        </w:rPr>
        <w:t>。</w:t>
      </w:r>
      <w:r>
        <w:rPr>
          <w:rFonts w:hint="eastAsia" w:ascii="仿宋_GB2312" w:hAnsi="仿宋_GB2312" w:eastAsia="仿宋_GB2312" w:cs="仿宋_GB2312"/>
          <w:sz w:val="32"/>
          <w:szCs w:val="32"/>
        </w:rPr>
        <w:t>负责组织对市本级预算执行、决算草案和其他财政收支情况进行审计。牵头起草年度市本级预算执行和其他财政收支情况的审计报告、审计结果报告、审计工作报告。组织审计乡镇（街道）预算执行情况、决算草案和其他财政收支。履行对市</w:t>
      </w:r>
      <w:r>
        <w:rPr>
          <w:rFonts w:hint="eastAsia" w:ascii="仿宋_GB2312" w:hAnsi="仿宋_GB2312" w:eastAsia="仿宋_GB2312" w:cs="仿宋_GB2312"/>
          <w:kern w:val="0"/>
          <w:sz w:val="32"/>
          <w:szCs w:val="32"/>
        </w:rPr>
        <w:t>级预算执行情况和其他财政收支情况的监督检查职责。负责对国家和省、唐山市和遵化市有关重大政策措施贯彻落实情</w:t>
      </w:r>
      <w:r>
        <w:rPr>
          <w:rFonts w:hint="eastAsia" w:ascii="仿宋_GB2312" w:hAnsi="仿宋_GB2312" w:eastAsia="仿宋_GB2312" w:cs="仿宋_GB2312"/>
          <w:sz w:val="32"/>
          <w:szCs w:val="32"/>
        </w:rPr>
        <w:t>况和税收征管、社会保险费征收等情况进行审计。组织对市政府相关部门、乡镇（街道）政府和市政府及其部门委托其他单位管理的社会保障基金、社会捐赠资金、彩票公益金以及其他有关基金、资金的财务收支进行审计。</w:t>
      </w:r>
    </w:p>
    <w:p>
      <w:pPr>
        <w:widowControl/>
        <w:spacing w:line="570" w:lineRule="exact"/>
        <w:ind w:firstLine="640" w:firstLineChars="200"/>
        <w:rPr>
          <w:rFonts w:ascii="仿宋_GB2312" w:hAnsi="仿宋_GB2312" w:eastAsia="仿宋_GB2312" w:cs="仿宋_GB2312"/>
          <w:sz w:val="32"/>
          <w:szCs w:val="32"/>
        </w:rPr>
      </w:pPr>
      <w:r>
        <w:rPr>
          <w:rFonts w:ascii="仿宋" w:hAnsi="仿宋" w:eastAsia="仿宋" w:cs="宋体"/>
          <w:color w:val="000000"/>
          <w:kern w:val="0"/>
          <w:sz w:val="32"/>
          <w:szCs w:val="32"/>
        </w:rPr>
        <w:t>3</w:t>
      </w:r>
      <w:r>
        <w:rPr>
          <w:rFonts w:hint="eastAsia" w:ascii="仿宋" w:hAnsi="仿宋" w:eastAsia="仿宋" w:cs="宋体"/>
          <w:color w:val="000000"/>
          <w:kern w:val="0"/>
          <w:sz w:val="32"/>
          <w:szCs w:val="32"/>
        </w:rPr>
        <w:t>、农业农村审计科</w:t>
      </w:r>
      <w:r>
        <w:rPr>
          <w:rFonts w:hint="eastAsia" w:ascii="仿宋" w:hAnsi="仿宋" w:eastAsia="仿宋"/>
          <w:kern w:val="0"/>
          <w:sz w:val="32"/>
          <w:szCs w:val="32"/>
        </w:rPr>
        <w:t>。</w:t>
      </w:r>
      <w:r>
        <w:rPr>
          <w:rFonts w:hint="eastAsia" w:ascii="仿宋_GB2312" w:hAnsi="仿宋_GB2312" w:eastAsia="仿宋_GB2312" w:cs="仿宋_GB2312"/>
          <w:sz w:val="32"/>
          <w:szCs w:val="32"/>
        </w:rPr>
        <w:t>负责对市直农业农村、扶贫开发等主管部门的预算执行情况、决算草案、其他财政收支和主要领导干部经济责任履行情况进行审计。组织对农业农村、扶贫开发以及其他相关公共资金和建设项目进行审计。指导全市审计机关农业农村审计业务。组织对市直自然资源和生态环境主管部门的预算执行情况、决算草案、其他财政收支和主要领导干部经济责任履行情况进行审计。组织对</w:t>
      </w:r>
      <w:r>
        <w:rPr>
          <w:rFonts w:hint="eastAsia" w:ascii="仿宋_GB2312" w:hAnsi="仿宋_GB2312" w:eastAsia="仿宋_GB2312" w:cs="仿宋_GB2312"/>
          <w:kern w:val="0"/>
          <w:sz w:val="32"/>
          <w:szCs w:val="32"/>
        </w:rPr>
        <w:t>党政领导干部自然资源资产离任审计。组织对全市自然资源管理、污染防治和生态保护与</w:t>
      </w:r>
      <w:r>
        <w:rPr>
          <w:rFonts w:hint="eastAsia" w:ascii="仿宋_GB2312" w:hAnsi="仿宋_GB2312" w:eastAsia="仿宋_GB2312" w:cs="仿宋_GB2312"/>
          <w:sz w:val="32"/>
          <w:szCs w:val="32"/>
        </w:rPr>
        <w:t>修复情况进行审计。</w:t>
      </w:r>
    </w:p>
    <w:p>
      <w:pPr>
        <w:widowControl/>
        <w:spacing w:line="570" w:lineRule="exact"/>
        <w:ind w:firstLine="640" w:firstLineChars="200"/>
        <w:rPr>
          <w:rFonts w:ascii="仿宋_GB2312" w:hAnsi="仿宋_GB2312" w:eastAsia="仿宋_GB2312" w:cs="仿宋_GB2312"/>
          <w:sz w:val="32"/>
          <w:szCs w:val="32"/>
        </w:rPr>
      </w:pPr>
      <w:r>
        <w:rPr>
          <w:rFonts w:ascii="仿宋" w:hAnsi="仿宋" w:eastAsia="仿宋" w:cs="宋体"/>
          <w:color w:val="000000"/>
          <w:kern w:val="0"/>
          <w:sz w:val="32"/>
          <w:szCs w:val="32"/>
        </w:rPr>
        <w:t>4</w:t>
      </w:r>
      <w:r>
        <w:rPr>
          <w:rFonts w:hint="eastAsia" w:ascii="仿宋" w:hAnsi="仿宋" w:eastAsia="仿宋" w:cs="宋体"/>
          <w:color w:val="000000"/>
          <w:kern w:val="0"/>
          <w:sz w:val="32"/>
          <w:szCs w:val="32"/>
        </w:rPr>
        <w:t>、固定资产投资审计科</w:t>
      </w:r>
      <w:r>
        <w:rPr>
          <w:rFonts w:hint="eastAsia" w:ascii="仿宋" w:hAnsi="仿宋" w:eastAsia="仿宋"/>
          <w:kern w:val="0"/>
          <w:sz w:val="32"/>
          <w:szCs w:val="32"/>
        </w:rPr>
        <w:t>。</w:t>
      </w:r>
      <w:r>
        <w:rPr>
          <w:rFonts w:hint="eastAsia" w:ascii="仿宋_GB2312" w:hAnsi="仿宋_GB2312" w:eastAsia="仿宋_GB2312" w:cs="仿宋_GB2312"/>
          <w:sz w:val="32"/>
          <w:szCs w:val="32"/>
        </w:rPr>
        <w:t>组织对市级投资、以市级投资为主的建设项目以及其他关系到国家利益和公共利益的重大公共工程项目进行审计。负责对中央、省和唐山市财政安排我市的项目投资进行审计监督，对市重点建设项目的实施情况进行跟踪审计。履行重大项目稽察职责。</w:t>
      </w:r>
    </w:p>
    <w:p>
      <w:pPr>
        <w:widowControl/>
        <w:spacing w:line="570" w:lineRule="exact"/>
        <w:ind w:firstLine="640" w:firstLineChars="200"/>
        <w:rPr>
          <w:rFonts w:ascii="仿宋_GB2312" w:hAnsi="仿宋_GB2312" w:eastAsia="仿宋_GB2312" w:cs="仿宋_GB2312"/>
          <w:sz w:val="32"/>
          <w:szCs w:val="32"/>
        </w:rPr>
      </w:pPr>
      <w:r>
        <w:rPr>
          <w:rFonts w:ascii="仿宋" w:hAnsi="仿宋" w:eastAsia="仿宋" w:cs="宋体"/>
          <w:color w:val="000000"/>
          <w:kern w:val="0"/>
          <w:sz w:val="32"/>
          <w:szCs w:val="32"/>
        </w:rPr>
        <w:t>5</w:t>
      </w:r>
      <w:r>
        <w:rPr>
          <w:rFonts w:hint="eastAsia" w:ascii="仿宋" w:hAnsi="仿宋" w:eastAsia="仿宋" w:cs="宋体"/>
          <w:color w:val="000000"/>
          <w:kern w:val="0"/>
          <w:sz w:val="32"/>
          <w:szCs w:val="32"/>
        </w:rPr>
        <w:t>、经济责任审计科</w:t>
      </w:r>
      <w:r>
        <w:rPr>
          <w:rFonts w:hint="eastAsia" w:ascii="仿宋" w:hAnsi="仿宋" w:eastAsia="仿宋"/>
          <w:kern w:val="0"/>
          <w:sz w:val="32"/>
          <w:szCs w:val="32"/>
        </w:rPr>
        <w:t>。</w:t>
      </w:r>
      <w:r>
        <w:rPr>
          <w:rFonts w:hint="eastAsia" w:ascii="仿宋_GB2312" w:hAnsi="仿宋_GB2312" w:eastAsia="仿宋_GB2312" w:cs="仿宋_GB2312"/>
          <w:sz w:val="32"/>
          <w:szCs w:val="32"/>
        </w:rPr>
        <w:t>组织对市直、乡镇（街道）党政工作部门、事业单位、人民团体和市属院校党政主要领导干部实施经济责任审计。承担市经济责任审计联席会议办公室日常工作。组织对市属国有和国有资本占控股或主导地位企业、金融机构贯彻落实党和国家重大政策措施、资产、负债和损益以及财务收支和主要领导干部经济责任履行情况进行审计。对市属国有资产监督管理部门、金融管理部门预算执行情况、决算草案、财政收支以及有关经济活动情况进行审计。组织对市驻外非经营性机构的财务收支以及国际组织和外国政府援助、贷款项目进行审计。</w:t>
      </w:r>
    </w:p>
    <w:p>
      <w:pPr>
        <w:spacing w:line="570" w:lineRule="exact"/>
        <w:ind w:firstLine="560"/>
        <w:jc w:val="left"/>
        <w:rPr>
          <w:rFonts w:ascii="仿宋_GB2312" w:hAnsi="仿宋_GB2312" w:eastAsia="仿宋_GB2312" w:cs="仿宋_GB2312"/>
          <w:sz w:val="32"/>
          <w:szCs w:val="32"/>
        </w:rPr>
      </w:pPr>
      <w:r>
        <w:rPr>
          <w:rFonts w:ascii="仿宋" w:hAnsi="仿宋" w:eastAsia="仿宋" w:cs="宋体"/>
          <w:color w:val="000000"/>
          <w:kern w:val="0"/>
          <w:sz w:val="32"/>
          <w:szCs w:val="32"/>
        </w:rPr>
        <w:t>6</w:t>
      </w:r>
      <w:r>
        <w:rPr>
          <w:rFonts w:hint="eastAsia" w:ascii="仿宋" w:hAnsi="仿宋" w:eastAsia="仿宋" w:cs="宋体"/>
          <w:color w:val="000000"/>
          <w:kern w:val="0"/>
          <w:sz w:val="32"/>
          <w:szCs w:val="32"/>
        </w:rPr>
        <w:t>、行政事业审计科</w:t>
      </w:r>
      <w:r>
        <w:rPr>
          <w:rFonts w:hint="eastAsia" w:ascii="仿宋" w:hAnsi="仿宋" w:eastAsia="仿宋"/>
          <w:sz w:val="32"/>
          <w:szCs w:val="32"/>
        </w:rPr>
        <w:t>。</w:t>
      </w:r>
      <w:r>
        <w:rPr>
          <w:rFonts w:hint="eastAsia" w:ascii="仿宋_GB2312" w:hAnsi="仿宋_GB2312" w:eastAsia="仿宋_GB2312" w:cs="仿宋_GB2312"/>
          <w:sz w:val="32"/>
          <w:szCs w:val="32"/>
        </w:rPr>
        <w:t>组织审计与市财政有拨款关系的市委机关、市人大常委会机关、市政府机关、市政协机关、市政法机关、市纪检监察机关及其他党派组织、社会团体的预算执行情况、决算草案及其他财政收支；负责对有关市直部门、直属事业单位及其所属单位的预算执行情况、决算草案及其他财务收支进行审计；负责对有关部门公务支出和公款消费等进行专项审计。</w:t>
      </w:r>
    </w:p>
    <w:p>
      <w:pPr>
        <w:spacing w:line="560" w:lineRule="exact"/>
        <w:ind w:firstLine="643" w:firstLineChars="200"/>
        <w:rPr>
          <w:rFonts w:ascii="方正仿宋简体" w:hAnsi="仿宋" w:eastAsia="方正仿宋简体" w:cs="Times New Roman"/>
          <w:b/>
          <w:sz w:val="32"/>
          <w:szCs w:val="32"/>
        </w:rPr>
      </w:pPr>
    </w:p>
    <w:p>
      <w:pPr>
        <w:spacing w:line="560" w:lineRule="exact"/>
        <w:ind w:firstLine="643" w:firstLineChars="200"/>
        <w:jc w:val="center"/>
        <w:rPr>
          <w:rFonts w:ascii="仿宋" w:hAnsi="仿宋" w:eastAsia="仿宋" w:cs="Times New Roman"/>
          <w:b/>
          <w:sz w:val="32"/>
          <w:szCs w:val="32"/>
        </w:rPr>
      </w:pPr>
    </w:p>
    <w:p>
      <w:pPr>
        <w:spacing w:line="560" w:lineRule="exact"/>
        <w:ind w:firstLine="643" w:firstLineChars="200"/>
        <w:jc w:val="center"/>
        <w:rPr>
          <w:rFonts w:ascii="仿宋" w:hAnsi="仿宋" w:eastAsia="仿宋" w:cs="Times New Roman"/>
          <w:b/>
          <w:sz w:val="32"/>
          <w:szCs w:val="32"/>
        </w:rPr>
      </w:pPr>
      <w:r>
        <w:rPr>
          <w:rFonts w:hint="eastAsia" w:ascii="仿宋" w:hAnsi="仿宋" w:eastAsia="仿宋" w:cs="Times New Roman"/>
          <w:b/>
          <w:sz w:val="32"/>
          <w:szCs w:val="32"/>
        </w:rPr>
        <w:t>本级机构设置情况</w:t>
      </w:r>
    </w:p>
    <w:tbl>
      <w:tblPr>
        <w:tblStyle w:val="4"/>
        <w:tblpPr w:leftFromText="180" w:rightFromText="180" w:vertAnchor="text" w:horzAnchor="margin" w:tblpXSpec="center" w:tblpY="442"/>
        <w:tblW w:w="1291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53"/>
        <w:gridCol w:w="2100"/>
        <w:gridCol w:w="2625"/>
        <w:gridCol w:w="29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exact"/>
          <w:tblHeader/>
        </w:trPr>
        <w:tc>
          <w:tcPr>
            <w:tcW w:w="5253" w:type="dxa"/>
            <w:vMerge w:val="restart"/>
            <w:tcBorders>
              <w:top w:val="single" w:color="000000" w:sz="6" w:space="0"/>
              <w:left w:val="single" w:color="000000" w:sz="6" w:space="0"/>
              <w:bottom w:val="single" w:color="000000" w:sz="6" w:space="0"/>
              <w:right w:val="single" w:color="000000" w:sz="6" w:space="0"/>
            </w:tcBorders>
            <w:vAlign w:val="center"/>
          </w:tcPr>
          <w:p>
            <w:pPr>
              <w:spacing w:line="560" w:lineRule="exact"/>
              <w:jc w:val="center"/>
              <w:rPr>
                <w:rFonts w:ascii="仿宋" w:hAnsi="仿宋" w:eastAsia="仿宋" w:cs="Times New Roman"/>
                <w:b/>
                <w:sz w:val="32"/>
                <w:szCs w:val="32"/>
              </w:rPr>
            </w:pPr>
            <w:r>
              <w:rPr>
                <w:rFonts w:hint="eastAsia" w:ascii="仿宋" w:hAnsi="仿宋" w:eastAsia="仿宋" w:cs="Times New Roman"/>
                <w:b/>
                <w:sz w:val="32"/>
                <w:szCs w:val="32"/>
              </w:rPr>
              <w:t>单位名称</w:t>
            </w:r>
          </w:p>
        </w:tc>
        <w:tc>
          <w:tcPr>
            <w:tcW w:w="2100" w:type="dxa"/>
            <w:vMerge w:val="restart"/>
            <w:tcBorders>
              <w:top w:val="single" w:color="000000" w:sz="6" w:space="0"/>
              <w:left w:val="single" w:color="000000" w:sz="6" w:space="0"/>
              <w:bottom w:val="single" w:color="000000" w:sz="6" w:space="0"/>
              <w:right w:val="single" w:color="000000" w:sz="6" w:space="0"/>
            </w:tcBorders>
            <w:vAlign w:val="center"/>
          </w:tcPr>
          <w:p>
            <w:pPr>
              <w:spacing w:line="560" w:lineRule="exact"/>
              <w:jc w:val="center"/>
              <w:rPr>
                <w:rFonts w:ascii="仿宋" w:hAnsi="仿宋" w:eastAsia="仿宋" w:cs="Times New Roman"/>
                <w:b/>
                <w:sz w:val="32"/>
                <w:szCs w:val="32"/>
              </w:rPr>
            </w:pPr>
            <w:r>
              <w:rPr>
                <w:rFonts w:hint="eastAsia" w:ascii="仿宋" w:hAnsi="仿宋" w:eastAsia="仿宋" w:cs="Times New Roman"/>
                <w:b/>
                <w:sz w:val="32"/>
                <w:szCs w:val="32"/>
              </w:rPr>
              <w:t>单位性质</w:t>
            </w:r>
          </w:p>
        </w:tc>
        <w:tc>
          <w:tcPr>
            <w:tcW w:w="2625" w:type="dxa"/>
            <w:vMerge w:val="restart"/>
            <w:tcBorders>
              <w:top w:val="single" w:color="000000" w:sz="6" w:space="0"/>
              <w:left w:val="single" w:color="000000" w:sz="6" w:space="0"/>
              <w:bottom w:val="single" w:color="000000" w:sz="6" w:space="0"/>
              <w:right w:val="single" w:color="000000" w:sz="6" w:space="0"/>
            </w:tcBorders>
            <w:vAlign w:val="center"/>
          </w:tcPr>
          <w:p>
            <w:pPr>
              <w:spacing w:line="560" w:lineRule="exact"/>
              <w:jc w:val="center"/>
              <w:rPr>
                <w:rFonts w:ascii="仿宋" w:hAnsi="仿宋" w:eastAsia="仿宋" w:cs="Times New Roman"/>
                <w:b/>
                <w:sz w:val="32"/>
                <w:szCs w:val="32"/>
              </w:rPr>
            </w:pPr>
            <w:r>
              <w:rPr>
                <w:rFonts w:hint="eastAsia" w:ascii="仿宋" w:hAnsi="仿宋" w:eastAsia="仿宋" w:cs="Times New Roman"/>
                <w:b/>
                <w:sz w:val="32"/>
                <w:szCs w:val="32"/>
              </w:rPr>
              <w:t>单位规格</w:t>
            </w:r>
          </w:p>
        </w:tc>
        <w:tc>
          <w:tcPr>
            <w:tcW w:w="2940" w:type="dxa"/>
            <w:vMerge w:val="restart"/>
            <w:tcBorders>
              <w:top w:val="single" w:color="000000" w:sz="6" w:space="0"/>
              <w:left w:val="single" w:color="000000" w:sz="6" w:space="0"/>
              <w:bottom w:val="single" w:color="000000" w:sz="6" w:space="0"/>
              <w:right w:val="single" w:color="000000" w:sz="6" w:space="0"/>
            </w:tcBorders>
            <w:vAlign w:val="center"/>
          </w:tcPr>
          <w:p>
            <w:pPr>
              <w:spacing w:line="560" w:lineRule="exact"/>
              <w:jc w:val="center"/>
              <w:rPr>
                <w:rFonts w:ascii="仿宋" w:hAnsi="仿宋" w:eastAsia="仿宋" w:cs="Times New Roman"/>
                <w:b/>
                <w:sz w:val="32"/>
                <w:szCs w:val="32"/>
              </w:rPr>
            </w:pPr>
            <w:r>
              <w:rPr>
                <w:rFonts w:hint="eastAsia" w:ascii="仿宋" w:hAnsi="仿宋" w:eastAsia="仿宋" w:cs="Times New Roman"/>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blHeader/>
        </w:trPr>
        <w:tc>
          <w:tcPr>
            <w:tcW w:w="525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0"/>
                <w:szCs w:val="20"/>
              </w:rPr>
            </w:pPr>
          </w:p>
        </w:tc>
        <w:tc>
          <w:tcPr>
            <w:tcW w:w="21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0"/>
                <w:szCs w:val="20"/>
              </w:rPr>
            </w:pPr>
          </w:p>
        </w:tc>
        <w:tc>
          <w:tcPr>
            <w:tcW w:w="262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0"/>
                <w:szCs w:val="20"/>
              </w:rPr>
            </w:pPr>
          </w:p>
        </w:tc>
        <w:tc>
          <w:tcPr>
            <w:tcW w:w="294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5253"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rPr>
                <w:rFonts w:ascii="仿宋" w:hAnsi="仿宋" w:eastAsia="仿宋" w:cs="Times New Roman"/>
                <w:sz w:val="28"/>
                <w:szCs w:val="28"/>
              </w:rPr>
            </w:pPr>
            <w:r>
              <w:rPr>
                <w:rFonts w:hint="eastAsia" w:ascii="仿宋" w:hAnsi="仿宋" w:eastAsia="仿宋" w:cs="Times New Roman"/>
                <w:sz w:val="28"/>
                <w:szCs w:val="28"/>
              </w:rPr>
              <w:t>遵化市审计局机关</w:t>
            </w:r>
          </w:p>
        </w:tc>
        <w:tc>
          <w:tcPr>
            <w:tcW w:w="2100"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rPr>
                <w:rFonts w:ascii="仿宋" w:hAnsi="仿宋" w:eastAsia="仿宋" w:cs="Times New Roman"/>
                <w:sz w:val="28"/>
                <w:szCs w:val="28"/>
              </w:rPr>
            </w:pPr>
            <w:r>
              <w:rPr>
                <w:rFonts w:hint="eastAsia" w:ascii="仿宋" w:hAnsi="仿宋" w:eastAsia="仿宋" w:cs="Times New Roman"/>
                <w:sz w:val="28"/>
                <w:szCs w:val="28"/>
              </w:rPr>
              <w:t>行政</w:t>
            </w:r>
          </w:p>
        </w:tc>
        <w:tc>
          <w:tcPr>
            <w:tcW w:w="2625"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rPr>
                <w:rFonts w:ascii="仿宋" w:hAnsi="仿宋" w:eastAsia="仿宋" w:cs="Times New Roman"/>
                <w:sz w:val="28"/>
                <w:szCs w:val="28"/>
              </w:rPr>
            </w:pPr>
            <w:r>
              <w:rPr>
                <w:rFonts w:hint="eastAsia" w:ascii="仿宋" w:hAnsi="仿宋" w:eastAsia="仿宋" w:cs="Times New Roman"/>
                <w:sz w:val="28"/>
                <w:szCs w:val="28"/>
              </w:rPr>
              <w:t>正科级</w:t>
            </w:r>
          </w:p>
        </w:tc>
        <w:tc>
          <w:tcPr>
            <w:tcW w:w="2940"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rPr>
                <w:rFonts w:ascii="仿宋" w:hAnsi="仿宋" w:eastAsia="仿宋" w:cs="Times New Roman"/>
                <w:sz w:val="28"/>
                <w:szCs w:val="28"/>
              </w:rPr>
            </w:pPr>
            <w:r>
              <w:rPr>
                <w:rFonts w:hint="eastAsia" w:ascii="仿宋" w:hAnsi="仿宋" w:eastAsia="仿宋" w:cs="Times New Roman"/>
                <w:sz w:val="28"/>
                <w:szCs w:val="28"/>
              </w:rPr>
              <w:t>财政拨款</w:t>
            </w:r>
          </w:p>
        </w:tc>
      </w:tr>
    </w:tbl>
    <w:p>
      <w:pPr>
        <w:ind w:firstLine="480" w:firstLineChars="150"/>
        <w:rPr>
          <w:rFonts w:ascii="方正仿宋简体" w:hAnsi="仿宋" w:eastAsia="方正仿宋简体" w:cs="方正仿宋简体"/>
          <w:sz w:val="32"/>
          <w:szCs w:val="32"/>
        </w:rPr>
      </w:pPr>
      <w:r>
        <w:rPr>
          <w:rFonts w:hint="eastAsia" w:ascii="方正仿宋简体" w:hAnsi="仿宋" w:eastAsia="方正仿宋简体" w:cs="方正仿宋简体"/>
          <w:sz w:val="32"/>
          <w:szCs w:val="32"/>
        </w:rPr>
        <w:t>遵化市审计局机关设6个职能科室，具体包括：办公室、经济责任科、农业农村科、行政事业科、资产投资科、财政金融科。</w:t>
      </w:r>
    </w:p>
    <w:p>
      <w:pPr>
        <w:spacing w:line="560" w:lineRule="exact"/>
        <w:ind w:firstLine="640"/>
        <w:rPr>
          <w:rFonts w:ascii="黑体" w:hAnsi="宋体" w:eastAsia="黑体" w:cs="Times New Roman"/>
          <w:sz w:val="32"/>
          <w:szCs w:val="32"/>
        </w:rPr>
      </w:pPr>
      <w:r>
        <w:rPr>
          <w:rFonts w:hint="eastAsia" w:ascii="黑体" w:hAnsi="宋体" w:eastAsia="黑体" w:cs="Times New Roman"/>
          <w:sz w:val="32"/>
          <w:szCs w:val="32"/>
        </w:rPr>
        <w:t>二、本级预算安排的总体情况</w:t>
      </w:r>
    </w:p>
    <w:p>
      <w:pPr>
        <w:spacing w:line="560" w:lineRule="exact"/>
        <w:ind w:firstLine="562" w:firstLineChars="200"/>
        <w:rPr>
          <w:rFonts w:ascii="仿宋" w:hAnsi="仿宋" w:eastAsia="仿宋" w:cs="Times New Roman"/>
          <w:b/>
          <w:sz w:val="28"/>
          <w:szCs w:val="28"/>
        </w:rPr>
      </w:pPr>
      <w:r>
        <w:rPr>
          <w:rFonts w:hint="eastAsia" w:ascii="仿宋" w:hAnsi="仿宋" w:eastAsia="仿宋" w:cs="Times New Roman"/>
          <w:b/>
          <w:sz w:val="28"/>
          <w:szCs w:val="28"/>
        </w:rPr>
        <w:t>（一）收入说明</w:t>
      </w:r>
    </w:p>
    <w:p>
      <w:pPr>
        <w:spacing w:line="560" w:lineRule="exact"/>
        <w:ind w:firstLine="640" w:firstLineChars="200"/>
        <w:rPr>
          <w:rFonts w:ascii="方正仿宋简体" w:hAnsi="仿宋" w:eastAsia="方正仿宋简体" w:cs="Times New Roman"/>
          <w:sz w:val="32"/>
          <w:szCs w:val="32"/>
        </w:rPr>
      </w:pPr>
      <w:r>
        <w:rPr>
          <w:rFonts w:hint="eastAsia" w:ascii="方正仿宋简体" w:hAnsi="仿宋" w:eastAsia="方正仿宋简体" w:cs="Times New Roman"/>
          <w:sz w:val="32"/>
          <w:szCs w:val="32"/>
        </w:rPr>
        <w:t>反映本本级当年全部收入。2021年预算收入440.73万元，其中：一般公共预算收入440.73万元，基金预算收入0万元，财政专户核拨收入0万元，其他来源收入0万元。</w:t>
      </w:r>
    </w:p>
    <w:p>
      <w:pPr>
        <w:spacing w:line="560" w:lineRule="exact"/>
        <w:ind w:firstLine="562" w:firstLineChars="200"/>
        <w:rPr>
          <w:rFonts w:ascii="仿宋" w:hAnsi="仿宋" w:eastAsia="仿宋" w:cs="Times New Roman"/>
          <w:b/>
          <w:sz w:val="28"/>
          <w:szCs w:val="28"/>
        </w:rPr>
      </w:pPr>
      <w:r>
        <w:rPr>
          <w:rFonts w:hint="eastAsia" w:ascii="仿宋" w:hAnsi="仿宋" w:eastAsia="仿宋" w:cs="Times New Roman"/>
          <w:b/>
          <w:sz w:val="28"/>
          <w:szCs w:val="28"/>
        </w:rPr>
        <w:t>（二）支出说明</w:t>
      </w:r>
    </w:p>
    <w:p>
      <w:pPr>
        <w:spacing w:line="560" w:lineRule="exact"/>
        <w:ind w:firstLine="640" w:firstLineChars="200"/>
        <w:rPr>
          <w:rFonts w:ascii="方正仿宋简体" w:hAnsi="仿宋" w:eastAsia="方正仿宋简体" w:cs="Times New Roman"/>
          <w:sz w:val="32"/>
          <w:szCs w:val="32"/>
        </w:rPr>
      </w:pPr>
      <w:r>
        <w:rPr>
          <w:rFonts w:hint="eastAsia" w:ascii="方正仿宋简体" w:hAnsi="仿宋" w:eastAsia="方正仿宋简体" w:cs="Times New Roman"/>
          <w:sz w:val="32"/>
          <w:szCs w:val="32"/>
        </w:rPr>
        <w:t>收支预算总表支出栏、基本支出表、项目支出表按经济分类和支出功能分类科目编制，反映遵化市审计局年度本级预算中支出预算的总体情况。2021年支出预算440.73万元，其中基本支出</w:t>
      </w:r>
      <w:r>
        <w:rPr>
          <w:rFonts w:ascii="方正仿宋简体" w:hAnsi="仿宋" w:eastAsia="方正仿宋简体" w:cs="Times New Roman"/>
          <w:sz w:val="32"/>
          <w:szCs w:val="32"/>
        </w:rPr>
        <w:t>360.73</w:t>
      </w:r>
      <w:r>
        <w:rPr>
          <w:rFonts w:hint="eastAsia" w:ascii="方正仿宋简体" w:hAnsi="仿宋" w:eastAsia="方正仿宋简体" w:cs="Times New Roman"/>
          <w:sz w:val="32"/>
          <w:szCs w:val="32"/>
        </w:rPr>
        <w:t>万元，包括人员经费</w:t>
      </w:r>
      <w:r>
        <w:rPr>
          <w:rFonts w:ascii="方正仿宋简体" w:hAnsi="仿宋" w:eastAsia="方正仿宋简体" w:cs="Times New Roman"/>
          <w:sz w:val="32"/>
          <w:szCs w:val="32"/>
        </w:rPr>
        <w:t>340.9</w:t>
      </w:r>
      <w:r>
        <w:rPr>
          <w:rFonts w:hint="eastAsia" w:ascii="方正仿宋简体" w:hAnsi="仿宋" w:eastAsia="方正仿宋简体" w:cs="Times New Roman"/>
          <w:sz w:val="32"/>
          <w:szCs w:val="32"/>
        </w:rPr>
        <w:t>万元和日常公用经费</w:t>
      </w:r>
      <w:r>
        <w:rPr>
          <w:rFonts w:ascii="方正仿宋简体" w:hAnsi="仿宋" w:eastAsia="方正仿宋简体" w:cs="Times New Roman"/>
          <w:sz w:val="32"/>
          <w:szCs w:val="32"/>
        </w:rPr>
        <w:t>19.83</w:t>
      </w:r>
      <w:r>
        <w:rPr>
          <w:rFonts w:hint="eastAsia" w:ascii="方正仿宋简体" w:hAnsi="仿宋" w:eastAsia="方正仿宋简体" w:cs="Times New Roman"/>
          <w:sz w:val="32"/>
          <w:szCs w:val="32"/>
        </w:rPr>
        <w:t>万元；项目支出</w:t>
      </w:r>
      <w:r>
        <w:rPr>
          <w:rFonts w:ascii="方正仿宋简体" w:hAnsi="仿宋" w:eastAsia="方正仿宋简体" w:cs="Times New Roman"/>
          <w:sz w:val="32"/>
          <w:szCs w:val="32"/>
        </w:rPr>
        <w:t>80</w:t>
      </w:r>
      <w:r>
        <w:rPr>
          <w:rFonts w:hint="eastAsia" w:ascii="方正仿宋简体" w:hAnsi="仿宋" w:eastAsia="方正仿宋简体" w:cs="Times New Roman"/>
          <w:sz w:val="32"/>
          <w:szCs w:val="32"/>
        </w:rPr>
        <w:t>万元，全部为本级支出，主要为领导干部经济责任审计、财政预决算审计、国家重大政策落实跟踪情况审计、行政事业单位财务收支审计和政府投资建设项目审计等。</w:t>
      </w:r>
    </w:p>
    <w:p>
      <w:pPr>
        <w:spacing w:line="560" w:lineRule="exact"/>
        <w:ind w:firstLine="562" w:firstLineChars="200"/>
        <w:rPr>
          <w:rFonts w:ascii="仿宋" w:hAnsi="仿宋" w:eastAsia="仿宋" w:cs="Times New Roman"/>
          <w:b/>
          <w:sz w:val="28"/>
          <w:szCs w:val="28"/>
        </w:rPr>
      </w:pPr>
      <w:r>
        <w:rPr>
          <w:rFonts w:hint="eastAsia" w:ascii="仿宋" w:hAnsi="仿宋" w:eastAsia="仿宋" w:cs="Times New Roman"/>
          <w:b/>
          <w:sz w:val="28"/>
          <w:szCs w:val="28"/>
        </w:rPr>
        <w:t>（三）比上年增减情况</w:t>
      </w:r>
    </w:p>
    <w:p>
      <w:pPr>
        <w:spacing w:line="560" w:lineRule="exact"/>
        <w:ind w:firstLine="640" w:firstLineChars="200"/>
        <w:rPr>
          <w:rFonts w:ascii="方正仿宋简体" w:hAnsi="仿宋" w:eastAsia="方正仿宋简体" w:cs="Times New Roman"/>
          <w:sz w:val="32"/>
          <w:szCs w:val="32"/>
        </w:rPr>
      </w:pPr>
      <w:r>
        <w:rPr>
          <w:rFonts w:hint="eastAsia" w:ascii="方正仿宋简体" w:hAnsi="仿宋" w:eastAsia="方正仿宋简体" w:cs="Times New Roman"/>
          <w:sz w:val="32"/>
          <w:szCs w:val="32"/>
        </w:rPr>
        <w:t>2021年预算收支安排440.73万元，较</w:t>
      </w:r>
      <w:r>
        <w:rPr>
          <w:rFonts w:ascii="方正仿宋简体" w:hAnsi="仿宋" w:eastAsia="方正仿宋简体" w:cs="Times New Roman"/>
          <w:sz w:val="32"/>
          <w:szCs w:val="32"/>
        </w:rPr>
        <w:t>2020</w:t>
      </w:r>
      <w:r>
        <w:rPr>
          <w:rFonts w:hint="eastAsia" w:ascii="方正仿宋简体" w:hAnsi="仿宋" w:eastAsia="方正仿宋简体" w:cs="Times New Roman"/>
          <w:sz w:val="32"/>
          <w:szCs w:val="32"/>
        </w:rPr>
        <w:t>年预算增加</w:t>
      </w:r>
      <w:r>
        <w:rPr>
          <w:rFonts w:ascii="方正仿宋简体" w:hAnsi="仿宋" w:eastAsia="方正仿宋简体" w:cs="Times New Roman"/>
          <w:sz w:val="32"/>
          <w:szCs w:val="32"/>
        </w:rPr>
        <w:t>54.77</w:t>
      </w:r>
      <w:r>
        <w:rPr>
          <w:rFonts w:hint="eastAsia" w:ascii="方正仿宋简体" w:hAnsi="仿宋" w:eastAsia="方正仿宋简体" w:cs="Times New Roman"/>
          <w:sz w:val="32"/>
          <w:szCs w:val="32"/>
        </w:rPr>
        <w:t>万元，其中：基本支出增加</w:t>
      </w:r>
      <w:r>
        <w:rPr>
          <w:rFonts w:ascii="方正仿宋简体" w:hAnsi="仿宋" w:eastAsia="方正仿宋简体" w:cs="Times New Roman"/>
          <w:sz w:val="32"/>
          <w:szCs w:val="32"/>
        </w:rPr>
        <w:t>37.77</w:t>
      </w:r>
      <w:r>
        <w:rPr>
          <w:rFonts w:hint="eastAsia" w:ascii="方正仿宋简体" w:hAnsi="仿宋" w:eastAsia="方正仿宋简体" w:cs="Times New Roman"/>
          <w:sz w:val="32"/>
          <w:szCs w:val="32"/>
        </w:rPr>
        <w:t>万元，主要是人员增加和各项保险调增；项目支出增加1</w:t>
      </w:r>
      <w:r>
        <w:rPr>
          <w:rFonts w:ascii="方正仿宋简体" w:hAnsi="仿宋" w:eastAsia="方正仿宋简体" w:cs="Times New Roman"/>
          <w:sz w:val="32"/>
          <w:szCs w:val="32"/>
        </w:rPr>
        <w:t>7</w:t>
      </w:r>
      <w:r>
        <w:rPr>
          <w:rFonts w:hint="eastAsia" w:ascii="方正仿宋简体" w:hAnsi="仿宋" w:eastAsia="方正仿宋简体" w:cs="Times New Roman"/>
          <w:sz w:val="32"/>
          <w:szCs w:val="32"/>
        </w:rPr>
        <w:t>万元，主要增加了审计相关项目的预算安排。</w:t>
      </w:r>
    </w:p>
    <w:p>
      <w:pPr>
        <w:autoSpaceDE w:val="0"/>
        <w:autoSpaceDN w:val="0"/>
        <w:adjustRightInd w:val="0"/>
        <w:spacing w:line="560" w:lineRule="exact"/>
        <w:jc w:val="left"/>
        <w:rPr>
          <w:rFonts w:ascii="黑体" w:hAnsi="宋体" w:eastAsia="黑体" w:cs="Times New Roman"/>
          <w:sz w:val="32"/>
          <w:szCs w:val="32"/>
        </w:rPr>
      </w:pPr>
      <w:r>
        <w:rPr>
          <w:rFonts w:hint="eastAsia" w:ascii="黑体" w:hAnsi="宋体" w:eastAsia="黑体" w:cs="Times New Roman"/>
          <w:sz w:val="32"/>
          <w:szCs w:val="32"/>
        </w:rPr>
        <w:t xml:space="preserve">    三、机关运行经费安排情况</w:t>
      </w:r>
    </w:p>
    <w:p>
      <w:pPr>
        <w:spacing w:line="560" w:lineRule="exact"/>
        <w:ind w:firstLine="640" w:firstLineChars="200"/>
        <w:rPr>
          <w:rFonts w:ascii="方正仿宋简体" w:hAnsi="仿宋" w:eastAsia="方正仿宋简体" w:cs="方正仿宋简体"/>
          <w:sz w:val="32"/>
          <w:szCs w:val="32"/>
        </w:rPr>
      </w:pPr>
      <w:r>
        <w:rPr>
          <w:rFonts w:hint="eastAsia" w:ascii="方正仿宋简体" w:hAnsi="仿宋" w:eastAsia="方正仿宋简体" w:cs="Times New Roman"/>
          <w:sz w:val="32"/>
          <w:szCs w:val="32"/>
        </w:rPr>
        <w:t>2021年，我局机关运行经费共计安排</w:t>
      </w:r>
      <w:r>
        <w:rPr>
          <w:rFonts w:ascii="方正仿宋简体" w:hAnsi="仿宋" w:eastAsia="方正仿宋简体" w:cs="Times New Roman"/>
          <w:sz w:val="32"/>
          <w:szCs w:val="32"/>
        </w:rPr>
        <w:t>19.83</w:t>
      </w:r>
      <w:r>
        <w:rPr>
          <w:rFonts w:hint="eastAsia" w:ascii="方正仿宋简体" w:hAnsi="仿宋" w:eastAsia="方正仿宋简体" w:cs="Times New Roman"/>
          <w:sz w:val="32"/>
          <w:szCs w:val="32"/>
        </w:rPr>
        <w:t>万元，</w:t>
      </w:r>
      <w:r>
        <w:rPr>
          <w:rFonts w:hint="eastAsia" w:ascii="方正仿宋简体" w:hAnsi="方正仿宋简体" w:eastAsia="方正仿宋简体" w:cs="方正仿宋简体"/>
          <w:sz w:val="32"/>
          <w:szCs w:val="32"/>
        </w:rPr>
        <w:t>主要用于保证正常办公的基本需要和维持单位日常运转，包括：办公费0.</w:t>
      </w:r>
      <w:r>
        <w:rPr>
          <w:rFonts w:ascii="方正仿宋简体" w:hAnsi="方正仿宋简体" w:eastAsia="方正仿宋简体" w:cs="方正仿宋简体"/>
          <w:sz w:val="32"/>
          <w:szCs w:val="32"/>
        </w:rPr>
        <w:t>54</w:t>
      </w:r>
      <w:r>
        <w:rPr>
          <w:rFonts w:hint="eastAsia" w:ascii="方正仿宋简体" w:hAnsi="方正仿宋简体" w:eastAsia="方正仿宋简体" w:cs="方正仿宋简体"/>
          <w:sz w:val="32"/>
          <w:szCs w:val="32"/>
        </w:rPr>
        <w:t>万元、水费0</w:t>
      </w:r>
      <w:r>
        <w:rPr>
          <w:rFonts w:ascii="方正仿宋简体" w:hAnsi="方正仿宋简体" w:eastAsia="方正仿宋简体" w:cs="方正仿宋简体"/>
          <w:sz w:val="32"/>
          <w:szCs w:val="32"/>
        </w:rPr>
        <w:t>.18</w:t>
      </w:r>
      <w:r>
        <w:rPr>
          <w:rFonts w:hint="eastAsia" w:ascii="方正仿宋简体" w:hAnsi="方正仿宋简体" w:eastAsia="方正仿宋简体" w:cs="方正仿宋简体"/>
          <w:sz w:val="32"/>
          <w:szCs w:val="32"/>
        </w:rPr>
        <w:t>万元、电费0.</w:t>
      </w:r>
      <w:r>
        <w:rPr>
          <w:rFonts w:ascii="方正仿宋简体" w:hAnsi="方正仿宋简体" w:eastAsia="方正仿宋简体" w:cs="方正仿宋简体"/>
          <w:sz w:val="32"/>
          <w:szCs w:val="32"/>
        </w:rPr>
        <w:t>18</w:t>
      </w:r>
      <w:r>
        <w:rPr>
          <w:rFonts w:hint="eastAsia" w:ascii="方正仿宋简体" w:hAnsi="方正仿宋简体" w:eastAsia="方正仿宋简体" w:cs="方正仿宋简体"/>
          <w:sz w:val="32"/>
          <w:szCs w:val="32"/>
        </w:rPr>
        <w:t>万元、邮电费0.</w:t>
      </w:r>
      <w:r>
        <w:rPr>
          <w:rFonts w:ascii="方正仿宋简体" w:hAnsi="方正仿宋简体" w:eastAsia="方正仿宋简体" w:cs="方正仿宋简体"/>
          <w:sz w:val="32"/>
          <w:szCs w:val="32"/>
        </w:rPr>
        <w:t>37</w:t>
      </w:r>
      <w:r>
        <w:rPr>
          <w:rFonts w:hint="eastAsia" w:ascii="方正仿宋简体" w:hAnsi="方正仿宋简体" w:eastAsia="方正仿宋简体" w:cs="方正仿宋简体"/>
          <w:sz w:val="32"/>
          <w:szCs w:val="32"/>
        </w:rPr>
        <w:t>万元、公务用车运行维护4.1万元、差旅费0.</w:t>
      </w:r>
      <w:r>
        <w:rPr>
          <w:rFonts w:ascii="方正仿宋简体" w:hAnsi="方正仿宋简体" w:eastAsia="方正仿宋简体" w:cs="方正仿宋简体"/>
          <w:sz w:val="32"/>
          <w:szCs w:val="32"/>
        </w:rPr>
        <w:t>36</w:t>
      </w:r>
      <w:r>
        <w:rPr>
          <w:rFonts w:hint="eastAsia" w:ascii="方正仿宋简体" w:hAnsi="方正仿宋简体" w:eastAsia="方正仿宋简体" w:cs="方正仿宋简体"/>
          <w:sz w:val="32"/>
          <w:szCs w:val="32"/>
        </w:rPr>
        <w:t>万元、会议费0.08万元、培训费0.08万元、离退休干部费0.27万元、公车补贴费用</w:t>
      </w:r>
      <w:r>
        <w:rPr>
          <w:rFonts w:ascii="方正仿宋简体" w:hAnsi="方正仿宋简体" w:eastAsia="方正仿宋简体" w:cs="方正仿宋简体"/>
          <w:sz w:val="32"/>
          <w:szCs w:val="32"/>
        </w:rPr>
        <w:t>9.78</w:t>
      </w:r>
      <w:r>
        <w:rPr>
          <w:rFonts w:hint="eastAsia" w:ascii="方正仿宋简体" w:hAnsi="方正仿宋简体" w:eastAsia="方正仿宋简体" w:cs="方正仿宋简体"/>
          <w:sz w:val="32"/>
          <w:szCs w:val="32"/>
        </w:rPr>
        <w:t>万元、其他业务费0.1</w:t>
      </w:r>
      <w:r>
        <w:rPr>
          <w:rFonts w:ascii="方正仿宋简体" w:hAnsi="方正仿宋简体" w:eastAsia="方正仿宋简体" w:cs="方正仿宋简体"/>
          <w:sz w:val="32"/>
          <w:szCs w:val="32"/>
        </w:rPr>
        <w:t>8</w:t>
      </w:r>
      <w:r>
        <w:rPr>
          <w:rFonts w:hint="eastAsia" w:ascii="方正仿宋简体" w:hAnsi="方正仿宋简体" w:eastAsia="方正仿宋简体" w:cs="方正仿宋简体"/>
          <w:sz w:val="32"/>
          <w:szCs w:val="32"/>
        </w:rPr>
        <w:t>万元、公务接待费</w:t>
      </w:r>
      <w:r>
        <w:rPr>
          <w:rFonts w:ascii="方正仿宋简体" w:hAnsi="方正仿宋简体" w:eastAsia="方正仿宋简体" w:cs="方正仿宋简体"/>
          <w:sz w:val="32"/>
          <w:szCs w:val="32"/>
        </w:rPr>
        <w:t>0.00</w:t>
      </w:r>
      <w:r>
        <w:rPr>
          <w:rFonts w:hint="eastAsia" w:ascii="方正仿宋简体" w:hAnsi="方正仿宋简体" w:eastAsia="方正仿宋简体" w:cs="方正仿宋简体"/>
          <w:sz w:val="32"/>
          <w:szCs w:val="32"/>
        </w:rPr>
        <w:t>万元、福利费1.</w:t>
      </w:r>
      <w:r>
        <w:rPr>
          <w:rFonts w:ascii="方正仿宋简体" w:hAnsi="方正仿宋简体" w:eastAsia="方正仿宋简体" w:cs="方正仿宋简体"/>
          <w:sz w:val="32"/>
          <w:szCs w:val="32"/>
        </w:rPr>
        <w:t>92</w:t>
      </w:r>
      <w:r>
        <w:rPr>
          <w:rFonts w:hint="eastAsia" w:ascii="方正仿宋简体" w:hAnsi="方正仿宋简体" w:eastAsia="方正仿宋简体" w:cs="方正仿宋简体"/>
          <w:sz w:val="32"/>
          <w:szCs w:val="32"/>
        </w:rPr>
        <w:t>万元、</w:t>
      </w:r>
      <w:r>
        <w:rPr>
          <w:rFonts w:hint="eastAsia" w:ascii="方正仿宋简体" w:hAnsi="仿宋" w:eastAsia="方正仿宋简体" w:cs="方正仿宋简体"/>
          <w:sz w:val="32"/>
          <w:szCs w:val="32"/>
        </w:rPr>
        <w:t>工会经费1.</w:t>
      </w:r>
      <w:r>
        <w:rPr>
          <w:rFonts w:ascii="方正仿宋简体" w:hAnsi="仿宋" w:eastAsia="方正仿宋简体" w:cs="方正仿宋简体"/>
          <w:sz w:val="32"/>
          <w:szCs w:val="32"/>
        </w:rPr>
        <w:t>79</w:t>
      </w:r>
      <w:r>
        <w:rPr>
          <w:rFonts w:hint="eastAsia" w:ascii="方正仿宋简体" w:hAnsi="仿宋" w:eastAsia="方正仿宋简体" w:cs="方正仿宋简体"/>
          <w:sz w:val="32"/>
          <w:szCs w:val="32"/>
        </w:rPr>
        <w:t>万元。</w:t>
      </w:r>
    </w:p>
    <w:p>
      <w:pPr>
        <w:spacing w:line="560" w:lineRule="exact"/>
        <w:ind w:firstLine="640" w:firstLineChars="200"/>
        <w:rPr>
          <w:rFonts w:ascii="黑体" w:hAnsi="宋体" w:eastAsia="黑体" w:cs="Times New Roman"/>
          <w:sz w:val="32"/>
          <w:szCs w:val="32"/>
        </w:rPr>
      </w:pPr>
      <w:r>
        <w:rPr>
          <w:rFonts w:hint="eastAsia" w:ascii="黑体" w:hAnsi="宋体" w:eastAsia="黑体" w:cs="Times New Roman"/>
          <w:sz w:val="32"/>
          <w:szCs w:val="32"/>
        </w:rPr>
        <w:t>四、财政拨款“三公”经费预算情况及增减变化原因</w:t>
      </w:r>
    </w:p>
    <w:p>
      <w:pPr>
        <w:spacing w:line="560" w:lineRule="exact"/>
        <w:ind w:firstLine="640" w:firstLineChars="200"/>
        <w:rPr>
          <w:rFonts w:ascii="仿宋_GB2312" w:hAnsi="仿宋" w:eastAsia="仿宋_GB2312" w:cs="Times New Roman"/>
          <w:sz w:val="32"/>
          <w:szCs w:val="32"/>
        </w:rPr>
      </w:pPr>
      <w:r>
        <w:rPr>
          <w:rFonts w:hint="eastAsia" w:ascii="方正仿宋简体" w:hAnsi="仿宋" w:eastAsia="方正仿宋简体" w:cs="Times New Roman"/>
          <w:sz w:val="32"/>
          <w:szCs w:val="32"/>
        </w:rPr>
        <w:t>2021年，本级财政拨款“三公”经费预算安排4.</w:t>
      </w:r>
      <w:r>
        <w:rPr>
          <w:rFonts w:ascii="方正仿宋简体" w:hAnsi="仿宋" w:eastAsia="方正仿宋简体" w:cs="Times New Roman"/>
          <w:sz w:val="32"/>
          <w:szCs w:val="32"/>
        </w:rPr>
        <w:t>1</w:t>
      </w:r>
      <w:r>
        <w:rPr>
          <w:rFonts w:hint="eastAsia" w:ascii="方正仿宋简体" w:hAnsi="仿宋" w:eastAsia="方正仿宋简体" w:cs="Times New Roman"/>
          <w:sz w:val="32"/>
          <w:szCs w:val="32"/>
        </w:rPr>
        <w:t>万元，其中:</w:t>
      </w:r>
      <w:r>
        <w:rPr>
          <w:rFonts w:hint="eastAsia" w:ascii="方正仿宋简体" w:hAnsi="仿宋" w:eastAsia="方正仿宋简体" w:cs="Times New Roman"/>
          <w:color w:val="000000"/>
          <w:sz w:val="32"/>
          <w:szCs w:val="32"/>
        </w:rPr>
        <w:t>因公出国（境）费安排0万元，与20</w:t>
      </w:r>
      <w:r>
        <w:rPr>
          <w:rFonts w:ascii="方正仿宋简体" w:hAnsi="仿宋" w:eastAsia="方正仿宋简体" w:cs="Times New Roman"/>
          <w:color w:val="000000"/>
          <w:sz w:val="32"/>
          <w:szCs w:val="32"/>
        </w:rPr>
        <w:t>20</w:t>
      </w:r>
      <w:r>
        <w:rPr>
          <w:rFonts w:hint="eastAsia" w:ascii="方正仿宋简体" w:hAnsi="仿宋" w:eastAsia="方正仿宋简体" w:cs="Times New Roman"/>
          <w:color w:val="000000"/>
          <w:sz w:val="32"/>
          <w:szCs w:val="32"/>
        </w:rPr>
        <w:t>年持平，无增减变化；</w:t>
      </w:r>
      <w:r>
        <w:rPr>
          <w:rFonts w:hint="eastAsia" w:ascii="方正仿宋简体" w:hAnsi="仿宋" w:eastAsia="方正仿宋简体" w:cs="Times New Roman"/>
          <w:sz w:val="32"/>
          <w:szCs w:val="32"/>
        </w:rPr>
        <w:t>公务用车购置及运维费4.1万元（其中：公务用车购置费为零，公务用车运维费4.1万元)，与2020年相比持平，无增减变化；公务接待费</w:t>
      </w:r>
      <w:r>
        <w:rPr>
          <w:rFonts w:ascii="方正仿宋简体" w:hAnsi="仿宋" w:eastAsia="方正仿宋简体" w:cs="Times New Roman"/>
          <w:sz w:val="32"/>
          <w:szCs w:val="32"/>
        </w:rPr>
        <w:t>0.00</w:t>
      </w:r>
      <w:r>
        <w:rPr>
          <w:rFonts w:hint="eastAsia" w:ascii="方正仿宋简体" w:hAnsi="仿宋" w:eastAsia="方正仿宋简体" w:cs="Times New Roman"/>
          <w:sz w:val="32"/>
          <w:szCs w:val="32"/>
        </w:rPr>
        <w:t>万元，较2020年减少0.</w:t>
      </w:r>
      <w:r>
        <w:rPr>
          <w:rFonts w:ascii="方正仿宋简体" w:hAnsi="仿宋" w:eastAsia="方正仿宋简体" w:cs="Times New Roman"/>
          <w:sz w:val="32"/>
          <w:szCs w:val="32"/>
        </w:rPr>
        <w:t>11</w:t>
      </w:r>
      <w:r>
        <w:rPr>
          <w:rFonts w:hint="eastAsia" w:ascii="方正仿宋简体" w:hAnsi="仿宋" w:eastAsia="方正仿宋简体" w:cs="Times New Roman"/>
          <w:sz w:val="32"/>
          <w:szCs w:val="32"/>
        </w:rPr>
        <w:t>万元，减少的主要原因是：厉行节约，减少公务接待支出。</w:t>
      </w:r>
    </w:p>
    <w:p>
      <w:pPr>
        <w:spacing w:line="560" w:lineRule="exact"/>
        <w:ind w:firstLine="640"/>
        <w:rPr>
          <w:rFonts w:ascii="黑体" w:hAnsi="宋体" w:eastAsia="黑体" w:cs="Times New Roman"/>
          <w:sz w:val="32"/>
          <w:szCs w:val="32"/>
        </w:rPr>
      </w:pPr>
      <w:r>
        <w:rPr>
          <w:rFonts w:hint="eastAsia" w:ascii="黑体" w:hAnsi="宋体" w:eastAsia="黑体" w:cs="Times New Roman"/>
          <w:sz w:val="32"/>
          <w:szCs w:val="32"/>
        </w:rPr>
        <w:t>五、绩效预算信息</w:t>
      </w:r>
    </w:p>
    <w:p>
      <w:pPr>
        <w:spacing w:line="560" w:lineRule="exact"/>
        <w:ind w:firstLine="562" w:firstLineChars="200"/>
        <w:rPr>
          <w:rFonts w:ascii="仿宋" w:hAnsi="仿宋" w:eastAsia="仿宋" w:cs="Times New Roman"/>
          <w:b/>
          <w:sz w:val="28"/>
          <w:szCs w:val="28"/>
        </w:rPr>
      </w:pPr>
      <w:bookmarkStart w:id="0" w:name="_Toc471398463"/>
      <w:r>
        <w:rPr>
          <w:rFonts w:hint="eastAsia" w:ascii="仿宋" w:hAnsi="仿宋" w:eastAsia="仿宋" w:cs="Times New Roman"/>
          <w:b/>
          <w:sz w:val="28"/>
          <w:szCs w:val="28"/>
        </w:rPr>
        <w:t>（一）总体绩效目标</w:t>
      </w:r>
      <w:bookmarkStart w:id="1" w:name="_Toc2902"/>
      <w:bookmarkStart w:id="2" w:name="_Toc29472"/>
      <w:r>
        <w:rPr>
          <w:rFonts w:hint="eastAsia"/>
        </w:rPr>
        <w:fldChar w:fldCharType="begin"/>
      </w:r>
      <w:r>
        <w:rPr>
          <w:rFonts w:hint="eastAsia" w:ascii="仿宋" w:hAnsi="仿宋" w:eastAsia="仿宋" w:cs="Times New Roman"/>
          <w:b/>
          <w:sz w:val="28"/>
          <w:szCs w:val="28"/>
        </w:rPr>
        <w:instrText xml:space="preserve"> TC 总体绩效目标 \f A \l 1 </w:instrText>
      </w:r>
      <w:r>
        <w:rPr>
          <w:rFonts w:hint="eastAsia" w:ascii="仿宋" w:hAnsi="仿宋" w:eastAsia="仿宋" w:cs="Times New Roman"/>
          <w:b/>
          <w:sz w:val="28"/>
          <w:szCs w:val="28"/>
        </w:rPr>
        <w:fldChar w:fldCharType="end"/>
      </w:r>
      <w:bookmarkEnd w:id="1"/>
      <w:bookmarkEnd w:id="2"/>
    </w:p>
    <w:p>
      <w:pPr>
        <w:spacing w:line="560" w:lineRule="exact"/>
        <w:ind w:firstLine="640" w:firstLineChars="200"/>
        <w:rPr>
          <w:rFonts w:ascii="方正仿宋简体" w:hAnsi="仿宋" w:eastAsia="方正仿宋简体" w:cs="Times New Roman"/>
          <w:sz w:val="32"/>
          <w:szCs w:val="32"/>
        </w:rPr>
      </w:pPr>
      <w:r>
        <w:rPr>
          <w:rFonts w:hint="eastAsia" w:ascii="方正仿宋简体" w:hAnsi="仿宋" w:eastAsia="方正仿宋简体" w:cs="Times New Roman"/>
          <w:sz w:val="32"/>
          <w:szCs w:val="32"/>
        </w:rPr>
        <w:t>维护财政经济秩序，提高财政资金使用效益，通过审计财政、财务收支真实、合法效益，促进廉政建设，保障国民经济健康发展。</w:t>
      </w:r>
    </w:p>
    <w:p>
      <w:pPr>
        <w:spacing w:line="560" w:lineRule="exact"/>
        <w:ind w:firstLine="562" w:firstLineChars="200"/>
        <w:rPr>
          <w:rFonts w:ascii="方正仿宋简体" w:hAnsi="仿宋" w:eastAsia="方正仿宋简体" w:cs="Times New Roman"/>
          <w:sz w:val="32"/>
          <w:szCs w:val="32"/>
        </w:rPr>
      </w:pPr>
      <w:r>
        <w:rPr>
          <w:rFonts w:hint="eastAsia" w:ascii="仿宋" w:hAnsi="仿宋" w:eastAsia="仿宋" w:cs="Times New Roman"/>
          <w:b/>
          <w:sz w:val="28"/>
          <w:szCs w:val="28"/>
        </w:rPr>
        <w:t>（二）分项绩效目标</w:t>
      </w:r>
      <w:bookmarkStart w:id="3" w:name="_Toc11064"/>
      <w:bookmarkStart w:id="4" w:name="_Toc6545"/>
      <w:r>
        <w:rPr>
          <w:rFonts w:hint="eastAsia"/>
        </w:rPr>
        <w:fldChar w:fldCharType="begin"/>
      </w:r>
      <w:r>
        <w:rPr>
          <w:rFonts w:hint="eastAsia" w:ascii="方正仿宋简体" w:hAnsi="仿宋" w:eastAsia="方正仿宋简体" w:cs="Times New Roman"/>
          <w:sz w:val="32"/>
          <w:szCs w:val="32"/>
        </w:rPr>
        <w:instrText xml:space="preserve"> TC 分项绩效目标 \f A \l 1 </w:instrText>
      </w:r>
      <w:r>
        <w:rPr>
          <w:rFonts w:hint="eastAsia" w:ascii="方正仿宋简体" w:hAnsi="仿宋" w:eastAsia="方正仿宋简体" w:cs="Times New Roman"/>
          <w:sz w:val="32"/>
          <w:szCs w:val="32"/>
        </w:rPr>
        <w:fldChar w:fldCharType="end"/>
      </w:r>
      <w:bookmarkEnd w:id="3"/>
      <w:bookmarkEnd w:id="4"/>
    </w:p>
    <w:p>
      <w:pPr>
        <w:spacing w:line="560" w:lineRule="exact"/>
        <w:ind w:firstLine="640" w:firstLineChars="200"/>
        <w:rPr>
          <w:rFonts w:ascii="方正仿宋简体" w:hAnsi="仿宋" w:eastAsia="方正仿宋简体" w:cs="Times New Roman"/>
          <w:sz w:val="32"/>
          <w:szCs w:val="32"/>
        </w:rPr>
      </w:pPr>
      <w:r>
        <w:rPr>
          <w:rFonts w:hint="eastAsia" w:ascii="方正仿宋简体" w:hAnsi="仿宋" w:eastAsia="方正仿宋简体" w:cs="Times New Roman"/>
          <w:sz w:val="32"/>
          <w:szCs w:val="32"/>
        </w:rPr>
        <w:t>1.国家重大政策措施落实情况跟踪审计、聚焦防范化解重大风险、精准扶贫，污染防治“三大攻坚战”，以资金、项目审计为重点，按上级审计机关安排及时高质量完成。2.对市财政局具体组织本级预算执行和决算草案编制情况进行审计，对重点部门预算执行、决算草案和其他财政收支审计；促进权力规范运行，促进领导干部守法守纪、守规尽责、廉洁用权、干净干事；加强政府重点投资建设项目的监督审计，全面完成上级审计机关和市委、市政府交办的其他审计业务。</w:t>
      </w:r>
    </w:p>
    <w:p>
      <w:pPr>
        <w:spacing w:line="560" w:lineRule="exact"/>
        <w:ind w:firstLine="643" w:firstLineChars="200"/>
        <w:rPr>
          <w:rFonts w:ascii="仿宋_GB2312" w:hAnsi="楷体" w:eastAsia="仿宋_GB2312" w:cs="Times New Roman"/>
          <w:b/>
          <w:sz w:val="32"/>
          <w:szCs w:val="32"/>
        </w:rPr>
      </w:pPr>
      <w:r>
        <w:rPr>
          <w:rFonts w:hint="eastAsia" w:ascii="仿宋_GB2312" w:hAnsi="楷体" w:eastAsia="仿宋_GB2312" w:cs="Times New Roman"/>
          <w:b/>
          <w:sz w:val="32"/>
          <w:szCs w:val="32"/>
        </w:rPr>
        <w:t>（三）实现年度发展规划目标的保障措施</w:t>
      </w:r>
    </w:p>
    <w:bookmarkEnd w:id="0"/>
    <w:p>
      <w:pPr>
        <w:spacing w:line="560" w:lineRule="exact"/>
        <w:ind w:firstLine="640" w:firstLineChars="200"/>
        <w:rPr>
          <w:rFonts w:ascii="方正仿宋简体" w:hAnsi="仿宋" w:eastAsia="方正仿宋简体" w:cs="Times New Roman"/>
          <w:sz w:val="32"/>
          <w:szCs w:val="32"/>
        </w:rPr>
      </w:pPr>
      <w:bookmarkStart w:id="5" w:name="_Toc508108195"/>
      <w:r>
        <w:rPr>
          <w:rFonts w:hint="eastAsia" w:ascii="方正仿宋简体" w:hAnsi="仿宋" w:eastAsia="方正仿宋简体" w:cs="Times New Roman"/>
          <w:sz w:val="32"/>
          <w:szCs w:val="32"/>
        </w:rPr>
        <w:t>一是对国家重大政策措施落实情况进行跟踪审计。以资金、项目审计为重点，持续关注国家重大政策措施落实情况，扎实推动党中央重大决策部署落地见效。按照省、市统一部署开展审计，实现“纵向到底”，确保审计的深度，加大审计监督力度。1.围绕“三大攻坚战”开展跟踪审计。以建立健全扶贫脱贫防贫长效机制，打好精准脱贫防贫攻坚战，加强扶贫和涉农资金全面预算绩效管理为目标，继续开展扶贫政策落实和资金、资产管理使用情况审计。冬季清洁取暖工作情况跟踪审计为贯彻落实冬季取暖工作会议精神和省委、省政府关于洁净煤工作的决策部署，以洁净煤需求台账建立是否真实，洁净煤种类选择是否适宜群众取暖，洁净煤保供是否满足百姓需求，地方财力支撑的可持续性以及资金使用效益为重点，开展2020-2021年采暖季洁净煤取暖工作落实情况跟踪审计。2.围绕“三促进”开展跟踪审计及专项审计调查对促进就业优先政策落实情况专项审计，促进财政资金提提质增效专项审计等审计项目。</w:t>
      </w:r>
    </w:p>
    <w:p>
      <w:pPr>
        <w:spacing w:line="560" w:lineRule="exact"/>
        <w:ind w:firstLine="640" w:firstLineChars="200"/>
        <w:rPr>
          <w:rFonts w:ascii="方正仿宋简体" w:hAnsi="仿宋" w:eastAsia="方正仿宋简体" w:cs="Times New Roman"/>
          <w:sz w:val="32"/>
          <w:szCs w:val="32"/>
        </w:rPr>
      </w:pPr>
      <w:r>
        <w:rPr>
          <w:rFonts w:hint="eastAsia" w:ascii="方正仿宋简体" w:hAnsi="仿宋" w:eastAsia="方正仿宋简体" w:cs="Times New Roman"/>
          <w:sz w:val="32"/>
          <w:szCs w:val="32"/>
        </w:rPr>
        <w:t>二是财政审计。1.本级预算执行和决算草案审计。以推动深化财税体制改革、促进积极财政政策贯彻落实、提高财政资金使用绩效为目标，组织对市本级2020年度预算执行和决算草案进行审计。2.本级重点部门预算执行、决算草案和其他财政收支审计.</w:t>
      </w:r>
    </w:p>
    <w:p>
      <w:pPr>
        <w:spacing w:line="560" w:lineRule="exact"/>
        <w:ind w:firstLine="640" w:firstLineChars="200"/>
        <w:rPr>
          <w:rFonts w:ascii="方正仿宋简体" w:hAnsi="仿宋" w:eastAsia="方正仿宋简体" w:cs="Times New Roman"/>
          <w:sz w:val="32"/>
          <w:szCs w:val="32"/>
        </w:rPr>
      </w:pPr>
      <w:r>
        <w:rPr>
          <w:rFonts w:hint="eastAsia" w:ascii="方正仿宋简体" w:hAnsi="仿宋" w:eastAsia="方正仿宋简体" w:cs="Times New Roman"/>
          <w:sz w:val="32"/>
          <w:szCs w:val="32"/>
        </w:rPr>
        <w:t xml:space="preserve">三是领导干部经济责任审计。以“规范、完善、提高”为总体工作思路，以促进领导干部履职尽责、担当作为，确保党中央政令畅通、令行禁止为目标，聚焦规范权力运行和责任落实，重点关注领导干部执行党和国家重大经济方针政策和决策部署、促进本区域本部门（单位）经济社会事业发展、重大决策制度的制定执行和效果及重要事项管理、党风廉政建设和个人廉洁从业（政）等四方面情况，开展地方党政领导干部经济责任审计工作. </w:t>
      </w:r>
    </w:p>
    <w:p>
      <w:pPr>
        <w:spacing w:line="560" w:lineRule="exact"/>
        <w:ind w:firstLine="640" w:firstLineChars="200"/>
        <w:rPr>
          <w:rFonts w:ascii="方正仿宋简体" w:hAnsi="仿宋" w:eastAsia="方正仿宋简体" w:cs="Times New Roman"/>
          <w:sz w:val="32"/>
          <w:szCs w:val="32"/>
        </w:rPr>
      </w:pPr>
      <w:r>
        <w:rPr>
          <w:rFonts w:hint="eastAsia" w:ascii="方正仿宋简体" w:hAnsi="仿宋" w:eastAsia="方正仿宋简体" w:cs="Times New Roman"/>
          <w:sz w:val="32"/>
          <w:szCs w:val="32"/>
        </w:rPr>
        <w:t>四是社会保障审计保障性安居工程资金投入和使用绩效审计。按照省审计厅统一安排，唐山市审计局统一组织，以促进棚户区改造相关重大政策措施落实，规范公共租赁住房资产管理使用，揭示风险隐患，保障资金安全，促进提高资金使用绩效，推动加快建立多主体供给、多渠道保障、租购并举的住房制度，更好地保障人民群众住有所居为目标，对迁西县2020年保障性安居工程资金投入和使用绩效进行审计。</w:t>
      </w:r>
    </w:p>
    <w:p>
      <w:pPr>
        <w:spacing w:line="560" w:lineRule="exact"/>
        <w:ind w:firstLine="640" w:firstLineChars="200"/>
        <w:rPr>
          <w:rFonts w:ascii="方正仿宋简体" w:hAnsi="仿宋" w:eastAsia="方正仿宋简体" w:cs="Times New Roman"/>
          <w:sz w:val="32"/>
          <w:szCs w:val="32"/>
        </w:rPr>
      </w:pPr>
      <w:r>
        <w:rPr>
          <w:rFonts w:hint="eastAsia" w:ascii="方正仿宋简体" w:hAnsi="仿宋" w:eastAsia="方正仿宋简体" w:cs="Times New Roman"/>
          <w:sz w:val="32"/>
          <w:szCs w:val="32"/>
        </w:rPr>
        <w:t>五是投资审计。进行人防系统“结建”项目审计和按照围绕中心、服务大局、突出重点、量力而行确保质量的原则，对政府投资项目进行审计.</w:t>
      </w:r>
    </w:p>
    <w:p>
      <w:pPr>
        <w:spacing w:line="560" w:lineRule="exact"/>
        <w:ind w:firstLine="640" w:firstLineChars="200"/>
        <w:rPr>
          <w:rFonts w:ascii="方正仿宋简体" w:hAnsi="仿宋" w:eastAsia="方正仿宋简体" w:cs="Times New Roman"/>
          <w:sz w:val="32"/>
          <w:szCs w:val="32"/>
        </w:rPr>
      </w:pPr>
      <w:r>
        <w:rPr>
          <w:rFonts w:hint="eastAsia" w:ascii="方正仿宋简体" w:hAnsi="仿宋" w:eastAsia="方正仿宋简体" w:cs="Times New Roman"/>
          <w:sz w:val="32"/>
          <w:szCs w:val="32"/>
        </w:rPr>
        <w:t>六是全面完成上级审计机关和市委、市政府交办的其他审计任务。</w:t>
      </w:r>
    </w:p>
    <w:p>
      <w:pPr>
        <w:jc w:val="center"/>
        <w:outlineLvl w:val="0"/>
        <w:rPr>
          <w:rFonts w:ascii="仿宋" w:hAnsi="仿宋" w:eastAsia="仿宋" w:cs="仿宋"/>
          <w:b/>
          <w:bCs/>
          <w:sz w:val="32"/>
          <w:szCs w:val="22"/>
        </w:rPr>
      </w:pPr>
    </w:p>
    <w:p>
      <w:pPr>
        <w:jc w:val="center"/>
        <w:outlineLvl w:val="0"/>
        <w:rPr>
          <w:rFonts w:ascii="仿宋" w:hAnsi="仿宋" w:eastAsia="仿宋" w:cs="仿宋"/>
          <w:b/>
          <w:bCs/>
          <w:sz w:val="32"/>
          <w:szCs w:val="22"/>
        </w:rPr>
      </w:pPr>
    </w:p>
    <w:p>
      <w:pPr>
        <w:jc w:val="center"/>
        <w:outlineLvl w:val="0"/>
        <w:rPr>
          <w:rFonts w:ascii="方正小标宋_GBK" w:hAnsi="方正小标宋_GBK" w:eastAsia="方正小标宋_GBK" w:cs="方正小标宋_GBK"/>
          <w:sz w:val="32"/>
          <w:szCs w:val="22"/>
        </w:rPr>
      </w:pPr>
      <w:r>
        <w:rPr>
          <w:rFonts w:hint="eastAsia" w:ascii="仿宋" w:hAnsi="仿宋" w:eastAsia="仿宋" w:cs="仿宋"/>
          <w:b/>
          <w:bCs/>
          <w:sz w:val="32"/>
          <w:szCs w:val="22"/>
        </w:rPr>
        <w:t>预算项目绩效表</w:t>
      </w:r>
    </w:p>
    <w:bookmarkEnd w:id="5"/>
    <w:tbl>
      <w:tblPr>
        <w:tblStyle w:val="4"/>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方正书宋_GBK" w:eastAsia="方正书宋_GBK" w:cs="方正书宋_GBK"/>
                <w:b/>
                <w:sz w:val="32"/>
                <w:szCs w:val="32"/>
              </w:rPr>
            </w:pPr>
          </w:p>
          <w:p>
            <w:pPr>
              <w:spacing w:line="300" w:lineRule="exact"/>
              <w:rPr>
                <w:rFonts w:ascii="方正书宋_GBK" w:hAnsi="方正书宋_GBK" w:eastAsia="方正书宋_GBK" w:cs="方正书宋_GBK"/>
                <w:b/>
                <w:sz w:val="32"/>
                <w:szCs w:val="32"/>
              </w:rPr>
            </w:pPr>
          </w:p>
          <w:p>
            <w:pPr>
              <w:spacing w:line="300" w:lineRule="exact"/>
              <w:jc w:val="left"/>
              <w:rPr>
                <w:rFonts w:ascii="方正书宋_GBK" w:hAnsi="方正书宋_GBK" w:eastAsia="方正书宋_GBK" w:cs="方正书宋_GBK"/>
                <w:b/>
                <w:sz w:val="32"/>
                <w:szCs w:val="32"/>
              </w:rPr>
            </w:pPr>
          </w:p>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319002遵化市审计局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方正书宋_GBK" w:eastAsia="方正书宋_GBK" w:cs="方正书宋_GBK"/>
                <w:b/>
              </w:rPr>
            </w:pPr>
            <w:r>
              <w:rPr>
                <w:rFonts w:hint="eastAsia" w:ascii="方正书宋_GBK" w:hAnsi="方正书宋_GBK" w:eastAsia="方正书宋_GBK" w:cs="方正书宋_GBK"/>
                <w:b/>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项目编码</w:t>
            </w:r>
          </w:p>
        </w:tc>
        <w:tc>
          <w:tcPr>
            <w:tcW w:w="2410" w:type="dxa"/>
            <w:gridSpan w:val="2"/>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319-0101-JXN-EZML</w:t>
            </w:r>
          </w:p>
        </w:tc>
        <w:tc>
          <w:tcPr>
            <w:tcW w:w="1588"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项目名称</w:t>
            </w:r>
          </w:p>
        </w:tc>
        <w:tc>
          <w:tcPr>
            <w:tcW w:w="4281" w:type="dxa"/>
            <w:gridSpan w:val="3"/>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审计局各类审计项目专项经费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预算规模及资金用途</w:t>
            </w:r>
          </w:p>
        </w:tc>
        <w:tc>
          <w:tcPr>
            <w:tcW w:w="1134"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预算数</w:t>
            </w:r>
          </w:p>
        </w:tc>
        <w:tc>
          <w:tcPr>
            <w:tcW w:w="1276"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63.00</w:t>
            </w:r>
          </w:p>
        </w:tc>
        <w:tc>
          <w:tcPr>
            <w:tcW w:w="1588"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其中：财政资金</w:t>
            </w:r>
          </w:p>
        </w:tc>
        <w:tc>
          <w:tcPr>
            <w:tcW w:w="1304"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63.00</w:t>
            </w:r>
          </w:p>
        </w:tc>
        <w:tc>
          <w:tcPr>
            <w:tcW w:w="1276"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其他资金</w:t>
            </w:r>
          </w:p>
        </w:tc>
        <w:tc>
          <w:tcPr>
            <w:tcW w:w="1701" w:type="dxa"/>
            <w:shd w:val="clear" w:color="auto" w:fill="auto"/>
            <w:vAlign w:val="center"/>
          </w:tcPr>
          <w:p>
            <w:pPr>
              <w:spacing w:line="300" w:lineRule="exact"/>
              <w:jc w:val="left"/>
              <w:rPr>
                <w:rFonts w:ascii="方正书宋_GBK" w:hAnsi="方正书宋_GBK" w:eastAsia="方正书宋_GBK" w:cs="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tcPr>
          <w:p>
            <w:pPr>
              <w:spacing w:line="300" w:lineRule="exact"/>
              <w:jc w:val="left"/>
              <w:outlineLvl w:val="1"/>
              <w:rPr>
                <w:rFonts w:ascii="方正仿宋_GBK" w:hAnsi="方正仿宋_GBK" w:eastAsia="方正仿宋_GBK" w:cs="方正仿宋_GBK"/>
                <w:b/>
                <w:sz w:val="28"/>
              </w:rPr>
            </w:pPr>
          </w:p>
        </w:tc>
        <w:tc>
          <w:tcPr>
            <w:tcW w:w="8279" w:type="dxa"/>
            <w:gridSpan w:val="6"/>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1.国家重大政策措施落实情况跟踪审计、聚焦防范化解重大风险、精准扶贫，污染防治“三大攻坚战”，以资金、项目审计为重点，按上级审计机关安排及时高质量完成。</w:t>
            </w:r>
          </w:p>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2.对市财政局具体组织本级预算执行和决算草案编制情况进行审计，对重点部门预算执行、决算草案和其他财政收支审计；促进权力规范运行，促进领导干部守法守纪、守规尽责、廉洁用权、干净干事；加强政府重点投资建设项目的监督审计，全面完成上级审计机关和市委、市政府交办的其他审计业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资金支出计划（%）</w:t>
            </w:r>
          </w:p>
        </w:tc>
        <w:tc>
          <w:tcPr>
            <w:tcW w:w="2410" w:type="dxa"/>
            <w:gridSpan w:val="2"/>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3月底</w:t>
            </w:r>
          </w:p>
        </w:tc>
        <w:tc>
          <w:tcPr>
            <w:tcW w:w="1588"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6月底</w:t>
            </w:r>
          </w:p>
        </w:tc>
        <w:tc>
          <w:tcPr>
            <w:tcW w:w="1304"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10月底</w:t>
            </w:r>
          </w:p>
        </w:tc>
        <w:tc>
          <w:tcPr>
            <w:tcW w:w="2977" w:type="dxa"/>
            <w:gridSpan w:val="2"/>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tcPr>
          <w:p>
            <w:pPr>
              <w:spacing w:line="300" w:lineRule="exact"/>
              <w:jc w:val="left"/>
              <w:outlineLvl w:val="1"/>
              <w:rPr>
                <w:rFonts w:ascii="方正仿宋_GBK" w:hAnsi="方正仿宋_GBK" w:eastAsia="方正仿宋_GBK" w:cs="方正仿宋_GBK"/>
                <w:b/>
                <w:sz w:val="28"/>
              </w:rPr>
            </w:pPr>
          </w:p>
        </w:tc>
        <w:tc>
          <w:tcPr>
            <w:tcW w:w="2410" w:type="dxa"/>
            <w:gridSpan w:val="2"/>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25.00</w:t>
            </w:r>
          </w:p>
        </w:tc>
        <w:tc>
          <w:tcPr>
            <w:tcW w:w="1588"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50.00</w:t>
            </w:r>
          </w:p>
        </w:tc>
        <w:tc>
          <w:tcPr>
            <w:tcW w:w="1304"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75.00</w:t>
            </w:r>
          </w:p>
        </w:tc>
        <w:tc>
          <w:tcPr>
            <w:tcW w:w="2977" w:type="dxa"/>
            <w:gridSpan w:val="2"/>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绩效目标</w:t>
            </w:r>
          </w:p>
        </w:tc>
        <w:tc>
          <w:tcPr>
            <w:tcW w:w="8279" w:type="dxa"/>
            <w:gridSpan w:val="6"/>
            <w:tcBorders>
              <w:bottom w:val="nil"/>
            </w:tcBorders>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1、维护财政经济秩序，提高财政资金使用效益，促进廉政建设。</w:t>
            </w:r>
          </w:p>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2、通过审计财政、财务收支真实、合法效益，保障国民经济健康发展。</w:t>
            </w:r>
          </w:p>
        </w:tc>
      </w:tr>
    </w:tbl>
    <w:p>
      <w:pPr>
        <w:spacing w:line="14" w:lineRule="exact"/>
        <w:ind w:firstLine="422" w:firstLineChars="200"/>
        <w:jc w:val="center"/>
        <w:rPr>
          <w:rFonts w:ascii="Times New Roman" w:hAnsi="宋体" w:cs="宋体"/>
          <w:b/>
        </w:rPr>
      </w:pPr>
      <w:r>
        <w:rPr>
          <w:rFonts w:hint="eastAsia" w:ascii="方正书宋_GBK" w:hAnsi="方正书宋_GBK" w:eastAsia="方正书宋_GBK" w:cs="方正书宋_GBK"/>
          <w:b/>
        </w:rPr>
        <w:t xml:space="preserve"> </w:t>
      </w:r>
    </w:p>
    <w:tbl>
      <w:tblPr>
        <w:tblStyle w:val="4"/>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一级指标</w:t>
            </w:r>
          </w:p>
        </w:tc>
        <w:tc>
          <w:tcPr>
            <w:tcW w:w="1134"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二级指标</w:t>
            </w:r>
          </w:p>
        </w:tc>
        <w:tc>
          <w:tcPr>
            <w:tcW w:w="1276"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三级指标</w:t>
            </w:r>
          </w:p>
        </w:tc>
        <w:tc>
          <w:tcPr>
            <w:tcW w:w="2892"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绩效指标描述</w:t>
            </w:r>
          </w:p>
        </w:tc>
        <w:tc>
          <w:tcPr>
            <w:tcW w:w="1276"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指标值</w:t>
            </w:r>
          </w:p>
        </w:tc>
        <w:tc>
          <w:tcPr>
            <w:tcW w:w="1701"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产出指标</w:t>
            </w:r>
          </w:p>
        </w:tc>
        <w:tc>
          <w:tcPr>
            <w:tcW w:w="1134"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数量指标</w:t>
            </w:r>
          </w:p>
        </w:tc>
        <w:tc>
          <w:tcPr>
            <w:tcW w:w="1276"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监督检查报告数量</w:t>
            </w:r>
          </w:p>
        </w:tc>
        <w:tc>
          <w:tcPr>
            <w:tcW w:w="2892"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监督检查工作开展后，形成的工作报告、总结报告数量(个)</w:t>
            </w:r>
          </w:p>
        </w:tc>
        <w:tc>
          <w:tcPr>
            <w:tcW w:w="1276"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≥25个，单位审计项目监督数量</w:t>
            </w:r>
          </w:p>
        </w:tc>
        <w:tc>
          <w:tcPr>
            <w:tcW w:w="1701"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《2021年审计项目计划》和</w:t>
            </w:r>
            <w:r>
              <w:rPr>
                <w:rFonts w:hint="eastAsia" w:ascii="方正书宋_GBK" w:hAnsi="方正书宋_GBK" w:eastAsia="方正书宋_GBK" w:cs="方正书宋_GBK"/>
                <w:b/>
                <w:lang w:eastAsia="zh-CN"/>
              </w:rPr>
              <w:t>《中华人民共和国</w:t>
            </w:r>
            <w:bookmarkStart w:id="8" w:name="_GoBack"/>
            <w:bookmarkEnd w:id="8"/>
            <w:r>
              <w:rPr>
                <w:rFonts w:hint="eastAsia" w:ascii="方正书宋_GBK" w:hAnsi="方正书宋_GBK" w:eastAsia="方正书宋_GBK" w:cs="方正书宋_GBK"/>
                <w:b/>
                <w:lang w:eastAsia="zh-CN"/>
              </w:rPr>
              <w:t>审计法》</w:t>
            </w:r>
            <w:r>
              <w:rPr>
                <w:rFonts w:hint="eastAsia" w:ascii="方正书宋_GBK" w:hAnsi="方正书宋_GBK" w:eastAsia="方正书宋_GBK" w:cs="方正书宋_GBK"/>
                <w:b/>
              </w:rPr>
              <w:t>第11条审计机关根据工作需要，应列入财政预算，由本级人民政府予以保证。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方正书宋_GBK" w:eastAsia="方正书宋_GBK" w:cs="方正书宋_GBK"/>
                <w:b/>
              </w:rPr>
            </w:pPr>
          </w:p>
        </w:tc>
        <w:tc>
          <w:tcPr>
            <w:tcW w:w="1134"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质量指标</w:t>
            </w:r>
          </w:p>
        </w:tc>
        <w:tc>
          <w:tcPr>
            <w:tcW w:w="1276"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监督检查次数</w:t>
            </w:r>
          </w:p>
        </w:tc>
        <w:tc>
          <w:tcPr>
            <w:tcW w:w="2892"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组织开展监督检查次数(个)</w:t>
            </w:r>
          </w:p>
        </w:tc>
        <w:tc>
          <w:tcPr>
            <w:tcW w:w="1276"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≥25次，单位审计人员下乡入村监督检查次数</w:t>
            </w:r>
          </w:p>
        </w:tc>
        <w:tc>
          <w:tcPr>
            <w:tcW w:w="1701"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《2021年审计项目计划》和</w:t>
            </w:r>
            <w:r>
              <w:rPr>
                <w:rFonts w:hint="eastAsia" w:ascii="方正书宋_GBK" w:hAnsi="方正书宋_GBK" w:eastAsia="方正书宋_GBK" w:cs="方正书宋_GBK"/>
                <w:b/>
                <w:lang w:eastAsia="zh-CN"/>
              </w:rPr>
              <w:t>《中华人民共和国审计法》</w:t>
            </w:r>
            <w:r>
              <w:rPr>
                <w:rFonts w:hint="eastAsia" w:ascii="方正书宋_GBK" w:hAnsi="方正书宋_GBK" w:eastAsia="方正书宋_GBK" w:cs="方正书宋_GBK"/>
                <w:b/>
              </w:rPr>
              <w:t>第11条审计机关根据工作需要，应列入财政预算，由本级人民政府予以保证。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方正书宋_GBK" w:eastAsia="方正书宋_GBK" w:cs="方正书宋_GBK"/>
                <w:b/>
              </w:rPr>
            </w:pPr>
          </w:p>
        </w:tc>
        <w:tc>
          <w:tcPr>
            <w:tcW w:w="1134"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数量指标</w:t>
            </w:r>
          </w:p>
        </w:tc>
        <w:tc>
          <w:tcPr>
            <w:tcW w:w="1276"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回查回访比率</w:t>
            </w:r>
          </w:p>
        </w:tc>
        <w:tc>
          <w:tcPr>
            <w:tcW w:w="2892"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针对监督检查发现问题，回查、回访数量占发现问题总数的比率(%)</w:t>
            </w:r>
          </w:p>
        </w:tc>
        <w:tc>
          <w:tcPr>
            <w:tcW w:w="1276"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≥90%百分比，对发现问题的回访占问题总数的百分比</w:t>
            </w:r>
          </w:p>
        </w:tc>
        <w:tc>
          <w:tcPr>
            <w:tcW w:w="1701"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《2021年审计项目计划》和</w:t>
            </w:r>
            <w:r>
              <w:rPr>
                <w:rFonts w:hint="eastAsia" w:ascii="方正书宋_GBK" w:hAnsi="方正书宋_GBK" w:eastAsia="方正书宋_GBK" w:cs="方正书宋_GBK"/>
                <w:b/>
                <w:lang w:eastAsia="zh-CN"/>
              </w:rPr>
              <w:t>《中华人民共和国审计法》</w:t>
            </w:r>
            <w:r>
              <w:rPr>
                <w:rFonts w:hint="eastAsia" w:ascii="方正书宋_GBK" w:hAnsi="方正书宋_GBK" w:eastAsia="方正书宋_GBK" w:cs="方正书宋_GBK"/>
                <w:b/>
              </w:rPr>
              <w:t>第11条审计机关根据工作需要，应列入财政预算，由本级人民政府予以保证。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效果指标</w:t>
            </w:r>
          </w:p>
        </w:tc>
        <w:tc>
          <w:tcPr>
            <w:tcW w:w="1134"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社会效益指标</w:t>
            </w:r>
          </w:p>
        </w:tc>
        <w:tc>
          <w:tcPr>
            <w:tcW w:w="1276"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审计建议采纳率</w:t>
            </w:r>
          </w:p>
        </w:tc>
        <w:tc>
          <w:tcPr>
            <w:tcW w:w="2892"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审计建议采纳率（%）</w:t>
            </w:r>
          </w:p>
        </w:tc>
        <w:tc>
          <w:tcPr>
            <w:tcW w:w="1276"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≥90%百分比，建议采纳占问题解决办法的比率</w:t>
            </w:r>
          </w:p>
        </w:tc>
        <w:tc>
          <w:tcPr>
            <w:tcW w:w="1701"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《2021年审计项目计划》和</w:t>
            </w:r>
            <w:r>
              <w:rPr>
                <w:rFonts w:hint="eastAsia" w:ascii="方正书宋_GBK" w:hAnsi="方正书宋_GBK" w:eastAsia="方正书宋_GBK" w:cs="方正书宋_GBK"/>
                <w:b/>
                <w:lang w:eastAsia="zh-CN"/>
              </w:rPr>
              <w:t>《中华人民共和国审计法》</w:t>
            </w:r>
            <w:r>
              <w:rPr>
                <w:rFonts w:hint="eastAsia" w:ascii="方正书宋_GBK" w:hAnsi="方正书宋_GBK" w:eastAsia="方正书宋_GBK" w:cs="方正书宋_GBK"/>
                <w:b/>
              </w:rPr>
              <w:t>第11条审计机关根据工作需要，应列入财政预算，由本级人民政府予以保证。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方正书宋_GBK" w:eastAsia="方正书宋_GBK" w:cs="方正书宋_GBK"/>
                <w:b/>
              </w:rPr>
            </w:pPr>
          </w:p>
        </w:tc>
        <w:tc>
          <w:tcPr>
            <w:tcW w:w="1134"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经济效益指标</w:t>
            </w:r>
          </w:p>
        </w:tc>
        <w:tc>
          <w:tcPr>
            <w:tcW w:w="1276"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问题整改率</w:t>
            </w:r>
          </w:p>
        </w:tc>
        <w:tc>
          <w:tcPr>
            <w:tcW w:w="2892"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问题整改率（%）</w:t>
            </w:r>
          </w:p>
        </w:tc>
        <w:tc>
          <w:tcPr>
            <w:tcW w:w="1276"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≥90%百分比，整改情况占总问题的百分比</w:t>
            </w:r>
          </w:p>
        </w:tc>
        <w:tc>
          <w:tcPr>
            <w:tcW w:w="1701"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《2021年审计项目计划》和</w:t>
            </w:r>
            <w:r>
              <w:rPr>
                <w:rFonts w:hint="eastAsia" w:ascii="方正书宋_GBK" w:hAnsi="方正书宋_GBK" w:eastAsia="方正书宋_GBK" w:cs="方正书宋_GBK"/>
                <w:b/>
                <w:lang w:eastAsia="zh-CN"/>
              </w:rPr>
              <w:t>《中华人民共和国审计法》</w:t>
            </w:r>
            <w:r>
              <w:rPr>
                <w:rFonts w:hint="eastAsia" w:ascii="方正书宋_GBK" w:hAnsi="方正书宋_GBK" w:eastAsia="方正书宋_GBK" w:cs="方正书宋_GBK"/>
                <w:b/>
              </w:rPr>
              <w:t>第11条审计机关根据工作需要，应列入财政预算，由本级人民政府予以保证。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满意度指标</w:t>
            </w:r>
          </w:p>
        </w:tc>
        <w:tc>
          <w:tcPr>
            <w:tcW w:w="1134"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服务对象满意度指标</w:t>
            </w:r>
          </w:p>
        </w:tc>
        <w:tc>
          <w:tcPr>
            <w:tcW w:w="1276"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群众满意度</w:t>
            </w:r>
          </w:p>
        </w:tc>
        <w:tc>
          <w:tcPr>
            <w:tcW w:w="2892"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群众满意数量占总数的比例。</w:t>
            </w:r>
          </w:p>
        </w:tc>
        <w:tc>
          <w:tcPr>
            <w:tcW w:w="1276"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≥90%百分比，群众的满意程度</w:t>
            </w:r>
          </w:p>
        </w:tc>
        <w:tc>
          <w:tcPr>
            <w:tcW w:w="1701"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《2021年审计项目计划》和</w:t>
            </w:r>
            <w:r>
              <w:rPr>
                <w:rFonts w:hint="eastAsia" w:ascii="方正书宋_GBK" w:hAnsi="方正书宋_GBK" w:eastAsia="方正书宋_GBK" w:cs="方正书宋_GBK"/>
                <w:b/>
                <w:lang w:eastAsia="zh-CN"/>
              </w:rPr>
              <w:t>《中华人民共和国审计法》</w:t>
            </w:r>
            <w:r>
              <w:rPr>
                <w:rFonts w:hint="eastAsia" w:ascii="方正书宋_GBK" w:hAnsi="方正书宋_GBK" w:eastAsia="方正书宋_GBK" w:cs="方正书宋_GBK"/>
                <w:b/>
              </w:rPr>
              <w:t>第11条审计机关根据工作需要，应列入财政预算，由本级人民政府予以保证。</w:t>
            </w:r>
          </w:p>
        </w:tc>
      </w:tr>
    </w:tbl>
    <w:p>
      <w:pPr>
        <w:autoSpaceDE w:val="0"/>
        <w:autoSpaceDN w:val="0"/>
        <w:adjustRightInd w:val="0"/>
        <w:spacing w:line="560" w:lineRule="exact"/>
        <w:ind w:firstLine="640" w:firstLineChars="200"/>
        <w:jc w:val="left"/>
        <w:rPr>
          <w:rFonts w:ascii="黑体" w:hAnsi="宋体" w:eastAsia="黑体" w:cs="Times New Roman"/>
          <w:sz w:val="32"/>
          <w:szCs w:val="32"/>
        </w:rPr>
      </w:pPr>
    </w:p>
    <w:p>
      <w:pPr>
        <w:autoSpaceDE w:val="0"/>
        <w:autoSpaceDN w:val="0"/>
        <w:adjustRightInd w:val="0"/>
        <w:spacing w:line="560" w:lineRule="exact"/>
        <w:ind w:firstLine="640" w:firstLineChars="200"/>
        <w:jc w:val="left"/>
        <w:rPr>
          <w:rFonts w:ascii="黑体" w:hAnsi="宋体" w:eastAsia="黑体" w:cs="Times New Roman"/>
          <w:sz w:val="32"/>
          <w:szCs w:val="32"/>
        </w:rPr>
      </w:pPr>
      <w:r>
        <w:rPr>
          <w:rFonts w:hint="eastAsia" w:ascii="黑体" w:hAnsi="宋体" w:eastAsia="黑体" w:cs="Times New Roman"/>
          <w:sz w:val="32"/>
          <w:szCs w:val="32"/>
        </w:rPr>
        <w:t>六、政府采购预算情况</w:t>
      </w:r>
    </w:p>
    <w:p>
      <w:pPr>
        <w:spacing w:line="560" w:lineRule="exact"/>
        <w:ind w:firstLine="640" w:firstLineChars="200"/>
        <w:rPr>
          <w:rFonts w:ascii="方正仿宋简体" w:hAnsi="仿宋" w:eastAsia="方正仿宋简体" w:cs="Times New Roman"/>
          <w:sz w:val="32"/>
          <w:szCs w:val="32"/>
        </w:rPr>
      </w:pPr>
      <w:bookmarkStart w:id="6" w:name="_Toc471398468"/>
      <w:r>
        <w:rPr>
          <w:rFonts w:hint="eastAsia" w:ascii="方正仿宋简体" w:hAnsi="仿宋" w:eastAsia="方正仿宋简体" w:cs="Times New Roman"/>
          <w:sz w:val="32"/>
          <w:szCs w:val="32"/>
        </w:rPr>
        <w:t>2021年纳入政府采购的预算金额</w:t>
      </w:r>
      <w:r>
        <w:rPr>
          <w:rFonts w:ascii="方正仿宋简体" w:hAnsi="仿宋" w:eastAsia="方正仿宋简体" w:cs="Times New Roman"/>
          <w:sz w:val="32"/>
          <w:szCs w:val="32"/>
        </w:rPr>
        <w:t>13.5</w:t>
      </w:r>
      <w:r>
        <w:rPr>
          <w:rFonts w:hint="eastAsia" w:ascii="方正仿宋简体" w:hAnsi="仿宋" w:eastAsia="方正仿宋简体" w:cs="Times New Roman"/>
          <w:sz w:val="32"/>
          <w:szCs w:val="32"/>
        </w:rPr>
        <w:t>万元</w:t>
      </w:r>
      <w:bookmarkEnd w:id="6"/>
      <w:r>
        <w:rPr>
          <w:rFonts w:hint="eastAsia" w:ascii="方正仿宋简体" w:hAnsi="仿宋" w:eastAsia="方正仿宋简体" w:cs="Times New Roman"/>
          <w:sz w:val="32"/>
          <w:szCs w:val="32"/>
        </w:rPr>
        <w:t>，相较于2020年增加</w:t>
      </w:r>
      <w:r>
        <w:rPr>
          <w:rFonts w:ascii="方正仿宋简体" w:hAnsi="仿宋" w:eastAsia="方正仿宋简体" w:cs="Times New Roman"/>
          <w:sz w:val="32"/>
          <w:szCs w:val="32"/>
        </w:rPr>
        <w:t>0.76</w:t>
      </w:r>
      <w:r>
        <w:rPr>
          <w:rFonts w:hint="eastAsia" w:ascii="方正仿宋简体" w:hAnsi="仿宋" w:eastAsia="方正仿宋简体" w:cs="Times New Roman"/>
          <w:sz w:val="32"/>
          <w:szCs w:val="32"/>
        </w:rPr>
        <w:t>万元，主要为计算机设备等办公设备的购置。具体内容见下表：</w:t>
      </w:r>
    </w:p>
    <w:p>
      <w:pPr>
        <w:jc w:val="center"/>
        <w:outlineLvl w:val="0"/>
        <w:rPr>
          <w:rFonts w:ascii="方正小标宋_GBK" w:hAnsi="方正小标宋_GBK" w:eastAsia="方正小标宋_GBK" w:cs="方正小标宋_GBK"/>
          <w:sz w:val="32"/>
          <w:szCs w:val="22"/>
        </w:rPr>
      </w:pPr>
      <w:bookmarkStart w:id="7" w:name="_Toc508108201"/>
    </w:p>
    <w:p>
      <w:pPr>
        <w:jc w:val="center"/>
        <w:outlineLvl w:val="0"/>
        <w:rPr>
          <w:rFonts w:ascii="方正小标宋_GBK" w:hAnsi="方正小标宋_GBK" w:eastAsia="方正小标宋_GBK" w:cs="方正小标宋_GBK"/>
          <w:sz w:val="32"/>
          <w:szCs w:val="22"/>
        </w:rPr>
      </w:pPr>
    </w:p>
    <w:p>
      <w:pPr>
        <w:jc w:val="center"/>
        <w:outlineLvl w:val="0"/>
        <w:rPr>
          <w:rFonts w:ascii="方正小标宋_GBK" w:hAnsi="方正小标宋_GBK" w:eastAsia="方正小标宋_GBK" w:cs="方正小标宋_GBK"/>
          <w:sz w:val="32"/>
          <w:szCs w:val="22"/>
        </w:rPr>
      </w:pPr>
      <w:r>
        <w:rPr>
          <w:rFonts w:hint="eastAsia" w:ascii="方正小标宋_GBK" w:hAnsi="方正小标宋_GBK" w:eastAsia="方正小标宋_GBK" w:cs="方正小标宋_GBK"/>
          <w:sz w:val="32"/>
          <w:szCs w:val="22"/>
        </w:rPr>
        <w:t>本级政府采购预算</w:t>
      </w:r>
      <w:bookmarkEnd w:id="7"/>
    </w:p>
    <w:tbl>
      <w:tblPr>
        <w:tblStyle w:val="4"/>
        <w:tblW w:w="134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5"/>
        <w:gridCol w:w="985"/>
        <w:gridCol w:w="1331"/>
        <w:gridCol w:w="1332"/>
        <w:gridCol w:w="616"/>
        <w:gridCol w:w="789"/>
        <w:gridCol w:w="793"/>
        <w:gridCol w:w="986"/>
        <w:gridCol w:w="986"/>
        <w:gridCol w:w="986"/>
        <w:gridCol w:w="986"/>
        <w:gridCol w:w="986"/>
        <w:gridCol w:w="986"/>
        <w:gridCol w:w="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3" w:hRule="atLeast"/>
          <w:tblHeader/>
          <w:jc w:val="center"/>
        </w:trPr>
        <w:tc>
          <w:tcPr>
            <w:tcW w:w="7571"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hAnsi="Times New Roman" w:eastAsia="方正小标宋_GBK" w:cs="Times New Roman"/>
                <w:sz w:val="24"/>
                <w:szCs w:val="20"/>
              </w:rPr>
            </w:pPr>
            <w:r>
              <w:rPr>
                <w:rFonts w:ascii="方正小标宋_GBK" w:hAnsi="Times New Roman" w:eastAsia="方正小标宋_GBK" w:cs="Times New Roman"/>
                <w:sz w:val="24"/>
                <w:szCs w:val="20"/>
              </w:rPr>
              <w:t>319</w:t>
            </w:r>
            <w:r>
              <w:rPr>
                <w:rFonts w:hint="eastAsia" w:ascii="方正小标宋_GBK" w:hAnsi="Times New Roman" w:eastAsia="方正小标宋_GBK" w:cs="Times New Roman"/>
                <w:sz w:val="24"/>
                <w:szCs w:val="20"/>
              </w:rPr>
              <w:t>遵化市审计局本级</w:t>
            </w:r>
          </w:p>
        </w:tc>
        <w:tc>
          <w:tcPr>
            <w:tcW w:w="5927"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hAnsi="Times New Roman" w:eastAsia="方正书宋_GBK" w:cs="Times New Roman"/>
                <w:sz w:val="24"/>
                <w:szCs w:val="20"/>
              </w:rPr>
            </w:pPr>
            <w:r>
              <w:rPr>
                <w:rFonts w:hint="eastAsia" w:ascii="方正书宋_GBK" w:hAnsi="Times New Roman" w:eastAsia="方正书宋_GBK" w:cs="Times New Roman"/>
                <w:sz w:val="24"/>
                <w:szCs w:val="2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7" w:hRule="atLeast"/>
          <w:tblHeader/>
          <w:jc w:val="center"/>
        </w:trPr>
        <w:tc>
          <w:tcPr>
            <w:tcW w:w="2710" w:type="dxa"/>
            <w:gridSpan w:val="2"/>
            <w:vAlign w:val="center"/>
          </w:tcPr>
          <w:p>
            <w:pPr>
              <w:spacing w:line="300" w:lineRule="exact"/>
              <w:jc w:val="center"/>
              <w:rPr>
                <w:rFonts w:ascii="方正书宋_GBK" w:hAnsi="Times New Roman" w:eastAsia="方正书宋_GBK" w:cs="Times New Roman"/>
                <w:b/>
                <w:sz w:val="20"/>
                <w:szCs w:val="20"/>
              </w:rPr>
            </w:pPr>
            <w:r>
              <w:rPr>
                <w:rFonts w:hint="eastAsia" w:ascii="方正书宋_GBK" w:hAnsi="Times New Roman" w:eastAsia="方正书宋_GBK" w:cs="Times New Roman"/>
                <w:b/>
                <w:sz w:val="20"/>
                <w:szCs w:val="20"/>
              </w:rPr>
              <w:t>政府采购项目来源</w:t>
            </w:r>
          </w:p>
        </w:tc>
        <w:tc>
          <w:tcPr>
            <w:tcW w:w="1331" w:type="dxa"/>
            <w:vMerge w:val="restart"/>
            <w:vAlign w:val="center"/>
          </w:tcPr>
          <w:p>
            <w:pPr>
              <w:spacing w:line="300" w:lineRule="exact"/>
              <w:jc w:val="center"/>
              <w:rPr>
                <w:rFonts w:ascii="方正书宋_GBK" w:hAnsi="Times New Roman" w:eastAsia="方正书宋_GBK" w:cs="Times New Roman"/>
                <w:b/>
                <w:sz w:val="20"/>
                <w:szCs w:val="20"/>
              </w:rPr>
            </w:pPr>
            <w:r>
              <w:rPr>
                <w:rFonts w:hint="eastAsia" w:ascii="方正书宋_GBK" w:hAnsi="Times New Roman" w:eastAsia="方正书宋_GBK" w:cs="Times New Roman"/>
                <w:b/>
                <w:sz w:val="20"/>
                <w:szCs w:val="20"/>
              </w:rPr>
              <w:t>采购物品名称</w:t>
            </w:r>
          </w:p>
        </w:tc>
        <w:tc>
          <w:tcPr>
            <w:tcW w:w="1332" w:type="dxa"/>
            <w:vMerge w:val="restart"/>
            <w:vAlign w:val="center"/>
          </w:tcPr>
          <w:p>
            <w:pPr>
              <w:spacing w:line="300" w:lineRule="exact"/>
              <w:jc w:val="center"/>
              <w:rPr>
                <w:rFonts w:ascii="方正书宋_GBK" w:hAnsi="Times New Roman" w:eastAsia="方正书宋_GBK" w:cs="Times New Roman"/>
                <w:b/>
                <w:sz w:val="20"/>
                <w:szCs w:val="20"/>
              </w:rPr>
            </w:pPr>
            <w:r>
              <w:rPr>
                <w:rFonts w:hint="eastAsia" w:ascii="方正书宋_GBK" w:hAnsi="Times New Roman" w:eastAsia="方正书宋_GBK" w:cs="Times New Roman"/>
                <w:b/>
                <w:sz w:val="20"/>
                <w:szCs w:val="20"/>
              </w:rPr>
              <w:t>政府采购目录序号</w:t>
            </w:r>
          </w:p>
        </w:tc>
        <w:tc>
          <w:tcPr>
            <w:tcW w:w="616" w:type="dxa"/>
            <w:vMerge w:val="restart"/>
            <w:vAlign w:val="center"/>
          </w:tcPr>
          <w:p>
            <w:pPr>
              <w:spacing w:line="300" w:lineRule="exact"/>
              <w:jc w:val="center"/>
              <w:rPr>
                <w:rFonts w:ascii="方正书宋_GBK" w:hAnsi="Times New Roman" w:eastAsia="方正书宋_GBK" w:cs="Times New Roman"/>
                <w:b/>
                <w:sz w:val="20"/>
                <w:szCs w:val="20"/>
              </w:rPr>
            </w:pPr>
            <w:r>
              <w:rPr>
                <w:rFonts w:hint="eastAsia" w:ascii="方正书宋_GBK" w:hAnsi="Times New Roman" w:eastAsia="方正书宋_GBK" w:cs="Times New Roman"/>
                <w:b/>
                <w:sz w:val="20"/>
                <w:szCs w:val="20"/>
              </w:rPr>
              <w:t>计量</w:t>
            </w:r>
            <w:r>
              <w:rPr>
                <w:rFonts w:ascii="方正书宋_GBK" w:hAnsi="Times New Roman" w:eastAsia="方正书宋_GBK" w:cs="Times New Roman"/>
                <w:b/>
                <w:sz w:val="20"/>
                <w:szCs w:val="20"/>
              </w:rPr>
              <w:t xml:space="preserve">  </w:t>
            </w:r>
            <w:r>
              <w:rPr>
                <w:rFonts w:hint="eastAsia" w:ascii="方正书宋_GBK" w:hAnsi="Times New Roman" w:eastAsia="方正书宋_GBK" w:cs="Times New Roman"/>
                <w:b/>
                <w:sz w:val="20"/>
                <w:szCs w:val="20"/>
              </w:rPr>
              <w:t>单位</w:t>
            </w:r>
          </w:p>
        </w:tc>
        <w:tc>
          <w:tcPr>
            <w:tcW w:w="789" w:type="dxa"/>
            <w:vMerge w:val="restart"/>
            <w:vAlign w:val="center"/>
          </w:tcPr>
          <w:p>
            <w:pPr>
              <w:spacing w:line="300" w:lineRule="exact"/>
              <w:jc w:val="center"/>
              <w:rPr>
                <w:rFonts w:ascii="方正书宋_GBK" w:hAnsi="Times New Roman" w:eastAsia="方正书宋_GBK" w:cs="Times New Roman"/>
                <w:b/>
                <w:sz w:val="20"/>
                <w:szCs w:val="20"/>
              </w:rPr>
            </w:pPr>
            <w:r>
              <w:rPr>
                <w:rFonts w:hint="eastAsia" w:ascii="方正书宋_GBK" w:hAnsi="Times New Roman" w:eastAsia="方正书宋_GBK" w:cs="Times New Roman"/>
                <w:b/>
                <w:sz w:val="20"/>
                <w:szCs w:val="20"/>
              </w:rPr>
              <w:t>数量</w:t>
            </w:r>
          </w:p>
        </w:tc>
        <w:tc>
          <w:tcPr>
            <w:tcW w:w="793" w:type="dxa"/>
            <w:vMerge w:val="restart"/>
            <w:vAlign w:val="center"/>
          </w:tcPr>
          <w:p>
            <w:pPr>
              <w:spacing w:line="300" w:lineRule="exact"/>
              <w:jc w:val="center"/>
              <w:rPr>
                <w:rFonts w:ascii="方正书宋_GBK" w:hAnsi="Times New Roman" w:eastAsia="方正书宋_GBK" w:cs="Times New Roman"/>
                <w:b/>
                <w:sz w:val="20"/>
                <w:szCs w:val="20"/>
              </w:rPr>
            </w:pPr>
            <w:r>
              <w:rPr>
                <w:rFonts w:hint="eastAsia" w:ascii="方正书宋_GBK" w:hAnsi="Times New Roman" w:eastAsia="方正书宋_GBK" w:cs="Times New Roman"/>
                <w:b/>
                <w:sz w:val="20"/>
                <w:szCs w:val="20"/>
              </w:rPr>
              <w:t>单价</w:t>
            </w:r>
          </w:p>
        </w:tc>
        <w:tc>
          <w:tcPr>
            <w:tcW w:w="5927" w:type="dxa"/>
            <w:gridSpan w:val="7"/>
            <w:vAlign w:val="center"/>
          </w:tcPr>
          <w:p>
            <w:pPr>
              <w:spacing w:line="300" w:lineRule="exact"/>
              <w:jc w:val="center"/>
              <w:rPr>
                <w:rFonts w:ascii="方正书宋_GBK" w:hAnsi="Times New Roman" w:eastAsia="方正书宋_GBK" w:cs="Times New Roman"/>
                <w:b/>
                <w:sz w:val="20"/>
                <w:szCs w:val="20"/>
              </w:rPr>
            </w:pPr>
            <w:r>
              <w:rPr>
                <w:rFonts w:hint="eastAsia" w:ascii="方正书宋_GBK" w:hAnsi="Times New Roman" w:eastAsia="方正书宋_GBK" w:cs="Times New Roman"/>
                <w:b/>
                <w:sz w:val="20"/>
                <w:szCs w:val="20"/>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 w:type="dxa"/>
          <w:cantSplit/>
          <w:trHeight w:val="1175" w:hRule="atLeast"/>
          <w:tblHeader/>
          <w:jc w:val="center"/>
        </w:trPr>
        <w:tc>
          <w:tcPr>
            <w:tcW w:w="1725" w:type="dxa"/>
            <w:vAlign w:val="center"/>
          </w:tcPr>
          <w:p>
            <w:pPr>
              <w:spacing w:line="300" w:lineRule="exact"/>
              <w:jc w:val="center"/>
              <w:rPr>
                <w:rFonts w:ascii="方正书宋_GBK" w:hAnsi="Times New Roman" w:eastAsia="方正书宋_GBK" w:cs="Times New Roman"/>
                <w:b/>
                <w:sz w:val="20"/>
                <w:szCs w:val="20"/>
              </w:rPr>
            </w:pPr>
            <w:r>
              <w:rPr>
                <w:rFonts w:hint="eastAsia" w:ascii="方正书宋_GBK" w:hAnsi="Times New Roman" w:eastAsia="方正书宋_GBK" w:cs="Times New Roman"/>
                <w:b/>
                <w:sz w:val="20"/>
                <w:szCs w:val="20"/>
              </w:rPr>
              <w:t>项目名称</w:t>
            </w:r>
          </w:p>
        </w:tc>
        <w:tc>
          <w:tcPr>
            <w:tcW w:w="985" w:type="dxa"/>
            <w:vAlign w:val="center"/>
          </w:tcPr>
          <w:p>
            <w:pPr>
              <w:spacing w:line="300" w:lineRule="exact"/>
              <w:jc w:val="center"/>
              <w:rPr>
                <w:rFonts w:ascii="方正书宋_GBK" w:hAnsi="Times New Roman" w:eastAsia="方正书宋_GBK" w:cs="Times New Roman"/>
                <w:b/>
                <w:sz w:val="20"/>
                <w:szCs w:val="20"/>
              </w:rPr>
            </w:pPr>
            <w:r>
              <w:rPr>
                <w:rFonts w:hint="eastAsia" w:ascii="方正书宋_GBK" w:hAnsi="Times New Roman" w:eastAsia="方正书宋_GBK" w:cs="Times New Roman"/>
                <w:b/>
                <w:sz w:val="20"/>
                <w:szCs w:val="20"/>
              </w:rPr>
              <w:t>预算资金</w:t>
            </w:r>
          </w:p>
        </w:tc>
        <w:tc>
          <w:tcPr>
            <w:tcW w:w="1331" w:type="dxa"/>
            <w:vMerge w:val="continue"/>
            <w:vAlign w:val="center"/>
          </w:tcPr>
          <w:p>
            <w:pPr>
              <w:spacing w:line="300" w:lineRule="exact"/>
              <w:jc w:val="left"/>
              <w:outlineLvl w:val="0"/>
              <w:rPr>
                <w:rFonts w:ascii="Times New Roman" w:hAnsi="Times New Roman" w:eastAsia="方正仿宋_GBK" w:cs="Times New Roman"/>
                <w:sz w:val="28"/>
                <w:szCs w:val="20"/>
              </w:rPr>
            </w:pPr>
          </w:p>
        </w:tc>
        <w:tc>
          <w:tcPr>
            <w:tcW w:w="1332" w:type="dxa"/>
            <w:vMerge w:val="continue"/>
            <w:vAlign w:val="center"/>
          </w:tcPr>
          <w:p>
            <w:pPr>
              <w:spacing w:line="300" w:lineRule="exact"/>
              <w:jc w:val="left"/>
              <w:outlineLvl w:val="0"/>
              <w:rPr>
                <w:rFonts w:ascii="Times New Roman" w:hAnsi="Times New Roman" w:eastAsia="方正仿宋_GBK" w:cs="Times New Roman"/>
                <w:sz w:val="28"/>
                <w:szCs w:val="20"/>
              </w:rPr>
            </w:pPr>
          </w:p>
        </w:tc>
        <w:tc>
          <w:tcPr>
            <w:tcW w:w="616" w:type="dxa"/>
            <w:vMerge w:val="continue"/>
            <w:vAlign w:val="center"/>
          </w:tcPr>
          <w:p>
            <w:pPr>
              <w:spacing w:line="300" w:lineRule="exact"/>
              <w:jc w:val="left"/>
              <w:outlineLvl w:val="0"/>
              <w:rPr>
                <w:rFonts w:ascii="Times New Roman" w:hAnsi="Times New Roman" w:eastAsia="方正仿宋_GBK" w:cs="Times New Roman"/>
                <w:sz w:val="28"/>
                <w:szCs w:val="20"/>
              </w:rPr>
            </w:pPr>
          </w:p>
        </w:tc>
        <w:tc>
          <w:tcPr>
            <w:tcW w:w="789" w:type="dxa"/>
            <w:vMerge w:val="continue"/>
            <w:vAlign w:val="center"/>
          </w:tcPr>
          <w:p>
            <w:pPr>
              <w:spacing w:line="300" w:lineRule="exact"/>
              <w:jc w:val="left"/>
              <w:outlineLvl w:val="0"/>
              <w:rPr>
                <w:rFonts w:ascii="Times New Roman" w:hAnsi="Times New Roman" w:eastAsia="方正仿宋_GBK" w:cs="Times New Roman"/>
                <w:sz w:val="28"/>
                <w:szCs w:val="20"/>
              </w:rPr>
            </w:pPr>
          </w:p>
        </w:tc>
        <w:tc>
          <w:tcPr>
            <w:tcW w:w="793" w:type="dxa"/>
            <w:vMerge w:val="continue"/>
            <w:vAlign w:val="center"/>
          </w:tcPr>
          <w:p>
            <w:pPr>
              <w:spacing w:line="300" w:lineRule="exact"/>
              <w:jc w:val="left"/>
              <w:outlineLvl w:val="0"/>
              <w:rPr>
                <w:rFonts w:ascii="Times New Roman" w:hAnsi="Times New Roman" w:eastAsia="方正仿宋_GBK" w:cs="Times New Roman"/>
                <w:sz w:val="28"/>
                <w:szCs w:val="20"/>
              </w:rPr>
            </w:pPr>
          </w:p>
        </w:tc>
        <w:tc>
          <w:tcPr>
            <w:tcW w:w="986" w:type="dxa"/>
            <w:vAlign w:val="center"/>
          </w:tcPr>
          <w:p>
            <w:pPr>
              <w:spacing w:line="300" w:lineRule="exact"/>
              <w:jc w:val="center"/>
              <w:rPr>
                <w:rFonts w:ascii="方正书宋_GBK" w:hAnsi="Times New Roman" w:eastAsia="方正书宋_GBK" w:cs="Times New Roman"/>
                <w:b/>
                <w:sz w:val="20"/>
                <w:szCs w:val="20"/>
              </w:rPr>
            </w:pPr>
            <w:r>
              <w:rPr>
                <w:rFonts w:hint="eastAsia" w:ascii="方正书宋_GBK" w:hAnsi="Times New Roman" w:eastAsia="方正书宋_GBK" w:cs="Times New Roman"/>
                <w:b/>
                <w:sz w:val="20"/>
                <w:szCs w:val="20"/>
              </w:rPr>
              <w:t>合计</w:t>
            </w:r>
          </w:p>
        </w:tc>
        <w:tc>
          <w:tcPr>
            <w:tcW w:w="986" w:type="dxa"/>
            <w:vAlign w:val="center"/>
          </w:tcPr>
          <w:p>
            <w:pPr>
              <w:spacing w:line="300" w:lineRule="exact"/>
              <w:jc w:val="center"/>
              <w:rPr>
                <w:rFonts w:ascii="方正书宋_GBK" w:hAnsi="Times New Roman" w:eastAsia="方正书宋_GBK" w:cs="Times New Roman"/>
                <w:b/>
                <w:sz w:val="20"/>
                <w:szCs w:val="20"/>
              </w:rPr>
            </w:pPr>
            <w:r>
              <w:rPr>
                <w:rFonts w:hint="eastAsia" w:ascii="方正书宋_GBK" w:hAnsi="Times New Roman" w:eastAsia="方正书宋_GBK" w:cs="Times New Roman"/>
                <w:b/>
                <w:sz w:val="20"/>
                <w:szCs w:val="20"/>
              </w:rPr>
              <w:t>一般公共预算拨款</w:t>
            </w:r>
          </w:p>
        </w:tc>
        <w:tc>
          <w:tcPr>
            <w:tcW w:w="986" w:type="dxa"/>
            <w:vAlign w:val="center"/>
          </w:tcPr>
          <w:p>
            <w:pPr>
              <w:spacing w:line="300" w:lineRule="exact"/>
              <w:jc w:val="center"/>
              <w:rPr>
                <w:rFonts w:ascii="方正书宋_GBK" w:hAnsi="Times New Roman" w:eastAsia="方正书宋_GBK" w:cs="Times New Roman"/>
                <w:b/>
                <w:sz w:val="20"/>
                <w:szCs w:val="20"/>
              </w:rPr>
            </w:pPr>
            <w:r>
              <w:rPr>
                <w:rFonts w:hint="eastAsia" w:ascii="方正书宋_GBK" w:hAnsi="Times New Roman" w:eastAsia="方正书宋_GBK" w:cs="Times New Roman"/>
                <w:b/>
                <w:sz w:val="20"/>
                <w:szCs w:val="20"/>
              </w:rPr>
              <w:t>基金预算拨款</w:t>
            </w:r>
          </w:p>
        </w:tc>
        <w:tc>
          <w:tcPr>
            <w:tcW w:w="986" w:type="dxa"/>
            <w:vAlign w:val="center"/>
          </w:tcPr>
          <w:p>
            <w:pPr>
              <w:spacing w:line="300" w:lineRule="exact"/>
              <w:jc w:val="center"/>
              <w:rPr>
                <w:rFonts w:ascii="方正书宋_GBK" w:hAnsi="Times New Roman" w:eastAsia="方正书宋_GBK" w:cs="Times New Roman"/>
                <w:b/>
                <w:sz w:val="20"/>
                <w:szCs w:val="20"/>
              </w:rPr>
            </w:pPr>
            <w:r>
              <w:rPr>
                <w:rFonts w:hint="eastAsia" w:ascii="方正书宋_GBK" w:hAnsi="Times New Roman" w:eastAsia="方正书宋_GBK" w:cs="Times New Roman"/>
                <w:b/>
                <w:sz w:val="20"/>
                <w:szCs w:val="20"/>
              </w:rPr>
              <w:t>国有资本经营预算拨款</w:t>
            </w:r>
          </w:p>
        </w:tc>
        <w:tc>
          <w:tcPr>
            <w:tcW w:w="986" w:type="dxa"/>
            <w:vAlign w:val="center"/>
          </w:tcPr>
          <w:p>
            <w:pPr>
              <w:spacing w:line="300" w:lineRule="exact"/>
              <w:jc w:val="center"/>
              <w:rPr>
                <w:rFonts w:ascii="方正书宋_GBK" w:hAnsi="Times New Roman" w:eastAsia="方正书宋_GBK" w:cs="Times New Roman"/>
                <w:b/>
                <w:sz w:val="20"/>
                <w:szCs w:val="20"/>
              </w:rPr>
            </w:pPr>
            <w:r>
              <w:rPr>
                <w:rFonts w:hint="eastAsia" w:ascii="方正书宋_GBK" w:hAnsi="Times New Roman" w:eastAsia="方正书宋_GBK" w:cs="Times New Roman"/>
                <w:b/>
                <w:sz w:val="20"/>
                <w:szCs w:val="20"/>
              </w:rPr>
              <w:t>财政专户核拨</w:t>
            </w:r>
          </w:p>
        </w:tc>
        <w:tc>
          <w:tcPr>
            <w:tcW w:w="986" w:type="dxa"/>
            <w:vAlign w:val="center"/>
          </w:tcPr>
          <w:p>
            <w:pPr>
              <w:spacing w:line="300" w:lineRule="exact"/>
              <w:jc w:val="center"/>
              <w:rPr>
                <w:rFonts w:ascii="方正书宋_GBK" w:hAnsi="Times New Roman" w:eastAsia="方正书宋_GBK" w:cs="Times New Roman"/>
                <w:b/>
                <w:sz w:val="20"/>
                <w:szCs w:val="20"/>
              </w:rPr>
            </w:pPr>
            <w:r>
              <w:rPr>
                <w:rFonts w:hint="eastAsia" w:ascii="方正书宋_GBK" w:hAnsi="Times New Roman" w:eastAsia="方正书宋_GBK" w:cs="Times New Roman"/>
                <w:b/>
                <w:sz w:val="20"/>
                <w:szCs w:val="20"/>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 w:type="dxa"/>
          <w:cantSplit/>
          <w:trHeight w:val="407" w:hRule="atLeast"/>
          <w:jc w:val="center"/>
        </w:trPr>
        <w:tc>
          <w:tcPr>
            <w:tcW w:w="1725" w:type="dxa"/>
            <w:vAlign w:val="center"/>
          </w:tcPr>
          <w:p>
            <w:pPr>
              <w:spacing w:line="300" w:lineRule="exact"/>
              <w:jc w:val="center"/>
              <w:rPr>
                <w:rFonts w:ascii="方正书宋_GBK" w:hAnsi="Times New Roman" w:eastAsia="方正书宋_GBK" w:cs="Times New Roman"/>
                <w:b/>
                <w:sz w:val="20"/>
                <w:szCs w:val="20"/>
              </w:rPr>
            </w:pPr>
            <w:r>
              <w:rPr>
                <w:rFonts w:hint="eastAsia" w:ascii="方正书宋_GBK" w:hAnsi="Times New Roman" w:eastAsia="方正书宋_GBK" w:cs="Times New Roman"/>
                <w:b/>
                <w:sz w:val="20"/>
                <w:szCs w:val="20"/>
              </w:rPr>
              <w:t>遵化市审计局小计</w:t>
            </w:r>
          </w:p>
        </w:tc>
        <w:tc>
          <w:tcPr>
            <w:tcW w:w="985" w:type="dxa"/>
            <w:vAlign w:val="center"/>
          </w:tcPr>
          <w:p>
            <w:pPr>
              <w:spacing w:line="300" w:lineRule="exact"/>
              <w:jc w:val="right"/>
              <w:rPr>
                <w:rFonts w:ascii="方正书宋_GBK" w:hAnsi="Times New Roman" w:eastAsia="方正书宋_GBK" w:cs="Times New Roman"/>
                <w:b/>
                <w:sz w:val="20"/>
                <w:szCs w:val="20"/>
              </w:rPr>
            </w:pPr>
          </w:p>
        </w:tc>
        <w:tc>
          <w:tcPr>
            <w:tcW w:w="1331" w:type="dxa"/>
            <w:vAlign w:val="center"/>
          </w:tcPr>
          <w:p>
            <w:pPr>
              <w:spacing w:line="300" w:lineRule="exact"/>
              <w:jc w:val="left"/>
              <w:rPr>
                <w:rFonts w:ascii="方正书宋_GBK" w:hAnsi="Times New Roman" w:eastAsia="方正书宋_GBK" w:cs="Times New Roman"/>
                <w:b/>
                <w:sz w:val="20"/>
                <w:szCs w:val="20"/>
              </w:rPr>
            </w:pPr>
          </w:p>
        </w:tc>
        <w:tc>
          <w:tcPr>
            <w:tcW w:w="1332" w:type="dxa"/>
            <w:vAlign w:val="center"/>
          </w:tcPr>
          <w:p>
            <w:pPr>
              <w:spacing w:line="300" w:lineRule="exact"/>
              <w:jc w:val="left"/>
              <w:rPr>
                <w:rFonts w:ascii="方正书宋_GBK" w:hAnsi="Times New Roman" w:eastAsia="方正书宋_GBK" w:cs="Times New Roman"/>
                <w:b/>
                <w:sz w:val="20"/>
                <w:szCs w:val="20"/>
              </w:rPr>
            </w:pPr>
          </w:p>
        </w:tc>
        <w:tc>
          <w:tcPr>
            <w:tcW w:w="616" w:type="dxa"/>
            <w:vAlign w:val="center"/>
          </w:tcPr>
          <w:p>
            <w:pPr>
              <w:spacing w:line="300" w:lineRule="exact"/>
              <w:jc w:val="center"/>
              <w:rPr>
                <w:rFonts w:ascii="方正书宋_GBK" w:hAnsi="Times New Roman" w:eastAsia="方正书宋_GBK" w:cs="Times New Roman"/>
                <w:b/>
                <w:sz w:val="20"/>
                <w:szCs w:val="20"/>
              </w:rPr>
            </w:pPr>
          </w:p>
        </w:tc>
        <w:tc>
          <w:tcPr>
            <w:tcW w:w="789" w:type="dxa"/>
            <w:vAlign w:val="center"/>
          </w:tcPr>
          <w:p>
            <w:pPr>
              <w:spacing w:line="300" w:lineRule="exact"/>
              <w:jc w:val="right"/>
              <w:rPr>
                <w:rFonts w:ascii="方正书宋_GBK" w:hAnsi="Times New Roman" w:eastAsia="方正书宋_GBK" w:cs="Times New Roman"/>
                <w:b/>
                <w:sz w:val="20"/>
                <w:szCs w:val="20"/>
              </w:rPr>
            </w:pPr>
          </w:p>
        </w:tc>
        <w:tc>
          <w:tcPr>
            <w:tcW w:w="793" w:type="dxa"/>
            <w:vAlign w:val="center"/>
          </w:tcPr>
          <w:p>
            <w:pPr>
              <w:spacing w:line="300" w:lineRule="exact"/>
              <w:jc w:val="right"/>
              <w:rPr>
                <w:rFonts w:ascii="方正书宋_GBK" w:hAnsi="Times New Roman" w:eastAsia="方正书宋_GBK" w:cs="Times New Roman"/>
                <w:b/>
                <w:sz w:val="20"/>
                <w:szCs w:val="20"/>
              </w:rPr>
            </w:pPr>
          </w:p>
        </w:tc>
        <w:tc>
          <w:tcPr>
            <w:tcW w:w="986" w:type="dxa"/>
            <w:vAlign w:val="center"/>
          </w:tcPr>
          <w:p>
            <w:pPr>
              <w:spacing w:line="300" w:lineRule="exact"/>
              <w:jc w:val="right"/>
              <w:rPr>
                <w:rFonts w:ascii="方正书宋_GBK" w:hAnsi="Times New Roman" w:eastAsia="方正书宋_GBK" w:cs="Times New Roman"/>
                <w:b/>
                <w:sz w:val="20"/>
                <w:szCs w:val="20"/>
              </w:rPr>
            </w:pPr>
            <w:r>
              <w:rPr>
                <w:rFonts w:ascii="方正书宋_GBK" w:hAnsi="Times New Roman" w:eastAsia="方正书宋_GBK" w:cs="Times New Roman"/>
                <w:b/>
                <w:sz w:val="20"/>
                <w:szCs w:val="20"/>
              </w:rPr>
              <w:t>13.5</w:t>
            </w:r>
          </w:p>
        </w:tc>
        <w:tc>
          <w:tcPr>
            <w:tcW w:w="986" w:type="dxa"/>
            <w:vAlign w:val="center"/>
          </w:tcPr>
          <w:p>
            <w:pPr>
              <w:spacing w:line="300" w:lineRule="exact"/>
              <w:jc w:val="right"/>
              <w:rPr>
                <w:rFonts w:ascii="方正书宋_GBK" w:hAnsi="Times New Roman" w:eastAsia="方正书宋_GBK" w:cs="Times New Roman"/>
                <w:b/>
                <w:sz w:val="20"/>
                <w:szCs w:val="20"/>
              </w:rPr>
            </w:pPr>
            <w:r>
              <w:rPr>
                <w:rFonts w:ascii="方正书宋_GBK" w:hAnsi="Times New Roman" w:eastAsia="方正书宋_GBK" w:cs="Times New Roman"/>
                <w:b/>
                <w:sz w:val="20"/>
                <w:szCs w:val="20"/>
              </w:rPr>
              <w:t>13.5</w:t>
            </w:r>
          </w:p>
        </w:tc>
        <w:tc>
          <w:tcPr>
            <w:tcW w:w="986" w:type="dxa"/>
            <w:vAlign w:val="center"/>
          </w:tcPr>
          <w:p>
            <w:pPr>
              <w:spacing w:line="300" w:lineRule="exact"/>
              <w:jc w:val="right"/>
              <w:rPr>
                <w:rFonts w:ascii="方正书宋_GBK" w:hAnsi="Times New Roman" w:eastAsia="方正书宋_GBK" w:cs="Times New Roman"/>
                <w:b/>
                <w:sz w:val="20"/>
                <w:szCs w:val="20"/>
              </w:rPr>
            </w:pPr>
          </w:p>
        </w:tc>
        <w:tc>
          <w:tcPr>
            <w:tcW w:w="986" w:type="dxa"/>
            <w:vAlign w:val="center"/>
          </w:tcPr>
          <w:p>
            <w:pPr>
              <w:spacing w:line="300" w:lineRule="exact"/>
              <w:jc w:val="right"/>
              <w:rPr>
                <w:rFonts w:ascii="方正书宋_GBK" w:hAnsi="Times New Roman" w:eastAsia="方正书宋_GBK" w:cs="Times New Roman"/>
                <w:b/>
                <w:sz w:val="20"/>
                <w:szCs w:val="20"/>
              </w:rPr>
            </w:pPr>
          </w:p>
        </w:tc>
        <w:tc>
          <w:tcPr>
            <w:tcW w:w="986" w:type="dxa"/>
            <w:vAlign w:val="center"/>
          </w:tcPr>
          <w:p>
            <w:pPr>
              <w:spacing w:line="300" w:lineRule="exact"/>
              <w:jc w:val="right"/>
              <w:rPr>
                <w:rFonts w:ascii="方正书宋_GBK" w:hAnsi="Times New Roman" w:eastAsia="方正书宋_GBK" w:cs="Times New Roman"/>
                <w:b/>
                <w:sz w:val="20"/>
                <w:szCs w:val="20"/>
              </w:rPr>
            </w:pPr>
          </w:p>
        </w:tc>
        <w:tc>
          <w:tcPr>
            <w:tcW w:w="986" w:type="dxa"/>
            <w:vAlign w:val="center"/>
          </w:tcPr>
          <w:p>
            <w:pPr>
              <w:spacing w:line="300" w:lineRule="exact"/>
              <w:jc w:val="right"/>
              <w:rPr>
                <w:rFonts w:ascii="方正书宋_GBK" w:hAnsi="Times New Roman" w:eastAsia="方正书宋_GBK" w:cs="Times New Roman"/>
                <w:b/>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 w:type="dxa"/>
          <w:cantSplit/>
          <w:trHeight w:val="791" w:hRule="atLeast"/>
          <w:jc w:val="center"/>
        </w:trPr>
        <w:tc>
          <w:tcPr>
            <w:tcW w:w="1725" w:type="dxa"/>
            <w:vAlign w:val="center"/>
          </w:tcPr>
          <w:p>
            <w:pPr>
              <w:spacing w:line="300" w:lineRule="exact"/>
              <w:jc w:val="lef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审计局各类审计项目专项经费</w:t>
            </w:r>
          </w:p>
        </w:tc>
        <w:tc>
          <w:tcPr>
            <w:tcW w:w="985"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8</w:t>
            </w:r>
            <w:r>
              <w:rPr>
                <w:rFonts w:ascii="方正书宋_GBK" w:hAnsi="Times New Roman" w:eastAsia="方正书宋_GBK" w:cs="Times New Roman"/>
                <w:sz w:val="20"/>
                <w:szCs w:val="20"/>
              </w:rPr>
              <w:t>0</w:t>
            </w:r>
          </w:p>
        </w:tc>
        <w:tc>
          <w:tcPr>
            <w:tcW w:w="1331" w:type="dxa"/>
            <w:vAlign w:val="center"/>
          </w:tcPr>
          <w:p>
            <w:pPr>
              <w:spacing w:line="300" w:lineRule="exact"/>
              <w:jc w:val="lef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笔记本电脑</w:t>
            </w:r>
          </w:p>
        </w:tc>
        <w:tc>
          <w:tcPr>
            <w:tcW w:w="1332" w:type="dxa"/>
            <w:vAlign w:val="center"/>
          </w:tcPr>
          <w:p>
            <w:pPr>
              <w:spacing w:line="300" w:lineRule="exact"/>
              <w:jc w:val="left"/>
              <w:rPr>
                <w:rFonts w:ascii="方正书宋_GBK" w:hAnsi="Times New Roman" w:eastAsia="方正书宋_GBK" w:cs="Times New Roman"/>
                <w:sz w:val="20"/>
                <w:szCs w:val="20"/>
              </w:rPr>
            </w:pPr>
          </w:p>
        </w:tc>
        <w:tc>
          <w:tcPr>
            <w:tcW w:w="616" w:type="dxa"/>
            <w:vAlign w:val="center"/>
          </w:tcPr>
          <w:p>
            <w:pPr>
              <w:spacing w:line="300" w:lineRule="exact"/>
              <w:jc w:val="center"/>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台</w:t>
            </w:r>
          </w:p>
        </w:tc>
        <w:tc>
          <w:tcPr>
            <w:tcW w:w="789"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13</w:t>
            </w:r>
          </w:p>
        </w:tc>
        <w:tc>
          <w:tcPr>
            <w:tcW w:w="793"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 xml:space="preserve">0.60 </w:t>
            </w:r>
          </w:p>
        </w:tc>
        <w:tc>
          <w:tcPr>
            <w:tcW w:w="986"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 xml:space="preserve">7.80 </w:t>
            </w:r>
          </w:p>
        </w:tc>
        <w:tc>
          <w:tcPr>
            <w:tcW w:w="986"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 xml:space="preserve">7.80 </w:t>
            </w:r>
          </w:p>
        </w:tc>
        <w:tc>
          <w:tcPr>
            <w:tcW w:w="986" w:type="dxa"/>
            <w:vAlign w:val="center"/>
          </w:tcPr>
          <w:p>
            <w:pPr>
              <w:spacing w:line="300" w:lineRule="exact"/>
              <w:jc w:val="right"/>
              <w:rPr>
                <w:rFonts w:ascii="方正书宋_GBK" w:hAnsi="Times New Roman" w:eastAsia="方正书宋_GBK" w:cs="Times New Roman"/>
                <w:sz w:val="20"/>
                <w:szCs w:val="20"/>
              </w:rPr>
            </w:pPr>
          </w:p>
        </w:tc>
        <w:tc>
          <w:tcPr>
            <w:tcW w:w="986" w:type="dxa"/>
            <w:vAlign w:val="center"/>
          </w:tcPr>
          <w:p>
            <w:pPr>
              <w:spacing w:line="300" w:lineRule="exact"/>
              <w:jc w:val="right"/>
              <w:rPr>
                <w:rFonts w:ascii="方正书宋_GBK" w:hAnsi="Times New Roman" w:eastAsia="方正书宋_GBK" w:cs="Times New Roman"/>
                <w:sz w:val="20"/>
                <w:szCs w:val="20"/>
              </w:rPr>
            </w:pPr>
          </w:p>
        </w:tc>
        <w:tc>
          <w:tcPr>
            <w:tcW w:w="986" w:type="dxa"/>
            <w:vAlign w:val="center"/>
          </w:tcPr>
          <w:p>
            <w:pPr>
              <w:spacing w:line="300" w:lineRule="exact"/>
              <w:jc w:val="right"/>
              <w:rPr>
                <w:rFonts w:ascii="方正书宋_GBK" w:hAnsi="Times New Roman" w:eastAsia="方正书宋_GBK" w:cs="Times New Roman"/>
                <w:sz w:val="20"/>
                <w:szCs w:val="20"/>
              </w:rPr>
            </w:pPr>
          </w:p>
        </w:tc>
        <w:tc>
          <w:tcPr>
            <w:tcW w:w="986" w:type="dxa"/>
            <w:vAlign w:val="center"/>
          </w:tcPr>
          <w:p>
            <w:pPr>
              <w:spacing w:line="300" w:lineRule="exact"/>
              <w:jc w:val="right"/>
              <w:rPr>
                <w:rFonts w:ascii="方正书宋_GBK" w:hAnsi="Times New Roman" w:eastAsia="方正书宋_GBK" w:cs="Times New Roman"/>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 w:type="dxa"/>
          <w:cantSplit/>
          <w:trHeight w:val="791" w:hRule="atLeast"/>
          <w:jc w:val="center"/>
        </w:trPr>
        <w:tc>
          <w:tcPr>
            <w:tcW w:w="1725" w:type="dxa"/>
            <w:vAlign w:val="center"/>
          </w:tcPr>
          <w:p>
            <w:pPr>
              <w:spacing w:line="300" w:lineRule="exact"/>
              <w:jc w:val="lef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审计局各类审计项目专项经费</w:t>
            </w:r>
          </w:p>
        </w:tc>
        <w:tc>
          <w:tcPr>
            <w:tcW w:w="985"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8</w:t>
            </w:r>
            <w:r>
              <w:rPr>
                <w:rFonts w:ascii="方正书宋_GBK" w:hAnsi="Times New Roman" w:eastAsia="方正书宋_GBK" w:cs="Times New Roman"/>
                <w:sz w:val="20"/>
                <w:szCs w:val="20"/>
              </w:rPr>
              <w:t>0</w:t>
            </w:r>
          </w:p>
        </w:tc>
        <w:tc>
          <w:tcPr>
            <w:tcW w:w="1331" w:type="dxa"/>
            <w:vAlign w:val="center"/>
          </w:tcPr>
          <w:p>
            <w:pPr>
              <w:spacing w:line="300" w:lineRule="exact"/>
              <w:jc w:val="lef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台式计算机</w:t>
            </w:r>
          </w:p>
        </w:tc>
        <w:tc>
          <w:tcPr>
            <w:tcW w:w="1332" w:type="dxa"/>
            <w:vAlign w:val="center"/>
          </w:tcPr>
          <w:p>
            <w:pPr>
              <w:spacing w:line="300" w:lineRule="exact"/>
              <w:jc w:val="left"/>
              <w:rPr>
                <w:rFonts w:ascii="方正书宋_GBK" w:hAnsi="Times New Roman" w:eastAsia="方正书宋_GBK" w:cs="Times New Roman"/>
                <w:sz w:val="20"/>
                <w:szCs w:val="20"/>
              </w:rPr>
            </w:pPr>
          </w:p>
        </w:tc>
        <w:tc>
          <w:tcPr>
            <w:tcW w:w="616" w:type="dxa"/>
            <w:vAlign w:val="center"/>
          </w:tcPr>
          <w:p>
            <w:pPr>
              <w:spacing w:line="300" w:lineRule="exact"/>
              <w:jc w:val="center"/>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台</w:t>
            </w:r>
          </w:p>
        </w:tc>
        <w:tc>
          <w:tcPr>
            <w:tcW w:w="789"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1</w:t>
            </w:r>
          </w:p>
        </w:tc>
        <w:tc>
          <w:tcPr>
            <w:tcW w:w="793"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 xml:space="preserve">0.45 </w:t>
            </w:r>
          </w:p>
        </w:tc>
        <w:tc>
          <w:tcPr>
            <w:tcW w:w="986"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 xml:space="preserve">0.45 </w:t>
            </w:r>
          </w:p>
        </w:tc>
        <w:tc>
          <w:tcPr>
            <w:tcW w:w="986"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 xml:space="preserve">0.45 </w:t>
            </w:r>
          </w:p>
        </w:tc>
        <w:tc>
          <w:tcPr>
            <w:tcW w:w="986" w:type="dxa"/>
            <w:vAlign w:val="center"/>
          </w:tcPr>
          <w:p>
            <w:pPr>
              <w:spacing w:line="300" w:lineRule="exact"/>
              <w:jc w:val="right"/>
              <w:rPr>
                <w:rFonts w:ascii="方正书宋_GBK" w:hAnsi="Times New Roman" w:eastAsia="方正书宋_GBK" w:cs="Times New Roman"/>
                <w:sz w:val="20"/>
                <w:szCs w:val="20"/>
              </w:rPr>
            </w:pPr>
          </w:p>
        </w:tc>
        <w:tc>
          <w:tcPr>
            <w:tcW w:w="986" w:type="dxa"/>
            <w:vAlign w:val="center"/>
          </w:tcPr>
          <w:p>
            <w:pPr>
              <w:spacing w:line="300" w:lineRule="exact"/>
              <w:jc w:val="right"/>
              <w:rPr>
                <w:rFonts w:ascii="方正书宋_GBK" w:hAnsi="Times New Roman" w:eastAsia="方正书宋_GBK" w:cs="Times New Roman"/>
                <w:sz w:val="20"/>
                <w:szCs w:val="20"/>
              </w:rPr>
            </w:pPr>
          </w:p>
        </w:tc>
        <w:tc>
          <w:tcPr>
            <w:tcW w:w="986" w:type="dxa"/>
            <w:vAlign w:val="center"/>
          </w:tcPr>
          <w:p>
            <w:pPr>
              <w:spacing w:line="300" w:lineRule="exact"/>
              <w:jc w:val="right"/>
              <w:rPr>
                <w:rFonts w:ascii="方正书宋_GBK" w:hAnsi="Times New Roman" w:eastAsia="方正书宋_GBK" w:cs="Times New Roman"/>
                <w:sz w:val="20"/>
                <w:szCs w:val="20"/>
              </w:rPr>
            </w:pPr>
          </w:p>
        </w:tc>
        <w:tc>
          <w:tcPr>
            <w:tcW w:w="986" w:type="dxa"/>
            <w:vAlign w:val="center"/>
          </w:tcPr>
          <w:p>
            <w:pPr>
              <w:spacing w:line="300" w:lineRule="exact"/>
              <w:jc w:val="right"/>
              <w:rPr>
                <w:rFonts w:ascii="方正书宋_GBK" w:hAnsi="Times New Roman" w:eastAsia="方正书宋_GBK" w:cs="Times New Roman"/>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 w:type="dxa"/>
          <w:cantSplit/>
          <w:trHeight w:val="791" w:hRule="atLeast"/>
          <w:jc w:val="center"/>
        </w:trPr>
        <w:tc>
          <w:tcPr>
            <w:tcW w:w="1725" w:type="dxa"/>
            <w:vAlign w:val="center"/>
          </w:tcPr>
          <w:p>
            <w:pPr>
              <w:spacing w:line="300" w:lineRule="exact"/>
              <w:jc w:val="lef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审计局各类审计项目专项经费</w:t>
            </w:r>
          </w:p>
        </w:tc>
        <w:tc>
          <w:tcPr>
            <w:tcW w:w="985" w:type="dxa"/>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8</w:t>
            </w:r>
            <w:r>
              <w:rPr>
                <w:rFonts w:ascii="方正书宋_GBK" w:hAnsi="Times New Roman" w:eastAsia="方正书宋_GBK" w:cs="Times New Roman"/>
                <w:sz w:val="20"/>
                <w:szCs w:val="20"/>
              </w:rPr>
              <w:t>0</w:t>
            </w:r>
          </w:p>
        </w:tc>
        <w:tc>
          <w:tcPr>
            <w:tcW w:w="1331" w:type="dxa"/>
            <w:vAlign w:val="center"/>
          </w:tcPr>
          <w:p>
            <w:pPr>
              <w:spacing w:line="300" w:lineRule="exact"/>
              <w:jc w:val="lef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办公桌椅</w:t>
            </w:r>
          </w:p>
        </w:tc>
        <w:tc>
          <w:tcPr>
            <w:tcW w:w="1332" w:type="dxa"/>
            <w:vAlign w:val="center"/>
          </w:tcPr>
          <w:p>
            <w:pPr>
              <w:spacing w:line="300" w:lineRule="exact"/>
              <w:jc w:val="left"/>
              <w:rPr>
                <w:rFonts w:ascii="方正书宋_GBK" w:hAnsi="Times New Roman" w:eastAsia="方正书宋_GBK" w:cs="Times New Roman"/>
                <w:sz w:val="20"/>
                <w:szCs w:val="20"/>
              </w:rPr>
            </w:pPr>
          </w:p>
        </w:tc>
        <w:tc>
          <w:tcPr>
            <w:tcW w:w="616" w:type="dxa"/>
            <w:vAlign w:val="center"/>
          </w:tcPr>
          <w:p>
            <w:pPr>
              <w:spacing w:line="300" w:lineRule="exact"/>
              <w:jc w:val="center"/>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套</w:t>
            </w:r>
          </w:p>
        </w:tc>
        <w:tc>
          <w:tcPr>
            <w:tcW w:w="789"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5</w:t>
            </w:r>
          </w:p>
        </w:tc>
        <w:tc>
          <w:tcPr>
            <w:tcW w:w="793"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 xml:space="preserve">0.15 </w:t>
            </w:r>
          </w:p>
        </w:tc>
        <w:tc>
          <w:tcPr>
            <w:tcW w:w="986"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 xml:space="preserve">0.75 </w:t>
            </w:r>
          </w:p>
        </w:tc>
        <w:tc>
          <w:tcPr>
            <w:tcW w:w="986"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 xml:space="preserve">0.75 </w:t>
            </w:r>
          </w:p>
        </w:tc>
        <w:tc>
          <w:tcPr>
            <w:tcW w:w="986" w:type="dxa"/>
            <w:vAlign w:val="center"/>
          </w:tcPr>
          <w:p>
            <w:pPr>
              <w:spacing w:line="300" w:lineRule="exact"/>
              <w:jc w:val="right"/>
              <w:rPr>
                <w:rFonts w:ascii="方正书宋_GBK" w:hAnsi="Times New Roman" w:eastAsia="方正书宋_GBK" w:cs="Times New Roman"/>
                <w:sz w:val="20"/>
                <w:szCs w:val="20"/>
              </w:rPr>
            </w:pPr>
          </w:p>
        </w:tc>
        <w:tc>
          <w:tcPr>
            <w:tcW w:w="986" w:type="dxa"/>
            <w:vAlign w:val="center"/>
          </w:tcPr>
          <w:p>
            <w:pPr>
              <w:spacing w:line="300" w:lineRule="exact"/>
              <w:jc w:val="right"/>
              <w:rPr>
                <w:rFonts w:ascii="方正书宋_GBK" w:hAnsi="Times New Roman" w:eastAsia="方正书宋_GBK" w:cs="Times New Roman"/>
                <w:sz w:val="20"/>
                <w:szCs w:val="20"/>
              </w:rPr>
            </w:pPr>
          </w:p>
        </w:tc>
        <w:tc>
          <w:tcPr>
            <w:tcW w:w="986" w:type="dxa"/>
            <w:vAlign w:val="center"/>
          </w:tcPr>
          <w:p>
            <w:pPr>
              <w:spacing w:line="300" w:lineRule="exact"/>
              <w:jc w:val="right"/>
              <w:rPr>
                <w:rFonts w:ascii="方正书宋_GBK" w:hAnsi="Times New Roman" w:eastAsia="方正书宋_GBK" w:cs="Times New Roman"/>
                <w:sz w:val="20"/>
                <w:szCs w:val="20"/>
              </w:rPr>
            </w:pPr>
          </w:p>
        </w:tc>
        <w:tc>
          <w:tcPr>
            <w:tcW w:w="986" w:type="dxa"/>
            <w:vAlign w:val="center"/>
          </w:tcPr>
          <w:p>
            <w:pPr>
              <w:spacing w:line="300" w:lineRule="exact"/>
              <w:jc w:val="right"/>
              <w:rPr>
                <w:rFonts w:ascii="方正书宋_GBK" w:hAnsi="Times New Roman" w:eastAsia="方正书宋_GBK" w:cs="Times New Roman"/>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 w:type="dxa"/>
          <w:cantSplit/>
          <w:trHeight w:val="791" w:hRule="atLeast"/>
          <w:jc w:val="center"/>
        </w:trPr>
        <w:tc>
          <w:tcPr>
            <w:tcW w:w="1725" w:type="dxa"/>
            <w:vAlign w:val="center"/>
          </w:tcPr>
          <w:p>
            <w:pPr>
              <w:spacing w:line="300" w:lineRule="exact"/>
              <w:jc w:val="lef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审计局各类审计项目专项经费</w:t>
            </w:r>
          </w:p>
        </w:tc>
        <w:tc>
          <w:tcPr>
            <w:tcW w:w="985" w:type="dxa"/>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8</w:t>
            </w:r>
            <w:r>
              <w:rPr>
                <w:rFonts w:ascii="方正书宋_GBK" w:hAnsi="Times New Roman" w:eastAsia="方正书宋_GBK" w:cs="Times New Roman"/>
                <w:sz w:val="20"/>
                <w:szCs w:val="20"/>
              </w:rPr>
              <w:t>0</w:t>
            </w:r>
          </w:p>
        </w:tc>
        <w:tc>
          <w:tcPr>
            <w:tcW w:w="1331" w:type="dxa"/>
            <w:vAlign w:val="center"/>
          </w:tcPr>
          <w:p>
            <w:pPr>
              <w:spacing w:line="300" w:lineRule="exact"/>
              <w:jc w:val="lef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摄像机</w:t>
            </w:r>
          </w:p>
        </w:tc>
        <w:tc>
          <w:tcPr>
            <w:tcW w:w="1332" w:type="dxa"/>
            <w:vAlign w:val="center"/>
          </w:tcPr>
          <w:p>
            <w:pPr>
              <w:spacing w:line="300" w:lineRule="exact"/>
              <w:jc w:val="left"/>
              <w:rPr>
                <w:rFonts w:ascii="方正书宋_GBK" w:hAnsi="Times New Roman" w:eastAsia="方正书宋_GBK" w:cs="Times New Roman"/>
                <w:sz w:val="20"/>
                <w:szCs w:val="20"/>
              </w:rPr>
            </w:pPr>
          </w:p>
        </w:tc>
        <w:tc>
          <w:tcPr>
            <w:tcW w:w="616" w:type="dxa"/>
            <w:vAlign w:val="center"/>
          </w:tcPr>
          <w:p>
            <w:pPr>
              <w:spacing w:line="300" w:lineRule="exact"/>
              <w:jc w:val="center"/>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台</w:t>
            </w:r>
          </w:p>
        </w:tc>
        <w:tc>
          <w:tcPr>
            <w:tcW w:w="789"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1</w:t>
            </w:r>
          </w:p>
        </w:tc>
        <w:tc>
          <w:tcPr>
            <w:tcW w:w="793"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 xml:space="preserve">0.50 </w:t>
            </w:r>
          </w:p>
        </w:tc>
        <w:tc>
          <w:tcPr>
            <w:tcW w:w="986"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 xml:space="preserve">0.50 </w:t>
            </w:r>
          </w:p>
        </w:tc>
        <w:tc>
          <w:tcPr>
            <w:tcW w:w="986"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 xml:space="preserve">0.50 </w:t>
            </w:r>
          </w:p>
        </w:tc>
        <w:tc>
          <w:tcPr>
            <w:tcW w:w="986" w:type="dxa"/>
            <w:vAlign w:val="center"/>
          </w:tcPr>
          <w:p>
            <w:pPr>
              <w:spacing w:line="300" w:lineRule="exact"/>
              <w:jc w:val="right"/>
              <w:rPr>
                <w:rFonts w:ascii="方正书宋_GBK" w:hAnsi="Times New Roman" w:eastAsia="方正书宋_GBK" w:cs="Times New Roman"/>
                <w:sz w:val="20"/>
                <w:szCs w:val="20"/>
              </w:rPr>
            </w:pPr>
          </w:p>
        </w:tc>
        <w:tc>
          <w:tcPr>
            <w:tcW w:w="986" w:type="dxa"/>
            <w:vAlign w:val="center"/>
          </w:tcPr>
          <w:p>
            <w:pPr>
              <w:spacing w:line="300" w:lineRule="exact"/>
              <w:jc w:val="right"/>
              <w:rPr>
                <w:rFonts w:ascii="方正书宋_GBK" w:hAnsi="Times New Roman" w:eastAsia="方正书宋_GBK" w:cs="Times New Roman"/>
                <w:sz w:val="20"/>
                <w:szCs w:val="20"/>
              </w:rPr>
            </w:pPr>
          </w:p>
        </w:tc>
        <w:tc>
          <w:tcPr>
            <w:tcW w:w="986" w:type="dxa"/>
            <w:vAlign w:val="center"/>
          </w:tcPr>
          <w:p>
            <w:pPr>
              <w:spacing w:line="300" w:lineRule="exact"/>
              <w:jc w:val="right"/>
              <w:rPr>
                <w:rFonts w:ascii="方正书宋_GBK" w:hAnsi="Times New Roman" w:eastAsia="方正书宋_GBK" w:cs="Times New Roman"/>
                <w:sz w:val="20"/>
                <w:szCs w:val="20"/>
              </w:rPr>
            </w:pPr>
          </w:p>
        </w:tc>
        <w:tc>
          <w:tcPr>
            <w:tcW w:w="986" w:type="dxa"/>
            <w:vAlign w:val="center"/>
          </w:tcPr>
          <w:p>
            <w:pPr>
              <w:spacing w:line="300" w:lineRule="exact"/>
              <w:jc w:val="right"/>
              <w:rPr>
                <w:rFonts w:ascii="方正书宋_GBK" w:hAnsi="Times New Roman" w:eastAsia="方正书宋_GBK" w:cs="Times New Roman"/>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 w:type="dxa"/>
          <w:cantSplit/>
          <w:trHeight w:val="791" w:hRule="atLeast"/>
          <w:jc w:val="center"/>
        </w:trPr>
        <w:tc>
          <w:tcPr>
            <w:tcW w:w="1725" w:type="dxa"/>
            <w:vAlign w:val="center"/>
          </w:tcPr>
          <w:p>
            <w:pPr>
              <w:spacing w:line="300" w:lineRule="exact"/>
              <w:jc w:val="lef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审计局各类审计项目专项经费</w:t>
            </w:r>
          </w:p>
        </w:tc>
        <w:tc>
          <w:tcPr>
            <w:tcW w:w="985" w:type="dxa"/>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8</w:t>
            </w:r>
            <w:r>
              <w:rPr>
                <w:rFonts w:ascii="方正书宋_GBK" w:hAnsi="Times New Roman" w:eastAsia="方正书宋_GBK" w:cs="Times New Roman"/>
                <w:sz w:val="20"/>
                <w:szCs w:val="20"/>
              </w:rPr>
              <w:t>0</w:t>
            </w:r>
          </w:p>
        </w:tc>
        <w:tc>
          <w:tcPr>
            <w:tcW w:w="1331" w:type="dxa"/>
            <w:vAlign w:val="center"/>
          </w:tcPr>
          <w:p>
            <w:pPr>
              <w:spacing w:line="300" w:lineRule="exact"/>
              <w:jc w:val="lef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人脸识别门禁一体机</w:t>
            </w:r>
          </w:p>
        </w:tc>
        <w:tc>
          <w:tcPr>
            <w:tcW w:w="1332" w:type="dxa"/>
            <w:vAlign w:val="center"/>
          </w:tcPr>
          <w:p>
            <w:pPr>
              <w:spacing w:line="300" w:lineRule="exact"/>
              <w:jc w:val="left"/>
              <w:rPr>
                <w:rFonts w:ascii="方正书宋_GBK" w:hAnsi="Times New Roman" w:eastAsia="方正书宋_GBK" w:cs="Times New Roman"/>
                <w:sz w:val="20"/>
                <w:szCs w:val="20"/>
              </w:rPr>
            </w:pPr>
          </w:p>
        </w:tc>
        <w:tc>
          <w:tcPr>
            <w:tcW w:w="616" w:type="dxa"/>
            <w:vAlign w:val="center"/>
          </w:tcPr>
          <w:p>
            <w:pPr>
              <w:spacing w:line="300" w:lineRule="exact"/>
              <w:jc w:val="center"/>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台</w:t>
            </w:r>
          </w:p>
        </w:tc>
        <w:tc>
          <w:tcPr>
            <w:tcW w:w="789"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1</w:t>
            </w:r>
          </w:p>
        </w:tc>
        <w:tc>
          <w:tcPr>
            <w:tcW w:w="793"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 xml:space="preserve">0.50 </w:t>
            </w:r>
          </w:p>
        </w:tc>
        <w:tc>
          <w:tcPr>
            <w:tcW w:w="986"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 xml:space="preserve">0.50 </w:t>
            </w:r>
          </w:p>
        </w:tc>
        <w:tc>
          <w:tcPr>
            <w:tcW w:w="986"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 xml:space="preserve">0.50 </w:t>
            </w:r>
          </w:p>
        </w:tc>
        <w:tc>
          <w:tcPr>
            <w:tcW w:w="986" w:type="dxa"/>
            <w:vAlign w:val="center"/>
          </w:tcPr>
          <w:p>
            <w:pPr>
              <w:spacing w:line="300" w:lineRule="exact"/>
              <w:jc w:val="right"/>
              <w:rPr>
                <w:rFonts w:ascii="方正书宋_GBK" w:hAnsi="Times New Roman" w:eastAsia="方正书宋_GBK" w:cs="Times New Roman"/>
                <w:sz w:val="20"/>
                <w:szCs w:val="20"/>
              </w:rPr>
            </w:pPr>
          </w:p>
        </w:tc>
        <w:tc>
          <w:tcPr>
            <w:tcW w:w="986" w:type="dxa"/>
            <w:vAlign w:val="center"/>
          </w:tcPr>
          <w:p>
            <w:pPr>
              <w:spacing w:line="300" w:lineRule="exact"/>
              <w:jc w:val="right"/>
              <w:rPr>
                <w:rFonts w:ascii="方正书宋_GBK" w:hAnsi="Times New Roman" w:eastAsia="方正书宋_GBK" w:cs="Times New Roman"/>
                <w:sz w:val="20"/>
                <w:szCs w:val="20"/>
              </w:rPr>
            </w:pPr>
          </w:p>
        </w:tc>
        <w:tc>
          <w:tcPr>
            <w:tcW w:w="986" w:type="dxa"/>
            <w:vAlign w:val="center"/>
          </w:tcPr>
          <w:p>
            <w:pPr>
              <w:spacing w:line="300" w:lineRule="exact"/>
              <w:jc w:val="right"/>
              <w:rPr>
                <w:rFonts w:ascii="方正书宋_GBK" w:hAnsi="Times New Roman" w:eastAsia="方正书宋_GBK" w:cs="Times New Roman"/>
                <w:sz w:val="20"/>
                <w:szCs w:val="20"/>
              </w:rPr>
            </w:pPr>
          </w:p>
        </w:tc>
        <w:tc>
          <w:tcPr>
            <w:tcW w:w="986" w:type="dxa"/>
            <w:vAlign w:val="center"/>
          </w:tcPr>
          <w:p>
            <w:pPr>
              <w:spacing w:line="300" w:lineRule="exact"/>
              <w:jc w:val="right"/>
              <w:rPr>
                <w:rFonts w:ascii="方正书宋_GBK" w:hAnsi="Times New Roman" w:eastAsia="方正书宋_GBK" w:cs="Times New Roman"/>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 w:type="dxa"/>
          <w:cantSplit/>
          <w:trHeight w:val="791" w:hRule="atLeast"/>
          <w:jc w:val="center"/>
        </w:trPr>
        <w:tc>
          <w:tcPr>
            <w:tcW w:w="1725" w:type="dxa"/>
            <w:vAlign w:val="center"/>
          </w:tcPr>
          <w:p>
            <w:pPr>
              <w:spacing w:line="300" w:lineRule="exact"/>
              <w:jc w:val="lef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审计局各类审计项目专项经费</w:t>
            </w:r>
          </w:p>
        </w:tc>
        <w:tc>
          <w:tcPr>
            <w:tcW w:w="985" w:type="dxa"/>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8</w:t>
            </w:r>
            <w:r>
              <w:rPr>
                <w:rFonts w:ascii="方正书宋_GBK" w:hAnsi="Times New Roman" w:eastAsia="方正书宋_GBK" w:cs="Times New Roman"/>
                <w:sz w:val="20"/>
                <w:szCs w:val="20"/>
              </w:rPr>
              <w:t>0</w:t>
            </w:r>
          </w:p>
        </w:tc>
        <w:tc>
          <w:tcPr>
            <w:tcW w:w="1331" w:type="dxa"/>
            <w:vAlign w:val="center"/>
          </w:tcPr>
          <w:p>
            <w:pPr>
              <w:spacing w:line="300" w:lineRule="exact"/>
              <w:jc w:val="lef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复印打印一体机</w:t>
            </w:r>
          </w:p>
        </w:tc>
        <w:tc>
          <w:tcPr>
            <w:tcW w:w="1332" w:type="dxa"/>
            <w:vAlign w:val="center"/>
          </w:tcPr>
          <w:p>
            <w:pPr>
              <w:spacing w:line="300" w:lineRule="exact"/>
              <w:jc w:val="left"/>
              <w:rPr>
                <w:rFonts w:ascii="方正书宋_GBK" w:hAnsi="Times New Roman" w:eastAsia="方正书宋_GBK" w:cs="Times New Roman"/>
                <w:sz w:val="20"/>
                <w:szCs w:val="20"/>
              </w:rPr>
            </w:pPr>
          </w:p>
        </w:tc>
        <w:tc>
          <w:tcPr>
            <w:tcW w:w="616" w:type="dxa"/>
            <w:vAlign w:val="center"/>
          </w:tcPr>
          <w:p>
            <w:pPr>
              <w:spacing w:line="300" w:lineRule="exact"/>
              <w:jc w:val="center"/>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台</w:t>
            </w:r>
          </w:p>
        </w:tc>
        <w:tc>
          <w:tcPr>
            <w:tcW w:w="789"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1</w:t>
            </w:r>
          </w:p>
        </w:tc>
        <w:tc>
          <w:tcPr>
            <w:tcW w:w="793"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 xml:space="preserve">0.80 </w:t>
            </w:r>
          </w:p>
        </w:tc>
        <w:tc>
          <w:tcPr>
            <w:tcW w:w="986"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 xml:space="preserve">0.80 </w:t>
            </w:r>
          </w:p>
        </w:tc>
        <w:tc>
          <w:tcPr>
            <w:tcW w:w="986"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 xml:space="preserve">0.80 </w:t>
            </w:r>
          </w:p>
        </w:tc>
        <w:tc>
          <w:tcPr>
            <w:tcW w:w="986" w:type="dxa"/>
            <w:vAlign w:val="center"/>
          </w:tcPr>
          <w:p>
            <w:pPr>
              <w:spacing w:line="300" w:lineRule="exact"/>
              <w:jc w:val="right"/>
              <w:rPr>
                <w:rFonts w:ascii="方正书宋_GBK" w:hAnsi="Times New Roman" w:eastAsia="方正书宋_GBK" w:cs="Times New Roman"/>
                <w:sz w:val="20"/>
                <w:szCs w:val="20"/>
              </w:rPr>
            </w:pPr>
          </w:p>
        </w:tc>
        <w:tc>
          <w:tcPr>
            <w:tcW w:w="986" w:type="dxa"/>
            <w:vAlign w:val="center"/>
          </w:tcPr>
          <w:p>
            <w:pPr>
              <w:spacing w:line="300" w:lineRule="exact"/>
              <w:jc w:val="right"/>
              <w:rPr>
                <w:rFonts w:ascii="方正书宋_GBK" w:hAnsi="Times New Roman" w:eastAsia="方正书宋_GBK" w:cs="Times New Roman"/>
                <w:sz w:val="20"/>
                <w:szCs w:val="20"/>
              </w:rPr>
            </w:pPr>
          </w:p>
        </w:tc>
        <w:tc>
          <w:tcPr>
            <w:tcW w:w="986" w:type="dxa"/>
            <w:vAlign w:val="center"/>
          </w:tcPr>
          <w:p>
            <w:pPr>
              <w:spacing w:line="300" w:lineRule="exact"/>
              <w:jc w:val="right"/>
              <w:rPr>
                <w:rFonts w:ascii="方正书宋_GBK" w:hAnsi="Times New Roman" w:eastAsia="方正书宋_GBK" w:cs="Times New Roman"/>
                <w:sz w:val="20"/>
                <w:szCs w:val="20"/>
              </w:rPr>
            </w:pPr>
          </w:p>
        </w:tc>
        <w:tc>
          <w:tcPr>
            <w:tcW w:w="986" w:type="dxa"/>
            <w:vAlign w:val="center"/>
          </w:tcPr>
          <w:p>
            <w:pPr>
              <w:spacing w:line="300" w:lineRule="exact"/>
              <w:jc w:val="right"/>
              <w:rPr>
                <w:rFonts w:ascii="方正书宋_GBK" w:hAnsi="Times New Roman" w:eastAsia="方正书宋_GBK" w:cs="Times New Roman"/>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 w:type="dxa"/>
          <w:cantSplit/>
          <w:trHeight w:val="791" w:hRule="atLeast"/>
          <w:jc w:val="center"/>
        </w:trPr>
        <w:tc>
          <w:tcPr>
            <w:tcW w:w="1725" w:type="dxa"/>
            <w:vAlign w:val="center"/>
          </w:tcPr>
          <w:p>
            <w:pPr>
              <w:spacing w:line="300" w:lineRule="exact"/>
              <w:jc w:val="lef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日常公用经费</w:t>
            </w:r>
          </w:p>
        </w:tc>
        <w:tc>
          <w:tcPr>
            <w:tcW w:w="985" w:type="dxa"/>
            <w:vAlign w:val="center"/>
          </w:tcPr>
          <w:p>
            <w:pPr>
              <w:spacing w:line="300" w:lineRule="exact"/>
              <w:jc w:val="right"/>
              <w:rPr>
                <w:rFonts w:ascii="方正书宋_GBK" w:hAnsi="Times New Roman" w:eastAsia="方正书宋_GBK" w:cs="Times New Roman"/>
                <w:sz w:val="20"/>
                <w:szCs w:val="20"/>
              </w:rPr>
            </w:pPr>
            <w:r>
              <w:rPr>
                <w:rFonts w:ascii="方正书宋_GBK" w:hAnsi="Times New Roman" w:eastAsia="方正书宋_GBK" w:cs="Times New Roman"/>
                <w:sz w:val="20"/>
                <w:szCs w:val="20"/>
              </w:rPr>
              <w:t>18.09</w:t>
            </w:r>
          </w:p>
        </w:tc>
        <w:tc>
          <w:tcPr>
            <w:tcW w:w="1331" w:type="dxa"/>
            <w:vAlign w:val="center"/>
          </w:tcPr>
          <w:p>
            <w:pPr>
              <w:spacing w:line="300" w:lineRule="exact"/>
              <w:jc w:val="lef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车辆维修和保养服务</w:t>
            </w:r>
          </w:p>
        </w:tc>
        <w:tc>
          <w:tcPr>
            <w:tcW w:w="1332" w:type="dxa"/>
            <w:vAlign w:val="center"/>
          </w:tcPr>
          <w:p>
            <w:pPr>
              <w:spacing w:line="300" w:lineRule="exact"/>
              <w:jc w:val="left"/>
              <w:rPr>
                <w:rFonts w:ascii="方正书宋_GBK" w:hAnsi="Times New Roman" w:eastAsia="方正书宋_GBK" w:cs="Times New Roman"/>
                <w:sz w:val="20"/>
                <w:szCs w:val="20"/>
              </w:rPr>
            </w:pPr>
            <w:r>
              <w:rPr>
                <w:rFonts w:ascii="方正书宋_GBK" w:hAnsi="Times New Roman" w:eastAsia="方正书宋_GBK" w:cs="Times New Roman"/>
                <w:sz w:val="20"/>
                <w:szCs w:val="20"/>
              </w:rPr>
              <w:t>C050301</w:t>
            </w:r>
          </w:p>
        </w:tc>
        <w:tc>
          <w:tcPr>
            <w:tcW w:w="616" w:type="dxa"/>
            <w:vAlign w:val="center"/>
          </w:tcPr>
          <w:p>
            <w:pPr>
              <w:spacing w:line="300" w:lineRule="exact"/>
              <w:jc w:val="center"/>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辆</w:t>
            </w:r>
          </w:p>
        </w:tc>
        <w:tc>
          <w:tcPr>
            <w:tcW w:w="789" w:type="dxa"/>
            <w:vAlign w:val="center"/>
          </w:tcPr>
          <w:p>
            <w:pPr>
              <w:spacing w:line="300" w:lineRule="exact"/>
              <w:jc w:val="right"/>
              <w:rPr>
                <w:rFonts w:ascii="方正书宋_GBK" w:hAnsi="Times New Roman" w:eastAsia="方正书宋_GBK" w:cs="Times New Roman"/>
                <w:sz w:val="20"/>
                <w:szCs w:val="20"/>
              </w:rPr>
            </w:pPr>
            <w:r>
              <w:rPr>
                <w:rFonts w:ascii="方正书宋_GBK" w:hAnsi="Times New Roman" w:eastAsia="方正书宋_GBK" w:cs="Times New Roman"/>
                <w:sz w:val="20"/>
                <w:szCs w:val="20"/>
              </w:rPr>
              <w:t>2.00</w:t>
            </w:r>
          </w:p>
        </w:tc>
        <w:tc>
          <w:tcPr>
            <w:tcW w:w="793" w:type="dxa"/>
            <w:vAlign w:val="center"/>
          </w:tcPr>
          <w:p>
            <w:pPr>
              <w:spacing w:line="300" w:lineRule="exact"/>
              <w:jc w:val="right"/>
              <w:rPr>
                <w:rFonts w:ascii="方正书宋_GBK" w:hAnsi="Times New Roman" w:eastAsia="方正书宋_GBK" w:cs="Times New Roman"/>
                <w:sz w:val="20"/>
                <w:szCs w:val="20"/>
              </w:rPr>
            </w:pPr>
            <w:r>
              <w:rPr>
                <w:rFonts w:ascii="方正书宋_GBK" w:hAnsi="Times New Roman" w:eastAsia="方正书宋_GBK" w:cs="Times New Roman"/>
                <w:sz w:val="20"/>
                <w:szCs w:val="20"/>
              </w:rPr>
              <w:t>1.00</w:t>
            </w:r>
          </w:p>
        </w:tc>
        <w:tc>
          <w:tcPr>
            <w:tcW w:w="986" w:type="dxa"/>
            <w:vAlign w:val="center"/>
          </w:tcPr>
          <w:p>
            <w:pPr>
              <w:spacing w:line="300" w:lineRule="exact"/>
              <w:jc w:val="right"/>
              <w:rPr>
                <w:rFonts w:ascii="方正书宋_GBK" w:hAnsi="Times New Roman" w:eastAsia="方正书宋_GBK" w:cs="Times New Roman"/>
                <w:sz w:val="20"/>
                <w:szCs w:val="20"/>
              </w:rPr>
            </w:pPr>
            <w:r>
              <w:rPr>
                <w:rFonts w:ascii="方正书宋_GBK" w:hAnsi="Times New Roman" w:eastAsia="方正书宋_GBK" w:cs="Times New Roman"/>
                <w:sz w:val="20"/>
                <w:szCs w:val="20"/>
              </w:rPr>
              <w:t>2.00</w:t>
            </w:r>
          </w:p>
        </w:tc>
        <w:tc>
          <w:tcPr>
            <w:tcW w:w="986" w:type="dxa"/>
            <w:vAlign w:val="center"/>
          </w:tcPr>
          <w:p>
            <w:pPr>
              <w:spacing w:line="300" w:lineRule="exact"/>
              <w:jc w:val="right"/>
              <w:rPr>
                <w:rFonts w:ascii="方正书宋_GBK" w:hAnsi="Times New Roman" w:eastAsia="方正书宋_GBK" w:cs="Times New Roman"/>
                <w:sz w:val="20"/>
                <w:szCs w:val="20"/>
              </w:rPr>
            </w:pPr>
            <w:r>
              <w:rPr>
                <w:rFonts w:ascii="方正书宋_GBK" w:hAnsi="Times New Roman" w:eastAsia="方正书宋_GBK" w:cs="Times New Roman"/>
                <w:sz w:val="20"/>
                <w:szCs w:val="20"/>
              </w:rPr>
              <w:t>2.00</w:t>
            </w:r>
          </w:p>
        </w:tc>
        <w:tc>
          <w:tcPr>
            <w:tcW w:w="986" w:type="dxa"/>
            <w:vAlign w:val="center"/>
          </w:tcPr>
          <w:p>
            <w:pPr>
              <w:spacing w:line="300" w:lineRule="exact"/>
              <w:jc w:val="right"/>
              <w:rPr>
                <w:rFonts w:ascii="方正书宋_GBK" w:hAnsi="Times New Roman" w:eastAsia="方正书宋_GBK" w:cs="Times New Roman"/>
                <w:sz w:val="20"/>
                <w:szCs w:val="20"/>
              </w:rPr>
            </w:pPr>
          </w:p>
        </w:tc>
        <w:tc>
          <w:tcPr>
            <w:tcW w:w="986" w:type="dxa"/>
            <w:vAlign w:val="center"/>
          </w:tcPr>
          <w:p>
            <w:pPr>
              <w:spacing w:line="300" w:lineRule="exact"/>
              <w:jc w:val="right"/>
              <w:rPr>
                <w:rFonts w:ascii="方正书宋_GBK" w:hAnsi="Times New Roman" w:eastAsia="方正书宋_GBK" w:cs="Times New Roman"/>
                <w:sz w:val="20"/>
                <w:szCs w:val="20"/>
              </w:rPr>
            </w:pPr>
          </w:p>
        </w:tc>
        <w:tc>
          <w:tcPr>
            <w:tcW w:w="986" w:type="dxa"/>
            <w:vAlign w:val="center"/>
          </w:tcPr>
          <w:p>
            <w:pPr>
              <w:spacing w:line="300" w:lineRule="exact"/>
              <w:jc w:val="right"/>
              <w:rPr>
                <w:rFonts w:ascii="方正书宋_GBK" w:hAnsi="Times New Roman" w:eastAsia="方正书宋_GBK" w:cs="Times New Roman"/>
                <w:sz w:val="20"/>
                <w:szCs w:val="20"/>
              </w:rPr>
            </w:pPr>
          </w:p>
        </w:tc>
        <w:tc>
          <w:tcPr>
            <w:tcW w:w="986" w:type="dxa"/>
            <w:vAlign w:val="center"/>
          </w:tcPr>
          <w:p>
            <w:pPr>
              <w:spacing w:line="300" w:lineRule="exact"/>
              <w:jc w:val="right"/>
              <w:rPr>
                <w:rFonts w:ascii="方正书宋_GBK" w:hAnsi="Times New Roman" w:eastAsia="方正书宋_GBK" w:cs="Times New Roman"/>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 w:type="dxa"/>
          <w:cantSplit/>
          <w:trHeight w:val="791" w:hRule="atLeast"/>
          <w:jc w:val="center"/>
        </w:trPr>
        <w:tc>
          <w:tcPr>
            <w:tcW w:w="1725" w:type="dxa"/>
            <w:vAlign w:val="center"/>
          </w:tcPr>
          <w:p>
            <w:pPr>
              <w:spacing w:line="300" w:lineRule="exact"/>
              <w:jc w:val="lef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日常公用经费</w:t>
            </w:r>
          </w:p>
        </w:tc>
        <w:tc>
          <w:tcPr>
            <w:tcW w:w="985" w:type="dxa"/>
            <w:vAlign w:val="center"/>
          </w:tcPr>
          <w:p>
            <w:pPr>
              <w:spacing w:line="300" w:lineRule="exact"/>
              <w:jc w:val="right"/>
              <w:rPr>
                <w:rFonts w:ascii="方正书宋_GBK" w:hAnsi="Times New Roman" w:eastAsia="方正书宋_GBK" w:cs="Times New Roman"/>
                <w:sz w:val="20"/>
                <w:szCs w:val="20"/>
              </w:rPr>
            </w:pPr>
            <w:r>
              <w:rPr>
                <w:rFonts w:ascii="方正书宋_GBK" w:hAnsi="Times New Roman" w:eastAsia="方正书宋_GBK" w:cs="Times New Roman"/>
                <w:sz w:val="20"/>
                <w:szCs w:val="20"/>
              </w:rPr>
              <w:t>18.09</w:t>
            </w:r>
          </w:p>
        </w:tc>
        <w:tc>
          <w:tcPr>
            <w:tcW w:w="1331" w:type="dxa"/>
            <w:vAlign w:val="center"/>
          </w:tcPr>
          <w:p>
            <w:pPr>
              <w:spacing w:line="300" w:lineRule="exact"/>
              <w:jc w:val="lef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机动车保险服务</w:t>
            </w:r>
          </w:p>
        </w:tc>
        <w:tc>
          <w:tcPr>
            <w:tcW w:w="1332" w:type="dxa"/>
            <w:vAlign w:val="center"/>
          </w:tcPr>
          <w:p>
            <w:pPr>
              <w:spacing w:line="300" w:lineRule="exact"/>
              <w:jc w:val="left"/>
              <w:rPr>
                <w:rFonts w:ascii="方正书宋_GBK" w:hAnsi="Times New Roman" w:eastAsia="方正书宋_GBK" w:cs="Times New Roman"/>
                <w:sz w:val="20"/>
                <w:szCs w:val="20"/>
              </w:rPr>
            </w:pPr>
            <w:r>
              <w:rPr>
                <w:rFonts w:ascii="方正书宋_GBK" w:hAnsi="Times New Roman" w:eastAsia="方正书宋_GBK" w:cs="Times New Roman"/>
                <w:sz w:val="20"/>
                <w:szCs w:val="20"/>
              </w:rPr>
              <w:t>C15040201</w:t>
            </w:r>
          </w:p>
        </w:tc>
        <w:tc>
          <w:tcPr>
            <w:tcW w:w="616" w:type="dxa"/>
            <w:vAlign w:val="center"/>
          </w:tcPr>
          <w:p>
            <w:pPr>
              <w:spacing w:line="300" w:lineRule="exact"/>
              <w:jc w:val="center"/>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辆</w:t>
            </w:r>
          </w:p>
        </w:tc>
        <w:tc>
          <w:tcPr>
            <w:tcW w:w="789" w:type="dxa"/>
            <w:vAlign w:val="center"/>
          </w:tcPr>
          <w:p>
            <w:pPr>
              <w:spacing w:line="300" w:lineRule="exact"/>
              <w:jc w:val="right"/>
              <w:rPr>
                <w:rFonts w:ascii="方正书宋_GBK" w:hAnsi="Times New Roman" w:eastAsia="方正书宋_GBK" w:cs="Times New Roman"/>
                <w:sz w:val="20"/>
                <w:szCs w:val="20"/>
              </w:rPr>
            </w:pPr>
            <w:r>
              <w:rPr>
                <w:rFonts w:ascii="方正书宋_GBK" w:hAnsi="Times New Roman" w:eastAsia="方正书宋_GBK" w:cs="Times New Roman"/>
                <w:sz w:val="20"/>
                <w:szCs w:val="20"/>
              </w:rPr>
              <w:t>2.00</w:t>
            </w:r>
          </w:p>
        </w:tc>
        <w:tc>
          <w:tcPr>
            <w:tcW w:w="793" w:type="dxa"/>
            <w:vAlign w:val="center"/>
          </w:tcPr>
          <w:p>
            <w:pPr>
              <w:spacing w:line="300" w:lineRule="exact"/>
              <w:jc w:val="right"/>
              <w:rPr>
                <w:rFonts w:ascii="方正书宋_GBK" w:hAnsi="Times New Roman" w:eastAsia="方正书宋_GBK" w:cs="Times New Roman"/>
                <w:sz w:val="20"/>
                <w:szCs w:val="20"/>
              </w:rPr>
            </w:pPr>
            <w:r>
              <w:rPr>
                <w:rFonts w:ascii="方正书宋_GBK" w:hAnsi="Times New Roman" w:eastAsia="方正书宋_GBK" w:cs="Times New Roman"/>
                <w:sz w:val="20"/>
                <w:szCs w:val="20"/>
              </w:rPr>
              <w:t>0.35</w:t>
            </w:r>
          </w:p>
        </w:tc>
        <w:tc>
          <w:tcPr>
            <w:tcW w:w="986" w:type="dxa"/>
            <w:vAlign w:val="center"/>
          </w:tcPr>
          <w:p>
            <w:pPr>
              <w:spacing w:line="300" w:lineRule="exact"/>
              <w:jc w:val="right"/>
              <w:rPr>
                <w:rFonts w:ascii="方正书宋_GBK" w:hAnsi="Times New Roman" w:eastAsia="方正书宋_GBK" w:cs="Times New Roman"/>
                <w:sz w:val="20"/>
                <w:szCs w:val="20"/>
              </w:rPr>
            </w:pPr>
            <w:r>
              <w:rPr>
                <w:rFonts w:ascii="方正书宋_GBK" w:hAnsi="Times New Roman" w:eastAsia="方正书宋_GBK" w:cs="Times New Roman"/>
                <w:sz w:val="20"/>
                <w:szCs w:val="20"/>
              </w:rPr>
              <w:t>0.70</w:t>
            </w:r>
          </w:p>
        </w:tc>
        <w:tc>
          <w:tcPr>
            <w:tcW w:w="986" w:type="dxa"/>
            <w:vAlign w:val="center"/>
          </w:tcPr>
          <w:p>
            <w:pPr>
              <w:spacing w:line="300" w:lineRule="exact"/>
              <w:jc w:val="right"/>
              <w:rPr>
                <w:rFonts w:ascii="方正书宋_GBK" w:hAnsi="Times New Roman" w:eastAsia="方正书宋_GBK" w:cs="Times New Roman"/>
                <w:sz w:val="20"/>
                <w:szCs w:val="20"/>
              </w:rPr>
            </w:pPr>
            <w:r>
              <w:rPr>
                <w:rFonts w:ascii="方正书宋_GBK" w:hAnsi="Times New Roman" w:eastAsia="方正书宋_GBK" w:cs="Times New Roman"/>
                <w:sz w:val="20"/>
                <w:szCs w:val="20"/>
              </w:rPr>
              <w:t>0.70</w:t>
            </w:r>
          </w:p>
        </w:tc>
        <w:tc>
          <w:tcPr>
            <w:tcW w:w="986" w:type="dxa"/>
            <w:vAlign w:val="center"/>
          </w:tcPr>
          <w:p>
            <w:pPr>
              <w:spacing w:line="300" w:lineRule="exact"/>
              <w:jc w:val="right"/>
              <w:rPr>
                <w:rFonts w:ascii="方正书宋_GBK" w:hAnsi="Times New Roman" w:eastAsia="方正书宋_GBK" w:cs="Times New Roman"/>
                <w:sz w:val="20"/>
                <w:szCs w:val="20"/>
              </w:rPr>
            </w:pPr>
          </w:p>
        </w:tc>
        <w:tc>
          <w:tcPr>
            <w:tcW w:w="986" w:type="dxa"/>
            <w:vAlign w:val="center"/>
          </w:tcPr>
          <w:p>
            <w:pPr>
              <w:spacing w:line="300" w:lineRule="exact"/>
              <w:jc w:val="right"/>
              <w:rPr>
                <w:rFonts w:ascii="方正书宋_GBK" w:hAnsi="Times New Roman" w:eastAsia="方正书宋_GBK" w:cs="Times New Roman"/>
                <w:sz w:val="20"/>
                <w:szCs w:val="20"/>
              </w:rPr>
            </w:pPr>
          </w:p>
        </w:tc>
        <w:tc>
          <w:tcPr>
            <w:tcW w:w="986" w:type="dxa"/>
            <w:vAlign w:val="center"/>
          </w:tcPr>
          <w:p>
            <w:pPr>
              <w:spacing w:line="300" w:lineRule="exact"/>
              <w:jc w:val="right"/>
              <w:rPr>
                <w:rFonts w:ascii="方正书宋_GBK" w:hAnsi="Times New Roman" w:eastAsia="方正书宋_GBK" w:cs="Times New Roman"/>
                <w:sz w:val="20"/>
                <w:szCs w:val="20"/>
              </w:rPr>
            </w:pPr>
          </w:p>
        </w:tc>
        <w:tc>
          <w:tcPr>
            <w:tcW w:w="986" w:type="dxa"/>
            <w:vAlign w:val="center"/>
          </w:tcPr>
          <w:p>
            <w:pPr>
              <w:spacing w:line="300" w:lineRule="exact"/>
              <w:jc w:val="right"/>
              <w:rPr>
                <w:rFonts w:ascii="方正书宋_GBK" w:hAnsi="Times New Roman" w:eastAsia="方正书宋_GBK" w:cs="Times New Roman"/>
                <w:sz w:val="20"/>
                <w:szCs w:val="20"/>
              </w:rPr>
            </w:pPr>
          </w:p>
        </w:tc>
      </w:tr>
    </w:tbl>
    <w:p>
      <w:pPr>
        <w:autoSpaceDE w:val="0"/>
        <w:autoSpaceDN w:val="0"/>
        <w:adjustRightInd w:val="0"/>
        <w:spacing w:line="560" w:lineRule="exact"/>
        <w:ind w:firstLine="640" w:firstLineChars="200"/>
        <w:jc w:val="left"/>
        <w:rPr>
          <w:rFonts w:ascii="黑体" w:hAnsi="宋体" w:eastAsia="黑体" w:cs="Times New Roman"/>
          <w:sz w:val="32"/>
          <w:szCs w:val="32"/>
        </w:rPr>
      </w:pPr>
      <w:r>
        <w:rPr>
          <w:rFonts w:hint="eastAsia" w:ascii="黑体" w:hAnsi="宋体" w:eastAsia="黑体" w:cs="Times New Roman"/>
          <w:sz w:val="32"/>
          <w:szCs w:val="32"/>
        </w:rPr>
        <w:t>七、国有资产信息</w:t>
      </w:r>
    </w:p>
    <w:p>
      <w:pPr>
        <w:ind w:firstLine="640"/>
        <w:rPr>
          <w:rFonts w:ascii="仿宋" w:hAnsi="仿宋" w:eastAsia="仿宋" w:cs="Times New Roman"/>
          <w:sz w:val="28"/>
          <w:szCs w:val="28"/>
        </w:rPr>
      </w:pPr>
      <w:r>
        <w:rPr>
          <w:rFonts w:hint="eastAsia" w:ascii="仿宋" w:hAnsi="仿宋" w:eastAsia="仿宋" w:cs="Times New Roman"/>
          <w:sz w:val="28"/>
          <w:szCs w:val="28"/>
        </w:rPr>
        <w:t>遵化市审计局本级上年末固定资产金额为</w:t>
      </w:r>
      <w:r>
        <w:rPr>
          <w:rFonts w:ascii="仿宋" w:hAnsi="仿宋" w:eastAsia="仿宋" w:cs="Times New Roman"/>
          <w:b/>
          <w:sz w:val="28"/>
          <w:szCs w:val="28"/>
        </w:rPr>
        <w:t>84.27</w:t>
      </w:r>
      <w:r>
        <w:rPr>
          <w:rFonts w:hint="eastAsia" w:ascii="仿宋" w:hAnsi="仿宋" w:eastAsia="仿宋" w:cs="Times New Roman"/>
          <w:b/>
          <w:sz w:val="28"/>
          <w:szCs w:val="28"/>
        </w:rPr>
        <w:t>万元（详见下表）</w:t>
      </w:r>
      <w:r>
        <w:rPr>
          <w:rFonts w:hint="eastAsia" w:ascii="仿宋" w:hAnsi="仿宋" w:eastAsia="仿宋" w:cs="Times New Roman"/>
          <w:sz w:val="28"/>
          <w:szCs w:val="28"/>
        </w:rPr>
        <w:t>。本年度拟购置固定资产总额为10.</w:t>
      </w:r>
      <w:r>
        <w:rPr>
          <w:rFonts w:ascii="仿宋" w:hAnsi="仿宋" w:eastAsia="仿宋" w:cs="Times New Roman"/>
          <w:sz w:val="28"/>
          <w:szCs w:val="28"/>
        </w:rPr>
        <w:t>8</w:t>
      </w:r>
      <w:r>
        <w:rPr>
          <w:rFonts w:hint="eastAsia" w:ascii="仿宋" w:hAnsi="仿宋" w:eastAsia="仿宋" w:cs="Times New Roman"/>
          <w:sz w:val="28"/>
          <w:szCs w:val="28"/>
        </w:rPr>
        <w:t>万元，主要为计算机设备等办公设备。详见政府采购预算表，已列入政府采购预算。</w:t>
      </w:r>
    </w:p>
    <w:p>
      <w:pPr>
        <w:spacing w:line="560" w:lineRule="exact"/>
        <w:ind w:firstLine="840" w:firstLineChars="300"/>
        <w:rPr>
          <w:rFonts w:ascii="仿宋" w:hAnsi="仿宋" w:eastAsia="仿宋" w:cs="Times New Roman"/>
          <w:sz w:val="28"/>
          <w:szCs w:val="28"/>
        </w:rPr>
      </w:pPr>
    </w:p>
    <w:tbl>
      <w:tblPr>
        <w:tblStyle w:val="4"/>
        <w:tblW w:w="13485" w:type="dxa"/>
        <w:tblInd w:w="108" w:type="dxa"/>
        <w:tblLayout w:type="fixed"/>
        <w:tblCellMar>
          <w:top w:w="0" w:type="dxa"/>
          <w:left w:w="108" w:type="dxa"/>
          <w:bottom w:w="0" w:type="dxa"/>
          <w:right w:w="108" w:type="dxa"/>
        </w:tblCellMar>
      </w:tblPr>
      <w:tblGrid>
        <w:gridCol w:w="5224"/>
        <w:gridCol w:w="3155"/>
        <w:gridCol w:w="5106"/>
      </w:tblGrid>
      <w:tr>
        <w:tblPrEx>
          <w:tblCellMar>
            <w:top w:w="0" w:type="dxa"/>
            <w:left w:w="108" w:type="dxa"/>
            <w:bottom w:w="0" w:type="dxa"/>
            <w:right w:w="108" w:type="dxa"/>
          </w:tblCellMar>
        </w:tblPrEx>
        <w:trPr>
          <w:trHeight w:val="705" w:hRule="atLeast"/>
        </w:trPr>
        <w:tc>
          <w:tcPr>
            <w:tcW w:w="13485" w:type="dxa"/>
            <w:gridSpan w:val="3"/>
            <w:vAlign w:val="center"/>
          </w:tcPr>
          <w:p>
            <w:pPr>
              <w:widowControl/>
              <w:jc w:val="center"/>
              <w:rPr>
                <w:rFonts w:ascii="宋体" w:cs="宋体"/>
                <w:b/>
                <w:kern w:val="0"/>
                <w:sz w:val="32"/>
                <w:szCs w:val="32"/>
              </w:rPr>
            </w:pPr>
            <w:r>
              <w:rPr>
                <w:rFonts w:hint="eastAsia" w:ascii="宋体" w:hAnsi="宋体" w:cs="宋体"/>
                <w:b/>
                <w:kern w:val="0"/>
                <w:sz w:val="32"/>
                <w:szCs w:val="32"/>
              </w:rPr>
              <w:t>遵化市审计局部门固定资产占用情况表</w:t>
            </w:r>
          </w:p>
        </w:tc>
      </w:tr>
      <w:tr>
        <w:tblPrEx>
          <w:tblCellMar>
            <w:top w:w="0" w:type="dxa"/>
            <w:left w:w="108" w:type="dxa"/>
            <w:bottom w:w="0" w:type="dxa"/>
            <w:right w:w="108" w:type="dxa"/>
          </w:tblCellMar>
        </w:tblPrEx>
        <w:trPr>
          <w:trHeight w:val="510" w:hRule="atLeast"/>
        </w:trPr>
        <w:tc>
          <w:tcPr>
            <w:tcW w:w="8379" w:type="dxa"/>
            <w:gridSpan w:val="2"/>
            <w:vAlign w:val="center"/>
          </w:tcPr>
          <w:p>
            <w:pPr>
              <w:widowControl/>
              <w:jc w:val="left"/>
              <w:rPr>
                <w:rFonts w:ascii="宋体" w:cs="宋体"/>
                <w:kern w:val="0"/>
                <w:sz w:val="22"/>
                <w:szCs w:val="22"/>
              </w:rPr>
            </w:pPr>
            <w:r>
              <w:rPr>
                <w:rFonts w:hint="eastAsia" w:ascii="宋体" w:hAnsi="宋体" w:cs="宋体"/>
                <w:kern w:val="0"/>
                <w:sz w:val="22"/>
                <w:szCs w:val="22"/>
              </w:rPr>
              <w:t>编制单位：遵化市审计局</w:t>
            </w:r>
          </w:p>
        </w:tc>
        <w:tc>
          <w:tcPr>
            <w:tcW w:w="5106" w:type="dxa"/>
            <w:vAlign w:val="center"/>
          </w:tcPr>
          <w:p>
            <w:pPr>
              <w:widowControl/>
              <w:jc w:val="left"/>
              <w:rPr>
                <w:rFonts w:ascii="宋体" w:cs="宋体"/>
                <w:kern w:val="0"/>
                <w:sz w:val="22"/>
                <w:szCs w:val="22"/>
              </w:rPr>
            </w:pPr>
            <w:r>
              <w:rPr>
                <w:rFonts w:hint="eastAsia" w:ascii="宋体" w:hAnsi="宋体" w:cs="宋体"/>
                <w:kern w:val="0"/>
                <w:sz w:val="22"/>
                <w:szCs w:val="22"/>
              </w:rPr>
              <w:t xml:space="preserve">截止时间：2020年12月31日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kern w:val="0"/>
                <w:sz w:val="22"/>
                <w:szCs w:val="22"/>
              </w:rPr>
            </w:pPr>
            <w:r>
              <w:rPr>
                <w:rFonts w:hint="eastAsia" w:ascii="宋体" w:hAnsi="宋体" w:cs="宋体"/>
                <w:b/>
                <w:kern w:val="0"/>
                <w:sz w:val="22"/>
                <w:szCs w:val="22"/>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 w:val="22"/>
                <w:szCs w:val="22"/>
              </w:rPr>
            </w:pPr>
            <w:r>
              <w:rPr>
                <w:rFonts w:hint="eastAsia" w:ascii="宋体" w:hAnsi="宋体" w:cs="宋体"/>
                <w:b/>
                <w:kern w:val="0"/>
                <w:sz w:val="22"/>
                <w:szCs w:val="22"/>
              </w:rPr>
              <w:t>数量</w:t>
            </w:r>
          </w:p>
        </w:tc>
        <w:tc>
          <w:tcPr>
            <w:tcW w:w="5106"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 w:val="22"/>
                <w:szCs w:val="22"/>
              </w:rPr>
            </w:pPr>
            <w:r>
              <w:rPr>
                <w:rFonts w:hint="eastAsia" w:ascii="宋体" w:hAnsi="宋体" w:cs="宋体"/>
                <w:b/>
                <w:kern w:val="0"/>
                <w:sz w:val="22"/>
                <w:szCs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资产总额</w:t>
            </w:r>
          </w:p>
        </w:tc>
        <w:tc>
          <w:tcPr>
            <w:tcW w:w="3155" w:type="dxa"/>
            <w:tcBorders>
              <w:top w:val="nil"/>
              <w:left w:val="nil"/>
              <w:bottom w:val="single" w:color="auto" w:sz="4" w:space="0"/>
              <w:right w:val="single" w:color="auto" w:sz="4" w:space="0"/>
            </w:tcBorders>
            <w:vAlign w:val="center"/>
          </w:tcPr>
          <w:p>
            <w:pPr>
              <w:jc w:val="center"/>
              <w:rPr>
                <w:rFonts w:ascii="宋体" w:cs="宋体"/>
                <w:sz w:val="22"/>
                <w:szCs w:val="22"/>
              </w:rPr>
            </w:pPr>
            <w:r>
              <w:rPr>
                <w:sz w:val="22"/>
                <w:szCs w:val="22"/>
              </w:rPr>
              <w:t>——</w:t>
            </w:r>
          </w:p>
        </w:tc>
        <w:tc>
          <w:tcPr>
            <w:tcW w:w="5106" w:type="dxa"/>
            <w:tcBorders>
              <w:top w:val="nil"/>
              <w:left w:val="nil"/>
              <w:bottom w:val="single" w:color="auto" w:sz="4" w:space="0"/>
              <w:right w:val="single" w:color="auto" w:sz="4" w:space="0"/>
            </w:tcBorders>
            <w:vAlign w:val="center"/>
          </w:tcPr>
          <w:p>
            <w:pPr>
              <w:jc w:val="center"/>
              <w:rPr>
                <w:rFonts w:ascii="宋体" w:cs="宋体"/>
                <w:sz w:val="22"/>
                <w:szCs w:val="22"/>
              </w:rPr>
            </w:pPr>
            <w:r>
              <w:rPr>
                <w:rFonts w:hint="eastAsia" w:ascii="宋体" w:cs="宋体"/>
                <w:sz w:val="22"/>
                <w:szCs w:val="22"/>
              </w:rPr>
              <w:t>91.12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1、房屋（平方米）</w:t>
            </w:r>
          </w:p>
        </w:tc>
        <w:tc>
          <w:tcPr>
            <w:tcW w:w="3155" w:type="dxa"/>
            <w:tcBorders>
              <w:top w:val="nil"/>
              <w:left w:val="nil"/>
              <w:bottom w:val="single" w:color="auto" w:sz="4" w:space="0"/>
              <w:right w:val="single" w:color="auto" w:sz="4" w:space="0"/>
            </w:tcBorders>
            <w:vAlign w:val="center"/>
          </w:tcPr>
          <w:p>
            <w:pPr>
              <w:jc w:val="center"/>
              <w:rPr>
                <w:rFonts w:ascii="宋体" w:cs="宋体"/>
                <w:sz w:val="22"/>
                <w:szCs w:val="22"/>
              </w:rPr>
            </w:pPr>
          </w:p>
        </w:tc>
        <w:tc>
          <w:tcPr>
            <w:tcW w:w="5106" w:type="dxa"/>
            <w:tcBorders>
              <w:top w:val="nil"/>
              <w:left w:val="nil"/>
              <w:bottom w:val="single" w:color="auto" w:sz="4" w:space="0"/>
              <w:right w:val="single" w:color="auto" w:sz="4" w:space="0"/>
            </w:tcBorders>
            <w:vAlign w:val="center"/>
          </w:tcPr>
          <w:p>
            <w:pPr>
              <w:jc w:val="center"/>
              <w:rPr>
                <w:rFonts w:ascii="宋体" w:cs="宋体"/>
                <w:sz w:val="22"/>
                <w:szCs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xml:space="preserve">   其中：办公用房（平方米）</w:t>
            </w:r>
          </w:p>
        </w:tc>
        <w:tc>
          <w:tcPr>
            <w:tcW w:w="3155" w:type="dxa"/>
            <w:tcBorders>
              <w:top w:val="nil"/>
              <w:left w:val="nil"/>
              <w:bottom w:val="single" w:color="auto" w:sz="4" w:space="0"/>
              <w:right w:val="single" w:color="auto" w:sz="4" w:space="0"/>
            </w:tcBorders>
            <w:vAlign w:val="center"/>
          </w:tcPr>
          <w:p>
            <w:pPr>
              <w:jc w:val="center"/>
              <w:rPr>
                <w:rFonts w:ascii="宋体" w:cs="宋体"/>
                <w:sz w:val="22"/>
                <w:szCs w:val="22"/>
              </w:rPr>
            </w:pPr>
          </w:p>
        </w:tc>
        <w:tc>
          <w:tcPr>
            <w:tcW w:w="5106" w:type="dxa"/>
            <w:tcBorders>
              <w:top w:val="nil"/>
              <w:left w:val="nil"/>
              <w:bottom w:val="single" w:color="auto" w:sz="4" w:space="0"/>
              <w:right w:val="single" w:color="auto" w:sz="4" w:space="0"/>
            </w:tcBorders>
            <w:vAlign w:val="center"/>
          </w:tcPr>
          <w:p>
            <w:pPr>
              <w:jc w:val="center"/>
              <w:rPr>
                <w:rFonts w:ascii="宋体" w:cs="宋体"/>
                <w:sz w:val="22"/>
                <w:szCs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2、车辆（台、辆）</w:t>
            </w:r>
          </w:p>
        </w:tc>
        <w:tc>
          <w:tcPr>
            <w:tcW w:w="3155" w:type="dxa"/>
            <w:tcBorders>
              <w:top w:val="nil"/>
              <w:left w:val="nil"/>
              <w:bottom w:val="single" w:color="auto" w:sz="4" w:space="0"/>
              <w:right w:val="single" w:color="auto" w:sz="4" w:space="0"/>
            </w:tcBorders>
            <w:vAlign w:val="center"/>
          </w:tcPr>
          <w:p>
            <w:pPr>
              <w:jc w:val="center"/>
              <w:rPr>
                <w:rFonts w:ascii="仿宋_GB2312" w:hAnsi="Times New Roman" w:eastAsia="仿宋_GB2312" w:cs="宋体"/>
                <w:sz w:val="28"/>
                <w:szCs w:val="28"/>
              </w:rPr>
            </w:pPr>
            <w:r>
              <w:rPr>
                <w:rFonts w:hint="eastAsia" w:ascii="仿宋_GB2312" w:eastAsia="仿宋_GB2312" w:cs="仿宋_GB2312"/>
                <w:sz w:val="28"/>
                <w:szCs w:val="28"/>
              </w:rPr>
              <w:t>2</w:t>
            </w:r>
          </w:p>
        </w:tc>
        <w:tc>
          <w:tcPr>
            <w:tcW w:w="5106" w:type="dxa"/>
            <w:tcBorders>
              <w:top w:val="nil"/>
              <w:left w:val="nil"/>
              <w:bottom w:val="single" w:color="auto" w:sz="4" w:space="0"/>
              <w:right w:val="single" w:color="auto" w:sz="4" w:space="0"/>
            </w:tcBorders>
            <w:vAlign w:val="center"/>
          </w:tcPr>
          <w:p>
            <w:pPr>
              <w:jc w:val="center"/>
              <w:rPr>
                <w:rFonts w:ascii="仿宋_GB2312" w:hAnsi="Times New Roman" w:eastAsia="仿宋_GB2312" w:cs="宋体"/>
                <w:sz w:val="28"/>
                <w:szCs w:val="28"/>
              </w:rPr>
            </w:pPr>
            <w:r>
              <w:rPr>
                <w:rFonts w:hint="eastAsia" w:ascii="仿宋_GB2312" w:eastAsia="仿宋_GB2312" w:cs="宋体"/>
                <w:sz w:val="28"/>
                <w:szCs w:val="28"/>
              </w:rPr>
              <w:t>35.28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3、单价在20万元以上的设备</w:t>
            </w:r>
          </w:p>
        </w:tc>
        <w:tc>
          <w:tcPr>
            <w:tcW w:w="3155" w:type="dxa"/>
            <w:tcBorders>
              <w:top w:val="nil"/>
              <w:left w:val="nil"/>
              <w:bottom w:val="single" w:color="auto" w:sz="4" w:space="0"/>
              <w:right w:val="single" w:color="auto" w:sz="4" w:space="0"/>
            </w:tcBorders>
            <w:vAlign w:val="center"/>
          </w:tcPr>
          <w:p>
            <w:pPr>
              <w:jc w:val="center"/>
              <w:rPr>
                <w:rFonts w:ascii="宋体" w:cs="宋体"/>
                <w:sz w:val="22"/>
                <w:szCs w:val="22"/>
              </w:rPr>
            </w:pPr>
            <w:r>
              <w:rPr>
                <w:rFonts w:hint="eastAsia" w:cs="宋体"/>
                <w:sz w:val="22"/>
                <w:szCs w:val="22"/>
              </w:rPr>
              <w:t>　</w:t>
            </w:r>
          </w:p>
        </w:tc>
        <w:tc>
          <w:tcPr>
            <w:tcW w:w="5106" w:type="dxa"/>
            <w:tcBorders>
              <w:top w:val="nil"/>
              <w:left w:val="nil"/>
              <w:bottom w:val="single" w:color="auto" w:sz="4" w:space="0"/>
              <w:right w:val="single" w:color="auto" w:sz="4" w:space="0"/>
            </w:tcBorders>
            <w:vAlign w:val="center"/>
          </w:tcPr>
          <w:p>
            <w:pPr>
              <w:jc w:val="center"/>
              <w:rPr>
                <w:rFonts w:ascii="宋体" w:cs="宋体"/>
                <w:sz w:val="22"/>
                <w:szCs w:val="22"/>
              </w:rPr>
            </w:pP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4、其他固定资产</w:t>
            </w:r>
          </w:p>
        </w:tc>
        <w:tc>
          <w:tcPr>
            <w:tcW w:w="3155" w:type="dxa"/>
            <w:tcBorders>
              <w:top w:val="single" w:color="auto" w:sz="4" w:space="0"/>
              <w:left w:val="nil"/>
              <w:bottom w:val="single" w:color="auto" w:sz="4" w:space="0"/>
              <w:right w:val="single" w:color="auto" w:sz="4" w:space="0"/>
            </w:tcBorders>
            <w:vAlign w:val="center"/>
          </w:tcPr>
          <w:p>
            <w:pPr>
              <w:rPr>
                <w:rFonts w:ascii="宋体" w:cs="宋体"/>
                <w:sz w:val="22"/>
                <w:szCs w:val="22"/>
              </w:rPr>
            </w:pPr>
            <w:r>
              <w:rPr>
                <w:rFonts w:hint="eastAsia" w:ascii="宋体" w:cs="宋体"/>
                <w:sz w:val="22"/>
                <w:szCs w:val="22"/>
              </w:rPr>
              <w:t xml:space="preserve">            85</w:t>
            </w:r>
          </w:p>
        </w:tc>
        <w:tc>
          <w:tcPr>
            <w:tcW w:w="5106" w:type="dxa"/>
            <w:tcBorders>
              <w:top w:val="single" w:color="auto" w:sz="4" w:space="0"/>
              <w:left w:val="nil"/>
              <w:bottom w:val="single" w:color="auto" w:sz="4" w:space="0"/>
              <w:right w:val="single" w:color="auto" w:sz="4" w:space="0"/>
            </w:tcBorders>
            <w:vAlign w:val="center"/>
          </w:tcPr>
          <w:p>
            <w:pPr>
              <w:jc w:val="center"/>
              <w:rPr>
                <w:rFonts w:ascii="仿宋_GB2312" w:hAnsi="Times New Roman" w:eastAsia="仿宋_GB2312" w:cs="宋体"/>
                <w:sz w:val="28"/>
                <w:szCs w:val="28"/>
              </w:rPr>
            </w:pPr>
            <w:r>
              <w:rPr>
                <w:rFonts w:hint="eastAsia" w:ascii="仿宋_GB2312" w:hAnsi="Times New Roman" w:eastAsia="仿宋_GB2312" w:cs="宋体"/>
                <w:sz w:val="28"/>
                <w:szCs w:val="28"/>
              </w:rPr>
              <w:t>55.84</w:t>
            </w:r>
          </w:p>
        </w:tc>
      </w:tr>
    </w:tbl>
    <w:p>
      <w:pPr>
        <w:spacing w:line="560" w:lineRule="exact"/>
        <w:ind w:firstLine="840" w:firstLineChars="300"/>
        <w:rPr>
          <w:rFonts w:ascii="仿宋" w:hAnsi="仿宋" w:eastAsia="仿宋" w:cs="Times New Roman"/>
          <w:color w:val="FF0000"/>
          <w:sz w:val="28"/>
          <w:szCs w:val="28"/>
        </w:rPr>
      </w:pPr>
    </w:p>
    <w:p>
      <w:pPr>
        <w:autoSpaceDE w:val="0"/>
        <w:autoSpaceDN w:val="0"/>
        <w:adjustRightInd w:val="0"/>
        <w:spacing w:line="560" w:lineRule="exact"/>
        <w:ind w:firstLine="640" w:firstLineChars="200"/>
        <w:jc w:val="left"/>
        <w:rPr>
          <w:rFonts w:ascii="黑体" w:hAnsi="宋体" w:eastAsia="黑体" w:cs="Times New Roman"/>
          <w:sz w:val="32"/>
          <w:szCs w:val="32"/>
        </w:rPr>
      </w:pPr>
      <w:r>
        <w:rPr>
          <w:rFonts w:hint="eastAsia" w:ascii="黑体" w:hAnsi="宋体" w:eastAsia="黑体" w:cs="Times New Roman"/>
          <w:sz w:val="32"/>
          <w:szCs w:val="32"/>
        </w:rPr>
        <w:t>八、名词解释</w:t>
      </w:r>
    </w:p>
    <w:p>
      <w:pPr>
        <w:tabs>
          <w:tab w:val="left" w:pos="11490"/>
        </w:tabs>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1、一般公共预算拨款收入：指省级财政当年拨付的资金。</w:t>
      </w:r>
    </w:p>
    <w:p>
      <w:pPr>
        <w:tabs>
          <w:tab w:val="left" w:pos="11490"/>
        </w:tabs>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2、事业收入：指事业单位开展专业业务活动及辅助活动所取得的收入。</w:t>
      </w:r>
    </w:p>
    <w:p>
      <w:pPr>
        <w:tabs>
          <w:tab w:val="left" w:pos="11490"/>
        </w:tabs>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3、其他收入：指除“一般公共预算拨款收入”、“事业收入”等以外的收入。主要是按规定动用的租房收入、存款利息收入等。</w:t>
      </w:r>
    </w:p>
    <w:p>
      <w:pPr>
        <w:tabs>
          <w:tab w:val="left" w:pos="11490"/>
        </w:tabs>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4、基本支出：指为保障机构正常运转、完成日常工作任务而发生的人员支出和公用支出。</w:t>
      </w:r>
    </w:p>
    <w:p>
      <w:pPr>
        <w:tabs>
          <w:tab w:val="left" w:pos="11490"/>
        </w:tabs>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5、项目支出：指在基本支出之外为完成特定行政任务和事业发展目标所发生的支出。</w:t>
      </w:r>
    </w:p>
    <w:p>
      <w:pPr>
        <w:tabs>
          <w:tab w:val="left" w:pos="11490"/>
        </w:tabs>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6、上缴上级支出：指下级单位上缴上级的支出。</w:t>
      </w:r>
    </w:p>
    <w:p>
      <w:pPr>
        <w:tabs>
          <w:tab w:val="left" w:pos="11490"/>
        </w:tabs>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7、“三公”经费：纳入省级财政预算管理的“三公”经费，是指省级本级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8、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9、上年结转：指以前年度尚未完成、结转到本年仍按原规定用途继续使用的资金。</w:t>
      </w:r>
    </w:p>
    <w:p>
      <w:pPr>
        <w:tabs>
          <w:tab w:val="left" w:pos="11490"/>
        </w:tabs>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10、事业单位经营支出：指事业单位在专业业务活动及其辅助活动之外开展非独立核算经营活动发生的支出。</w:t>
      </w:r>
    </w:p>
    <w:p>
      <w:pPr>
        <w:tabs>
          <w:tab w:val="left" w:pos="11490"/>
        </w:tabs>
        <w:spacing w:line="560" w:lineRule="exact"/>
        <w:ind w:firstLine="640" w:firstLineChars="200"/>
        <w:rPr>
          <w:rFonts w:ascii="仿宋" w:hAnsi="仿宋" w:eastAsia="仿宋" w:cs="Times New Roman"/>
          <w:sz w:val="32"/>
          <w:szCs w:val="32"/>
        </w:rPr>
      </w:pPr>
      <w:r>
        <w:rPr>
          <w:rFonts w:hint="eastAsia" w:ascii="黑体" w:hAnsi="宋体" w:eastAsia="黑体" w:cs="Times New Roman"/>
          <w:sz w:val="32"/>
          <w:szCs w:val="32"/>
        </w:rPr>
        <w:t>九、其他需要说明的事项</w:t>
      </w:r>
    </w:p>
    <w:p>
      <w:pPr>
        <w:tabs>
          <w:tab w:val="left" w:pos="11490"/>
        </w:tabs>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1、遵化市审计局2021年本级预算中未安排政府性基金预算，故政府性基金预算支出表为空。</w:t>
      </w:r>
    </w:p>
    <w:p>
      <w:pPr>
        <w:tabs>
          <w:tab w:val="left" w:pos="11490"/>
        </w:tabs>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2、遵化市审计局2021年本级预算中未安排资本经营预算，故国有资本经营预算支出表为空。</w:t>
      </w: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86"/>
    <w:family w:val="auto"/>
    <w:pitch w:val="default"/>
    <w:sig w:usb0="00000000" w:usb1="00000000" w:usb2="00000010" w:usb3="00000000" w:csb0="00040000" w:csb1="00000000"/>
  </w:font>
  <w:font w:name="方正书宋_GBK">
    <w:altName w:val="宋体"/>
    <w:panose1 w:val="00000000000000000000"/>
    <w:charset w:val="86"/>
    <w:family w:val="auto"/>
    <w:pitch w:val="default"/>
    <w:sig w:usb0="00000000" w:usb1="00000000" w:usb2="00000010" w:usb3="00000000" w:csb0="00040000" w:csb1="00000000"/>
  </w:font>
  <w:font w:name="方正仿宋_GBK">
    <w:altName w:val="宋体"/>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6F3FE2"/>
    <w:multiLevelType w:val="singleLevel"/>
    <w:tmpl w:val="5E6F3FE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RmZDc0MzZkNmM3NjUwOTAxYzE0NzRjODg0NWVjMzYifQ=="/>
  </w:docVars>
  <w:rsids>
    <w:rsidRoot w:val="00B22606"/>
    <w:rsid w:val="003647FA"/>
    <w:rsid w:val="00521C56"/>
    <w:rsid w:val="00702D11"/>
    <w:rsid w:val="009607EE"/>
    <w:rsid w:val="00A66F68"/>
    <w:rsid w:val="00A92663"/>
    <w:rsid w:val="00A931F0"/>
    <w:rsid w:val="00B22606"/>
    <w:rsid w:val="00CB1021"/>
    <w:rsid w:val="00D711BC"/>
    <w:rsid w:val="05451EB3"/>
    <w:rsid w:val="10E90704"/>
    <w:rsid w:val="154A79B4"/>
    <w:rsid w:val="226B13D2"/>
    <w:rsid w:val="26CB5833"/>
    <w:rsid w:val="26E74098"/>
    <w:rsid w:val="280C3C41"/>
    <w:rsid w:val="30CC1455"/>
    <w:rsid w:val="3F667892"/>
    <w:rsid w:val="4143123C"/>
    <w:rsid w:val="425C6F02"/>
    <w:rsid w:val="4A77216A"/>
    <w:rsid w:val="4F387D35"/>
    <w:rsid w:val="605010DD"/>
    <w:rsid w:val="6B8D04AA"/>
    <w:rsid w:val="7F0C3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qFormat/>
    <w:uiPriority w:val="0"/>
    <w:pPr>
      <w:tabs>
        <w:tab w:val="center" w:pos="4153"/>
        <w:tab w:val="right" w:pos="8306"/>
      </w:tabs>
      <w:snapToGrid w:val="0"/>
      <w:jc w:val="left"/>
    </w:pPr>
    <w:rPr>
      <w:sz w:val="18"/>
    </w:rPr>
  </w:style>
  <w:style w:type="paragraph" w:styleId="3">
    <w:name w:val="header"/>
    <w:basedOn w:val="1"/>
    <w:link w:val="8"/>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Normal]"/>
    <w:autoRedefine/>
    <w:qFormat/>
    <w:uiPriority w:val="6"/>
    <w:rPr>
      <w:rFonts w:ascii="宋体" w:hAnsi="宋体" w:eastAsia="宋体" w:cs="Times New Roman"/>
      <w:sz w:val="24"/>
      <w:szCs w:val="22"/>
      <w:lang w:val="en-US" w:eastAsia="en-US" w:bidi="ar-SA"/>
    </w:rPr>
  </w:style>
  <w:style w:type="character" w:customStyle="1" w:styleId="8">
    <w:name w:val="页眉 字符"/>
    <w:link w:val="3"/>
    <w:autoRedefine/>
    <w:qFormat/>
    <w:uiPriority w:val="0"/>
    <w:rPr>
      <w:sz w:val="18"/>
      <w:szCs w:val="18"/>
    </w:rPr>
  </w:style>
  <w:style w:type="character" w:customStyle="1" w:styleId="9">
    <w:name w:val="页脚 字符"/>
    <w:link w:val="2"/>
    <w:autoRedefine/>
    <w:qFormat/>
    <w:uiPriority w:val="0"/>
    <w:rPr>
      <w:sz w:val="18"/>
      <w:szCs w:val="18"/>
    </w:rPr>
  </w:style>
  <w:style w:type="character" w:customStyle="1" w:styleId="10">
    <w:name w:val="页脚 字符1"/>
    <w:autoRedefine/>
    <w:qFormat/>
    <w:uiPriority w:val="0"/>
    <w:rPr>
      <w:rFonts w:hint="default" w:ascii="Calibri" w:hAnsi="Calibri" w:cs="黑体"/>
      <w:kern w:val="2"/>
      <w:sz w:val="18"/>
      <w:szCs w:val="18"/>
    </w:rPr>
  </w:style>
  <w:style w:type="character" w:customStyle="1" w:styleId="11">
    <w:name w:val="页眉 字符1"/>
    <w:qFormat/>
    <w:uiPriority w:val="0"/>
    <w:rPr>
      <w:rFonts w:hint="default" w:ascii="Calibri" w:hAnsi="Calibri"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1011</Words>
  <Characters>5766</Characters>
  <Lines>48</Lines>
  <Paragraphs>13</Paragraphs>
  <TotalTime>0</TotalTime>
  <ScaleCrop>false</ScaleCrop>
  <LinksUpToDate>false</LinksUpToDate>
  <CharactersWithSpaces>6764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从容</cp:lastModifiedBy>
  <dcterms:modified xsi:type="dcterms:W3CDTF">2024-03-18T06:32:57Z</dcterms:modified>
  <dc:title>遵化市审计局2020年部门预算公开说明</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AE4DF420DC574EB69267C5068574C16D_12</vt:lpwstr>
  </property>
</Properties>
</file>