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宋体"/>
          <w:b/>
          <w:sz w:val="44"/>
        </w:rPr>
      </w:pPr>
      <w:r>
        <w:rPr>
          <w:rFonts w:hint="eastAsia" w:ascii="黑体" w:eastAsia="黑体"/>
          <w:b/>
          <w:sz w:val="44"/>
        </w:rPr>
        <w:t>2022年部门预算信息公开目录</w:t>
      </w:r>
    </w:p>
    <w:p>
      <w:pPr>
        <w:jc w:val="center"/>
        <w:rPr>
          <w:rFonts w:ascii="Times New Roman" w:hAnsi="宋体"/>
          <w:b/>
          <w:sz w:val="30"/>
        </w:rPr>
      </w:pPr>
      <w:r>
        <w:rPr>
          <w:rFonts w:ascii="黑体" w:hAnsi="黑体" w:eastAsia="黑体"/>
          <w:b/>
          <w:sz w:val="30"/>
        </w:rPr>
        <w:t xml:space="preserve"> </w:t>
      </w:r>
    </w:p>
    <w:p>
      <w:pPr>
        <w:jc w:val="left"/>
        <w:rPr>
          <w:rFonts w:ascii="Times New Roman" w:hAnsi="宋体"/>
          <w:b/>
          <w:sz w:val="28"/>
        </w:rPr>
      </w:pPr>
      <w:r>
        <w:rPr>
          <w:rFonts w:hint="eastAsia" w:ascii="方正楷体_GBK" w:eastAsia="方正楷体_GBK"/>
          <w:b/>
          <w:sz w:val="28"/>
        </w:rPr>
        <w:t>部门预算公开表</w:t>
      </w:r>
    </w:p>
    <w:p>
      <w:pPr>
        <w:pStyle w:val="6"/>
        <w:tabs>
          <w:tab w:val="right" w:leader="dot" w:pos="14789"/>
        </w:tabs>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fldChar w:fldCharType="begin"/>
      </w:r>
      <w:r>
        <w:instrText xml:space="preserve"> HYPERLINK \l "_Toc68791536" </w:instrText>
      </w:r>
      <w:r>
        <w:fldChar w:fldCharType="separate"/>
      </w:r>
      <w:r>
        <w:rPr>
          <w:rStyle w:val="11"/>
          <w:rFonts w:hint="eastAsia" w:ascii="Times New Roman" w:eastAsia="方正仿宋_GBK"/>
          <w:color w:val="auto"/>
          <w:sz w:val="28"/>
          <w:u w:val="none"/>
        </w:rPr>
        <w:t>部门预算收支总表</w:t>
      </w:r>
      <w:r>
        <w:rPr>
          <w:rFonts w:ascii="Times New Roman" w:eastAsia="方正仿宋_GBK"/>
          <w:sz w:val="28"/>
        </w:rPr>
        <w:tab/>
      </w:r>
      <w:r>
        <w:rPr>
          <w:rFonts w:hint="eastAsia" w:ascii="Times New Roman"/>
          <w:sz w:val="28"/>
        </w:rPr>
        <w:t>1</w:t>
      </w:r>
      <w:r>
        <w:rPr>
          <w:rFonts w:hint="eastAsia" w:ascii="Times New Roman"/>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"_Toc68791537" </w:instrText>
      </w:r>
      <w:r>
        <w:fldChar w:fldCharType="separate"/>
      </w:r>
      <w:r>
        <w:rPr>
          <w:rStyle w:val="11"/>
          <w:rFonts w:hint="eastAsia" w:ascii="Times New Roman" w:eastAsia="方正仿宋_GBK"/>
          <w:color w:val="auto"/>
          <w:sz w:val="28"/>
          <w:u w:val="none"/>
        </w:rPr>
        <w:t>部门预算收入总表</w:t>
      </w:r>
      <w:r>
        <w:rPr>
          <w:rFonts w:ascii="Times New Roman" w:eastAsia="方正仿宋_GBK"/>
          <w:sz w:val="28"/>
        </w:rPr>
        <w:tab/>
      </w:r>
      <w:r>
        <w:rPr>
          <w:rFonts w:hint="eastAsia" w:ascii="Times New Roman"/>
          <w:sz w:val="28"/>
        </w:rPr>
        <w:t>3</w:t>
      </w:r>
      <w:r>
        <w:rPr>
          <w:rFonts w:hint="eastAsia" w:ascii="Times New Roman"/>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"_Toc68791538" </w:instrText>
      </w:r>
      <w:r>
        <w:fldChar w:fldCharType="separate"/>
      </w:r>
      <w:r>
        <w:rPr>
          <w:rStyle w:val="11"/>
          <w:rFonts w:hint="eastAsia" w:ascii="Times New Roman" w:eastAsia="方正仿宋_GBK"/>
          <w:color w:val="auto"/>
          <w:sz w:val="28"/>
          <w:u w:val="none"/>
        </w:rPr>
        <w:t>部门预算支出总表</w:t>
      </w:r>
      <w:r>
        <w:rPr>
          <w:rFonts w:ascii="Times New Roman" w:eastAsia="方正仿宋_GBK"/>
          <w:sz w:val="28"/>
        </w:rPr>
        <w:tab/>
      </w:r>
      <w:r>
        <w:rPr>
          <w:rFonts w:hint="eastAsia" w:ascii="Times New Roman"/>
          <w:sz w:val="28"/>
        </w:rPr>
        <w:t>5</w:t>
      </w:r>
      <w:r>
        <w:rPr>
          <w:rFonts w:hint="eastAsia" w:ascii="Times New Roman"/>
          <w:sz w:val="28"/>
        </w:rPr>
        <w:fldChar w:fldCharType="end"/>
      </w:r>
    </w:p>
    <w:p>
      <w:pPr>
        <w:pStyle w:val="6"/>
        <w:tabs>
          <w:tab w:val="right" w:leader="dot" w:pos="14789"/>
        </w:tabs>
        <w:jc w:val="center"/>
        <w:rPr>
          <w:rFonts w:ascii="Times New Roman"/>
          <w:sz w:val="28"/>
        </w:rPr>
      </w:pPr>
      <w:r>
        <w:fldChar w:fldCharType="begin"/>
      </w:r>
      <w:r>
        <w:instrText xml:space="preserve"> HYPERLINK \l "_Toc68791539" </w:instrText>
      </w:r>
      <w:r>
        <w:fldChar w:fldCharType="separate"/>
      </w:r>
      <w:r>
        <w:rPr>
          <w:rStyle w:val="11"/>
          <w:rFonts w:hint="eastAsia" w:ascii="Times New Roman" w:eastAsia="方正仿宋_GBK"/>
          <w:color w:val="auto"/>
          <w:sz w:val="28"/>
          <w:u w:val="none"/>
        </w:rPr>
        <w:t>部门预算财政拨款收支总表</w:t>
      </w:r>
      <w:r>
        <w:rPr>
          <w:rFonts w:ascii="Times New Roman" w:eastAsia="方正仿宋_GBK"/>
          <w:sz w:val="28"/>
        </w:rPr>
        <w:tab/>
      </w:r>
      <w:r>
        <w:rPr>
          <w:rFonts w:hint="eastAsia" w:ascii="Times New Roman"/>
          <w:sz w:val="28"/>
        </w:rPr>
        <w:t>7</w:t>
      </w:r>
      <w:r>
        <w:rPr>
          <w:rFonts w:hint="eastAsia" w:ascii="Times New Roman"/>
          <w:sz w:val="28"/>
        </w:rPr>
        <w:fldChar w:fldCharType="end"/>
      </w:r>
    </w:p>
    <w:p>
      <w:pPr>
        <w:pStyle w:val="6"/>
        <w:tabs>
          <w:tab w:val="right" w:leader="dot" w:pos="14789"/>
        </w:tabs>
        <w:jc w:val="center"/>
        <w:rPr>
          <w:rFonts w:ascii="Times New Roman"/>
          <w:sz w:val="28"/>
        </w:rPr>
      </w:pPr>
      <w:r>
        <w:fldChar w:fldCharType="begin"/>
      </w:r>
      <w:r>
        <w:instrText xml:space="preserve"> HYPERLINK \l "_Toc68791540" </w:instrText>
      </w:r>
      <w:r>
        <w:fldChar w:fldCharType="separate"/>
      </w:r>
      <w:r>
        <w:rPr>
          <w:rStyle w:val="11"/>
          <w:rFonts w:hint="eastAsia" w:ascii="Times New Roman" w:eastAsia="方正仿宋_GBK"/>
          <w:color w:val="auto"/>
          <w:sz w:val="28"/>
          <w:u w:val="none"/>
        </w:rPr>
        <w:t>部门预算一般公共预算财政拨款支出表</w:t>
      </w:r>
      <w:r>
        <w:rPr>
          <w:rFonts w:ascii="Times New Roman" w:eastAsia="方正仿宋_GBK"/>
          <w:sz w:val="28"/>
        </w:rPr>
        <w:tab/>
      </w:r>
      <w:r>
        <w:rPr>
          <w:rFonts w:ascii="Times New Roman"/>
          <w:sz w:val="28"/>
        </w:rPr>
        <w:t>.</w:t>
      </w:r>
      <w:r>
        <w:rPr>
          <w:rFonts w:ascii="Times New Roman"/>
          <w:sz w:val="28"/>
        </w:rPr>
        <w:fldChar w:fldCharType="end"/>
      </w:r>
      <w:r>
        <w:rPr>
          <w:rFonts w:ascii="Times New Roman"/>
          <w:sz w:val="28"/>
        </w:rPr>
        <w:t>9</w:t>
      </w:r>
    </w:p>
    <w:p>
      <w:pPr>
        <w:pStyle w:val="6"/>
        <w:tabs>
          <w:tab w:val="right" w:leader="dot" w:pos="14789"/>
        </w:tabs>
        <w:jc w:val="center"/>
        <w:rPr>
          <w:rFonts w:ascii="Times New Roman"/>
          <w:sz w:val="28"/>
        </w:rPr>
      </w:pPr>
      <w:r>
        <w:fldChar w:fldCharType="begin"/>
      </w:r>
      <w:r>
        <w:instrText xml:space="preserve"> HYPERLINK \l "_Toc68791541" </w:instrText>
      </w:r>
      <w:r>
        <w:fldChar w:fldCharType="separate"/>
      </w:r>
      <w:r>
        <w:rPr>
          <w:rStyle w:val="11"/>
          <w:rFonts w:hint="eastAsia" w:ascii="Times New Roman" w:eastAsia="方正仿宋_GBK"/>
          <w:color w:val="auto"/>
          <w:sz w:val="28"/>
          <w:u w:val="none"/>
        </w:rPr>
        <w:t>部门预算一般公共预算财政拨款基本支出表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1"/>
          <w:rFonts w:ascii="Times New Roman"/>
          <w:color w:val="auto"/>
          <w:sz w:val="28"/>
          <w:u w:val="none"/>
        </w:rPr>
        <w:t>1</w:t>
      </w:r>
    </w:p>
    <w:p>
      <w:pPr>
        <w:pStyle w:val="6"/>
        <w:tabs>
          <w:tab w:val="right" w:leader="dot" w:pos="14789"/>
        </w:tabs>
        <w:jc w:val="center"/>
        <w:rPr>
          <w:rFonts w:ascii="Times New Roman"/>
          <w:sz w:val="28"/>
        </w:rPr>
      </w:pPr>
      <w:r>
        <w:fldChar w:fldCharType="begin"/>
      </w:r>
      <w:r>
        <w:instrText xml:space="preserve"> HYPERLINK \l "_Toc68791542" </w:instrText>
      </w:r>
      <w:r>
        <w:fldChar w:fldCharType="separate"/>
      </w:r>
      <w:r>
        <w:rPr>
          <w:rStyle w:val="11"/>
          <w:rFonts w:hint="eastAsia" w:ascii="Times New Roman" w:eastAsia="方正仿宋_GBK"/>
          <w:color w:val="auto"/>
          <w:sz w:val="28"/>
          <w:u w:val="none"/>
        </w:rPr>
        <w:t>部门预算政府基金预算财政拨款支出表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1"/>
          <w:rFonts w:ascii="Times New Roman"/>
          <w:color w:val="auto"/>
          <w:sz w:val="28"/>
          <w:u w:val="none"/>
        </w:rPr>
        <w:t>4</w:t>
      </w:r>
    </w:p>
    <w:p>
      <w:pPr>
        <w:pStyle w:val="6"/>
        <w:tabs>
          <w:tab w:val="right" w:leader="dot" w:pos="14789"/>
        </w:tabs>
        <w:jc w:val="center"/>
        <w:rPr>
          <w:rFonts w:ascii="Times New Roman"/>
          <w:sz w:val="28"/>
        </w:rPr>
      </w:pPr>
      <w:r>
        <w:fldChar w:fldCharType="begin"/>
      </w:r>
      <w:r>
        <w:instrText xml:space="preserve"> HYPERLINK \l "_Toc68791543" </w:instrText>
      </w:r>
      <w:r>
        <w:fldChar w:fldCharType="separate"/>
      </w:r>
      <w:r>
        <w:rPr>
          <w:rStyle w:val="11"/>
          <w:rFonts w:hint="eastAsia" w:ascii="Times New Roman" w:eastAsia="方正仿宋_GBK"/>
          <w:color w:val="auto"/>
          <w:sz w:val="28"/>
          <w:u w:val="none"/>
        </w:rPr>
        <w:t>部门预算国有资本经营预算财政拨款支出表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1"/>
          <w:rFonts w:ascii="Times New Roman"/>
          <w:color w:val="auto"/>
          <w:sz w:val="28"/>
          <w:u w:val="none"/>
        </w:rPr>
        <w:t>5</w:t>
      </w:r>
    </w:p>
    <w:p>
      <w:pPr>
        <w:pStyle w:val="6"/>
        <w:tabs>
          <w:tab w:val="right" w:leader="dot" w:pos="14789"/>
        </w:tabs>
        <w:jc w:val="center"/>
        <w:rPr>
          <w:rFonts w:ascii="Times New Roman"/>
          <w:sz w:val="28"/>
        </w:rPr>
      </w:pPr>
      <w:r>
        <w:fldChar w:fldCharType="begin"/>
      </w:r>
      <w:r>
        <w:instrText xml:space="preserve"> HYPERLINK \l "_Toc68791544" </w:instrText>
      </w:r>
      <w:r>
        <w:fldChar w:fldCharType="separate"/>
      </w:r>
      <w:r>
        <w:rPr>
          <w:rStyle w:val="11"/>
          <w:rFonts w:hint="eastAsia" w:ascii="Times New Roman" w:eastAsia="方正仿宋_GBK"/>
          <w:color w:val="auto"/>
          <w:sz w:val="28"/>
          <w:u w:val="none"/>
        </w:rPr>
        <w:t>部门预算财政拨款“三公”经费支出表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1"/>
          <w:rFonts w:ascii="Times New Roman"/>
          <w:color w:val="auto"/>
          <w:sz w:val="28"/>
          <w:u w:val="none"/>
        </w:rPr>
        <w:t>6</w:t>
      </w:r>
    </w:p>
    <w:p>
      <w:pPr>
        <w:ind w:left="420" w:leftChars="200"/>
        <w:jc w:val="center"/>
        <w:rPr>
          <w:rFonts w:ascii="Times New Roman" w:hAnsi="宋体"/>
        </w:rPr>
      </w:pPr>
      <w:r>
        <w:rPr>
          <w:rFonts w:ascii="Times New Roman" w:eastAsia="方正仿宋_GBK"/>
          <w:sz w:val="28"/>
        </w:rPr>
        <w:fldChar w:fldCharType="end"/>
      </w:r>
    </w:p>
    <w:p>
      <w:pPr>
        <w:jc w:val="left"/>
        <w:rPr>
          <w:rFonts w:ascii="Times New Roman" w:hAnsi="宋体"/>
          <w:b/>
          <w:sz w:val="28"/>
        </w:rPr>
      </w:pPr>
      <w:r>
        <w:rPr>
          <w:rFonts w:hint="eastAsia" w:ascii="方正楷体_GBK" w:eastAsia="方正楷体_GBK"/>
          <w:b/>
          <w:sz w:val="28"/>
        </w:rPr>
        <w:t>部门预算信息公开情况说明</w:t>
      </w:r>
    </w:p>
    <w:p>
      <w:pPr>
        <w:pStyle w:val="2"/>
        <w:tabs>
          <w:tab w:val="right" w:leader="dot" w:pos="14789"/>
        </w:tabs>
        <w:ind w:left="420" w:leftChars="200"/>
        <w:jc w:val="center"/>
        <w:rPr>
          <w:rFonts w:ascii="Times New Roman"/>
          <w:sz w:val="28"/>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fldChar w:fldCharType="begin"/>
      </w:r>
      <w:r>
        <w:instrText xml:space="preserve"> HYPERLINK \l "_Toc68791545" </w:instrText>
      </w:r>
      <w:r>
        <w:fldChar w:fldCharType="separate"/>
      </w:r>
      <w:r>
        <w:rPr>
          <w:rStyle w:val="11"/>
          <w:rFonts w:hint="eastAsia" w:ascii="Times New Roman" w:hAnsi="黑体" w:eastAsia="方正仿宋_GBK"/>
          <w:color w:val="auto"/>
          <w:sz w:val="28"/>
          <w:u w:val="none"/>
        </w:rPr>
        <w:t>一、部门职责及机构设置情况</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1"/>
          <w:rFonts w:ascii="Times New Roman"/>
          <w:color w:val="auto"/>
          <w:sz w:val="28"/>
          <w:u w:val="none"/>
        </w:rPr>
        <w:t>7</w:t>
      </w:r>
    </w:p>
    <w:p>
      <w:pPr>
        <w:pStyle w:val="2"/>
        <w:tabs>
          <w:tab w:val="right" w:leader="dot" w:pos="14789"/>
        </w:tabs>
        <w:ind w:left="420" w:leftChars="200"/>
        <w:jc w:val="center"/>
        <w:rPr>
          <w:rFonts w:ascii="Times New Roman"/>
          <w:sz w:val="28"/>
        </w:rPr>
      </w:pPr>
      <w:r>
        <w:fldChar w:fldCharType="begin"/>
      </w:r>
      <w:r>
        <w:instrText xml:space="preserve"> HYPERLINK \l "_Toc68791546" </w:instrText>
      </w:r>
      <w:r>
        <w:fldChar w:fldCharType="separate"/>
      </w:r>
      <w:r>
        <w:rPr>
          <w:rStyle w:val="11"/>
          <w:rFonts w:hint="eastAsia" w:ascii="Times New Roman" w:hAnsi="黑体" w:eastAsia="方正仿宋_GBK"/>
          <w:color w:val="auto"/>
          <w:sz w:val="28"/>
          <w:u w:val="none"/>
        </w:rPr>
        <w:t>二、部门预算安排的总体情况</w:t>
      </w:r>
      <w:r>
        <w:rPr>
          <w:rFonts w:ascii="Times New Roman" w:eastAsia="方正仿宋_GBK"/>
          <w:sz w:val="28"/>
        </w:rPr>
        <w:tab/>
      </w:r>
      <w:r>
        <w:rPr>
          <w:rFonts w:hint="eastAsia" w:ascii="Times New Roman"/>
          <w:sz w:val="28"/>
        </w:rPr>
        <w:t>2</w:t>
      </w:r>
      <w:r>
        <w:rPr>
          <w:rFonts w:hint="eastAsia" w:ascii="Times New Roman"/>
          <w:sz w:val="28"/>
        </w:rPr>
        <w:fldChar w:fldCharType="end"/>
      </w:r>
      <w:r>
        <w:rPr>
          <w:rStyle w:val="11"/>
          <w:rFonts w:ascii="Times New Roman"/>
          <w:color w:val="auto"/>
          <w:sz w:val="28"/>
          <w:u w:val="none"/>
        </w:rPr>
        <w:t>3</w:t>
      </w:r>
    </w:p>
    <w:p>
      <w:pPr>
        <w:pStyle w:val="2"/>
        <w:tabs>
          <w:tab w:val="right" w:leader="dot" w:pos="14789"/>
        </w:tabs>
        <w:ind w:left="420" w:leftChars="200"/>
        <w:jc w:val="center"/>
        <w:rPr>
          <w:rFonts w:ascii="Times New Roman"/>
          <w:sz w:val="28"/>
        </w:rPr>
      </w:pPr>
      <w:r>
        <w:fldChar w:fldCharType="begin"/>
      </w:r>
      <w:r>
        <w:instrText xml:space="preserve"> HYPERLINK \l "_Toc68791547" </w:instrText>
      </w:r>
      <w:r>
        <w:fldChar w:fldCharType="separate"/>
      </w:r>
      <w:r>
        <w:rPr>
          <w:rStyle w:val="11"/>
          <w:rFonts w:hint="eastAsia" w:ascii="Times New Roman" w:hAnsi="黑体" w:eastAsia="方正仿宋_GBK"/>
          <w:color w:val="auto"/>
          <w:sz w:val="28"/>
          <w:u w:val="none"/>
        </w:rPr>
        <w:t>三、机关运行经费安排情况</w:t>
      </w:r>
      <w:r>
        <w:rPr>
          <w:rFonts w:ascii="Times New Roman" w:eastAsia="方正仿宋_GBK"/>
          <w:sz w:val="28"/>
        </w:rPr>
        <w:tab/>
      </w:r>
      <w:r>
        <w:rPr>
          <w:rFonts w:hint="eastAsia" w:ascii="Times New Roman"/>
          <w:sz w:val="28"/>
        </w:rPr>
        <w:t>2</w:t>
      </w:r>
      <w:r>
        <w:rPr>
          <w:rFonts w:hint="eastAsia" w:ascii="Times New Roman"/>
          <w:sz w:val="28"/>
        </w:rPr>
        <w:fldChar w:fldCharType="end"/>
      </w:r>
      <w:r>
        <w:rPr>
          <w:rStyle w:val="11"/>
          <w:rFonts w:ascii="Times New Roman"/>
          <w:color w:val="auto"/>
          <w:sz w:val="28"/>
          <w:u w:val="none"/>
        </w:rPr>
        <w:t>4</w:t>
      </w:r>
    </w:p>
    <w:p>
      <w:pPr>
        <w:pStyle w:val="2"/>
        <w:tabs>
          <w:tab w:val="right" w:leader="dot" w:pos="14789"/>
        </w:tabs>
        <w:ind w:left="420" w:leftChars="200"/>
        <w:jc w:val="center"/>
        <w:rPr>
          <w:rFonts w:ascii="Times New Roman"/>
          <w:sz w:val="28"/>
        </w:rPr>
      </w:pPr>
      <w:r>
        <w:fldChar w:fldCharType="begin"/>
      </w:r>
      <w:r>
        <w:instrText xml:space="preserve"> HYPERLINK \l "_Toc68791548" </w:instrText>
      </w:r>
      <w:r>
        <w:fldChar w:fldCharType="separate"/>
      </w:r>
      <w:r>
        <w:rPr>
          <w:rStyle w:val="11"/>
          <w:rFonts w:hint="eastAsia" w:ascii="Times New Roman" w:hAnsi="黑体" w:eastAsia="方正仿宋_GBK"/>
          <w:color w:val="auto"/>
          <w:sz w:val="28"/>
          <w:u w:val="none"/>
        </w:rPr>
        <w:t>四、财政拨款</w:t>
      </w:r>
      <w:r>
        <w:rPr>
          <w:rStyle w:val="11"/>
          <w:rFonts w:ascii="Times New Roman" w:hAnsi="黑体" w:eastAsia="方正仿宋_GBK"/>
          <w:color w:val="auto"/>
          <w:sz w:val="28"/>
          <w:u w:val="none"/>
        </w:rPr>
        <w:t>“</w:t>
      </w:r>
      <w:r>
        <w:rPr>
          <w:rStyle w:val="11"/>
          <w:rFonts w:hint="eastAsia" w:ascii="Times New Roman" w:hAnsi="黑体" w:eastAsia="方正仿宋_GBK"/>
          <w:color w:val="auto"/>
          <w:sz w:val="28"/>
          <w:u w:val="none"/>
        </w:rPr>
        <w:t>三公</w:t>
      </w:r>
      <w:r>
        <w:rPr>
          <w:rStyle w:val="11"/>
          <w:rFonts w:ascii="Times New Roman" w:hAnsi="黑体" w:eastAsia="方正仿宋_GBK"/>
          <w:color w:val="auto"/>
          <w:sz w:val="28"/>
          <w:u w:val="none"/>
        </w:rPr>
        <w:t>”</w:t>
      </w:r>
      <w:r>
        <w:rPr>
          <w:rStyle w:val="11"/>
          <w:rFonts w:hint="eastAsia" w:ascii="Times New Roman" w:hAnsi="黑体" w:eastAsia="方正仿宋_GBK"/>
          <w:color w:val="auto"/>
          <w:sz w:val="28"/>
          <w:u w:val="none"/>
        </w:rPr>
        <w:t>经费预算情况及增减变化原因</w:t>
      </w:r>
      <w:r>
        <w:rPr>
          <w:rFonts w:ascii="Times New Roman" w:eastAsia="方正仿宋_GBK"/>
          <w:sz w:val="28"/>
        </w:rPr>
        <w:tab/>
      </w:r>
      <w:r>
        <w:rPr>
          <w:rFonts w:hint="eastAsia" w:ascii="Times New Roman"/>
          <w:sz w:val="28"/>
        </w:rPr>
        <w:t>2</w:t>
      </w:r>
      <w:r>
        <w:rPr>
          <w:rFonts w:hint="eastAsia" w:ascii="Times New Roman"/>
          <w:sz w:val="28"/>
        </w:rPr>
        <w:fldChar w:fldCharType="end"/>
      </w:r>
      <w:r>
        <w:rPr>
          <w:rStyle w:val="11"/>
          <w:rFonts w:ascii="Times New Roman"/>
          <w:color w:val="auto"/>
          <w:sz w:val="28"/>
          <w:u w:val="none"/>
        </w:rPr>
        <w:t>4</w:t>
      </w:r>
    </w:p>
    <w:p>
      <w:pPr>
        <w:pStyle w:val="2"/>
        <w:tabs>
          <w:tab w:val="right" w:leader="dot" w:pos="14789"/>
        </w:tabs>
        <w:ind w:left="420" w:leftChars="200"/>
        <w:jc w:val="center"/>
        <w:rPr>
          <w:rFonts w:ascii="Times New Roman"/>
          <w:sz w:val="28"/>
        </w:rPr>
      </w:pPr>
      <w:r>
        <w:fldChar w:fldCharType="begin"/>
      </w:r>
      <w:r>
        <w:instrText xml:space="preserve"> HYPERLINK \l "_Toc68791549" </w:instrText>
      </w:r>
      <w:r>
        <w:fldChar w:fldCharType="separate"/>
      </w:r>
      <w:r>
        <w:rPr>
          <w:rStyle w:val="11"/>
          <w:rFonts w:hint="eastAsia" w:ascii="Times New Roman" w:hAnsi="黑体" w:eastAsia="方正仿宋_GBK"/>
          <w:color w:val="auto"/>
          <w:sz w:val="28"/>
          <w:u w:val="none"/>
        </w:rPr>
        <w:t>五、预算绩效信息</w:t>
      </w:r>
      <w:r>
        <w:rPr>
          <w:rFonts w:ascii="Times New Roman" w:eastAsia="方正仿宋_GBK"/>
          <w:sz w:val="28"/>
        </w:rPr>
        <w:tab/>
      </w:r>
      <w:r>
        <w:rPr>
          <w:rFonts w:hint="eastAsia" w:ascii="Times New Roman"/>
          <w:sz w:val="28"/>
        </w:rPr>
        <w:t>2</w:t>
      </w:r>
      <w:r>
        <w:rPr>
          <w:rFonts w:hint="eastAsia" w:ascii="Times New Roman"/>
          <w:sz w:val="28"/>
        </w:rPr>
        <w:fldChar w:fldCharType="end"/>
      </w:r>
      <w:r>
        <w:rPr>
          <w:rStyle w:val="11"/>
          <w:rFonts w:ascii="Times New Roman"/>
          <w:color w:val="auto"/>
          <w:sz w:val="28"/>
          <w:u w:val="none"/>
        </w:rPr>
        <w:t>4</w:t>
      </w:r>
    </w:p>
    <w:p>
      <w:pPr>
        <w:pStyle w:val="2"/>
        <w:tabs>
          <w:tab w:val="right" w:leader="dot" w:pos="14789"/>
        </w:tabs>
        <w:ind w:left="420" w:leftChars="200"/>
        <w:jc w:val="center"/>
        <w:rPr>
          <w:rFonts w:ascii="Times New Roman"/>
          <w:sz w:val="28"/>
        </w:rPr>
      </w:pPr>
      <w:r>
        <w:fldChar w:fldCharType="begin"/>
      </w:r>
      <w:r>
        <w:instrText xml:space="preserve"> HYPERLINK \l "_Toc68791550" </w:instrText>
      </w:r>
      <w:r>
        <w:fldChar w:fldCharType="separate"/>
      </w:r>
      <w:r>
        <w:rPr>
          <w:rStyle w:val="11"/>
          <w:rFonts w:hint="eastAsia" w:ascii="Times New Roman" w:eastAsia="方正仿宋_GBK"/>
          <w:color w:val="auto"/>
          <w:sz w:val="28"/>
          <w:u w:val="none"/>
        </w:rPr>
        <w:t>六、政府采购预算情况</w:t>
      </w:r>
      <w:r>
        <w:rPr>
          <w:rFonts w:ascii="Times New Roman" w:eastAsia="方正仿宋_GBK"/>
          <w:sz w:val="28"/>
        </w:rPr>
        <w:tab/>
      </w:r>
      <w:r>
        <w:rPr>
          <w:rFonts w:hint="eastAsia" w:ascii="Times New Roman"/>
          <w:sz w:val="28"/>
        </w:rPr>
        <w:t>3</w:t>
      </w:r>
      <w:r>
        <w:rPr>
          <w:rFonts w:hint="eastAsia" w:ascii="Times New Roman"/>
          <w:sz w:val="28"/>
        </w:rPr>
        <w:fldChar w:fldCharType="end"/>
      </w:r>
      <w:r>
        <w:rPr>
          <w:rStyle w:val="11"/>
          <w:rFonts w:ascii="Times New Roman"/>
          <w:color w:val="auto"/>
          <w:sz w:val="28"/>
          <w:u w:val="none"/>
        </w:rPr>
        <w:t>4</w:t>
      </w:r>
    </w:p>
    <w:p>
      <w:pPr>
        <w:pStyle w:val="2"/>
        <w:tabs>
          <w:tab w:val="right" w:leader="dot" w:pos="14789"/>
        </w:tabs>
        <w:ind w:left="420" w:leftChars="200"/>
        <w:jc w:val="center"/>
        <w:rPr>
          <w:rFonts w:ascii="Times New Roman"/>
          <w:sz w:val="28"/>
        </w:rPr>
      </w:pPr>
      <w:r>
        <w:fldChar w:fldCharType="begin"/>
      </w:r>
      <w:r>
        <w:instrText xml:space="preserve"> HYPERLINK \l "_Toc68791551" </w:instrText>
      </w:r>
      <w:r>
        <w:fldChar w:fldCharType="separate"/>
      </w:r>
      <w:r>
        <w:rPr>
          <w:rStyle w:val="11"/>
          <w:rFonts w:hint="eastAsia" w:ascii="Times New Roman" w:hAnsi="黑体" w:eastAsia="方正仿宋_GBK"/>
          <w:color w:val="auto"/>
          <w:sz w:val="28"/>
          <w:u w:val="none"/>
        </w:rPr>
        <w:t>七、国有资产信息</w:t>
      </w:r>
      <w:r>
        <w:rPr>
          <w:rFonts w:ascii="Times New Roman" w:eastAsia="方正仿宋_GBK"/>
          <w:sz w:val="28"/>
        </w:rPr>
        <w:tab/>
      </w:r>
      <w:r>
        <w:rPr>
          <w:rFonts w:hint="eastAsia" w:ascii="Times New Roman"/>
          <w:sz w:val="28"/>
        </w:rPr>
        <w:t>3</w:t>
      </w:r>
      <w:r>
        <w:rPr>
          <w:rFonts w:hint="eastAsia" w:ascii="Times New Roman"/>
          <w:sz w:val="28"/>
        </w:rPr>
        <w:fldChar w:fldCharType="end"/>
      </w:r>
      <w:r>
        <w:rPr>
          <w:rStyle w:val="11"/>
          <w:rFonts w:ascii="Times New Roman"/>
          <w:color w:val="auto"/>
          <w:sz w:val="28"/>
          <w:u w:val="none"/>
        </w:rPr>
        <w:t>5</w:t>
      </w:r>
    </w:p>
    <w:p>
      <w:pPr>
        <w:pStyle w:val="2"/>
        <w:tabs>
          <w:tab w:val="right" w:leader="dot" w:pos="14789"/>
        </w:tabs>
        <w:ind w:left="420" w:leftChars="200"/>
        <w:jc w:val="center"/>
        <w:rPr>
          <w:rFonts w:ascii="Times New Roman"/>
          <w:sz w:val="28"/>
        </w:rPr>
      </w:pPr>
      <w:r>
        <w:fldChar w:fldCharType="begin"/>
      </w:r>
      <w:r>
        <w:instrText xml:space="preserve"> HYPERLINK \l "_Toc68791552" </w:instrText>
      </w:r>
      <w:r>
        <w:fldChar w:fldCharType="separate"/>
      </w:r>
      <w:r>
        <w:rPr>
          <w:rStyle w:val="11"/>
          <w:rFonts w:hint="eastAsia" w:ascii="Times New Roman" w:hAnsi="黑体" w:eastAsia="方正仿宋_GBK"/>
          <w:color w:val="auto"/>
          <w:sz w:val="28"/>
          <w:u w:val="none"/>
        </w:rPr>
        <w:t>八、名词解释</w:t>
      </w:r>
      <w:r>
        <w:rPr>
          <w:rFonts w:ascii="Times New Roman" w:eastAsia="方正仿宋_GBK"/>
          <w:sz w:val="28"/>
        </w:rPr>
        <w:tab/>
      </w:r>
      <w:r>
        <w:rPr>
          <w:rFonts w:ascii="Times New Roman" w:eastAsia="方正仿宋_GBK"/>
          <w:sz w:val="28"/>
        </w:rPr>
        <w:fldChar w:fldCharType="end"/>
      </w:r>
      <w:r>
        <w:rPr>
          <w:rStyle w:val="11"/>
          <w:rFonts w:hint="eastAsia" w:ascii="Times New Roman"/>
          <w:color w:val="auto"/>
          <w:sz w:val="28"/>
          <w:u w:val="none"/>
        </w:rPr>
        <w:t>3</w:t>
      </w:r>
      <w:r>
        <w:rPr>
          <w:rStyle w:val="11"/>
          <w:rFonts w:ascii="Times New Roman"/>
          <w:color w:val="auto"/>
          <w:sz w:val="28"/>
          <w:u w:val="none"/>
        </w:rPr>
        <w:t>6</w:t>
      </w:r>
    </w:p>
    <w:p>
      <w:pPr>
        <w:pStyle w:val="2"/>
        <w:tabs>
          <w:tab w:val="right" w:leader="dot" w:pos="14789"/>
        </w:tabs>
        <w:ind w:left="420" w:leftChars="200"/>
        <w:jc w:val="center"/>
        <w:rPr>
          <w:rFonts w:ascii="Times New Roman"/>
          <w:sz w:val="28"/>
        </w:rPr>
      </w:pPr>
      <w:r>
        <w:fldChar w:fldCharType="begin"/>
      </w:r>
      <w:r>
        <w:instrText xml:space="preserve"> HYPERLINK \l "_Toc68791553" </w:instrText>
      </w:r>
      <w:r>
        <w:fldChar w:fldCharType="separate"/>
      </w:r>
      <w:r>
        <w:rPr>
          <w:rStyle w:val="11"/>
          <w:rFonts w:hint="eastAsia" w:ascii="Times New Roman" w:hAnsi="黑体" w:eastAsia="方正仿宋_GBK"/>
          <w:color w:val="auto"/>
          <w:sz w:val="28"/>
          <w:u w:val="none"/>
        </w:rPr>
        <w:t>九、其他需要说明的事项</w:t>
      </w:r>
      <w:r>
        <w:rPr>
          <w:rFonts w:ascii="Times New Roman" w:eastAsia="方正仿宋_GBK"/>
          <w:sz w:val="28"/>
        </w:rPr>
        <w:tab/>
      </w:r>
      <w:r>
        <w:rPr>
          <w:rFonts w:hint="eastAsia" w:ascii="Times New Roman"/>
          <w:sz w:val="28"/>
        </w:rPr>
        <w:t>3</w:t>
      </w:r>
      <w:r>
        <w:rPr>
          <w:rFonts w:hint="eastAsia" w:ascii="Times New Roman"/>
          <w:sz w:val="28"/>
        </w:rPr>
        <w:fldChar w:fldCharType="end"/>
      </w:r>
      <w:r>
        <w:rPr>
          <w:rStyle w:val="11"/>
          <w:rFonts w:ascii="Times New Roman"/>
          <w:color w:val="auto"/>
          <w:sz w:val="28"/>
          <w:u w:val="none"/>
        </w:rPr>
        <w:t>7</w:t>
      </w:r>
    </w:p>
    <w:p>
      <w:pPr>
        <w:ind w:left="420" w:leftChars="200"/>
        <w:jc w:val="center"/>
        <w:rPr>
          <w:rFonts w:ascii="Times New Roman" w:hAnsi="宋体"/>
        </w:rPr>
      </w:pPr>
      <w:r>
        <w:rPr>
          <w:rFonts w:ascii="Times New Roman" w:eastAsia="方正仿宋_GBK"/>
          <w:sz w:val="28"/>
        </w:rPr>
        <w:fldChar w:fldCharType="end"/>
      </w:r>
    </w:p>
    <w:p>
      <w:pPr>
        <w:spacing w:line="560" w:lineRule="exact"/>
        <w:jc w:val="left"/>
        <w:rPr>
          <w:rStyle w:val="11"/>
          <w:rFonts w:ascii="宋体" w:hAnsi="宋体" w:cs="宋体"/>
          <w:color w:val="auto"/>
          <w:sz w:val="28"/>
          <w:u w:val="none"/>
        </w:rPr>
        <w:sectPr>
          <w:footerReference r:id="rId3" w:type="default"/>
          <w:pgSz w:w="16839" w:h="11907" w:orient="landscape"/>
          <w:pgMar w:top="680" w:right="1021" w:bottom="680" w:left="1021" w:header="851" w:footer="992" w:gutter="0"/>
          <w:pgNumType w:start="1"/>
          <w:cols w:space="720" w:num="1"/>
          <w:docGrid w:type="lines" w:linePitch="312" w:charSpace="0"/>
        </w:sectPr>
      </w:pPr>
    </w:p>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附表1-1</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部门预算收支总表</w:t>
      </w:r>
    </w:p>
    <w:p>
      <w:pPr>
        <w:spacing w:line="560" w:lineRule="exact"/>
        <w:ind w:firstLine="280" w:firstLineChars="100"/>
        <w:rPr>
          <w:rStyle w:val="11"/>
          <w:rFonts w:ascii="方正仿宋简体" w:hAnsi="方正仿宋简体" w:eastAsia="方正仿宋简体" w:cs="方正仿宋简体"/>
          <w:color w:val="000000"/>
          <w:sz w:val="28"/>
          <w:szCs w:val="28"/>
          <w:u w:val="none"/>
        </w:rPr>
      </w:pPr>
      <w:r>
        <w:rPr>
          <w:rStyle w:val="11"/>
          <w:rFonts w:hint="eastAsia" w:ascii="方正仿宋简体" w:hAnsi="方正仿宋简体" w:eastAsia="方正仿宋简体" w:cs="方正仿宋简体"/>
          <w:color w:val="000000"/>
          <w:sz w:val="28"/>
          <w:szCs w:val="28"/>
          <w:u w:val="none"/>
        </w:rPr>
        <w:t xml:space="preserve">319 遵化市审计局    </w:t>
      </w:r>
      <w:r>
        <w:rPr>
          <w:rStyle w:val="11"/>
          <w:rFonts w:hint="eastAsia" w:ascii="方正仿宋简体" w:hAnsi="方正仿宋简体" w:eastAsia="方正仿宋简体" w:cs="方正仿宋简体"/>
          <w:color w:val="000000"/>
          <w:sz w:val="28"/>
          <w:szCs w:val="28"/>
          <w:u w:val="none"/>
        </w:rPr>
        <w:tab/>
      </w:r>
      <w:r>
        <w:rPr>
          <w:rStyle w:val="11"/>
          <w:rFonts w:hint="eastAsia" w:ascii="方正仿宋简体" w:hAnsi="方正仿宋简体" w:eastAsia="方正仿宋简体" w:cs="方正仿宋简体"/>
          <w:color w:val="000000"/>
          <w:sz w:val="28"/>
          <w:szCs w:val="28"/>
          <w:u w:val="none"/>
        </w:rPr>
        <w:t xml:space="preserve">       预算年度：2022</w:t>
      </w:r>
      <w:r>
        <w:rPr>
          <w:rStyle w:val="11"/>
          <w:rFonts w:hint="eastAsia" w:ascii="方正仿宋简体" w:hAnsi="方正仿宋简体" w:eastAsia="方正仿宋简体" w:cs="方正仿宋简体"/>
          <w:color w:val="000000"/>
          <w:sz w:val="28"/>
          <w:szCs w:val="28"/>
          <w:u w:val="none"/>
        </w:rPr>
        <w:tab/>
      </w:r>
      <w:r>
        <w:rPr>
          <w:rStyle w:val="11"/>
          <w:rFonts w:hint="eastAsia" w:ascii="方正仿宋简体" w:hAnsi="方正仿宋简体" w:eastAsia="方正仿宋简体" w:cs="方正仿宋简体"/>
          <w:color w:val="000000"/>
          <w:sz w:val="28"/>
          <w:szCs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4260"/>
        <w:gridCol w:w="1531"/>
        <w:gridCol w:w="5494"/>
        <w:gridCol w:w="2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tblHeader/>
          <w:jc w:val="center"/>
        </w:trPr>
        <w:tc>
          <w:tcPr>
            <w:tcW w:w="1235" w:type="dxa"/>
            <w:vMerge w:val="restart"/>
            <w:vAlign w:val="center"/>
          </w:tcPr>
          <w:p>
            <w:pPr>
              <w:tabs>
                <w:tab w:val="left" w:pos="453"/>
              </w:tabs>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序号</w:t>
            </w:r>
          </w:p>
        </w:tc>
        <w:tc>
          <w:tcPr>
            <w:tcW w:w="5791" w:type="dxa"/>
            <w:gridSpan w:val="2"/>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收  入</w:t>
            </w:r>
          </w:p>
        </w:tc>
        <w:tc>
          <w:tcPr>
            <w:tcW w:w="7714" w:type="dxa"/>
            <w:gridSpan w:val="2"/>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tblHeader/>
          <w:jc w:val="center"/>
        </w:trPr>
        <w:tc>
          <w:tcPr>
            <w:tcW w:w="1235" w:type="dxa"/>
            <w:vMerge w:val="continue"/>
            <w:vAlign w:val="center"/>
          </w:tcPr>
          <w:p>
            <w:pPr>
              <w:adjustRightInd w:val="0"/>
              <w:snapToGrid w:val="0"/>
              <w:jc w:val="center"/>
              <w:rPr>
                <w:rStyle w:val="11"/>
                <w:rFonts w:ascii="方正仿宋简体" w:hAnsi="方正仿宋简体" w:eastAsia="方正仿宋简体" w:cs="方正仿宋简体"/>
                <w:color w:val="000000"/>
                <w:sz w:val="28"/>
                <w:u w:val="none"/>
              </w:rPr>
            </w:pPr>
          </w:p>
        </w:tc>
        <w:tc>
          <w:tcPr>
            <w:tcW w:w="426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项  目</w:t>
            </w:r>
          </w:p>
        </w:tc>
        <w:tc>
          <w:tcPr>
            <w:tcW w:w="1531"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预算数</w:t>
            </w:r>
          </w:p>
        </w:tc>
        <w:tc>
          <w:tcPr>
            <w:tcW w:w="5494"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项  目</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hint="eastAsia" w:ascii="方正仿宋简体" w:hAnsi="方正仿宋简体" w:eastAsia="方正仿宋简体" w:cs="方正仿宋简体"/>
                <w:color w:val="000000"/>
                <w:sz w:val="28"/>
                <w:szCs w:val="28"/>
              </w:rPr>
              <w:t>栏</w:t>
            </w:r>
            <w:r>
              <w:rPr>
                <w:rStyle w:val="11"/>
                <w:rFonts w:hint="eastAsia" w:ascii="方正仿宋简体" w:hAnsi="方正仿宋简体" w:eastAsia="方正仿宋简体" w:cs="方正仿宋简体"/>
                <w:color w:val="000000"/>
                <w:sz w:val="28"/>
                <w:u w:val="none"/>
              </w:rPr>
              <w:t>次</w:t>
            </w:r>
          </w:p>
        </w:tc>
        <w:tc>
          <w:tcPr>
            <w:tcW w:w="426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w:t>
            </w:r>
          </w:p>
        </w:tc>
        <w:tc>
          <w:tcPr>
            <w:tcW w:w="1531"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w:t>
            </w:r>
          </w:p>
        </w:tc>
        <w:tc>
          <w:tcPr>
            <w:tcW w:w="5494"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一、一般公共预算拨款收入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ascii="方正仿宋简体" w:hAnsi="方正仿宋简体" w:eastAsia="方正仿宋简体" w:cs="方正仿宋简体"/>
                <w:color w:val="000000"/>
                <w:sz w:val="28"/>
                <w:u w:val="none"/>
              </w:rPr>
              <w:t>518.47</w:t>
            </w: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一、一般公共服务支出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xml:space="preserve">408.72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二、政府性基金预算拨款收入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二、外交支出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三、国有资本经营预算拨款收入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三、国防支出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4</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四、财政专户管理资金收入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四、公共安全支出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5</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五、事业收入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五、教育支出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6</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六、事业单位经营收入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六、科学技术支出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7</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七、上级补助收入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七、文化旅游体育与传媒支出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8</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八、附属单位上缴收入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八、社会保障和就业支出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xml:space="preserve">45.48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9</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九、其他收入</w:t>
            </w: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九、卫生健康支出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xml:space="preserve">39.53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10</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十、节能环保支出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11</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十一、城乡社区支出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12</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十二、农林水支出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13</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十三、交通运输支出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14</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十四、资源勘探工业信息等支出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15</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十五、商业服务业等支出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16</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十六、金融支出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17</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十七、援助其他地区支出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18</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十八、自然资源海洋气象等支出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xml:space="preserve">24.74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19</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十九、住房保障支出</w:t>
            </w:r>
          </w:p>
        </w:tc>
        <w:tc>
          <w:tcPr>
            <w:tcW w:w="2220"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Fonts w:ascii="Times New Roman" w:hAnsi="Times New Roman"/>
                <w:color w:val="000000"/>
                <w:sz w:val="22"/>
              </w:rPr>
              <w:t xml:space="preserve">408.72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20</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二十、粮油物资储备支出</w:t>
            </w:r>
          </w:p>
        </w:tc>
        <w:tc>
          <w:tcPr>
            <w:tcW w:w="2220" w:type="dxa"/>
          </w:tcPr>
          <w:p>
            <w:pPr>
              <w:adjustRightInd w:val="0"/>
              <w:snapToGrid w:val="0"/>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21</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二十一、国有资本经营预算支出</w:t>
            </w:r>
          </w:p>
        </w:tc>
        <w:tc>
          <w:tcPr>
            <w:tcW w:w="2220" w:type="dxa"/>
          </w:tcPr>
          <w:p>
            <w:pPr>
              <w:adjustRightInd w:val="0"/>
              <w:snapToGrid w:val="0"/>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22</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二十二、灾害防治及应急管理支出</w:t>
            </w:r>
          </w:p>
        </w:tc>
        <w:tc>
          <w:tcPr>
            <w:tcW w:w="2220" w:type="dxa"/>
          </w:tcPr>
          <w:p>
            <w:pPr>
              <w:adjustRightInd w:val="0"/>
              <w:snapToGrid w:val="0"/>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23</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二十三、债务还本支出</w:t>
            </w:r>
          </w:p>
        </w:tc>
        <w:tc>
          <w:tcPr>
            <w:tcW w:w="2220" w:type="dxa"/>
          </w:tcPr>
          <w:p>
            <w:pPr>
              <w:adjustRightInd w:val="0"/>
              <w:snapToGrid w:val="0"/>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24</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二十四、债务付息支出</w:t>
            </w:r>
          </w:p>
        </w:tc>
        <w:tc>
          <w:tcPr>
            <w:tcW w:w="2220" w:type="dxa"/>
          </w:tcPr>
          <w:p>
            <w:pPr>
              <w:adjustRightInd w:val="0"/>
              <w:snapToGrid w:val="0"/>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25</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b/>
                <w:bCs/>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二十五、债务发行费用支出</w:t>
            </w:r>
          </w:p>
        </w:tc>
        <w:tc>
          <w:tcPr>
            <w:tcW w:w="2220" w:type="dxa"/>
          </w:tcPr>
          <w:p>
            <w:pPr>
              <w:adjustRightInd w:val="0"/>
              <w:snapToGrid w:val="0"/>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26</w:t>
            </w:r>
          </w:p>
        </w:tc>
        <w:tc>
          <w:tcPr>
            <w:tcW w:w="4260" w:type="dxa"/>
          </w:tcPr>
          <w:p>
            <w:pPr>
              <w:adjustRightInd w:val="0"/>
              <w:snapToGrid w:val="0"/>
              <w:jc w:val="center"/>
              <w:rPr>
                <w:rStyle w:val="11"/>
                <w:rFonts w:ascii="方正仿宋简体" w:hAnsi="方正仿宋简体" w:eastAsia="方正仿宋简体" w:cs="方正仿宋简体"/>
                <w:color w:val="000000"/>
                <w:sz w:val="28"/>
                <w:u w:val="none"/>
              </w:rPr>
            </w:pPr>
          </w:p>
        </w:tc>
        <w:tc>
          <w:tcPr>
            <w:tcW w:w="1531" w:type="dxa"/>
          </w:tcPr>
          <w:p>
            <w:pPr>
              <w:adjustRightInd w:val="0"/>
              <w:snapToGrid w:val="0"/>
              <w:jc w:val="center"/>
              <w:rPr>
                <w:rStyle w:val="11"/>
                <w:rFonts w:ascii="方正仿宋简体" w:hAnsi="方正仿宋简体" w:eastAsia="方正仿宋简体" w:cs="方正仿宋简体"/>
                <w:b/>
                <w:bCs/>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二十六、其他支出</w:t>
            </w:r>
          </w:p>
        </w:tc>
        <w:tc>
          <w:tcPr>
            <w:tcW w:w="2220" w:type="dxa"/>
          </w:tcPr>
          <w:p>
            <w:pPr>
              <w:adjustRightInd w:val="0"/>
              <w:snapToGrid w:val="0"/>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vAlign w:val="center"/>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27</w:t>
            </w:r>
          </w:p>
        </w:tc>
        <w:tc>
          <w:tcPr>
            <w:tcW w:w="4260" w:type="dxa"/>
            <w:vAlign w:val="center"/>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本年收入合计</w:t>
            </w:r>
          </w:p>
        </w:tc>
        <w:tc>
          <w:tcPr>
            <w:tcW w:w="1531" w:type="dxa"/>
          </w:tcPr>
          <w:p>
            <w:pPr>
              <w:adjustRightInd w:val="0"/>
              <w:snapToGrid w:val="0"/>
              <w:jc w:val="left"/>
              <w:rPr>
                <w:rStyle w:val="11"/>
                <w:rFonts w:ascii="方正仿宋简体" w:hAnsi="方正仿宋简体" w:eastAsia="方正仿宋简体" w:cs="方正仿宋简体"/>
                <w:b/>
                <w:bCs/>
                <w:color w:val="000000"/>
                <w:sz w:val="28"/>
                <w:u w:val="none"/>
              </w:rPr>
            </w:pPr>
            <w:r>
              <w:rPr>
                <w:rStyle w:val="11"/>
                <w:rFonts w:ascii="方正仿宋简体" w:hAnsi="方正仿宋简体" w:eastAsia="方正仿宋简体" w:cs="方正仿宋简体"/>
                <w:color w:val="000000"/>
                <w:sz w:val="28"/>
                <w:u w:val="none"/>
              </w:rPr>
              <w:t>518.47</w:t>
            </w: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本年支出合计</w:t>
            </w:r>
          </w:p>
        </w:tc>
        <w:tc>
          <w:tcPr>
            <w:tcW w:w="222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ascii="方正仿宋简体" w:hAnsi="方正仿宋简体" w:eastAsia="方正仿宋简体" w:cs="方正仿宋简体"/>
                <w:color w:val="000000"/>
                <w:sz w:val="28"/>
                <w:u w:val="none"/>
              </w:rPr>
              <w:t>518.47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28</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上年结转结余</w:t>
            </w:r>
          </w:p>
        </w:tc>
        <w:tc>
          <w:tcPr>
            <w:tcW w:w="1531" w:type="dxa"/>
          </w:tcPr>
          <w:p>
            <w:pPr>
              <w:adjustRightInd w:val="0"/>
              <w:snapToGrid w:val="0"/>
              <w:jc w:val="left"/>
              <w:rPr>
                <w:rStyle w:val="11"/>
                <w:rFonts w:ascii="方正仿宋简体" w:hAnsi="方正仿宋简体" w:eastAsia="方正仿宋简体" w:cs="方正仿宋简体"/>
                <w:b/>
                <w:bCs/>
                <w:color w:val="000000"/>
                <w:sz w:val="28"/>
                <w:u w:val="none"/>
              </w:rPr>
            </w:pP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年终结转结余</w:t>
            </w:r>
          </w:p>
        </w:tc>
        <w:tc>
          <w:tcPr>
            <w:tcW w:w="2220" w:type="dxa"/>
          </w:tcPr>
          <w:p>
            <w:pPr>
              <w:adjustRightInd w:val="0"/>
              <w:snapToGrid w:val="0"/>
              <w:jc w:val="left"/>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1235" w:type="dxa"/>
          </w:tcPr>
          <w:p>
            <w:pPr>
              <w:adjustRightInd w:val="0"/>
              <w:snapToGrid w:val="0"/>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29</w:t>
            </w:r>
          </w:p>
        </w:tc>
        <w:tc>
          <w:tcPr>
            <w:tcW w:w="426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收入总计</w:t>
            </w:r>
          </w:p>
        </w:tc>
        <w:tc>
          <w:tcPr>
            <w:tcW w:w="1531" w:type="dxa"/>
          </w:tcPr>
          <w:p>
            <w:pPr>
              <w:adjustRightInd w:val="0"/>
              <w:snapToGrid w:val="0"/>
              <w:jc w:val="left"/>
              <w:rPr>
                <w:rStyle w:val="11"/>
                <w:rFonts w:ascii="方正仿宋简体" w:hAnsi="方正仿宋简体" w:eastAsia="方正仿宋简体" w:cs="方正仿宋简体"/>
                <w:b/>
                <w:bCs/>
                <w:color w:val="000000"/>
                <w:sz w:val="28"/>
                <w:u w:val="none"/>
              </w:rPr>
            </w:pPr>
            <w:r>
              <w:rPr>
                <w:rStyle w:val="11"/>
                <w:rFonts w:ascii="方正仿宋简体" w:hAnsi="方正仿宋简体" w:eastAsia="方正仿宋简体" w:cs="方正仿宋简体"/>
                <w:color w:val="000000"/>
                <w:sz w:val="28"/>
                <w:u w:val="none"/>
              </w:rPr>
              <w:t>518.47</w:t>
            </w:r>
          </w:p>
        </w:tc>
        <w:tc>
          <w:tcPr>
            <w:tcW w:w="5494"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支出总计</w:t>
            </w:r>
          </w:p>
        </w:tc>
        <w:tc>
          <w:tcPr>
            <w:tcW w:w="2220" w:type="dxa"/>
          </w:tcPr>
          <w:p>
            <w:pPr>
              <w:adjustRightInd w:val="0"/>
              <w:snapToGrid w:val="0"/>
              <w:jc w:val="left"/>
              <w:rPr>
                <w:rStyle w:val="11"/>
                <w:rFonts w:ascii="方正仿宋简体" w:hAnsi="方正仿宋简体" w:eastAsia="方正仿宋简体" w:cs="方正仿宋简体"/>
                <w:color w:val="000000"/>
                <w:sz w:val="28"/>
                <w:u w:val="none"/>
              </w:rPr>
            </w:pPr>
            <w:r>
              <w:rPr>
                <w:rStyle w:val="11"/>
                <w:rFonts w:ascii="方正仿宋简体" w:hAnsi="方正仿宋简体" w:eastAsia="方正仿宋简体" w:cs="方正仿宋简体"/>
                <w:color w:val="000000"/>
                <w:sz w:val="28"/>
                <w:u w:val="none"/>
              </w:rPr>
              <w:t>518.47</w:t>
            </w:r>
          </w:p>
        </w:tc>
      </w:tr>
    </w:tbl>
    <w:p>
      <w:pPr>
        <w:spacing w:line="560" w:lineRule="exact"/>
        <w:jc w:val="left"/>
        <w:rPr>
          <w:rStyle w:val="11"/>
          <w:rFonts w:ascii="宋体" w:hAnsi="宋体" w:cs="宋体"/>
          <w:color w:val="FF0000"/>
          <w:sz w:val="28"/>
          <w:u w:val="none"/>
        </w:rPr>
        <w:sectPr>
          <w:footerReference r:id="rId4" w:type="default"/>
          <w:pgSz w:w="16839" w:h="11907" w:orient="landscape"/>
          <w:pgMar w:top="680" w:right="1021" w:bottom="680" w:left="1021" w:header="851" w:footer="992" w:gutter="0"/>
          <w:pgNumType w:start="1"/>
          <w:cols w:space="720" w:num="1"/>
          <w:docGrid w:type="lines" w:linePitch="312" w:charSpace="0"/>
        </w:sectPr>
      </w:pPr>
    </w:p>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附表1-2</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部门预算收入总表</w:t>
      </w:r>
    </w:p>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 xml:space="preserve">319遵化市审计局          </w:t>
      </w:r>
      <w:r>
        <w:rPr>
          <w:rStyle w:val="11"/>
          <w:rFonts w:hint="eastAsia" w:ascii="方正仿宋简体" w:hAnsi="方正仿宋简体" w:eastAsia="方正仿宋简体" w:cs="方正仿宋简体"/>
          <w:color w:val="000000"/>
          <w:sz w:val="28"/>
          <w:u w:val="none"/>
        </w:rPr>
        <w:tab/>
      </w:r>
      <w:r>
        <w:rPr>
          <w:rStyle w:val="11"/>
          <w:rFonts w:hint="eastAsia" w:ascii="方正仿宋简体" w:hAnsi="方正仿宋简体" w:eastAsia="方正仿宋简体" w:cs="方正仿宋简体"/>
          <w:color w:val="000000"/>
          <w:sz w:val="28"/>
          <w:u w:val="none"/>
        </w:rPr>
        <w:t xml:space="preserve">                  预算年度：2022</w:t>
      </w:r>
      <w:r>
        <w:rPr>
          <w:rStyle w:val="11"/>
          <w:rFonts w:hint="eastAsia" w:ascii="方正仿宋简体" w:hAnsi="方正仿宋简体" w:eastAsia="方正仿宋简体" w:cs="方正仿宋简体"/>
          <w:color w:val="000000"/>
          <w:sz w:val="28"/>
          <w:u w:val="none"/>
        </w:rPr>
        <w:tab/>
      </w:r>
      <w:r>
        <w:rPr>
          <w:rStyle w:val="11"/>
          <w:rFonts w:hint="eastAsia" w:ascii="方正仿宋简体" w:hAnsi="方正仿宋简体" w:eastAsia="方正仿宋简体" w:cs="方正仿宋简体"/>
          <w:color w:val="000000"/>
          <w:sz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7"/>
        <w:gridCol w:w="1257"/>
        <w:gridCol w:w="2520"/>
        <w:gridCol w:w="1020"/>
        <w:gridCol w:w="955"/>
        <w:gridCol w:w="1068"/>
        <w:gridCol w:w="1050"/>
        <w:gridCol w:w="932"/>
        <w:gridCol w:w="1004"/>
        <w:gridCol w:w="1005"/>
        <w:gridCol w:w="1341"/>
        <w:gridCol w:w="1011"/>
        <w:gridCol w:w="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6" w:hRule="atLeast"/>
          <w:tblHeader/>
          <w:jc w:val="center"/>
        </w:trPr>
        <w:tc>
          <w:tcPr>
            <w:tcW w:w="608" w:type="dxa"/>
            <w:vMerge w:val="restart"/>
            <w:vAlign w:val="center"/>
          </w:tcPr>
          <w:p>
            <w:pPr>
              <w:tabs>
                <w:tab w:val="left" w:pos="243"/>
              </w:tabs>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序号</w:t>
            </w:r>
          </w:p>
        </w:tc>
        <w:tc>
          <w:tcPr>
            <w:tcW w:w="2536" w:type="dxa"/>
            <w:gridSpan w:val="2"/>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科  目</w:t>
            </w:r>
          </w:p>
        </w:tc>
        <w:tc>
          <w:tcPr>
            <w:tcW w:w="685" w:type="dxa"/>
            <w:vMerge w:val="restart"/>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合计</w:t>
            </w:r>
          </w:p>
        </w:tc>
        <w:tc>
          <w:tcPr>
            <w:tcW w:w="5617" w:type="dxa"/>
            <w:gridSpan w:val="8"/>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本年收入</w:t>
            </w:r>
          </w:p>
        </w:tc>
        <w:tc>
          <w:tcPr>
            <w:tcW w:w="450" w:type="dxa"/>
            <w:vMerge w:val="restart"/>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66" w:hRule="exact"/>
          <w:tblHeader/>
          <w:jc w:val="center"/>
        </w:trPr>
        <w:tc>
          <w:tcPr>
            <w:tcW w:w="608"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84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功能科目编码</w:t>
            </w:r>
          </w:p>
        </w:tc>
        <w:tc>
          <w:tcPr>
            <w:tcW w:w="1692"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科目名称</w:t>
            </w:r>
          </w:p>
        </w:tc>
        <w:tc>
          <w:tcPr>
            <w:tcW w:w="685"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小计</w:t>
            </w:r>
          </w:p>
        </w:tc>
        <w:tc>
          <w:tcPr>
            <w:tcW w:w="717"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财政拨款收入</w:t>
            </w:r>
          </w:p>
        </w:tc>
        <w:tc>
          <w:tcPr>
            <w:tcW w:w="705"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财政专户收入</w:t>
            </w:r>
          </w:p>
        </w:tc>
        <w:tc>
          <w:tcPr>
            <w:tcW w:w="626"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事业收入</w:t>
            </w:r>
          </w:p>
        </w:tc>
        <w:tc>
          <w:tcPr>
            <w:tcW w:w="674"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经营收入</w:t>
            </w:r>
          </w:p>
        </w:tc>
        <w:tc>
          <w:tcPr>
            <w:tcW w:w="675"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上级补助收入</w:t>
            </w:r>
          </w:p>
        </w:tc>
        <w:tc>
          <w:tcPr>
            <w:tcW w:w="900"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附属单位上缴收入</w:t>
            </w:r>
          </w:p>
        </w:tc>
        <w:tc>
          <w:tcPr>
            <w:tcW w:w="674"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其他收入</w:t>
            </w:r>
          </w:p>
        </w:tc>
        <w:tc>
          <w:tcPr>
            <w:tcW w:w="450" w:type="dxa"/>
            <w:vMerge w:val="continue"/>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栏次</w:t>
            </w:r>
          </w:p>
        </w:tc>
        <w:tc>
          <w:tcPr>
            <w:tcW w:w="84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w:t>
            </w:r>
          </w:p>
        </w:tc>
        <w:tc>
          <w:tcPr>
            <w:tcW w:w="1692"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4</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5</w:t>
            </w:r>
          </w:p>
        </w:tc>
        <w:tc>
          <w:tcPr>
            <w:tcW w:w="70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6</w:t>
            </w:r>
          </w:p>
        </w:tc>
        <w:tc>
          <w:tcPr>
            <w:tcW w:w="626"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7</w:t>
            </w:r>
          </w:p>
        </w:tc>
        <w:tc>
          <w:tcPr>
            <w:tcW w:w="67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8</w:t>
            </w:r>
          </w:p>
        </w:tc>
        <w:tc>
          <w:tcPr>
            <w:tcW w:w="67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9</w:t>
            </w:r>
          </w:p>
        </w:tc>
        <w:tc>
          <w:tcPr>
            <w:tcW w:w="900"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10</w:t>
            </w:r>
          </w:p>
        </w:tc>
        <w:tc>
          <w:tcPr>
            <w:tcW w:w="67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11</w:t>
            </w:r>
          </w:p>
        </w:tc>
        <w:tc>
          <w:tcPr>
            <w:tcW w:w="450"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w:t>
            </w:r>
          </w:p>
        </w:tc>
        <w:tc>
          <w:tcPr>
            <w:tcW w:w="84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1692"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合  计</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518.47 </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518.47 </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518.47 </w:t>
            </w:r>
          </w:p>
        </w:tc>
        <w:tc>
          <w:tcPr>
            <w:tcW w:w="70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一般公共服务支出</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408.72</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408.72</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408.72</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20108</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审计事务</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408.72</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408.72</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408.72</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4</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2010801</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行政运行</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260.72</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260.72</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260.72</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5</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2010802</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一般行政管理事务</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18.00</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18.00</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18.00</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6</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2010804</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审计业务</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130.00</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130.00</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130.00</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7</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208</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社会保障和就业支出</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1"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8</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20805</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行政事业单位养老支出</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7"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9</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2080505</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机关事业单位基本养老保险缴费支出</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33.66</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33.66</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33.66</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07"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10</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2080506</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机关事业单位职业年金缴费支出</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11.82</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11.82</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11.82</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11</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210</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卫生健康支出</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12</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21011</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行政事业单位医疗</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13</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2101101</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行政单位医疗</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14</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221</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住房保障支出</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15</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22102</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住房改革支出</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exact"/>
          <w:jc w:val="center"/>
        </w:trPr>
        <w:tc>
          <w:tcPr>
            <w:tcW w:w="608"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16</w:t>
            </w:r>
          </w:p>
        </w:tc>
        <w:tc>
          <w:tcPr>
            <w:tcW w:w="84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2210201</w:t>
            </w:r>
          </w:p>
        </w:tc>
        <w:tc>
          <w:tcPr>
            <w:tcW w:w="169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住房公积金</w:t>
            </w:r>
          </w:p>
        </w:tc>
        <w:tc>
          <w:tcPr>
            <w:tcW w:w="6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641"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7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70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26"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0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7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4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bl>
    <w:p>
      <w:pPr>
        <w:spacing w:line="560" w:lineRule="exact"/>
        <w:jc w:val="left"/>
        <w:rPr>
          <w:rStyle w:val="11"/>
          <w:rFonts w:ascii="宋体" w:hAnsi="宋体" w:cs="宋体"/>
          <w:color w:val="000000"/>
          <w:sz w:val="28"/>
          <w:u w:val="none"/>
        </w:rPr>
        <w:sectPr>
          <w:pgSz w:w="16839" w:h="11907" w:orient="landscape"/>
          <w:pgMar w:top="680" w:right="1021" w:bottom="680" w:left="1021"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附表1-3</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部门预算支出总表</w:t>
      </w:r>
    </w:p>
    <w:p>
      <w:pPr>
        <w:spacing w:line="560" w:lineRule="exact"/>
        <w:ind w:firstLine="280" w:firstLineChars="10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 xml:space="preserve">319遵化市审计局            </w:t>
      </w:r>
      <w:r>
        <w:rPr>
          <w:rStyle w:val="11"/>
          <w:rFonts w:hint="eastAsia" w:ascii="方正仿宋简体" w:hAnsi="方正仿宋简体" w:eastAsia="方正仿宋简体" w:cs="方正仿宋简体"/>
          <w:color w:val="000000"/>
          <w:sz w:val="28"/>
          <w:u w:val="none"/>
        </w:rPr>
        <w:tab/>
      </w:r>
      <w:r>
        <w:rPr>
          <w:rStyle w:val="11"/>
          <w:rFonts w:hint="eastAsia" w:ascii="方正仿宋简体" w:hAnsi="方正仿宋简体" w:eastAsia="方正仿宋简体" w:cs="方正仿宋简体"/>
          <w:color w:val="000000"/>
          <w:sz w:val="28"/>
          <w:u w:val="none"/>
        </w:rPr>
        <w:t xml:space="preserve">                预算年度：2022</w:t>
      </w:r>
      <w:r>
        <w:rPr>
          <w:rStyle w:val="11"/>
          <w:rFonts w:hint="eastAsia" w:ascii="方正仿宋简体" w:hAnsi="方正仿宋简体" w:eastAsia="方正仿宋简体" w:cs="方正仿宋简体"/>
          <w:color w:val="000000"/>
          <w:sz w:val="28"/>
          <w:u w:val="none"/>
        </w:rPr>
        <w:tab/>
      </w:r>
      <w:r>
        <w:rPr>
          <w:rStyle w:val="11"/>
          <w:rFonts w:hint="eastAsia" w:ascii="方正仿宋简体" w:hAnsi="方正仿宋简体" w:eastAsia="方正仿宋简体" w:cs="方正仿宋简体"/>
          <w:color w:val="000000"/>
          <w:sz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4"/>
        <w:gridCol w:w="4847"/>
        <w:gridCol w:w="1454"/>
        <w:gridCol w:w="1410"/>
        <w:gridCol w:w="1381"/>
        <w:gridCol w:w="960"/>
        <w:gridCol w:w="899"/>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tblHeader/>
          <w:jc w:val="center"/>
        </w:trPr>
        <w:tc>
          <w:tcPr>
            <w:tcW w:w="725" w:type="dxa"/>
            <w:vMerge w:val="restart"/>
            <w:vAlign w:val="center"/>
          </w:tcPr>
          <w:p>
            <w:pPr>
              <w:tabs>
                <w:tab w:val="left" w:pos="408"/>
              </w:tabs>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序号</w:t>
            </w:r>
          </w:p>
        </w:tc>
        <w:tc>
          <w:tcPr>
            <w:tcW w:w="4207" w:type="dxa"/>
            <w:gridSpan w:val="2"/>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科  目</w:t>
            </w:r>
          </w:p>
        </w:tc>
        <w:tc>
          <w:tcPr>
            <w:tcW w:w="985" w:type="dxa"/>
            <w:vMerge w:val="restart"/>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本年支出合计</w:t>
            </w:r>
          </w:p>
        </w:tc>
        <w:tc>
          <w:tcPr>
            <w:tcW w:w="955" w:type="dxa"/>
            <w:vMerge w:val="restart"/>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基本支出</w:t>
            </w:r>
          </w:p>
        </w:tc>
        <w:tc>
          <w:tcPr>
            <w:tcW w:w="935" w:type="dxa"/>
            <w:vMerge w:val="restart"/>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项目支出</w:t>
            </w:r>
          </w:p>
        </w:tc>
        <w:tc>
          <w:tcPr>
            <w:tcW w:w="650" w:type="dxa"/>
            <w:vMerge w:val="restart"/>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经营支出</w:t>
            </w:r>
          </w:p>
        </w:tc>
        <w:tc>
          <w:tcPr>
            <w:tcW w:w="609" w:type="dxa"/>
            <w:vMerge w:val="restart"/>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上缴上级支出</w:t>
            </w:r>
          </w:p>
        </w:tc>
        <w:tc>
          <w:tcPr>
            <w:tcW w:w="917" w:type="dxa"/>
            <w:vMerge w:val="restart"/>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98" w:hRule="exact"/>
          <w:tblHeader/>
          <w:jc w:val="center"/>
        </w:trPr>
        <w:tc>
          <w:tcPr>
            <w:tcW w:w="725"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92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功能分类科目编码</w:t>
            </w:r>
          </w:p>
        </w:tc>
        <w:tc>
          <w:tcPr>
            <w:tcW w:w="3282"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科目名称</w:t>
            </w:r>
          </w:p>
        </w:tc>
        <w:tc>
          <w:tcPr>
            <w:tcW w:w="985"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955"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935"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650"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609"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917" w:type="dxa"/>
            <w:vMerge w:val="continue"/>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栏次</w:t>
            </w:r>
          </w:p>
        </w:tc>
        <w:tc>
          <w:tcPr>
            <w:tcW w:w="92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w:t>
            </w:r>
          </w:p>
        </w:tc>
        <w:tc>
          <w:tcPr>
            <w:tcW w:w="3282"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4</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5</w:t>
            </w:r>
          </w:p>
        </w:tc>
        <w:tc>
          <w:tcPr>
            <w:tcW w:w="650"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6</w:t>
            </w:r>
          </w:p>
        </w:tc>
        <w:tc>
          <w:tcPr>
            <w:tcW w:w="609"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7</w:t>
            </w:r>
          </w:p>
        </w:tc>
        <w:tc>
          <w:tcPr>
            <w:tcW w:w="9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w:t>
            </w:r>
          </w:p>
        </w:tc>
        <w:tc>
          <w:tcPr>
            <w:tcW w:w="924"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3282"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合计</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518.47 </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370.47 </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148.00 </w:t>
            </w:r>
          </w:p>
        </w:tc>
        <w:tc>
          <w:tcPr>
            <w:tcW w:w="650"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一般公共服务支出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518.47 </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370.47 </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148.00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20108</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审计事务</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408.72</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260.72</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148.00</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4</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2010801</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行政运行</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260.72</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260.72</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5</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2010802</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一般行政管理事务</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18.00</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18.00</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6</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2010804</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审计业务</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130.00</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130.00</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7</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208</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社会保障和就业支出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8</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20805</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行政事业单位养老支出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45.48</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9</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2080505</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机关事业单位基本养老保险缴费支出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33.66</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33.66</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10</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2080506</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机关事业单位职业年金缴费支出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11.82</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11.82</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rPr>
              <w:t>11</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210</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卫生健康支出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39.53</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spacing w:line="560" w:lineRule="exact"/>
              <w:jc w:val="center"/>
              <w:rPr>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u w:val="none"/>
              </w:rPr>
              <w:t>栏次</w:t>
            </w:r>
          </w:p>
        </w:tc>
        <w:tc>
          <w:tcPr>
            <w:tcW w:w="924" w:type="dxa"/>
            <w:vAlign w:val="center"/>
          </w:tcPr>
          <w:p>
            <w:pPr>
              <w:spacing w:line="560" w:lineRule="exact"/>
              <w:jc w:val="center"/>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21011</w:t>
            </w:r>
          </w:p>
        </w:tc>
        <w:tc>
          <w:tcPr>
            <w:tcW w:w="3282" w:type="dxa"/>
            <w:vAlign w:val="center"/>
          </w:tcPr>
          <w:p>
            <w:pPr>
              <w:spacing w:line="560" w:lineRule="exact"/>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行政事业单位医疗</w:t>
            </w:r>
          </w:p>
        </w:tc>
        <w:tc>
          <w:tcPr>
            <w:tcW w:w="985" w:type="dxa"/>
            <w:vAlign w:val="center"/>
          </w:tcPr>
          <w:p>
            <w:pPr>
              <w:spacing w:line="560" w:lineRule="exact"/>
              <w:jc w:val="center"/>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39.53</w:t>
            </w:r>
          </w:p>
        </w:tc>
        <w:tc>
          <w:tcPr>
            <w:tcW w:w="955" w:type="dxa"/>
            <w:vAlign w:val="center"/>
          </w:tcPr>
          <w:p>
            <w:pPr>
              <w:spacing w:line="560" w:lineRule="exact"/>
              <w:jc w:val="center"/>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39.53</w:t>
            </w:r>
          </w:p>
        </w:tc>
        <w:tc>
          <w:tcPr>
            <w:tcW w:w="935" w:type="dxa"/>
            <w:vAlign w:val="center"/>
          </w:tcPr>
          <w:p>
            <w:pPr>
              <w:spacing w:line="560" w:lineRule="exact"/>
              <w:jc w:val="center"/>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center"/>
              <w:rPr>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u w:val="none"/>
              </w:rPr>
              <w:t>6</w:t>
            </w:r>
          </w:p>
        </w:tc>
        <w:tc>
          <w:tcPr>
            <w:tcW w:w="609" w:type="dxa"/>
            <w:vAlign w:val="center"/>
          </w:tcPr>
          <w:p>
            <w:pPr>
              <w:spacing w:line="560" w:lineRule="exact"/>
              <w:jc w:val="center"/>
              <w:rPr>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u w:val="none"/>
              </w:rPr>
              <w:t>7</w:t>
            </w:r>
          </w:p>
        </w:tc>
        <w:tc>
          <w:tcPr>
            <w:tcW w:w="917" w:type="dxa"/>
            <w:vAlign w:val="center"/>
          </w:tcPr>
          <w:p>
            <w:pPr>
              <w:spacing w:line="560" w:lineRule="exact"/>
              <w:jc w:val="center"/>
              <w:rPr>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u w:val="none"/>
              </w:rPr>
              <w:t>12</w:t>
            </w:r>
          </w:p>
        </w:tc>
        <w:tc>
          <w:tcPr>
            <w:tcW w:w="924" w:type="dxa"/>
            <w:vAlign w:val="center"/>
          </w:tcPr>
          <w:p>
            <w:pPr>
              <w:spacing w:line="560" w:lineRule="exact"/>
              <w:jc w:val="left"/>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2101101</w:t>
            </w:r>
          </w:p>
        </w:tc>
        <w:tc>
          <w:tcPr>
            <w:tcW w:w="3282" w:type="dxa"/>
            <w:vAlign w:val="center"/>
          </w:tcPr>
          <w:p>
            <w:pPr>
              <w:spacing w:line="560" w:lineRule="exact"/>
              <w:jc w:val="left"/>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行政单位医疗</w:t>
            </w:r>
          </w:p>
        </w:tc>
        <w:tc>
          <w:tcPr>
            <w:tcW w:w="985" w:type="dxa"/>
            <w:vAlign w:val="center"/>
          </w:tcPr>
          <w:p>
            <w:pPr>
              <w:spacing w:line="560" w:lineRule="exact"/>
              <w:jc w:val="center"/>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39.53</w:t>
            </w:r>
          </w:p>
        </w:tc>
        <w:tc>
          <w:tcPr>
            <w:tcW w:w="955" w:type="dxa"/>
            <w:vAlign w:val="center"/>
          </w:tcPr>
          <w:p>
            <w:pPr>
              <w:spacing w:line="560" w:lineRule="exact"/>
              <w:jc w:val="center"/>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39.53</w:t>
            </w:r>
          </w:p>
        </w:tc>
        <w:tc>
          <w:tcPr>
            <w:tcW w:w="935" w:type="dxa"/>
            <w:vAlign w:val="center"/>
          </w:tcPr>
          <w:p>
            <w:pPr>
              <w:spacing w:line="560" w:lineRule="exact"/>
              <w:jc w:val="center"/>
              <w:rPr>
                <w:rFonts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Fonts w:ascii="方正仿宋简体" w:hAnsi="方正仿宋简体" w:eastAsia="方正仿宋简体" w:cs="方正仿宋简体"/>
                <w:color w:val="000000"/>
                <w:sz w:val="24"/>
                <w:szCs w:val="24"/>
              </w:rPr>
            </w:pPr>
          </w:p>
        </w:tc>
        <w:tc>
          <w:tcPr>
            <w:tcW w:w="609" w:type="dxa"/>
            <w:vAlign w:val="center"/>
          </w:tcPr>
          <w:p>
            <w:pPr>
              <w:spacing w:line="560" w:lineRule="exact"/>
              <w:jc w:val="left"/>
              <w:rPr>
                <w:rFonts w:ascii="方正仿宋简体" w:hAnsi="方正仿宋简体" w:eastAsia="方正仿宋简体" w:cs="方正仿宋简体"/>
                <w:color w:val="000000"/>
                <w:sz w:val="24"/>
                <w:szCs w:val="24"/>
              </w:rPr>
            </w:pPr>
          </w:p>
        </w:tc>
        <w:tc>
          <w:tcPr>
            <w:tcW w:w="917" w:type="dxa"/>
            <w:vAlign w:val="center"/>
          </w:tcPr>
          <w:p>
            <w:pPr>
              <w:spacing w:line="560" w:lineRule="exact"/>
              <w:jc w:val="left"/>
              <w:rPr>
                <w:rFonts w:ascii="方正仿宋简体" w:hAnsi="方正仿宋简体" w:eastAsia="方正仿宋简体" w:cs="方正仿宋简体"/>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u w:val="none"/>
              </w:rPr>
              <w:t>13</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221</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住房保障支出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93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u w:val="none"/>
              </w:rPr>
              <w:t>14</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22102</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住房改革支出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93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Fonts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000000"/>
                <w:sz w:val="24"/>
                <w:szCs w:val="24"/>
                <w:u w:val="none"/>
              </w:rPr>
              <w:t>15</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2210201</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住房公积金</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24.74</w:t>
            </w:r>
          </w:p>
        </w:tc>
        <w:tc>
          <w:tcPr>
            <w:tcW w:w="93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725" w:type="dxa"/>
            <w:vAlign w:val="center"/>
          </w:tcPr>
          <w:p>
            <w:pPr>
              <w:pStyle w:val="19"/>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16</w:t>
            </w:r>
          </w:p>
        </w:tc>
        <w:tc>
          <w:tcPr>
            <w:tcW w:w="924"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201</w:t>
            </w:r>
          </w:p>
        </w:tc>
        <w:tc>
          <w:tcPr>
            <w:tcW w:w="3282"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一般公共服务支出</w:t>
            </w:r>
          </w:p>
        </w:tc>
        <w:tc>
          <w:tcPr>
            <w:tcW w:w="98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408.72</w:t>
            </w:r>
          </w:p>
        </w:tc>
        <w:tc>
          <w:tcPr>
            <w:tcW w:w="955" w:type="dxa"/>
            <w:vAlign w:val="center"/>
          </w:tcPr>
          <w:p>
            <w:pPr>
              <w:spacing w:line="560" w:lineRule="exac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260.72</w:t>
            </w:r>
          </w:p>
        </w:tc>
        <w:tc>
          <w:tcPr>
            <w:tcW w:w="935"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148.00</w:t>
            </w:r>
          </w:p>
        </w:tc>
        <w:tc>
          <w:tcPr>
            <w:tcW w:w="650"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609"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c>
          <w:tcPr>
            <w:tcW w:w="917" w:type="dxa"/>
            <w:vAlign w:val="center"/>
          </w:tcPr>
          <w:p>
            <w:pPr>
              <w:spacing w:line="560" w:lineRule="exact"/>
              <w:jc w:val="left"/>
              <w:rPr>
                <w:rStyle w:val="11"/>
                <w:rFonts w:ascii="方正仿宋简体" w:hAnsi="方正仿宋简体" w:eastAsia="方正仿宋简体" w:cs="方正仿宋简体"/>
                <w:color w:val="000000"/>
                <w:sz w:val="24"/>
                <w:szCs w:val="24"/>
                <w:u w:val="none"/>
              </w:rPr>
            </w:pPr>
          </w:p>
        </w:tc>
      </w:tr>
    </w:tbl>
    <w:p>
      <w:pPr>
        <w:spacing w:line="560" w:lineRule="exact"/>
        <w:jc w:val="left"/>
        <w:rPr>
          <w:rStyle w:val="11"/>
          <w:rFonts w:ascii="方正仿宋简体" w:hAnsi="方正仿宋简体" w:eastAsia="方正仿宋简体" w:cs="方正仿宋简体"/>
          <w:color w:val="FF0000"/>
          <w:sz w:val="28"/>
          <w:u w:val="none"/>
        </w:rPr>
        <w:sectPr>
          <w:pgSz w:w="16839" w:h="11907" w:orient="landscape"/>
          <w:pgMar w:top="680" w:right="1021" w:bottom="680" w:left="1021"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附表1-4</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部门预算财政拨款收支总表</w:t>
      </w:r>
    </w:p>
    <w:tbl>
      <w:tblPr>
        <w:tblStyle w:val="7"/>
        <w:tblW w:w="143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3437"/>
        <w:gridCol w:w="1231"/>
        <w:gridCol w:w="4096"/>
        <w:gridCol w:w="1141"/>
        <w:gridCol w:w="1052"/>
        <w:gridCol w:w="1038"/>
        <w:gridCol w:w="1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4380" w:type="dxa"/>
            <w:gridSpan w:val="8"/>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319遵化市审计局                            预算年度：2022</w:t>
            </w:r>
            <w:r>
              <w:rPr>
                <w:rStyle w:val="11"/>
                <w:rFonts w:hint="eastAsia" w:ascii="方正仿宋简体" w:hAnsi="方正仿宋简体" w:eastAsia="方正仿宋简体" w:cs="方正仿宋简体"/>
                <w:color w:val="000000"/>
                <w:sz w:val="28"/>
                <w:u w:val="none"/>
              </w:rPr>
              <w:tab/>
            </w:r>
            <w:r>
              <w:rPr>
                <w:rStyle w:val="11"/>
                <w:rFonts w:hint="eastAsia" w:ascii="方正仿宋简体" w:hAnsi="方正仿宋简体" w:eastAsia="方正仿宋简体" w:cs="方正仿宋简体"/>
                <w:color w:val="000000"/>
                <w:sz w:val="28"/>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exact"/>
          <w:tblHeader/>
          <w:jc w:val="center"/>
        </w:trPr>
        <w:tc>
          <w:tcPr>
            <w:tcW w:w="1073" w:type="dxa"/>
            <w:vMerge w:val="restart"/>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序号</w:t>
            </w:r>
          </w:p>
        </w:tc>
        <w:tc>
          <w:tcPr>
            <w:tcW w:w="4668" w:type="dxa"/>
            <w:gridSpan w:val="2"/>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收  入</w:t>
            </w:r>
          </w:p>
        </w:tc>
        <w:tc>
          <w:tcPr>
            <w:tcW w:w="8638" w:type="dxa"/>
            <w:gridSpan w:val="5"/>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7" w:hRule="exact"/>
          <w:tblHeader/>
          <w:jc w:val="center"/>
        </w:trPr>
        <w:tc>
          <w:tcPr>
            <w:tcW w:w="1073" w:type="dxa"/>
            <w:vMerge w:val="continue"/>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3437"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项  目</w:t>
            </w:r>
          </w:p>
        </w:tc>
        <w:tc>
          <w:tcPr>
            <w:tcW w:w="1230"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金额</w:t>
            </w:r>
          </w:p>
        </w:tc>
        <w:tc>
          <w:tcPr>
            <w:tcW w:w="4096"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项  目</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合计</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一般公共预算财政拨款</w:t>
            </w:r>
          </w:p>
        </w:tc>
        <w:tc>
          <w:tcPr>
            <w:tcW w:w="1038"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政府性基金预算财政拨款</w:t>
            </w:r>
          </w:p>
        </w:tc>
        <w:tc>
          <w:tcPr>
            <w:tcW w:w="1310"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73"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栏次</w:t>
            </w:r>
          </w:p>
        </w:tc>
        <w:tc>
          <w:tcPr>
            <w:tcW w:w="3437"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w:t>
            </w:r>
          </w:p>
        </w:tc>
        <w:tc>
          <w:tcPr>
            <w:tcW w:w="1230"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w:t>
            </w:r>
          </w:p>
        </w:tc>
        <w:tc>
          <w:tcPr>
            <w:tcW w:w="4096"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4</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5</w:t>
            </w:r>
          </w:p>
        </w:tc>
        <w:tc>
          <w:tcPr>
            <w:tcW w:w="1038"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6</w:t>
            </w:r>
          </w:p>
        </w:tc>
        <w:tc>
          <w:tcPr>
            <w:tcW w:w="1310"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一、一般公共预算拨款</w:t>
            </w:r>
          </w:p>
        </w:tc>
        <w:tc>
          <w:tcPr>
            <w:tcW w:w="1230" w:type="dxa"/>
            <w:vAlign w:val="center"/>
          </w:tcPr>
          <w:p>
            <w:pPr>
              <w:widowControl/>
              <w:adjustRightInd w:val="0"/>
              <w:snapToGrid w:val="0"/>
              <w:spacing w:line="240" w:lineRule="atLeast"/>
              <w:jc w:val="center"/>
              <w:rPr>
                <w:rStyle w:val="11"/>
                <w:rFonts w:ascii="方正仿宋简体" w:hAnsi="方正仿宋简体" w:eastAsia="方正仿宋简体" w:cs="方正仿宋简体"/>
                <w:color w:val="000000"/>
                <w:kern w:val="0"/>
                <w:sz w:val="24"/>
                <w:szCs w:val="24"/>
                <w:u w:val="none"/>
              </w:rPr>
            </w:pPr>
            <w:r>
              <w:rPr>
                <w:rFonts w:hint="eastAsia" w:ascii="方正仿宋简体" w:hAnsi="方正仿宋简体" w:eastAsia="方正仿宋简体" w:cs="方正仿宋简体"/>
                <w:color w:val="000000"/>
                <w:sz w:val="24"/>
                <w:szCs w:val="24"/>
              </w:rPr>
              <w:t xml:space="preserve">518.47 </w:t>
            </w: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一、一般公共服务支出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408.72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408.72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二、政府性基金预算拨款</w:t>
            </w: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二、外交支出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三、国有资本经营预算拨款</w:t>
            </w: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三、国防支出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4</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四、公共安全支出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5</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五、教育支出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6</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六、科学技术支出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7</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七、文化旅游体育与传媒支出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8</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八、社会保障和就业支出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45.48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45.48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9</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 xml:space="preserve"> </w:t>
            </w: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九、卫生健康支出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39.53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39.53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10</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十、节能环保支出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11</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十一、城乡社区支出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12</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十二、农林水支出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13</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十三、交通运输支出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14</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十四、资源勘探工业信息等支出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15</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十五、商业服务业等支出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16</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十六、金融支出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17</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十七、援助其他地区支出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18</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十八、自然资源海洋气象等支出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19</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十九、住房保障支出</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24.74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24.74 </w:t>
            </w: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20</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二十、粮油物资储备支出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21</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二十一、国有资本经营预算支出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22</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二十二、灾害防治及应急管理支出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23</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二十三、债务还本支出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24</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二十四、债务付息支出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25</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二十五、债务发行费用支出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26</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二十六、其他支出</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73" w:type="dxa"/>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27</w:t>
            </w:r>
          </w:p>
        </w:tc>
        <w:tc>
          <w:tcPr>
            <w:tcW w:w="3437" w:type="dxa"/>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本年收入合计</w:t>
            </w:r>
          </w:p>
        </w:tc>
        <w:tc>
          <w:tcPr>
            <w:tcW w:w="1230" w:type="dxa"/>
          </w:tcPr>
          <w:p>
            <w:pPr>
              <w:widowControl/>
              <w:adjustRightInd w:val="0"/>
              <w:snapToGrid w:val="0"/>
              <w:spacing w:line="240" w:lineRule="atLeast"/>
              <w:jc w:val="center"/>
              <w:rPr>
                <w:rFonts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sz w:val="24"/>
                <w:szCs w:val="24"/>
              </w:rPr>
              <w:t>518.47</w:t>
            </w:r>
          </w:p>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4096" w:type="dxa"/>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本年支出合计</w:t>
            </w:r>
          </w:p>
        </w:tc>
        <w:tc>
          <w:tcPr>
            <w:tcW w:w="1141" w:type="dxa"/>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518.47</w:t>
            </w:r>
          </w:p>
        </w:tc>
        <w:tc>
          <w:tcPr>
            <w:tcW w:w="1052" w:type="dxa"/>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518.47</w:t>
            </w:r>
          </w:p>
        </w:tc>
        <w:tc>
          <w:tcPr>
            <w:tcW w:w="1038" w:type="dxa"/>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1310" w:type="dxa"/>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28</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年初财政拨款结转和结余</w:t>
            </w: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年末财政拨款结转和结余</w:t>
            </w: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 xml:space="preserve">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29</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一、一般公共预算拨款</w:t>
            </w: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30</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二、政府性基金预算拨款</w:t>
            </w: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31</w:t>
            </w:r>
          </w:p>
        </w:tc>
        <w:tc>
          <w:tcPr>
            <w:tcW w:w="3437"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三、国有资本经营预算拨款</w:t>
            </w:r>
          </w:p>
        </w:tc>
        <w:tc>
          <w:tcPr>
            <w:tcW w:w="123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4096"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141"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1038"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73" w:type="dxa"/>
            <w:vAlign w:val="center"/>
          </w:tcPr>
          <w:p>
            <w:pPr>
              <w:pStyle w:val="19"/>
              <w:adjustRightInd w:val="0"/>
              <w:snapToGrid w:val="0"/>
              <w:spacing w:line="240" w:lineRule="atLeast"/>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32</w:t>
            </w:r>
          </w:p>
        </w:tc>
        <w:tc>
          <w:tcPr>
            <w:tcW w:w="3437"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总计</w:t>
            </w:r>
          </w:p>
        </w:tc>
        <w:tc>
          <w:tcPr>
            <w:tcW w:w="1230" w:type="dxa"/>
            <w:vAlign w:val="center"/>
          </w:tcPr>
          <w:p>
            <w:pPr>
              <w:widowControl/>
              <w:adjustRightInd w:val="0"/>
              <w:snapToGrid w:val="0"/>
              <w:spacing w:line="240" w:lineRule="atLeast"/>
              <w:jc w:val="center"/>
              <w:rPr>
                <w:rFonts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sz w:val="24"/>
                <w:szCs w:val="24"/>
              </w:rPr>
              <w:t xml:space="preserve">518.47 </w:t>
            </w:r>
          </w:p>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4096"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总计</w:t>
            </w:r>
          </w:p>
        </w:tc>
        <w:tc>
          <w:tcPr>
            <w:tcW w:w="1141"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518.47 </w:t>
            </w:r>
          </w:p>
        </w:tc>
        <w:tc>
          <w:tcPr>
            <w:tcW w:w="1052"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r>
              <w:rPr>
                <w:rFonts w:hint="eastAsia" w:ascii="方正仿宋简体" w:hAnsi="方正仿宋简体" w:eastAsia="方正仿宋简体" w:cs="方正仿宋简体"/>
                <w:color w:val="000000"/>
                <w:sz w:val="24"/>
                <w:szCs w:val="24"/>
              </w:rPr>
              <w:t xml:space="preserve">518.47 </w:t>
            </w:r>
          </w:p>
        </w:tc>
        <w:tc>
          <w:tcPr>
            <w:tcW w:w="1038" w:type="dxa"/>
            <w:vAlign w:val="center"/>
          </w:tcPr>
          <w:p>
            <w:pPr>
              <w:adjustRightInd w:val="0"/>
              <w:snapToGrid w:val="0"/>
              <w:spacing w:line="240" w:lineRule="atLeast"/>
              <w:jc w:val="center"/>
              <w:rPr>
                <w:rStyle w:val="11"/>
                <w:rFonts w:ascii="方正仿宋简体" w:hAnsi="方正仿宋简体" w:eastAsia="方正仿宋简体" w:cs="方正仿宋简体"/>
                <w:color w:val="000000"/>
                <w:sz w:val="24"/>
                <w:szCs w:val="24"/>
                <w:u w:val="none"/>
              </w:rPr>
            </w:pPr>
          </w:p>
        </w:tc>
        <w:tc>
          <w:tcPr>
            <w:tcW w:w="1310" w:type="dxa"/>
            <w:vAlign w:val="center"/>
          </w:tcPr>
          <w:p>
            <w:pPr>
              <w:adjustRightInd w:val="0"/>
              <w:snapToGrid w:val="0"/>
              <w:spacing w:line="240" w:lineRule="atLeast"/>
              <w:jc w:val="left"/>
              <w:rPr>
                <w:rStyle w:val="11"/>
                <w:rFonts w:ascii="方正仿宋简体" w:hAnsi="方正仿宋简体" w:eastAsia="方正仿宋简体" w:cs="方正仿宋简体"/>
                <w:color w:val="000000"/>
                <w:sz w:val="24"/>
                <w:szCs w:val="24"/>
                <w:u w:val="none"/>
              </w:rPr>
            </w:pPr>
          </w:p>
        </w:tc>
      </w:tr>
    </w:tbl>
    <w:p>
      <w:pPr>
        <w:spacing w:line="560" w:lineRule="exact"/>
        <w:jc w:val="left"/>
        <w:rPr>
          <w:rStyle w:val="11"/>
          <w:rFonts w:ascii="方正仿宋简体" w:hAnsi="方正仿宋简体" w:eastAsia="方正仿宋简体" w:cs="方正仿宋简体"/>
          <w:color w:val="FF0000"/>
          <w:sz w:val="24"/>
          <w:szCs w:val="24"/>
          <w:u w:val="none"/>
        </w:rPr>
        <w:sectPr>
          <w:pgSz w:w="16839" w:h="11907" w:orient="landscape"/>
          <w:pgMar w:top="680" w:right="1021" w:bottom="680" w:left="1021" w:header="851" w:footer="992" w:gutter="0"/>
          <w:cols w:space="720" w:num="1"/>
          <w:docGrid w:type="lines" w:linePitch="312" w:charSpace="0"/>
        </w:sectPr>
      </w:pPr>
    </w:p>
    <w:p>
      <w:pPr>
        <w:spacing w:line="560" w:lineRule="exact"/>
        <w:jc w:val="left"/>
        <w:rPr>
          <w:rFonts w:ascii="宋体" w:hAnsi="宋体" w:cs="宋体"/>
          <w:color w:val="000000"/>
          <w:sz w:val="24"/>
          <w:szCs w:val="24"/>
        </w:rPr>
      </w:pPr>
      <w:r>
        <w:rPr>
          <w:rStyle w:val="11"/>
          <w:rFonts w:hint="eastAsia" w:ascii="方正仿宋简体" w:hAnsi="方正仿宋简体" w:eastAsia="方正仿宋简体" w:cs="方正仿宋简体"/>
          <w:color w:val="000000"/>
          <w:sz w:val="28"/>
          <w:u w:val="none"/>
        </w:rPr>
        <w:t>附表1-5</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部门预算一般公共预算财政拨款支出表</w:t>
      </w:r>
    </w:p>
    <w:p>
      <w:pPr>
        <w:spacing w:line="560" w:lineRule="exact"/>
        <w:ind w:firstLine="280" w:firstLineChars="10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319遵化市审计局                          预算年度：2022                                   单位：万元</w:t>
      </w:r>
    </w:p>
    <w:tbl>
      <w:tblPr>
        <w:tblStyle w:val="7"/>
        <w:tblW w:w="14740" w:type="dxa"/>
        <w:jc w:val="center"/>
        <w:tblLayout w:type="autofit"/>
        <w:tblCellMar>
          <w:top w:w="0" w:type="dxa"/>
          <w:left w:w="108" w:type="dxa"/>
          <w:bottom w:w="0" w:type="dxa"/>
          <w:right w:w="108" w:type="dxa"/>
        </w:tblCellMar>
      </w:tblPr>
      <w:tblGrid>
        <w:gridCol w:w="1734"/>
        <w:gridCol w:w="3171"/>
        <w:gridCol w:w="1972"/>
        <w:gridCol w:w="1972"/>
        <w:gridCol w:w="1972"/>
        <w:gridCol w:w="1947"/>
        <w:gridCol w:w="1972"/>
      </w:tblGrid>
      <w:tr>
        <w:tblPrEx>
          <w:tblCellMar>
            <w:top w:w="0" w:type="dxa"/>
            <w:left w:w="108" w:type="dxa"/>
            <w:bottom w:w="0" w:type="dxa"/>
            <w:right w:w="108" w:type="dxa"/>
          </w:tblCellMar>
        </w:tblPrEx>
        <w:trPr>
          <w:trHeight w:val="607" w:hRule="atLeast"/>
          <w:jc w:val="center"/>
        </w:trPr>
        <w:tc>
          <w:tcPr>
            <w:tcW w:w="29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科目</w:t>
            </w:r>
          </w:p>
        </w:tc>
        <w:tc>
          <w:tcPr>
            <w:tcW w:w="13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合计</w:t>
            </w:r>
          </w:p>
        </w:tc>
        <w:tc>
          <w:tcPr>
            <w:tcW w:w="403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基本支出</w:t>
            </w:r>
          </w:p>
        </w:tc>
        <w:tc>
          <w:tcPr>
            <w:tcW w:w="13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项目支出</w:t>
            </w:r>
          </w:p>
        </w:tc>
      </w:tr>
      <w:tr>
        <w:tblPrEx>
          <w:tblCellMar>
            <w:top w:w="0" w:type="dxa"/>
            <w:left w:w="108" w:type="dxa"/>
            <w:bottom w:w="0" w:type="dxa"/>
            <w:right w:w="108" w:type="dxa"/>
          </w:tblCellMar>
        </w:tblPrEx>
        <w:trPr>
          <w:trHeight w:val="1003"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功能分类科目编码</w:t>
            </w:r>
          </w:p>
        </w:tc>
        <w:tc>
          <w:tcPr>
            <w:tcW w:w="216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科目名称</w:t>
            </w:r>
          </w:p>
        </w:tc>
        <w:tc>
          <w:tcPr>
            <w:tcW w:w="13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b/>
                <w:bCs/>
                <w:kern w:val="0"/>
                <w:sz w:val="24"/>
                <w:szCs w:val="24"/>
              </w:rPr>
            </w:pP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小计</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人员经费</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公用经费</w:t>
            </w:r>
          </w:p>
        </w:tc>
        <w:tc>
          <w:tcPr>
            <w:tcW w:w="13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b/>
                <w:bCs/>
                <w:kern w:val="0"/>
                <w:sz w:val="24"/>
                <w:szCs w:val="24"/>
              </w:rPr>
            </w:pPr>
          </w:p>
        </w:tc>
      </w:tr>
      <w:tr>
        <w:tblPrEx>
          <w:tblCellMar>
            <w:top w:w="0" w:type="dxa"/>
            <w:left w:w="108" w:type="dxa"/>
            <w:bottom w:w="0" w:type="dxa"/>
            <w:right w:w="108" w:type="dxa"/>
          </w:tblCellMar>
        </w:tblPrEx>
        <w:trPr>
          <w:trHeight w:val="456" w:hRule="atLeast"/>
          <w:jc w:val="center"/>
        </w:trPr>
        <w:tc>
          <w:tcPr>
            <w:tcW w:w="293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合计</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518.47 </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370.47 </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349.86 </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20.61</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148</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201</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一般公共服务支出</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408.72</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260.72</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240.11</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20.61</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148</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20108</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审计事务</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408.72</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260.72</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240.11</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20.61</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148</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2010801</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行政运行</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260.72</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260.72</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240.11</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20.61</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2010802</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一般行政管理事务</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18.00</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18.00</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2010804</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审计业务</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130.00</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130.00</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208</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社会保障和就业支出</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45.48</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45.48</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45.48</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20805</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行政事业单位养老支出</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45.48</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45.48</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45.48</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2080505</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机关事业单位基本养老保险缴费支出</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33.66</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33.66</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33.66</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2080506</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机关事业单位职业年金缴费支出</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11.82</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11.82</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11.82</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210</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卫生健康支出</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21011</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行政事业单位医疗</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2101101</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行政单位医疗</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39.53</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221</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住房保障支出</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22102</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住房改革支出</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2210201</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住房公积金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bl>
    <w:p>
      <w:pPr>
        <w:spacing w:line="560" w:lineRule="exact"/>
        <w:ind w:firstLine="240" w:firstLineChars="100"/>
        <w:jc w:val="left"/>
        <w:rPr>
          <w:rStyle w:val="11"/>
          <w:rFonts w:ascii="方正仿宋简体" w:hAnsi="方正仿宋简体" w:eastAsia="方正仿宋简体" w:cs="方正仿宋简体"/>
          <w:color w:val="FF0000"/>
          <w:sz w:val="24"/>
          <w:szCs w:val="24"/>
          <w:u w:val="none"/>
        </w:rPr>
      </w:pPr>
      <w:r>
        <w:rPr>
          <w:rStyle w:val="11"/>
          <w:rFonts w:hint="eastAsia" w:ascii="方正仿宋简体" w:hAnsi="方正仿宋简体" w:eastAsia="方正仿宋简体" w:cs="方正仿宋简体"/>
          <w:color w:val="FF0000"/>
          <w:sz w:val="24"/>
          <w:szCs w:val="24"/>
          <w:u w:val="none"/>
        </w:rPr>
        <w:t xml:space="preserve">                              </w:t>
      </w:r>
    </w:p>
    <w:p>
      <w:pPr>
        <w:spacing w:line="560" w:lineRule="exact"/>
        <w:jc w:val="left"/>
        <w:rPr>
          <w:rStyle w:val="11"/>
          <w:rFonts w:ascii="方正仿宋简体" w:hAnsi="方正仿宋简体" w:eastAsia="方正仿宋简体" w:cs="方正仿宋简体"/>
          <w:color w:val="FF0000"/>
          <w:sz w:val="28"/>
          <w:u w:val="none"/>
        </w:rPr>
        <w:sectPr>
          <w:pgSz w:w="16839" w:h="11907" w:orient="landscape"/>
          <w:pgMar w:top="680" w:right="1021" w:bottom="680" w:left="1021"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附表1-6</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部门预算一般公共预算财政拨款基本支出表</w:t>
      </w:r>
    </w:p>
    <w:p>
      <w:pPr>
        <w:spacing w:line="560" w:lineRule="exact"/>
        <w:ind w:firstLine="280" w:firstLineChars="100"/>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319遵化市审计局                         预算年度：2022                                    单位：万元</w:t>
      </w:r>
      <w:r>
        <w:rPr>
          <w:rStyle w:val="11"/>
          <w:rFonts w:hint="eastAsia" w:ascii="方正仿宋简体" w:hAnsi="方正仿宋简体" w:eastAsia="方正仿宋简体" w:cs="方正仿宋简体"/>
          <w:color w:val="000000"/>
          <w:sz w:val="28"/>
          <w:u w:val="none"/>
        </w:rPr>
        <w:tab/>
      </w:r>
    </w:p>
    <w:tbl>
      <w:tblPr>
        <w:tblStyle w:val="7"/>
        <w:tblW w:w="14740" w:type="dxa"/>
        <w:jc w:val="center"/>
        <w:tblLayout w:type="autofit"/>
        <w:tblCellMar>
          <w:top w:w="0" w:type="dxa"/>
          <w:left w:w="108" w:type="dxa"/>
          <w:bottom w:w="0" w:type="dxa"/>
          <w:right w:w="108" w:type="dxa"/>
        </w:tblCellMar>
      </w:tblPr>
      <w:tblGrid>
        <w:gridCol w:w="1562"/>
        <w:gridCol w:w="3296"/>
        <w:gridCol w:w="3294"/>
        <w:gridCol w:w="3294"/>
        <w:gridCol w:w="3294"/>
      </w:tblGrid>
      <w:tr>
        <w:tblPrEx>
          <w:tblCellMar>
            <w:top w:w="0" w:type="dxa"/>
            <w:left w:w="108" w:type="dxa"/>
            <w:bottom w:w="0" w:type="dxa"/>
            <w:right w:w="108" w:type="dxa"/>
          </w:tblCellMar>
        </w:tblPrEx>
        <w:trPr>
          <w:trHeight w:val="595" w:hRule="atLeast"/>
          <w:jc w:val="center"/>
        </w:trPr>
        <w:tc>
          <w:tcPr>
            <w:tcW w:w="29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科目</w:t>
            </w:r>
          </w:p>
        </w:tc>
        <w:tc>
          <w:tcPr>
            <w:tcW w:w="591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基本支出</w:t>
            </w:r>
          </w:p>
        </w:tc>
      </w:tr>
      <w:tr>
        <w:tblPrEx>
          <w:tblCellMar>
            <w:top w:w="0" w:type="dxa"/>
            <w:left w:w="108" w:type="dxa"/>
            <w:bottom w:w="0" w:type="dxa"/>
            <w:right w:w="108" w:type="dxa"/>
          </w:tblCellMar>
        </w:tblPrEx>
        <w:trPr>
          <w:trHeight w:val="747" w:hRule="atLeast"/>
          <w:jc w:val="center"/>
        </w:trPr>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经济分类科目编码</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科目名称</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合计</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人员经费</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公用经费</w:t>
            </w:r>
          </w:p>
        </w:tc>
      </w:tr>
      <w:tr>
        <w:tblPrEx>
          <w:tblCellMar>
            <w:top w:w="0" w:type="dxa"/>
            <w:left w:w="108" w:type="dxa"/>
            <w:bottom w:w="0" w:type="dxa"/>
            <w:right w:w="108" w:type="dxa"/>
          </w:tblCellMar>
        </w:tblPrEx>
        <w:trPr>
          <w:trHeight w:val="448"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1</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2</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3</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4</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5</w:t>
            </w:r>
          </w:p>
        </w:tc>
      </w:tr>
      <w:tr>
        <w:tblPrEx>
          <w:tblCellMar>
            <w:top w:w="0" w:type="dxa"/>
            <w:left w:w="108" w:type="dxa"/>
            <w:bottom w:w="0" w:type="dxa"/>
            <w:right w:w="108" w:type="dxa"/>
          </w:tblCellMar>
        </w:tblPrEx>
        <w:trPr>
          <w:trHeight w:val="448"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合计</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370.47</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349.86</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20.61</w:t>
            </w:r>
          </w:p>
        </w:tc>
      </w:tr>
      <w:tr>
        <w:tblPrEx>
          <w:tblCellMar>
            <w:top w:w="0" w:type="dxa"/>
            <w:left w:w="108" w:type="dxa"/>
            <w:bottom w:w="0" w:type="dxa"/>
            <w:right w:w="108" w:type="dxa"/>
          </w:tblCellMar>
        </w:tblPrEx>
        <w:trPr>
          <w:trHeight w:val="448"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工资福利支出</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332.17</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332.17</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48"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30101</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基本工资</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134.04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134.04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48"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30102</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津贴补贴</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87.41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87.41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48"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30103</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奖金</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6.40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6.40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48"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30108</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机关事业单位基本养老保险缴费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33.66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33.66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30109</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职业年金缴费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11.82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11.82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30110</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职工基本医疗保险缴费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20.04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20.04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30111</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公务员医疗补助缴费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11.82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11.82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30112</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其他社会保障缴费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2.24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2.24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30113</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住房公积金</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24.74</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商品和服务支出</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20.61</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20.61</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30201</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办公费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0.54</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0.54</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30206</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电费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0.36</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0.36</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30207</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邮电费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0.66</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0.66</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30211</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差旅费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0.36</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0.36</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30215</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会议费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0.09</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0.09</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30216</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培训费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0.09</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0.09</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30228</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工会经费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1.79</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1.79</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30229</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福利费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2.18</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2.18</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30231</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公务用车运行维护费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4.10</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4.10</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30239</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其他交通费用</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10.26</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10.26</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30299</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其他商品和服务支出</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0.18</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0.18</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303</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对个人和家庭的补助</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17.69</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17.69</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30302</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退休费</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10.00</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10.00</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30307</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医疗费补助</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7.67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7.67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0" w:hRule="atLeast"/>
          <w:jc w:val="center"/>
        </w:trPr>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30309</w:t>
            </w:r>
          </w:p>
        </w:tc>
        <w:tc>
          <w:tcPr>
            <w:tcW w:w="1973"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奖励金</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0.02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0.02 </w:t>
            </w:r>
          </w:p>
        </w:tc>
        <w:tc>
          <w:tcPr>
            <w:tcW w:w="1973" w:type="dxa"/>
            <w:tcBorders>
              <w:top w:val="nil"/>
              <w:left w:val="nil"/>
              <w:bottom w:val="single" w:color="auto" w:sz="4" w:space="0"/>
              <w:right w:val="single" w:color="auto" w:sz="4" w:space="0"/>
            </w:tcBorders>
            <w:shd w:val="clear" w:color="auto" w:fill="auto"/>
            <w:noWrap/>
            <w:vAlign w:val="center"/>
          </w:tcPr>
          <w:p>
            <w:pPr>
              <w:widowControl/>
              <w:jc w:val="righ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bl>
    <w:p>
      <w:pPr>
        <w:spacing w:line="560" w:lineRule="exact"/>
        <w:jc w:val="left"/>
        <w:rPr>
          <w:rStyle w:val="11"/>
          <w:rFonts w:ascii="方正仿宋简体" w:hAnsi="方正仿宋简体" w:eastAsia="方正仿宋简体" w:cs="方正仿宋简体"/>
          <w:color w:val="FF0000"/>
          <w:sz w:val="24"/>
          <w:szCs w:val="24"/>
          <w:u w:val="none"/>
        </w:rPr>
        <w:sectPr>
          <w:pgSz w:w="16839" w:h="11907" w:orient="landscape"/>
          <w:pgMar w:top="680" w:right="1021" w:bottom="680" w:left="1021"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附表1-7</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部门预算政府基金预算财政拨款支出表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9"/>
        <w:gridCol w:w="2836"/>
        <w:gridCol w:w="3121"/>
        <w:gridCol w:w="2746"/>
        <w:gridCol w:w="2472"/>
        <w:gridCol w:w="24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3" w:hRule="atLeast"/>
          <w:tblHeader/>
          <w:jc w:val="center"/>
        </w:trPr>
        <w:tc>
          <w:tcPr>
            <w:tcW w:w="9206"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319 遵化市审计局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tblHeader/>
          <w:jc w:val="center"/>
        </w:trPr>
        <w:tc>
          <w:tcPr>
            <w:tcW w:w="668" w:type="dxa"/>
            <w:vMerge w:val="restart"/>
          </w:tcPr>
          <w:p>
            <w:pPr>
              <w:spacing w:line="560" w:lineRule="exact"/>
              <w:jc w:val="center"/>
              <w:rPr>
                <w:rStyle w:val="11"/>
                <w:rFonts w:ascii="方正仿宋简体" w:hAnsi="方正仿宋简体" w:eastAsia="方正仿宋简体" w:cs="方正仿宋简体"/>
                <w:color w:val="000000"/>
                <w:sz w:val="28"/>
                <w:u w:val="none"/>
              </w:rPr>
            </w:pPr>
          </w:p>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序号</w:t>
            </w:r>
          </w:p>
        </w:tc>
        <w:tc>
          <w:tcPr>
            <w:tcW w:w="3720" w:type="dxa"/>
            <w:gridSpan w:val="2"/>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科  目</w:t>
            </w:r>
          </w:p>
        </w:tc>
        <w:tc>
          <w:tcPr>
            <w:tcW w:w="1715" w:type="dxa"/>
            <w:vMerge w:val="restart"/>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合计</w:t>
            </w:r>
          </w:p>
        </w:tc>
        <w:tc>
          <w:tcPr>
            <w:tcW w:w="1544" w:type="dxa"/>
            <w:vMerge w:val="restart"/>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基本支出</w:t>
            </w:r>
          </w:p>
        </w:tc>
        <w:tc>
          <w:tcPr>
            <w:tcW w:w="1557" w:type="dxa"/>
            <w:vMerge w:val="restart"/>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6" w:hRule="exact"/>
          <w:tblHeader/>
          <w:jc w:val="center"/>
        </w:trPr>
        <w:tc>
          <w:tcPr>
            <w:tcW w:w="668" w:type="dxa"/>
            <w:vMerge w:val="continue"/>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功能分类科目编码</w:t>
            </w: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科目名称</w:t>
            </w:r>
          </w:p>
        </w:tc>
        <w:tc>
          <w:tcPr>
            <w:tcW w:w="1715" w:type="dxa"/>
            <w:vMerge w:val="continue"/>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Merge w:val="continue"/>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Merge w:val="continue"/>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tblHeader/>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栏次</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w:t>
            </w: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w:t>
            </w: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w:t>
            </w: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4</w:t>
            </w: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tblHeader/>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w:t>
            </w:r>
          </w:p>
        </w:tc>
        <w:tc>
          <w:tcPr>
            <w:tcW w:w="3720" w:type="dxa"/>
            <w:gridSpan w:val="2"/>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合  计</w:t>
            </w: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4</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5</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6</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7</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8</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exact"/>
          <w:jc w:val="center"/>
        </w:trPr>
        <w:tc>
          <w:tcPr>
            <w:tcW w:w="668"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9</w:t>
            </w:r>
          </w:p>
        </w:tc>
        <w:tc>
          <w:tcPr>
            <w:tcW w:w="177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948"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715"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4"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7"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bl>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注：无政府基金预算财政拨款预算，空表列示。</w:t>
      </w:r>
    </w:p>
    <w:p>
      <w:pPr>
        <w:spacing w:line="560" w:lineRule="exact"/>
        <w:jc w:val="left"/>
        <w:rPr>
          <w:rStyle w:val="11"/>
          <w:rFonts w:ascii="方正仿宋简体" w:hAnsi="方正仿宋简体" w:eastAsia="方正仿宋简体" w:cs="方正仿宋简体"/>
          <w:color w:val="FF0000"/>
          <w:sz w:val="28"/>
          <w:u w:val="none"/>
        </w:rPr>
        <w:sectPr>
          <w:pgSz w:w="16839" w:h="11907" w:orient="landscape"/>
          <w:pgMar w:top="680" w:right="1021" w:bottom="1134" w:left="1021" w:header="851" w:footer="992" w:gutter="0"/>
          <w:cols w:space="720" w:num="1"/>
          <w:docGrid w:type="lines" w:linePitch="312" w:charSpace="0"/>
        </w:sectPr>
      </w:pPr>
    </w:p>
    <w:p>
      <w:pPr>
        <w:spacing w:line="560" w:lineRule="exact"/>
        <w:jc w:val="left"/>
        <w:rPr>
          <w:rStyle w:val="11"/>
          <w:rFonts w:ascii="方正小标宋简体" w:hAnsi="方正小标宋简体" w:eastAsia="方正小标宋简体" w:cs="方正小标宋简体"/>
          <w:color w:val="000000"/>
          <w:sz w:val="44"/>
          <w:szCs w:val="44"/>
          <w:u w:val="none"/>
        </w:rPr>
      </w:pPr>
      <w:r>
        <w:rPr>
          <w:rStyle w:val="11"/>
          <w:rFonts w:hint="eastAsia" w:ascii="方正仿宋简体" w:hAnsi="方正仿宋简体" w:eastAsia="方正仿宋简体" w:cs="方正仿宋简体"/>
          <w:color w:val="000000"/>
          <w:sz w:val="28"/>
          <w:u w:val="none"/>
        </w:rPr>
        <w:t>附表1-8</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部门预算国有资本经营预算财政拨款支出表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4"/>
        <w:gridCol w:w="2639"/>
        <w:gridCol w:w="2579"/>
        <w:gridCol w:w="2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0" w:hRule="atLeast"/>
          <w:tblHeader/>
          <w:jc w:val="center"/>
        </w:trPr>
        <w:tc>
          <w:tcPr>
            <w:tcW w:w="8606"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000000"/>
                <w:sz w:val="28"/>
                <w:u w:val="none"/>
              </w:rPr>
            </w:pPr>
            <w:r>
              <w:rPr>
                <w:rStyle w:val="11"/>
                <w:rFonts w:ascii="方正仿宋简体" w:hAnsi="方正仿宋简体" w:eastAsia="方正仿宋简体" w:cs="方正仿宋简体"/>
                <w:color w:val="000000"/>
                <w:sz w:val="28"/>
                <w:u w:val="none"/>
              </w:rPr>
              <w:t xml:space="preserve">319遵化市审计局       </w:t>
            </w:r>
            <w:r>
              <w:rPr>
                <w:rStyle w:val="11"/>
                <w:rFonts w:hint="eastAsia" w:ascii="方正仿宋简体" w:hAnsi="方正仿宋简体" w:eastAsia="方正仿宋简体" w:cs="方正仿宋简体"/>
                <w:color w:val="000000"/>
                <w:sz w:val="28"/>
                <w:u w:val="none"/>
              </w:rPr>
              <w:t xml:space="preserve">                  </w:t>
            </w:r>
            <w:r>
              <w:rPr>
                <w:rStyle w:val="11"/>
                <w:rFonts w:ascii="方正仿宋简体" w:hAnsi="方正仿宋简体" w:eastAsia="方正仿宋简体" w:cs="方正仿宋简体"/>
                <w:color w:val="000000"/>
                <w:sz w:val="28"/>
                <w:u w:val="none"/>
              </w:rPr>
              <w:t xml:space="preserve"> 预算年度：2022       </w:t>
            </w:r>
            <w:r>
              <w:rPr>
                <w:rStyle w:val="11"/>
                <w:rFonts w:hint="eastAsia" w:ascii="方正仿宋简体" w:hAnsi="方正仿宋简体" w:eastAsia="方正仿宋简体" w:cs="方正仿宋简体"/>
                <w:color w:val="000000"/>
                <w:sz w:val="28"/>
                <w:u w:val="none"/>
              </w:rPr>
              <w:t xml:space="preserve">                           </w:t>
            </w:r>
            <w:r>
              <w:rPr>
                <w:rStyle w:val="11"/>
                <w:rFonts w:ascii="方正仿宋简体" w:hAnsi="方正仿宋简体" w:eastAsia="方正仿宋简体" w:cs="方正仿宋简体"/>
                <w:color w:val="000000"/>
                <w:sz w:val="28"/>
                <w:u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tblHeader/>
          <w:jc w:val="center"/>
        </w:trPr>
        <w:tc>
          <w:tcPr>
            <w:tcW w:w="774" w:type="dxa"/>
            <w:vMerge w:val="restart"/>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序号</w:t>
            </w:r>
          </w:p>
        </w:tc>
        <w:tc>
          <w:tcPr>
            <w:tcW w:w="3231" w:type="dxa"/>
            <w:gridSpan w:val="2"/>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科  目</w:t>
            </w:r>
          </w:p>
        </w:tc>
        <w:tc>
          <w:tcPr>
            <w:tcW w:w="1541" w:type="dxa"/>
            <w:vMerge w:val="restart"/>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合计</w:t>
            </w:r>
          </w:p>
        </w:tc>
        <w:tc>
          <w:tcPr>
            <w:tcW w:w="1506" w:type="dxa"/>
            <w:vMerge w:val="restart"/>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基本支出</w:t>
            </w:r>
          </w:p>
        </w:tc>
        <w:tc>
          <w:tcPr>
            <w:tcW w:w="1552" w:type="dxa"/>
            <w:vMerge w:val="restart"/>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tblHeader/>
          <w:jc w:val="center"/>
        </w:trPr>
        <w:tc>
          <w:tcPr>
            <w:tcW w:w="774" w:type="dxa"/>
            <w:vMerge w:val="continue"/>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功能分类科目编码</w:t>
            </w: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科目名称</w:t>
            </w:r>
          </w:p>
        </w:tc>
        <w:tc>
          <w:tcPr>
            <w:tcW w:w="1541" w:type="dxa"/>
            <w:vMerge w:val="continue"/>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Merge w:val="continue"/>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Merge w:val="continue"/>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tblHeader/>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栏次</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w:t>
            </w: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w:t>
            </w: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w:t>
            </w: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4</w:t>
            </w: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1</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2</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3</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4</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5</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6</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7</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8</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exact"/>
          <w:jc w:val="center"/>
        </w:trPr>
        <w:tc>
          <w:tcPr>
            <w:tcW w:w="774" w:type="dxa"/>
            <w:vAlign w:val="center"/>
          </w:tcPr>
          <w:p>
            <w:pPr>
              <w:spacing w:line="560" w:lineRule="exact"/>
              <w:jc w:val="center"/>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9</w:t>
            </w:r>
          </w:p>
        </w:tc>
        <w:tc>
          <w:tcPr>
            <w:tcW w:w="1699"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3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41"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06" w:type="dxa"/>
            <w:vAlign w:val="center"/>
          </w:tcPr>
          <w:p>
            <w:pPr>
              <w:spacing w:line="560" w:lineRule="exact"/>
              <w:jc w:val="center"/>
              <w:rPr>
                <w:rStyle w:val="11"/>
                <w:rFonts w:ascii="方正仿宋简体" w:hAnsi="方正仿宋简体" w:eastAsia="方正仿宋简体" w:cs="方正仿宋简体"/>
                <w:color w:val="000000"/>
                <w:sz w:val="28"/>
                <w:u w:val="none"/>
              </w:rPr>
            </w:pPr>
          </w:p>
        </w:tc>
        <w:tc>
          <w:tcPr>
            <w:tcW w:w="1552" w:type="dxa"/>
            <w:vAlign w:val="center"/>
          </w:tcPr>
          <w:p>
            <w:pPr>
              <w:spacing w:line="560" w:lineRule="exact"/>
              <w:jc w:val="center"/>
              <w:rPr>
                <w:rStyle w:val="11"/>
                <w:rFonts w:ascii="方正仿宋简体" w:hAnsi="方正仿宋简体" w:eastAsia="方正仿宋简体" w:cs="方正仿宋简体"/>
                <w:color w:val="000000"/>
                <w:sz w:val="28"/>
                <w:u w:val="none"/>
              </w:rPr>
            </w:pPr>
          </w:p>
        </w:tc>
      </w:tr>
    </w:tbl>
    <w:p>
      <w:pPr>
        <w:spacing w:line="560" w:lineRule="exact"/>
        <w:jc w:val="left"/>
        <w:rPr>
          <w:rStyle w:val="11"/>
          <w:rFonts w:ascii="方正仿宋简体" w:hAnsi="方正仿宋简体" w:eastAsia="方正仿宋简体" w:cs="方正仿宋简体"/>
          <w:color w:val="000000"/>
          <w:sz w:val="28"/>
          <w:u w:val="none"/>
        </w:rPr>
      </w:pPr>
      <w:r>
        <w:rPr>
          <w:rStyle w:val="11"/>
          <w:rFonts w:hint="eastAsia" w:ascii="方正仿宋简体" w:hAnsi="方正仿宋简体" w:eastAsia="方正仿宋简体" w:cs="方正仿宋简体"/>
          <w:color w:val="000000"/>
          <w:sz w:val="28"/>
          <w:u w:val="none"/>
        </w:rPr>
        <w:t>注：无国有资本经营预算财政拨款预算，空表列示。</w:t>
      </w:r>
    </w:p>
    <w:p>
      <w:pPr>
        <w:spacing w:line="560" w:lineRule="exact"/>
        <w:jc w:val="left"/>
        <w:rPr>
          <w:rStyle w:val="11"/>
          <w:rFonts w:ascii="方正仿宋简体" w:hAnsi="方正仿宋简体" w:eastAsia="方正仿宋简体" w:cs="方正仿宋简体"/>
          <w:color w:val="FF0000"/>
          <w:sz w:val="28"/>
          <w:u w:val="none"/>
        </w:rPr>
      </w:pPr>
    </w:p>
    <w:p>
      <w:pPr>
        <w:spacing w:line="560" w:lineRule="exact"/>
        <w:jc w:val="left"/>
        <w:rPr>
          <w:rStyle w:val="11"/>
          <w:rFonts w:ascii="宋体" w:hAnsi="宋体" w:cs="宋体"/>
          <w:color w:val="FF0000"/>
          <w:sz w:val="28"/>
          <w:u w:val="none"/>
        </w:rPr>
      </w:pPr>
    </w:p>
    <w:p>
      <w:pPr>
        <w:spacing w:line="560" w:lineRule="exact"/>
        <w:rPr>
          <w:rStyle w:val="11"/>
          <w:rFonts w:ascii="方正仿宋简体" w:hAnsi="方正仿宋简体" w:eastAsia="方正仿宋简体" w:cs="方正仿宋简体"/>
          <w:color w:val="000000"/>
          <w:sz w:val="28"/>
          <w:u w:val="none"/>
        </w:rPr>
      </w:pPr>
    </w:p>
    <w:p>
      <w:pPr>
        <w:spacing w:line="560" w:lineRule="exact"/>
        <w:rPr>
          <w:rStyle w:val="11"/>
          <w:rFonts w:ascii="方正小标宋简体" w:hAnsi="方正小标宋简体" w:eastAsia="方正小标宋简体" w:cs="方正小标宋简体"/>
          <w:color w:val="000000"/>
          <w:sz w:val="44"/>
          <w:szCs w:val="44"/>
          <w:u w:val="none"/>
        </w:rPr>
      </w:pPr>
      <w:r>
        <w:rPr>
          <w:rStyle w:val="11"/>
          <w:rFonts w:hint="eastAsia" w:ascii="方正仿宋简体" w:hAnsi="方正仿宋简体" w:eastAsia="方正仿宋简体" w:cs="方正仿宋简体"/>
          <w:color w:val="000000"/>
          <w:sz w:val="28"/>
          <w:u w:val="none"/>
        </w:rPr>
        <w:t>附表1-9</w:t>
      </w:r>
    </w:p>
    <w:p>
      <w:pPr>
        <w:spacing w:line="560" w:lineRule="exact"/>
        <w:jc w:val="center"/>
        <w:rPr>
          <w:rStyle w:val="11"/>
          <w:rFonts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部门预算财政拨款“三公”经费支出表</w:t>
      </w:r>
    </w:p>
    <w:p>
      <w:pPr>
        <w:spacing w:line="560" w:lineRule="exact"/>
        <w:jc w:val="center"/>
        <w:rPr>
          <w:rFonts w:ascii="方正小标宋简体" w:hAnsi="方正小标宋简体" w:eastAsia="方正小标宋简体" w:cs="方正小标宋简体"/>
          <w:color w:val="000000"/>
          <w:sz w:val="44"/>
          <w:szCs w:val="44"/>
        </w:rPr>
      </w:pPr>
    </w:p>
    <w:tbl>
      <w:tblPr>
        <w:tblStyle w:val="7"/>
        <w:tblW w:w="14740" w:type="dxa"/>
        <w:jc w:val="center"/>
        <w:tblLayout w:type="autofit"/>
        <w:tblCellMar>
          <w:top w:w="0" w:type="dxa"/>
          <w:left w:w="108" w:type="dxa"/>
          <w:bottom w:w="0" w:type="dxa"/>
          <w:right w:w="108" w:type="dxa"/>
        </w:tblCellMar>
      </w:tblPr>
      <w:tblGrid>
        <w:gridCol w:w="3261"/>
        <w:gridCol w:w="2868"/>
        <w:gridCol w:w="2868"/>
        <w:gridCol w:w="2868"/>
        <w:gridCol w:w="2875"/>
      </w:tblGrid>
      <w:tr>
        <w:tblPrEx>
          <w:tblCellMar>
            <w:top w:w="0" w:type="dxa"/>
            <w:left w:w="108" w:type="dxa"/>
            <w:bottom w:w="0" w:type="dxa"/>
            <w:right w:w="108" w:type="dxa"/>
          </w:tblCellMar>
        </w:tblPrEx>
        <w:trPr>
          <w:trHeight w:val="425" w:hRule="atLeast"/>
          <w:jc w:val="center"/>
        </w:trPr>
        <w:tc>
          <w:tcPr>
            <w:tcW w:w="6129" w:type="dxa"/>
            <w:gridSpan w:val="2"/>
            <w:tcBorders>
              <w:top w:val="nil"/>
              <w:left w:val="nil"/>
              <w:bottom w:val="nil"/>
              <w:right w:val="nil"/>
            </w:tcBorders>
            <w:shd w:val="clear" w:color="000000" w:fill="FFFFFF"/>
            <w:noWrap/>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319遵化市审计局</w:t>
            </w:r>
          </w:p>
        </w:tc>
        <w:tc>
          <w:tcPr>
            <w:tcW w:w="2868" w:type="dxa"/>
            <w:tcBorders>
              <w:top w:val="nil"/>
              <w:left w:val="nil"/>
              <w:bottom w:val="nil"/>
              <w:right w:val="nil"/>
            </w:tcBorders>
            <w:shd w:val="clear" w:color="000000" w:fill="FFFFFF"/>
            <w:noWrap/>
            <w:vAlign w:val="center"/>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868" w:type="dxa"/>
            <w:tcBorders>
              <w:top w:val="nil"/>
              <w:left w:val="nil"/>
              <w:bottom w:val="nil"/>
              <w:right w:val="nil"/>
            </w:tcBorders>
            <w:shd w:val="clear" w:color="000000" w:fill="FFFFFF"/>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875" w:type="dxa"/>
            <w:tcBorders>
              <w:top w:val="nil"/>
              <w:left w:val="nil"/>
              <w:bottom w:val="nil"/>
              <w:right w:val="nil"/>
            </w:tcBorders>
            <w:shd w:val="clear" w:color="000000" w:fill="FFFFFF"/>
            <w:noWrap/>
            <w:vAlign w:val="center"/>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trHeight w:val="816" w:hRule="atLeast"/>
          <w:jc w:val="center"/>
        </w:trPr>
        <w:tc>
          <w:tcPr>
            <w:tcW w:w="32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项目</w:t>
            </w:r>
          </w:p>
        </w:tc>
        <w:tc>
          <w:tcPr>
            <w:tcW w:w="1147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资金来源</w:t>
            </w:r>
          </w:p>
        </w:tc>
      </w:tr>
      <w:tr>
        <w:tblPrEx>
          <w:tblCellMar>
            <w:top w:w="0" w:type="dxa"/>
            <w:left w:w="108" w:type="dxa"/>
            <w:bottom w:w="0" w:type="dxa"/>
            <w:right w:w="108" w:type="dxa"/>
          </w:tblCellMar>
        </w:tblPrEx>
        <w:trPr>
          <w:trHeight w:val="816" w:hRule="atLeast"/>
          <w:jc w:val="center"/>
        </w:trPr>
        <w:tc>
          <w:tcPr>
            <w:tcW w:w="32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简体" w:hAnsi="方正仿宋简体" w:eastAsia="方正仿宋简体" w:cs="方正仿宋简体"/>
                <w:b/>
                <w:bCs/>
                <w:kern w:val="0"/>
                <w:sz w:val="24"/>
                <w:szCs w:val="24"/>
              </w:rPr>
            </w:pP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合计</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一般公共预算财政拨款</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政府性基金财政拨款</w:t>
            </w:r>
          </w:p>
        </w:tc>
        <w:tc>
          <w:tcPr>
            <w:tcW w:w="287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国有资本经营预算财政拨款</w:t>
            </w:r>
          </w:p>
        </w:tc>
      </w:tr>
      <w:tr>
        <w:tblPrEx>
          <w:tblCellMar>
            <w:top w:w="0" w:type="dxa"/>
            <w:left w:w="108" w:type="dxa"/>
            <w:bottom w:w="0" w:type="dxa"/>
            <w:right w:w="108" w:type="dxa"/>
          </w:tblCellMar>
        </w:tblPrEx>
        <w:trPr>
          <w:trHeight w:val="709" w:hRule="atLeast"/>
          <w:jc w:val="center"/>
        </w:trPr>
        <w:tc>
          <w:tcPr>
            <w:tcW w:w="3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合计</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22.10</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22.10</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87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709" w:hRule="atLeast"/>
          <w:jc w:val="center"/>
        </w:trPr>
        <w:tc>
          <w:tcPr>
            <w:tcW w:w="32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一、因公出国（境）费</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87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709" w:hRule="atLeast"/>
          <w:jc w:val="center"/>
        </w:trPr>
        <w:tc>
          <w:tcPr>
            <w:tcW w:w="32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二、公务用车购置及运行费</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22.1</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22.1</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87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709" w:hRule="atLeast"/>
          <w:jc w:val="center"/>
        </w:trPr>
        <w:tc>
          <w:tcPr>
            <w:tcW w:w="32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其中：公务用车购置费</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18</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18</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87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709" w:hRule="atLeast"/>
          <w:jc w:val="center"/>
        </w:trPr>
        <w:tc>
          <w:tcPr>
            <w:tcW w:w="32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           公务用车运行费</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4.1</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4.1</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87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709" w:hRule="atLeast"/>
          <w:jc w:val="center"/>
        </w:trPr>
        <w:tc>
          <w:tcPr>
            <w:tcW w:w="32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三、公务接待费</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87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bl>
    <w:p>
      <w:pPr>
        <w:spacing w:line="560" w:lineRule="exact"/>
        <w:jc w:val="center"/>
        <w:rPr>
          <w:rFonts w:ascii="宋体" w:hAnsi="宋体" w:cs="宋体"/>
          <w:sz w:val="44"/>
          <w:szCs w:val="44"/>
        </w:rPr>
        <w:sectPr>
          <w:pgSz w:w="16840" w:h="11900" w:orient="landscape"/>
          <w:pgMar w:top="680" w:right="1440" w:bottom="680" w:left="1440" w:header="720" w:footer="720" w:gutter="0"/>
          <w:cols w:space="720" w:num="1"/>
        </w:sectPr>
      </w:pPr>
    </w:p>
    <w:p>
      <w:pPr>
        <w:spacing w:line="570" w:lineRule="exact"/>
        <w:jc w:val="center"/>
        <w:rPr>
          <w:rFonts w:ascii="宋体" w:hAnsi="宋体" w:cs="宋体"/>
          <w:sz w:val="44"/>
          <w:szCs w:val="44"/>
        </w:r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遵化市审计局部门2022年部门</w:t>
      </w: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70" w:lineRule="exact"/>
        <w:jc w:val="center"/>
        <w:rPr>
          <w:rFonts w:ascii="宋体" w:hAnsi="宋体" w:cs="宋体"/>
          <w:sz w:val="44"/>
          <w:szCs w:val="44"/>
        </w:rPr>
      </w:pP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《中华人民共和国预算法》</w:t>
      </w:r>
      <w:bookmarkStart w:id="12" w:name="_GoBack"/>
      <w:bookmarkEnd w:id="12"/>
      <w:r>
        <w:rPr>
          <w:rFonts w:hint="eastAsia" w:ascii="方正仿宋简体" w:hAnsi="方正仿宋简体" w:eastAsia="方正仿宋简体" w:cs="方正仿宋简体"/>
          <w:sz w:val="32"/>
          <w:szCs w:val="32"/>
        </w:rPr>
        <w:t>、《地方预决算公开操作规程》和《河北省省级预算公开办法》规定，现将遵化市审计局部门2022年部门预算公开如下：</w:t>
      </w:r>
    </w:p>
    <w:p>
      <w:pPr>
        <w:spacing w:line="57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主管全市审计工作。负责对全市财政收支和依法属于审计监督范围的财务收支的真实、合法和效益进行审计监督，对公共资金、国有资产、国有资源和领导干部履行经济责任情况实行审计全覆盖，对领导干部实行自然资源资产离任审计，对国家、省委、省政府、唐山市委、唐山市政府和遵化市委、市政府相关重大政策措施贯彻落实情况进行跟踪审计。对审计、专项审计调查和核查社会审计机构相关审计报告的结果承担责任，并负有督促被审计单位整改的责任。</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贯彻执行审计法律、法规和方针、政策。组织起草审计相关规范性文件；制定审计规范性文件并监督执行；制定并组织实施全市审计工作发展规划和专业领域审计工作规划；制定并组织实施全市年度审计计划；制定审计内容的标准和规范；参与起草财政经济及其相关规范性文件；对直接审计、调查和核查的事项依法进行审计评价，作出审计决定或提出审计建议。</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向中共遵化市委审计委员会提出年度市本级预算执行和其他财政支出情况审计报告。向市长提出年度市本级预算执行和其他财政收支情况的审计结果报告。组织起草市政府向市人大常委会提出市本级预算执行和其他财政收支情况的审计工作报告、审计查出问题整改情况报告。向市委、市政府报告对其他事项的审计和专项审计调查情况及结果。依法向社会公布审计结果。向被审计单位通报审计情况和审计结果。</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4、直接审计下列事项，出具审计报告，在法定职权范围内作出审计决定，包括国家、省、唐山市、遵化市有关重大政策措施贯彻落实情况；市本级预算执行情况和其他财政收支，市直各部门（含所属单位）预算执行情况、决算草案和其他财政收支；</w:t>
      </w:r>
      <w:r>
        <w:rPr>
          <w:rFonts w:hint="eastAsia" w:ascii="仿宋_GB2312" w:hAnsi="仿宋_GB2312" w:eastAsia="仿宋_GB2312" w:cs="仿宋_GB2312"/>
          <w:sz w:val="32"/>
          <w:szCs w:val="32"/>
        </w:rPr>
        <w:t>乡镇（街道）</w:t>
      </w:r>
      <w:r>
        <w:rPr>
          <w:rFonts w:hint="eastAsia" w:ascii="仿宋" w:hAnsi="仿宋" w:eastAsia="仿宋"/>
          <w:sz w:val="32"/>
          <w:szCs w:val="32"/>
        </w:rPr>
        <w:t>政府预算执行情况、决算草案和其他财政收支，市级财政转移支付资金；使用市级财政资金的事业单位和社会团体的财务收支；市投资和以市投资为主的建设项目的预算执行情况和决算，市重大公共工程项目的资金管理使用和建设运营情况；自然资源管理、污染防治和生态保护与修复情况；市属国有和国有资本占控股或者主导地位的企业和金融机构境内外资产、负债和损益，市驻外非经营性机构的财务收支；有关社会保障基金、社会捐赠资金和其他基金、资金的财务收支；国际组织和外国政府援助、贷款项目；法律法规规定的其他事项。</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5、按规定对市管党政主要领导干部及其他单位主要负责人实施经济责任审计和自然资源资产离任审计。</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6、组织实施对财经法律法规、规章、政策和宏观调控措施执行情况、财政预算管理及国有资产管理使用等与财政收支有关的特定事项进行专项审计调查。</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7、依法检查审计决定执行情况，督促整改审计查出的问题，依法办理被审计单位对审计决定提请行政复议、行政诉讼或市政府裁决中的有关事项，协助配合有关部门查处相关重大案件。</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8、指导和监督内部审计工作，核查社会审计机构对依法属于审计监督对象的单位出具的相关审计报告。</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9、组织开展审计领域的交流与合作，指导和推广信息技术在审计领域的应用。</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10、完成市委、市政府和上级审计机关交办的其他任务。</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widowControl/>
        <w:spacing w:line="570" w:lineRule="exact"/>
        <w:ind w:firstLine="640" w:firstLineChars="200"/>
        <w:rPr>
          <w:rFonts w:ascii="仿宋_GB2312" w:hAnsi="仿宋_GB2312" w:eastAsia="仿宋_GB2312" w:cs="仿宋_GB2312"/>
          <w:sz w:val="32"/>
          <w:szCs w:val="32"/>
        </w:rPr>
      </w:pPr>
      <w:r>
        <w:rPr>
          <w:rFonts w:hint="eastAsia" w:ascii="仿宋" w:hAnsi="仿宋" w:eastAsia="仿宋" w:cs="宋体"/>
          <w:color w:val="000000"/>
          <w:kern w:val="0"/>
          <w:sz w:val="32"/>
          <w:szCs w:val="32"/>
        </w:rPr>
        <w:t>1、办公</w:t>
      </w:r>
      <w:r>
        <w:rPr>
          <w:rFonts w:hint="eastAsia" w:ascii="仿宋" w:hAnsi="仿宋" w:eastAsia="仿宋"/>
          <w:kern w:val="0"/>
          <w:sz w:val="32"/>
          <w:szCs w:val="32"/>
        </w:rPr>
        <w:t>室。</w:t>
      </w:r>
      <w:r>
        <w:rPr>
          <w:rFonts w:hint="eastAsia" w:ascii="仿宋_GB2312" w:hAnsi="仿宋_GB2312" w:eastAsia="仿宋_GB2312" w:cs="仿宋_GB2312"/>
          <w:kern w:val="0"/>
          <w:sz w:val="32"/>
          <w:szCs w:val="32"/>
        </w:rPr>
        <w:t>负责机关日常运转，负责重要行政文稿的起草及公文流转、会务、安全、保密机要、信访、档案、政务公开、应急值班等工作。负责审计信息、新闻宣传，管理市级审计网站，编辑内部刊物。承担人大代表建议、政协提案办理工作。负责机关财务和资产管理。</w:t>
      </w:r>
      <w:r>
        <w:rPr>
          <w:rFonts w:hint="eastAsia" w:ascii="仿宋_GB2312" w:hAnsi="仿宋_GB2312" w:eastAsia="仿宋_GB2312" w:cs="仿宋_GB2312"/>
          <w:sz w:val="32"/>
          <w:szCs w:val="32"/>
        </w:rPr>
        <w:t>负责机关干部人事、机构编制、劳动工资、社会保障等工作。负责审计教育培训工作。负责机关离退休干部工作。</w:t>
      </w:r>
      <w:r>
        <w:rPr>
          <w:rFonts w:hint="eastAsia" w:ascii="仿宋_GB2312" w:hAnsi="Times New Roman" w:eastAsia="仿宋_GB2312" w:cs="仿宋_GB2312"/>
          <w:kern w:val="0"/>
          <w:sz w:val="32"/>
          <w:szCs w:val="32"/>
        </w:rPr>
        <w:t>负责机关党群工作</w:t>
      </w:r>
      <w:r>
        <w:rPr>
          <w:rFonts w:hint="eastAsia" w:ascii="仿宋_GB2312" w:hAnsi="仿宋_GB2312" w:eastAsia="仿宋_GB2312" w:cs="仿宋_GB2312"/>
          <w:sz w:val="32"/>
          <w:szCs w:val="32"/>
        </w:rPr>
        <w:t>。</w:t>
      </w:r>
    </w:p>
    <w:p>
      <w:pPr>
        <w:widowControl/>
        <w:spacing w:line="570" w:lineRule="exact"/>
        <w:ind w:firstLine="640" w:firstLineChars="200"/>
        <w:rPr>
          <w:rFonts w:ascii="仿宋_GB2312" w:hAnsi="仿宋_GB2312" w:eastAsia="仿宋_GB2312" w:cs="仿宋_GB2312"/>
          <w:kern w:val="0"/>
          <w:sz w:val="32"/>
          <w:szCs w:val="32"/>
        </w:rPr>
      </w:pPr>
      <w:r>
        <w:rPr>
          <w:rFonts w:hint="eastAsia" w:ascii="仿宋" w:hAnsi="仿宋" w:eastAsia="仿宋"/>
          <w:kern w:val="0"/>
          <w:sz w:val="32"/>
          <w:szCs w:val="32"/>
        </w:rPr>
        <w:t>2、</w:t>
      </w:r>
      <w:r>
        <w:rPr>
          <w:rFonts w:ascii="仿宋" w:hAnsi="仿宋" w:eastAsia="仿宋"/>
          <w:kern w:val="0"/>
          <w:sz w:val="32"/>
          <w:szCs w:val="32"/>
        </w:rPr>
        <w:t>法规审理</w:t>
      </w:r>
      <w:r>
        <w:rPr>
          <w:rFonts w:hint="eastAsia" w:ascii="仿宋" w:hAnsi="仿宋" w:eastAsia="仿宋"/>
          <w:kern w:val="0"/>
          <w:sz w:val="32"/>
          <w:szCs w:val="32"/>
        </w:rPr>
        <w:t>科。负责起草审计相关规范性文件。承担机关有关规范性文件的合法性审查、行政复议、行政应诉等工作。负责拟订全市年度审计项目计划，调度审计项目进度。审理有关审计业务事项，纠正或责成纠正业务科室违反国家规定作出的审计决定，负责对重大违纪违法问题线索的移送协调。依法检查审计决定执行情况，督促被审计单位进行整改。牵头起草审计发现问题的整改和处理结果报告。承担本单位法律顾问和公职律师的相关管理工作。承担指导机关内部科室审计整改监督工作。</w:t>
      </w:r>
      <w:r>
        <w:rPr>
          <w:rFonts w:hint="eastAsia" w:ascii="仿宋_GB2312" w:hAnsi="仿宋_GB2312" w:eastAsia="仿宋_GB2312" w:cs="仿宋_GB2312"/>
          <w:kern w:val="0"/>
          <w:sz w:val="32"/>
          <w:szCs w:val="32"/>
        </w:rPr>
        <w:t>推动建立健全内部审计制度，对内部审计机构进行业务指导，监督内部审计职责履行情况，检查内部审计业务质量。组织协调对社会审计机构出具的相关审计报告的核查。承担对市局机关预算执行情况、决算草案和其他财政收支的审计。</w:t>
      </w:r>
    </w:p>
    <w:p>
      <w:pPr>
        <w:widowControl/>
        <w:spacing w:line="570" w:lineRule="exact"/>
        <w:ind w:firstLine="640" w:firstLineChars="200"/>
        <w:rPr>
          <w:rFonts w:ascii="仿宋_GB2312" w:hAnsi="仿宋_GB2312" w:eastAsia="仿宋_GB2312" w:cs="仿宋_GB2312"/>
          <w:sz w:val="32"/>
          <w:szCs w:val="32"/>
        </w:rPr>
      </w:pPr>
      <w:r>
        <w:rPr>
          <w:rFonts w:hint="eastAsia" w:ascii="仿宋" w:hAnsi="仿宋" w:eastAsia="仿宋" w:cs="宋体"/>
          <w:color w:val="000000"/>
          <w:kern w:val="0"/>
          <w:sz w:val="32"/>
          <w:szCs w:val="32"/>
        </w:rPr>
        <w:t>3、财政审计科</w:t>
      </w:r>
      <w:r>
        <w:rPr>
          <w:rFonts w:hint="eastAsia" w:ascii="仿宋" w:hAnsi="仿宋" w:eastAsia="仿宋"/>
          <w:kern w:val="0"/>
          <w:sz w:val="32"/>
          <w:szCs w:val="32"/>
        </w:rPr>
        <w:t>。</w:t>
      </w:r>
      <w:r>
        <w:rPr>
          <w:rFonts w:hint="eastAsia" w:ascii="仿宋_GB2312" w:hAnsi="仿宋_GB2312" w:eastAsia="仿宋_GB2312" w:cs="仿宋_GB2312"/>
          <w:sz w:val="32"/>
          <w:szCs w:val="32"/>
        </w:rPr>
        <w:t>负责组织对市本级预算执行、决算草案和其他财政收支情况进行审计。牵头起草年度市本级预算执行和其他财政收支情况的审计报告、审计结果报告、审计工作报告。组织审计乡镇（街道）预算执行情况、决算草案和其他财政收支。履行对市</w:t>
      </w:r>
      <w:r>
        <w:rPr>
          <w:rFonts w:hint="eastAsia" w:ascii="仿宋_GB2312" w:hAnsi="仿宋_GB2312" w:eastAsia="仿宋_GB2312" w:cs="仿宋_GB2312"/>
          <w:kern w:val="0"/>
          <w:sz w:val="32"/>
          <w:szCs w:val="32"/>
        </w:rPr>
        <w:t>级预算执行情况和其他财政收支情况的监督检查职责。负责对国家和省、唐山市和遵化市有关重大政策措施贯彻落实情</w:t>
      </w:r>
      <w:r>
        <w:rPr>
          <w:rFonts w:hint="eastAsia" w:ascii="仿宋_GB2312" w:hAnsi="仿宋_GB2312" w:eastAsia="仿宋_GB2312" w:cs="仿宋_GB2312"/>
          <w:sz w:val="32"/>
          <w:szCs w:val="32"/>
        </w:rPr>
        <w:t>况和税收征管、社会保险费征收等情况进行审计。组织对市政府相关部门、乡镇（街道）政府和市政府及其部门委托其他单位管理的社会保障基金、社会捐赠资金、彩票公益金以及其他有关基金、资金的财务收支进行审计。</w:t>
      </w:r>
    </w:p>
    <w:p>
      <w:pPr>
        <w:widowControl/>
        <w:spacing w:line="570" w:lineRule="exact"/>
        <w:ind w:firstLine="640" w:firstLineChars="200"/>
        <w:rPr>
          <w:rFonts w:ascii="仿宋_GB2312" w:hAnsi="仿宋_GB2312" w:eastAsia="仿宋_GB2312" w:cs="仿宋_GB2312"/>
          <w:sz w:val="32"/>
          <w:szCs w:val="32"/>
        </w:rPr>
      </w:pPr>
      <w:r>
        <w:rPr>
          <w:rFonts w:hint="eastAsia" w:ascii="仿宋" w:hAnsi="仿宋" w:eastAsia="仿宋" w:cs="宋体"/>
          <w:color w:val="000000"/>
          <w:kern w:val="0"/>
          <w:sz w:val="32"/>
          <w:szCs w:val="32"/>
        </w:rPr>
        <w:t>4、农业农村审计科</w:t>
      </w:r>
      <w:r>
        <w:rPr>
          <w:rFonts w:hint="eastAsia" w:ascii="仿宋" w:hAnsi="仿宋" w:eastAsia="仿宋"/>
          <w:kern w:val="0"/>
          <w:sz w:val="32"/>
          <w:szCs w:val="32"/>
        </w:rPr>
        <w:t>。</w:t>
      </w:r>
      <w:r>
        <w:rPr>
          <w:rFonts w:hint="eastAsia" w:ascii="仿宋_GB2312" w:hAnsi="仿宋_GB2312" w:eastAsia="仿宋_GB2312" w:cs="仿宋_GB2312"/>
          <w:sz w:val="32"/>
          <w:szCs w:val="32"/>
        </w:rPr>
        <w:t>负责对市直农业农村、扶贫开发等主管部门的预算执行情况、决算草案、其他财政收支和主要领导干部经济责任履行情况进行审计。组织对农业农村、扶贫开发以及其他相关公共资金和建设项目进行审计。指导全市审计机关农业农村审计业务。组织对市直自然资源和生态环境主管部门的预算执行情况、决算草案、其他财政收支和主要领导干部经济责任履行情况进行审计。组织对</w:t>
      </w:r>
      <w:r>
        <w:rPr>
          <w:rFonts w:hint="eastAsia" w:ascii="仿宋_GB2312" w:hAnsi="仿宋_GB2312" w:eastAsia="仿宋_GB2312" w:cs="仿宋_GB2312"/>
          <w:kern w:val="0"/>
          <w:sz w:val="32"/>
          <w:szCs w:val="32"/>
        </w:rPr>
        <w:t>党政领导干部自然资源资产离任审计。组织对全市自然资源管理、污染防治和生态保护与</w:t>
      </w:r>
      <w:r>
        <w:rPr>
          <w:rFonts w:hint="eastAsia" w:ascii="仿宋_GB2312" w:hAnsi="仿宋_GB2312" w:eastAsia="仿宋_GB2312" w:cs="仿宋_GB2312"/>
          <w:sz w:val="32"/>
          <w:szCs w:val="32"/>
        </w:rPr>
        <w:t>修复情况进行审计。</w:t>
      </w:r>
    </w:p>
    <w:p>
      <w:pPr>
        <w:widowControl/>
        <w:spacing w:line="570" w:lineRule="exact"/>
        <w:ind w:firstLine="640" w:firstLineChars="200"/>
        <w:rPr>
          <w:rFonts w:ascii="仿宋_GB2312" w:hAnsi="仿宋_GB2312" w:eastAsia="仿宋_GB2312" w:cs="仿宋_GB2312"/>
          <w:sz w:val="32"/>
          <w:szCs w:val="32"/>
        </w:rPr>
      </w:pPr>
      <w:r>
        <w:rPr>
          <w:rFonts w:hint="eastAsia" w:ascii="仿宋" w:hAnsi="仿宋" w:eastAsia="仿宋" w:cs="宋体"/>
          <w:color w:val="000000"/>
          <w:kern w:val="0"/>
          <w:sz w:val="32"/>
          <w:szCs w:val="32"/>
        </w:rPr>
        <w:t>5、固定资产投资审计科</w:t>
      </w:r>
      <w:r>
        <w:rPr>
          <w:rFonts w:hint="eastAsia" w:ascii="仿宋" w:hAnsi="仿宋" w:eastAsia="仿宋"/>
          <w:kern w:val="0"/>
          <w:sz w:val="32"/>
          <w:szCs w:val="32"/>
        </w:rPr>
        <w:t>。</w:t>
      </w:r>
      <w:r>
        <w:rPr>
          <w:rFonts w:hint="eastAsia" w:ascii="仿宋_GB2312" w:hAnsi="仿宋_GB2312" w:eastAsia="仿宋_GB2312" w:cs="仿宋_GB2312"/>
          <w:sz w:val="32"/>
          <w:szCs w:val="32"/>
        </w:rPr>
        <w:t>组织对市级投资、以市级投资为主的建设项目以及其他关系到国家利益和公共利益的重大公共工程项目进行审计。负责对中央、省和唐山市财政安排我市的项目投资进行审计监督，对市重点建设项目的实施情况进行跟踪审计。履行重大项目稽察职责。</w:t>
      </w:r>
    </w:p>
    <w:p>
      <w:pPr>
        <w:widowControl/>
        <w:spacing w:line="570" w:lineRule="exact"/>
        <w:ind w:firstLine="640" w:firstLineChars="200"/>
        <w:rPr>
          <w:rFonts w:ascii="仿宋_GB2312" w:hAnsi="仿宋_GB2312" w:eastAsia="仿宋_GB2312" w:cs="仿宋_GB2312"/>
          <w:sz w:val="32"/>
          <w:szCs w:val="32"/>
        </w:rPr>
      </w:pPr>
      <w:r>
        <w:rPr>
          <w:rFonts w:hint="eastAsia" w:ascii="仿宋" w:hAnsi="仿宋" w:eastAsia="仿宋" w:cs="宋体"/>
          <w:color w:val="000000"/>
          <w:kern w:val="0"/>
          <w:sz w:val="32"/>
          <w:szCs w:val="32"/>
        </w:rPr>
        <w:t>6、经济责任审计科</w:t>
      </w:r>
      <w:r>
        <w:rPr>
          <w:rFonts w:hint="eastAsia" w:ascii="仿宋" w:hAnsi="仿宋" w:eastAsia="仿宋"/>
          <w:kern w:val="0"/>
          <w:sz w:val="32"/>
          <w:szCs w:val="32"/>
        </w:rPr>
        <w:t>。</w:t>
      </w:r>
      <w:r>
        <w:rPr>
          <w:rFonts w:hint="eastAsia" w:ascii="仿宋_GB2312" w:hAnsi="仿宋_GB2312" w:eastAsia="仿宋_GB2312" w:cs="仿宋_GB2312"/>
          <w:sz w:val="32"/>
          <w:szCs w:val="32"/>
        </w:rPr>
        <w:t>组织对市直、乡镇（街道）党政工作部门、事业单位、人民团体和市属院校党政主要领导干部实施经济责任审计。承担市经济责任审计联席会议办公室日常工作。组织对市属国有和国有资本占控股或主导地位企业、金融机构贯彻落实党和国家重大政策措施、资产、负债和损益以及财务收支和主要领导干部经济责任履行情况进行审计。对市属国有资产监督管理部门、金融管理部门预算执行情况、决算草案、财政收支以及有关经济活动情况进行审计。组织对市驻外非经营性机构的财务收支以及国际组织和外国政府援助、贷款项目进行审计。</w:t>
      </w:r>
    </w:p>
    <w:p>
      <w:pPr>
        <w:spacing w:line="570" w:lineRule="exact"/>
        <w:ind w:firstLine="560"/>
        <w:jc w:val="left"/>
        <w:rPr>
          <w:rFonts w:ascii="仿宋_GB2312" w:hAnsi="仿宋_GB2312" w:eastAsia="仿宋_GB2312" w:cs="仿宋_GB2312"/>
          <w:sz w:val="32"/>
          <w:szCs w:val="32"/>
        </w:rPr>
      </w:pPr>
      <w:r>
        <w:rPr>
          <w:rFonts w:hint="eastAsia" w:ascii="仿宋" w:hAnsi="仿宋" w:eastAsia="仿宋" w:cs="宋体"/>
          <w:color w:val="000000"/>
          <w:kern w:val="0"/>
          <w:sz w:val="32"/>
          <w:szCs w:val="32"/>
        </w:rPr>
        <w:t>7、行政事业审计科</w:t>
      </w:r>
      <w:r>
        <w:rPr>
          <w:rFonts w:hint="eastAsia" w:ascii="仿宋" w:hAnsi="仿宋" w:eastAsia="仿宋"/>
          <w:sz w:val="32"/>
          <w:szCs w:val="32"/>
        </w:rPr>
        <w:t>。</w:t>
      </w:r>
      <w:r>
        <w:rPr>
          <w:rFonts w:hint="eastAsia" w:ascii="仿宋_GB2312" w:hAnsi="仿宋_GB2312" w:eastAsia="仿宋_GB2312" w:cs="仿宋_GB2312"/>
          <w:sz w:val="32"/>
          <w:szCs w:val="32"/>
        </w:rPr>
        <w:t>组织审计与市财政有拨款关系的市委机关、市人大常委会机关、市政府机关、市政协机关、市政法机关、市纪检监察机关及其他党派组织、社会团体的预算执行情况、决算草案及其他财政收支；负责对有关市直部门、直属事业单位及其所属单位的预算执行情况、决算草案及其他财务收支进行审计；负责对有关部门公务支出和公款消费等进行专项审计。</w:t>
      </w:r>
    </w:p>
    <w:p>
      <w:pPr>
        <w:spacing w:line="570" w:lineRule="exact"/>
        <w:rPr>
          <w:rFonts w:ascii="仿宋" w:hAnsi="仿宋" w:eastAsia="仿宋"/>
          <w:b/>
          <w:sz w:val="32"/>
          <w:szCs w:val="32"/>
        </w:rPr>
      </w:pPr>
      <w:bookmarkStart w:id="1" w:name="_Toc68791546"/>
    </w:p>
    <w:p>
      <w:pPr>
        <w:spacing w:line="570" w:lineRule="exact"/>
        <w:jc w:val="center"/>
        <w:rPr>
          <w:rFonts w:ascii="仿宋" w:hAnsi="仿宋" w:eastAsia="仿宋"/>
          <w:b/>
          <w:sz w:val="32"/>
          <w:szCs w:val="32"/>
        </w:rPr>
      </w:pPr>
      <w:r>
        <w:rPr>
          <w:rFonts w:hint="eastAsia" w:ascii="仿宋" w:hAnsi="仿宋" w:eastAsia="仿宋"/>
          <w:b/>
          <w:sz w:val="32"/>
          <w:szCs w:val="32"/>
        </w:rPr>
        <w:t>部门机构设置情况</w:t>
      </w:r>
    </w:p>
    <w:tbl>
      <w:tblPr>
        <w:tblStyle w:val="7"/>
        <w:tblpPr w:leftFromText="180" w:rightFromText="180" w:vertAnchor="text" w:horzAnchor="margin" w:tblpXSpec="center" w:tblpY="44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94"/>
        <w:gridCol w:w="2396"/>
        <w:gridCol w:w="2995"/>
        <w:gridCol w:w="33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tblHeader/>
          <w:jc w:val="center"/>
        </w:trPr>
        <w:tc>
          <w:tcPr>
            <w:tcW w:w="4283" w:type="dxa"/>
            <w:vMerge w:val="restart"/>
            <w:tcBorders>
              <w:top w:val="single" w:color="000000" w:sz="6" w:space="0"/>
              <w:left w:val="single" w:color="000000" w:sz="6" w:space="0"/>
              <w:bottom w:val="single" w:color="000000" w:sz="6" w:space="0"/>
              <w:right w:val="single" w:color="000000" w:sz="6" w:space="0"/>
            </w:tcBorders>
            <w:vAlign w:val="center"/>
          </w:tcPr>
          <w:p>
            <w:pPr>
              <w:spacing w:line="570" w:lineRule="exact"/>
              <w:jc w:val="center"/>
              <w:rPr>
                <w:rFonts w:ascii="仿宋" w:hAnsi="仿宋" w:eastAsia="仿宋"/>
                <w:b/>
                <w:sz w:val="32"/>
                <w:szCs w:val="32"/>
              </w:rPr>
            </w:pPr>
            <w:r>
              <w:rPr>
                <w:rFonts w:hint="eastAsia" w:ascii="仿宋" w:hAnsi="仿宋" w:eastAsia="仿宋"/>
                <w:b/>
                <w:sz w:val="32"/>
                <w:szCs w:val="32"/>
              </w:rPr>
              <w:t>单位名称</w:t>
            </w:r>
          </w:p>
        </w:tc>
        <w:tc>
          <w:tcPr>
            <w:tcW w:w="1712" w:type="dxa"/>
            <w:vMerge w:val="restart"/>
            <w:tcBorders>
              <w:top w:val="single" w:color="000000" w:sz="6" w:space="0"/>
              <w:left w:val="single" w:color="000000" w:sz="6" w:space="0"/>
              <w:bottom w:val="single" w:color="000000" w:sz="6" w:space="0"/>
              <w:right w:val="single" w:color="000000" w:sz="6" w:space="0"/>
            </w:tcBorders>
            <w:vAlign w:val="center"/>
          </w:tcPr>
          <w:p>
            <w:pPr>
              <w:spacing w:line="570" w:lineRule="exact"/>
              <w:jc w:val="center"/>
              <w:rPr>
                <w:rFonts w:ascii="仿宋" w:hAnsi="仿宋" w:eastAsia="仿宋"/>
                <w:b/>
                <w:sz w:val="32"/>
                <w:szCs w:val="32"/>
              </w:rPr>
            </w:pPr>
            <w:r>
              <w:rPr>
                <w:rFonts w:hint="eastAsia" w:ascii="仿宋" w:hAnsi="仿宋" w:eastAsia="仿宋"/>
                <w:b/>
                <w:sz w:val="32"/>
                <w:szCs w:val="32"/>
              </w:rPr>
              <w:t>单位性质</w:t>
            </w:r>
          </w:p>
        </w:tc>
        <w:tc>
          <w:tcPr>
            <w:tcW w:w="2140" w:type="dxa"/>
            <w:vMerge w:val="restart"/>
            <w:tcBorders>
              <w:top w:val="single" w:color="000000" w:sz="6" w:space="0"/>
              <w:left w:val="single" w:color="000000" w:sz="6" w:space="0"/>
              <w:bottom w:val="single" w:color="000000" w:sz="6" w:space="0"/>
              <w:right w:val="single" w:color="000000" w:sz="6" w:space="0"/>
            </w:tcBorders>
            <w:vAlign w:val="center"/>
          </w:tcPr>
          <w:p>
            <w:pPr>
              <w:spacing w:line="570" w:lineRule="exact"/>
              <w:jc w:val="center"/>
              <w:rPr>
                <w:rFonts w:ascii="仿宋" w:hAnsi="仿宋" w:eastAsia="仿宋"/>
                <w:b/>
                <w:sz w:val="32"/>
                <w:szCs w:val="32"/>
              </w:rPr>
            </w:pPr>
            <w:r>
              <w:rPr>
                <w:rFonts w:hint="eastAsia" w:ascii="仿宋" w:hAnsi="仿宋" w:eastAsia="仿宋"/>
                <w:b/>
                <w:sz w:val="32"/>
                <w:szCs w:val="32"/>
              </w:rPr>
              <w:t>单位规格</w:t>
            </w:r>
          </w:p>
        </w:tc>
        <w:tc>
          <w:tcPr>
            <w:tcW w:w="2397" w:type="dxa"/>
            <w:vMerge w:val="restart"/>
            <w:tcBorders>
              <w:top w:val="single" w:color="000000" w:sz="6" w:space="0"/>
              <w:left w:val="single" w:color="000000" w:sz="6" w:space="0"/>
              <w:bottom w:val="single" w:color="000000" w:sz="6" w:space="0"/>
              <w:right w:val="single" w:color="000000" w:sz="6" w:space="0"/>
            </w:tcBorders>
            <w:vAlign w:val="center"/>
          </w:tcPr>
          <w:p>
            <w:pPr>
              <w:spacing w:line="570" w:lineRule="exact"/>
              <w:jc w:val="center"/>
              <w:rPr>
                <w:rFonts w:ascii="仿宋" w:hAnsi="仿宋" w:eastAsia="仿宋"/>
                <w:b/>
                <w:sz w:val="32"/>
                <w:szCs w:val="32"/>
              </w:rPr>
            </w:pPr>
            <w:r>
              <w:rPr>
                <w:rFonts w:hint="eastAsia" w:ascii="仿宋" w:hAnsi="仿宋" w:eastAsia="仿宋"/>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exact"/>
          <w:tblHeader/>
          <w:jc w:val="center"/>
        </w:trPr>
        <w:tc>
          <w:tcPr>
            <w:tcW w:w="4283" w:type="dxa"/>
            <w:vMerge w:val="continue"/>
            <w:tcBorders>
              <w:top w:val="single" w:color="000000" w:sz="6" w:space="0"/>
              <w:left w:val="single" w:color="000000" w:sz="6" w:space="0"/>
              <w:bottom w:val="single" w:color="000000" w:sz="6" w:space="0"/>
              <w:right w:val="single" w:color="000000" w:sz="6" w:space="0"/>
            </w:tcBorders>
            <w:vAlign w:val="center"/>
          </w:tcPr>
          <w:p>
            <w:pPr>
              <w:spacing w:line="570" w:lineRule="exact"/>
              <w:rPr>
                <w:rFonts w:ascii="Times New Roman" w:hAnsi="Times New Roman"/>
                <w:sz w:val="20"/>
                <w:szCs w:val="20"/>
              </w:rPr>
            </w:pPr>
          </w:p>
        </w:tc>
        <w:tc>
          <w:tcPr>
            <w:tcW w:w="1712" w:type="dxa"/>
            <w:vMerge w:val="continue"/>
            <w:tcBorders>
              <w:top w:val="single" w:color="000000" w:sz="6" w:space="0"/>
              <w:left w:val="single" w:color="000000" w:sz="6" w:space="0"/>
              <w:bottom w:val="single" w:color="000000" w:sz="6" w:space="0"/>
              <w:right w:val="single" w:color="000000" w:sz="6" w:space="0"/>
            </w:tcBorders>
            <w:vAlign w:val="center"/>
          </w:tcPr>
          <w:p>
            <w:pPr>
              <w:spacing w:line="570" w:lineRule="exact"/>
              <w:rPr>
                <w:rFonts w:ascii="Times New Roman" w:hAnsi="Times New Roman"/>
                <w:sz w:val="20"/>
                <w:szCs w:val="20"/>
              </w:rPr>
            </w:pPr>
          </w:p>
        </w:tc>
        <w:tc>
          <w:tcPr>
            <w:tcW w:w="2140" w:type="dxa"/>
            <w:vMerge w:val="continue"/>
            <w:tcBorders>
              <w:top w:val="single" w:color="000000" w:sz="6" w:space="0"/>
              <w:left w:val="single" w:color="000000" w:sz="6" w:space="0"/>
              <w:bottom w:val="single" w:color="000000" w:sz="6" w:space="0"/>
              <w:right w:val="single" w:color="000000" w:sz="6" w:space="0"/>
            </w:tcBorders>
            <w:vAlign w:val="center"/>
          </w:tcPr>
          <w:p>
            <w:pPr>
              <w:spacing w:line="570" w:lineRule="exact"/>
              <w:rPr>
                <w:rFonts w:ascii="Times New Roman" w:hAnsi="Times New Roman"/>
                <w:sz w:val="20"/>
                <w:szCs w:val="20"/>
              </w:rPr>
            </w:pPr>
          </w:p>
        </w:tc>
        <w:tc>
          <w:tcPr>
            <w:tcW w:w="2397" w:type="dxa"/>
            <w:vMerge w:val="continue"/>
            <w:tcBorders>
              <w:top w:val="single" w:color="000000" w:sz="6" w:space="0"/>
              <w:left w:val="single" w:color="000000" w:sz="6" w:space="0"/>
              <w:bottom w:val="single" w:color="000000" w:sz="6" w:space="0"/>
              <w:right w:val="single" w:color="000000" w:sz="6" w:space="0"/>
            </w:tcBorders>
            <w:vAlign w:val="center"/>
          </w:tcPr>
          <w:p>
            <w:pPr>
              <w:spacing w:line="570" w:lineRule="exact"/>
              <w:rPr>
                <w:rFonts w:ascii="Times New Roman" w:hAnsi="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exact"/>
          <w:jc w:val="center"/>
        </w:trPr>
        <w:tc>
          <w:tcPr>
            <w:tcW w:w="4283" w:type="dxa"/>
            <w:tcBorders>
              <w:top w:val="single" w:color="000000" w:sz="6" w:space="0"/>
              <w:left w:val="single" w:color="000000" w:sz="6" w:space="0"/>
              <w:bottom w:val="single" w:color="000000" w:sz="6" w:space="0"/>
              <w:right w:val="single" w:color="000000" w:sz="6" w:space="0"/>
            </w:tcBorders>
            <w:vAlign w:val="center"/>
          </w:tcPr>
          <w:p>
            <w:pPr>
              <w:spacing w:line="570" w:lineRule="exact"/>
              <w:jc w:val="center"/>
              <w:rPr>
                <w:rFonts w:ascii="仿宋" w:hAnsi="仿宋" w:eastAsia="仿宋"/>
                <w:sz w:val="28"/>
                <w:szCs w:val="28"/>
              </w:rPr>
            </w:pPr>
            <w:r>
              <w:rPr>
                <w:rFonts w:hint="eastAsia" w:ascii="仿宋" w:hAnsi="仿宋" w:eastAsia="仿宋"/>
                <w:sz w:val="28"/>
                <w:szCs w:val="28"/>
              </w:rPr>
              <w:t>遵化市审计局机关</w:t>
            </w:r>
          </w:p>
        </w:tc>
        <w:tc>
          <w:tcPr>
            <w:tcW w:w="1712" w:type="dxa"/>
            <w:tcBorders>
              <w:top w:val="single" w:color="000000" w:sz="6" w:space="0"/>
              <w:left w:val="single" w:color="000000" w:sz="6" w:space="0"/>
              <w:bottom w:val="single" w:color="000000" w:sz="6" w:space="0"/>
              <w:right w:val="single" w:color="000000" w:sz="6" w:space="0"/>
            </w:tcBorders>
            <w:vAlign w:val="center"/>
          </w:tcPr>
          <w:p>
            <w:pPr>
              <w:spacing w:line="570" w:lineRule="exact"/>
              <w:jc w:val="center"/>
              <w:rPr>
                <w:rFonts w:ascii="仿宋" w:hAnsi="仿宋" w:eastAsia="仿宋"/>
                <w:sz w:val="28"/>
                <w:szCs w:val="28"/>
              </w:rPr>
            </w:pPr>
            <w:r>
              <w:rPr>
                <w:rFonts w:hint="eastAsia" w:ascii="仿宋" w:hAnsi="仿宋" w:eastAsia="仿宋"/>
                <w:sz w:val="28"/>
                <w:szCs w:val="28"/>
              </w:rPr>
              <w:t>行政</w:t>
            </w:r>
          </w:p>
        </w:tc>
        <w:tc>
          <w:tcPr>
            <w:tcW w:w="2140" w:type="dxa"/>
            <w:tcBorders>
              <w:top w:val="single" w:color="000000" w:sz="6" w:space="0"/>
              <w:left w:val="single" w:color="000000" w:sz="6" w:space="0"/>
              <w:bottom w:val="single" w:color="000000" w:sz="6" w:space="0"/>
              <w:right w:val="single" w:color="000000" w:sz="6" w:space="0"/>
            </w:tcBorders>
            <w:vAlign w:val="center"/>
          </w:tcPr>
          <w:p>
            <w:pPr>
              <w:spacing w:line="570" w:lineRule="exact"/>
              <w:jc w:val="center"/>
              <w:rPr>
                <w:rFonts w:ascii="仿宋" w:hAnsi="仿宋" w:eastAsia="仿宋"/>
                <w:sz w:val="28"/>
                <w:szCs w:val="28"/>
              </w:rPr>
            </w:pPr>
            <w:r>
              <w:rPr>
                <w:rFonts w:hint="eastAsia" w:ascii="仿宋" w:hAnsi="仿宋" w:eastAsia="仿宋"/>
                <w:sz w:val="28"/>
                <w:szCs w:val="28"/>
              </w:rPr>
              <w:t>正科级</w:t>
            </w:r>
          </w:p>
        </w:tc>
        <w:tc>
          <w:tcPr>
            <w:tcW w:w="2397" w:type="dxa"/>
            <w:tcBorders>
              <w:top w:val="single" w:color="000000" w:sz="6" w:space="0"/>
              <w:left w:val="single" w:color="000000" w:sz="6" w:space="0"/>
              <w:bottom w:val="single" w:color="000000" w:sz="6" w:space="0"/>
              <w:right w:val="single" w:color="000000" w:sz="6" w:space="0"/>
            </w:tcBorders>
            <w:vAlign w:val="center"/>
          </w:tcPr>
          <w:p>
            <w:pPr>
              <w:spacing w:line="570" w:lineRule="exact"/>
              <w:jc w:val="center"/>
              <w:rPr>
                <w:rFonts w:ascii="仿宋" w:hAnsi="仿宋" w:eastAsia="仿宋"/>
                <w:sz w:val="28"/>
                <w:szCs w:val="28"/>
              </w:rPr>
            </w:pPr>
            <w:r>
              <w:rPr>
                <w:rFonts w:hint="eastAsia" w:ascii="仿宋" w:hAnsi="仿宋" w:eastAsia="仿宋"/>
                <w:sz w:val="28"/>
                <w:szCs w:val="28"/>
              </w:rPr>
              <w:t>财政拨款</w:t>
            </w:r>
          </w:p>
        </w:tc>
      </w:tr>
    </w:tbl>
    <w:p>
      <w:pPr>
        <w:spacing w:line="57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二、部门预算安排的总体情况</w:t>
      </w:r>
      <w:bookmarkEnd w:id="1"/>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按照预算管理有关规定，目前河北省部门预算的编制实行综合预算管理，即全部收入和支出都反映在预算中。遵化市审计局机关及所属事业单位的收支包含在部门预算中。</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反映本部门当年全部收入。2022年预算收入</w:t>
      </w:r>
      <w:r>
        <w:rPr>
          <w:rFonts w:ascii="方正仿宋简体" w:hAnsi="方正仿宋简体" w:eastAsia="方正仿宋简体" w:cs="方正仿宋简体"/>
          <w:sz w:val="32"/>
          <w:szCs w:val="32"/>
        </w:rPr>
        <w:t>518.47</w:t>
      </w:r>
      <w:r>
        <w:rPr>
          <w:rFonts w:hint="eastAsia" w:ascii="方正仿宋简体" w:hAnsi="方正仿宋简体" w:eastAsia="方正仿宋简体" w:cs="方正仿宋简体"/>
          <w:sz w:val="32"/>
          <w:szCs w:val="32"/>
        </w:rPr>
        <w:t>万元，其中：一般公共预算收入</w:t>
      </w:r>
      <w:r>
        <w:rPr>
          <w:rFonts w:ascii="方正仿宋简体" w:hAnsi="方正仿宋简体" w:eastAsia="方正仿宋简体" w:cs="方正仿宋简体"/>
          <w:sz w:val="32"/>
          <w:szCs w:val="32"/>
        </w:rPr>
        <w:t>518.47</w:t>
      </w:r>
      <w:r>
        <w:rPr>
          <w:rFonts w:hint="eastAsia" w:ascii="方正仿宋简体" w:hAnsi="方正仿宋简体" w:eastAsia="方正仿宋简体" w:cs="方正仿宋简体"/>
          <w:sz w:val="32"/>
          <w:szCs w:val="32"/>
        </w:rPr>
        <w:t>万元，政府性基金预算收入0万元，国有资本经营预算收入0万元，财政专户管理资金收入0万元，上级补助收入0万元，事业收入0万元，经营收入0万元，附属单位上缴收入0万元，其他收入0万元，上年结转0万元。</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收支预算总表支出栏、基本支出表、项目支出表按经济分类和支出功能分类科目编制，反映遵化市审计局2022年度部门预算中支出预算的总体情况。2022年支出预算</w:t>
      </w:r>
      <w:r>
        <w:rPr>
          <w:rFonts w:ascii="方正仿宋简体" w:hAnsi="方正仿宋简体" w:eastAsia="方正仿宋简体" w:cs="方正仿宋简体"/>
          <w:sz w:val="32"/>
          <w:szCs w:val="32"/>
        </w:rPr>
        <w:t>518.47</w:t>
      </w:r>
      <w:r>
        <w:rPr>
          <w:rFonts w:hint="eastAsia" w:ascii="方正仿宋简体" w:hAnsi="方正仿宋简体" w:eastAsia="方正仿宋简体" w:cs="方正仿宋简体"/>
          <w:sz w:val="32"/>
          <w:szCs w:val="32"/>
        </w:rPr>
        <w:t>万元，其中：基本支出</w:t>
      </w:r>
      <w:r>
        <w:rPr>
          <w:rFonts w:ascii="方正仿宋简体" w:hAnsi="方正仿宋简体" w:eastAsia="方正仿宋简体" w:cs="方正仿宋简体"/>
          <w:sz w:val="32"/>
          <w:szCs w:val="32"/>
        </w:rPr>
        <w:t>370.47</w:t>
      </w:r>
      <w:r>
        <w:rPr>
          <w:rFonts w:hint="eastAsia" w:ascii="方正仿宋简体" w:hAnsi="方正仿宋简体" w:eastAsia="方正仿宋简体" w:cs="方正仿宋简体"/>
          <w:sz w:val="32"/>
          <w:szCs w:val="32"/>
        </w:rPr>
        <w:t>万元，包括：人员经费</w:t>
      </w:r>
      <w:r>
        <w:rPr>
          <w:rFonts w:ascii="方正仿宋简体" w:hAnsi="方正仿宋简体" w:eastAsia="方正仿宋简体" w:cs="方正仿宋简体"/>
          <w:sz w:val="32"/>
          <w:szCs w:val="32"/>
        </w:rPr>
        <w:t>349.86</w:t>
      </w:r>
      <w:r>
        <w:rPr>
          <w:rFonts w:hint="eastAsia" w:ascii="方正仿宋简体" w:hAnsi="方正仿宋简体" w:eastAsia="方正仿宋简体" w:cs="方正仿宋简体"/>
          <w:sz w:val="32"/>
          <w:szCs w:val="32"/>
        </w:rPr>
        <w:t>万元和日常公用经费</w:t>
      </w:r>
      <w:r>
        <w:rPr>
          <w:rFonts w:ascii="方正仿宋简体" w:hAnsi="方正仿宋简体" w:eastAsia="方正仿宋简体" w:cs="方正仿宋简体"/>
          <w:sz w:val="32"/>
          <w:szCs w:val="32"/>
        </w:rPr>
        <w:t>20.61</w:t>
      </w:r>
      <w:r>
        <w:rPr>
          <w:rFonts w:hint="eastAsia" w:ascii="方正仿宋简体" w:hAnsi="方正仿宋简体" w:eastAsia="方正仿宋简体" w:cs="方正仿宋简体"/>
          <w:sz w:val="32"/>
          <w:szCs w:val="32"/>
        </w:rPr>
        <w:t>万元；项目支出</w:t>
      </w:r>
      <w:r>
        <w:rPr>
          <w:rFonts w:ascii="方正仿宋简体" w:hAnsi="方正仿宋简体" w:eastAsia="方正仿宋简体" w:cs="方正仿宋简体"/>
          <w:sz w:val="32"/>
          <w:szCs w:val="32"/>
        </w:rPr>
        <w:t>148</w:t>
      </w:r>
      <w:r>
        <w:rPr>
          <w:rFonts w:hint="eastAsia" w:ascii="方正仿宋简体" w:hAnsi="方正仿宋简体" w:eastAsia="方正仿宋简体" w:cs="方正仿宋简体"/>
          <w:sz w:val="32"/>
          <w:szCs w:val="32"/>
        </w:rPr>
        <w:t>万元，包括本级支出，主要用于预决算执行审计项目经费；资产投资审计、经济责任审计、离任审计等专项审计经费；用于购置行政执法用车资金。</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pPr>
        <w:spacing w:line="570" w:lineRule="exact"/>
        <w:ind w:firstLine="560"/>
        <w:jc w:val="left"/>
        <w:rPr>
          <w:rFonts w:ascii="楷体" w:hAnsi="楷体" w:eastAsia="楷体" w:cs="楷体"/>
          <w:sz w:val="32"/>
          <w:szCs w:val="32"/>
        </w:rPr>
      </w:pPr>
      <w:r>
        <w:rPr>
          <w:rFonts w:hint="eastAsia" w:ascii="方正仿宋简体" w:hAnsi="方正仿宋简体" w:eastAsia="方正仿宋简体" w:cs="方正仿宋简体"/>
          <w:sz w:val="32"/>
          <w:szCs w:val="32"/>
        </w:rPr>
        <w:t>2022年预算收支安排</w:t>
      </w:r>
      <w:r>
        <w:rPr>
          <w:rFonts w:ascii="方正仿宋简体" w:hAnsi="方正仿宋简体" w:eastAsia="方正仿宋简体" w:cs="方正仿宋简体"/>
          <w:sz w:val="32"/>
          <w:szCs w:val="32"/>
        </w:rPr>
        <w:t>518.47</w:t>
      </w:r>
      <w:r>
        <w:rPr>
          <w:rFonts w:hint="eastAsia" w:ascii="方正仿宋简体" w:hAnsi="方正仿宋简体" w:eastAsia="方正仿宋简体" w:cs="方正仿宋简体"/>
          <w:sz w:val="32"/>
          <w:szCs w:val="32"/>
        </w:rPr>
        <w:t>万元，较2021预算增加</w:t>
      </w:r>
      <w:r>
        <w:rPr>
          <w:rFonts w:ascii="方正仿宋简体" w:hAnsi="方正仿宋简体" w:eastAsia="方正仿宋简体" w:cs="方正仿宋简体"/>
          <w:sz w:val="32"/>
          <w:szCs w:val="32"/>
        </w:rPr>
        <w:t>77.74</w:t>
      </w:r>
      <w:r>
        <w:rPr>
          <w:rFonts w:hint="eastAsia" w:ascii="方正仿宋简体" w:hAnsi="方正仿宋简体" w:eastAsia="方正仿宋简体" w:cs="方正仿宋简体"/>
          <w:sz w:val="32"/>
          <w:szCs w:val="32"/>
        </w:rPr>
        <w:t>万元，其中：基本支出增加</w:t>
      </w:r>
      <w:r>
        <w:rPr>
          <w:rFonts w:ascii="方正仿宋简体" w:hAnsi="方正仿宋简体" w:eastAsia="方正仿宋简体" w:cs="方正仿宋简体"/>
          <w:sz w:val="32"/>
          <w:szCs w:val="32"/>
        </w:rPr>
        <w:t>0.78</w:t>
      </w:r>
      <w:r>
        <w:rPr>
          <w:rFonts w:hint="eastAsia" w:ascii="方正仿宋简体" w:hAnsi="方正仿宋简体" w:eastAsia="方正仿宋简体" w:cs="方正仿宋简体"/>
          <w:sz w:val="32"/>
          <w:szCs w:val="32"/>
        </w:rPr>
        <w:t>万元，人员增加公用经费增加；项目支出增加6</w:t>
      </w:r>
      <w:r>
        <w:rPr>
          <w:rFonts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rPr>
        <w:t>万元，主要增加专项审计项目支出。</w:t>
      </w:r>
    </w:p>
    <w:p>
      <w:pPr>
        <w:spacing w:line="570" w:lineRule="exact"/>
        <w:ind w:firstLine="560"/>
        <w:jc w:val="left"/>
        <w:rPr>
          <w:rFonts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pPr>
        <w:spacing w:line="570" w:lineRule="exact"/>
        <w:ind w:firstLine="560"/>
        <w:jc w:val="left"/>
        <w:rPr>
          <w:rFonts w:ascii="楷体" w:hAnsi="楷体" w:eastAsia="楷体" w:cs="楷体"/>
          <w:sz w:val="32"/>
          <w:szCs w:val="32"/>
        </w:rPr>
      </w:pPr>
      <w:r>
        <w:rPr>
          <w:rFonts w:hint="eastAsia" w:ascii="方正仿宋简体" w:hAnsi="方正仿宋简体" w:eastAsia="方正仿宋简体" w:cs="方正仿宋简体"/>
          <w:sz w:val="32"/>
          <w:szCs w:val="32"/>
        </w:rPr>
        <w:t>2022年，本部门机关运行经费共计安排</w:t>
      </w:r>
      <w:r>
        <w:rPr>
          <w:rFonts w:ascii="方正仿宋简体" w:hAnsi="方正仿宋简体" w:eastAsia="方正仿宋简体" w:cs="方正仿宋简体"/>
          <w:sz w:val="32"/>
          <w:szCs w:val="32"/>
        </w:rPr>
        <w:t>20.61</w:t>
      </w:r>
      <w:r>
        <w:rPr>
          <w:rFonts w:hint="eastAsia" w:ascii="方正仿宋简体" w:hAnsi="方正仿宋简体" w:eastAsia="方正仿宋简体" w:cs="方正仿宋简体"/>
          <w:sz w:val="32"/>
          <w:szCs w:val="32"/>
        </w:rPr>
        <w:t>万元，主要用于日常办公、维修、差旅、水电暖、物业、邮电、印刷、公务交通补贴等日常运行支出。</w:t>
      </w:r>
    </w:p>
    <w:p>
      <w:pPr>
        <w:spacing w:line="570" w:lineRule="exact"/>
        <w:ind w:firstLine="560"/>
        <w:jc w:val="left"/>
        <w:rPr>
          <w:rFonts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2022年，本部门财政拨款“三公”经费预算安排</w:t>
      </w:r>
      <w:r>
        <w:rPr>
          <w:rFonts w:ascii="方正仿宋简体" w:hAnsi="方正仿宋简体" w:eastAsia="方正仿宋简体" w:cs="方正仿宋简体"/>
          <w:sz w:val="32"/>
          <w:szCs w:val="32"/>
        </w:rPr>
        <w:t>22.28</w:t>
      </w:r>
      <w:r>
        <w:rPr>
          <w:rFonts w:hint="eastAsia" w:ascii="方正仿宋简体" w:hAnsi="方正仿宋简体" w:eastAsia="方正仿宋简体" w:cs="方正仿宋简体"/>
          <w:sz w:val="32"/>
          <w:szCs w:val="32"/>
        </w:rPr>
        <w:t>万元，其中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因公出国（境）安排0人，安排费用0万元，同比上年无增减变化，原因是没有因公出国（境）工作安排，所以未安排因公出国（境）费</w:t>
      </w:r>
      <w:r>
        <w:rPr>
          <w:rFonts w:hint="eastAsia" w:ascii="方正仿宋简体" w:hAnsi="方正仿宋简体" w:eastAsia="方正仿宋简体" w:cs="方正仿宋简体"/>
          <w:sz w:val="32"/>
          <w:szCs w:val="32"/>
        </w:rPr>
        <w:t>；公务用车购置及运维费</w:t>
      </w:r>
      <w:r>
        <w:rPr>
          <w:rFonts w:ascii="方正仿宋简体" w:hAnsi="方正仿宋简体" w:eastAsia="方正仿宋简体" w:cs="方正仿宋简体"/>
          <w:sz w:val="32"/>
          <w:szCs w:val="32"/>
        </w:rPr>
        <w:t>18</w:t>
      </w:r>
      <w:r>
        <w:rPr>
          <w:rFonts w:hint="eastAsia" w:ascii="方正仿宋简体" w:hAnsi="方正仿宋简体" w:eastAsia="方正仿宋简体" w:cs="方正仿宋简体"/>
          <w:sz w:val="32"/>
          <w:szCs w:val="32"/>
        </w:rPr>
        <w:t>元，与2021年相比增加1</w:t>
      </w:r>
      <w:r>
        <w:rPr>
          <w:rFonts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rPr>
        <w:t>万元，增加原因为行政执法用车报废处理需购置新行政执法用车；公务接待费</w:t>
      </w:r>
      <w:r>
        <w:rPr>
          <w:rFonts w:ascii="方正仿宋简体" w:hAnsi="方正仿宋简体" w:eastAsia="方正仿宋简体" w:cs="方正仿宋简体"/>
          <w:sz w:val="32"/>
          <w:szCs w:val="32"/>
        </w:rPr>
        <w:t>0.00</w:t>
      </w:r>
      <w:r>
        <w:rPr>
          <w:rFonts w:hint="eastAsia" w:ascii="方正仿宋简体" w:hAnsi="方正仿宋简体" w:eastAsia="方正仿宋简体" w:cs="方正仿宋简体"/>
          <w:sz w:val="32"/>
          <w:szCs w:val="32"/>
        </w:rPr>
        <w:t>万元，</w:t>
      </w:r>
      <w:bookmarkStart w:id="4" w:name="_Toc68791549"/>
      <w:r>
        <w:rPr>
          <w:rFonts w:hint="eastAsia" w:ascii="方正仿宋简体" w:hAnsi="方正仿宋简体" w:eastAsia="方正仿宋简体" w:cs="方正仿宋简体"/>
          <w:sz w:val="32"/>
          <w:szCs w:val="32"/>
        </w:rPr>
        <w:t>无公务接待工作安排，所以未安排公务接待费。</w:t>
      </w:r>
    </w:p>
    <w:p>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4"/>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spacing w:line="570" w:lineRule="exact"/>
        <w:ind w:firstLine="630"/>
        <w:rPr>
          <w:rFonts w:ascii="仿宋_GB2312" w:eastAsia="仿宋_GB2312"/>
          <w:bCs/>
          <w:sz w:val="32"/>
          <w:szCs w:val="32"/>
        </w:rPr>
      </w:pPr>
      <w:r>
        <w:rPr>
          <w:rFonts w:ascii="仿宋_GB2312" w:eastAsia="仿宋_GB2312"/>
          <w:bCs/>
          <w:sz w:val="32"/>
          <w:szCs w:val="32"/>
        </w:rPr>
        <w:t>总体绩效目标全面贯彻党的十九大精神，以习近平新时代中国特色社会主义思想为指导，着眼促进高质量发展，紧紧围绕全市发展大局，按照上级审计机关部署和市委市政府要求，不断创新审计理念，突出审计重点，依法全面履行审计监督职责，为加快建设环京津新型工业基地、旅游商贸名城、魅力中等城市保驾护航。维护财政经济秩序，提高财政资金使用效益，通过审计财政、财务收支真实、合法效益，促进廉政建设，保障国民经济健康发展。</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spacing w:line="570" w:lineRule="exact"/>
        <w:ind w:firstLine="630"/>
        <w:rPr>
          <w:rFonts w:ascii="方正仿宋简体" w:hAnsi="黑体" w:eastAsia="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黑体" w:eastAsia="方正仿宋简体"/>
          <w:bCs/>
          <w:sz w:val="32"/>
          <w:szCs w:val="32"/>
        </w:rPr>
        <w:t>高质高效完成审计项目</w:t>
      </w:r>
    </w:p>
    <w:p>
      <w:pPr>
        <w:spacing w:line="570" w:lineRule="exact"/>
        <w:ind w:firstLine="630"/>
        <w:rPr>
          <w:rFonts w:ascii="仿宋_GB2312" w:eastAsia="仿宋_GB2312"/>
          <w:sz w:val="32"/>
          <w:szCs w:val="32"/>
        </w:rPr>
      </w:pPr>
      <w:r>
        <w:rPr>
          <w:rFonts w:hint="eastAsia" w:ascii="仿宋_GB2312" w:eastAsia="仿宋_GB2312"/>
          <w:bCs/>
          <w:sz w:val="32"/>
          <w:szCs w:val="32"/>
        </w:rPr>
        <w:t>绩效目标：完成《202</w:t>
      </w:r>
      <w:r>
        <w:rPr>
          <w:rFonts w:ascii="仿宋_GB2312" w:eastAsia="仿宋_GB2312"/>
          <w:bCs/>
          <w:sz w:val="32"/>
          <w:szCs w:val="32"/>
        </w:rPr>
        <w:t>2</w:t>
      </w:r>
      <w:r>
        <w:rPr>
          <w:rFonts w:hint="eastAsia" w:ascii="仿宋_GB2312" w:eastAsia="仿宋_GB2312"/>
          <w:bCs/>
          <w:sz w:val="32"/>
          <w:szCs w:val="32"/>
        </w:rPr>
        <w:t>年审计项目计划》中审计项目，配合唐山市审计局进行各项审计，高质高效完成市委市政府交办的其他审计项目。</w:t>
      </w:r>
    </w:p>
    <w:p>
      <w:pPr>
        <w:spacing w:line="570" w:lineRule="exact"/>
        <w:ind w:firstLine="630"/>
        <w:rPr>
          <w:rFonts w:ascii="仿宋_GB2312" w:eastAsia="仿宋_GB2312"/>
          <w:sz w:val="32"/>
          <w:szCs w:val="32"/>
        </w:rPr>
      </w:pPr>
      <w:r>
        <w:rPr>
          <w:rFonts w:hint="eastAsia" w:ascii="仿宋_GB2312" w:eastAsia="仿宋_GB2312"/>
          <w:bCs/>
          <w:sz w:val="32"/>
          <w:szCs w:val="32"/>
        </w:rPr>
        <w:t>绩效指标：审计报告征求意见率、审计通知书送达率、审计项目合格率=100%。</w:t>
      </w:r>
    </w:p>
    <w:p>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2、合理的审计建议</w:t>
      </w:r>
    </w:p>
    <w:p>
      <w:pPr>
        <w:spacing w:line="570" w:lineRule="exact"/>
        <w:ind w:firstLine="630"/>
        <w:rPr>
          <w:rFonts w:ascii="仿宋_GB2312" w:eastAsia="仿宋_GB2312"/>
          <w:bCs/>
          <w:sz w:val="32"/>
          <w:szCs w:val="32"/>
        </w:rPr>
      </w:pPr>
      <w:r>
        <w:rPr>
          <w:rFonts w:hint="eastAsia" w:ascii="仿宋_GB2312" w:eastAsia="仿宋_GB2312"/>
          <w:bCs/>
          <w:sz w:val="32"/>
          <w:szCs w:val="32"/>
        </w:rPr>
        <w:t>绩效目标：通过审计，针对发现的疑点问题，提出合理的审计整改建议。</w:t>
      </w:r>
    </w:p>
    <w:p>
      <w:pPr>
        <w:spacing w:line="570" w:lineRule="exact"/>
        <w:ind w:firstLine="630"/>
        <w:rPr>
          <w:rFonts w:ascii="仿宋_GB2312" w:eastAsia="仿宋_GB2312"/>
          <w:bCs/>
          <w:sz w:val="32"/>
          <w:szCs w:val="32"/>
        </w:rPr>
      </w:pPr>
      <w:r>
        <w:rPr>
          <w:rFonts w:hint="eastAsia" w:ascii="仿宋_GB2312" w:eastAsia="仿宋_GB2312"/>
          <w:bCs/>
          <w:sz w:val="32"/>
          <w:szCs w:val="32"/>
        </w:rPr>
        <w:t>绩效指标：被审计单位根据审计建议制定的整改措施≥</w:t>
      </w:r>
      <w:r>
        <w:rPr>
          <w:rFonts w:ascii="仿宋_GB2312" w:eastAsia="仿宋_GB2312"/>
          <w:bCs/>
          <w:sz w:val="32"/>
          <w:szCs w:val="32"/>
        </w:rPr>
        <w:t>90</w:t>
      </w:r>
      <w:r>
        <w:rPr>
          <w:rFonts w:hint="eastAsia" w:ascii="仿宋_GB2312" w:eastAsia="仿宋_GB2312"/>
          <w:bCs/>
          <w:sz w:val="32"/>
          <w:szCs w:val="32"/>
        </w:rPr>
        <w:t>%，审计决定落实率≥</w:t>
      </w:r>
      <w:r>
        <w:rPr>
          <w:rFonts w:ascii="仿宋_GB2312" w:eastAsia="仿宋_GB2312"/>
          <w:bCs/>
          <w:sz w:val="32"/>
          <w:szCs w:val="32"/>
        </w:rPr>
        <w:t>85</w:t>
      </w:r>
      <w:r>
        <w:rPr>
          <w:rFonts w:hint="eastAsia" w:ascii="仿宋_GB2312" w:eastAsia="仿宋_GB2312"/>
          <w:bCs/>
          <w:sz w:val="32"/>
          <w:szCs w:val="32"/>
        </w:rPr>
        <w:t>%。</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（三）工作保障措施</w:t>
      </w:r>
    </w:p>
    <w:p>
      <w:pPr>
        <w:spacing w:line="570" w:lineRule="exact"/>
        <w:ind w:firstLine="640" w:firstLineChars="200"/>
        <w:rPr>
          <w:rFonts w:ascii="黑体" w:hAnsi="黑体" w:eastAsia="黑体"/>
          <w:sz w:val="32"/>
          <w:szCs w:val="32"/>
        </w:rPr>
      </w:pPr>
      <w:r>
        <w:rPr>
          <w:rFonts w:hint="eastAsia" w:ascii="仿宋_GB2312" w:hAnsi="黑体" w:eastAsia="仿宋_GB2312"/>
          <w:sz w:val="32"/>
          <w:szCs w:val="32"/>
        </w:rPr>
        <w:t>完善制度建设。</w:t>
      </w:r>
      <w:r>
        <w:rPr>
          <w:rFonts w:hint="eastAsia" w:ascii="仿宋_GB2312" w:eastAsia="仿宋_GB2312"/>
          <w:sz w:val="32"/>
          <w:szCs w:val="32"/>
        </w:rPr>
        <w:t>完善预算绩效管理制度，编制《审计局内控制度》，</w:t>
      </w:r>
      <w:r>
        <w:rPr>
          <w:rFonts w:hint="eastAsia" w:ascii="仿宋_GB2312" w:hAnsi="仿宋" w:eastAsia="仿宋_GB2312"/>
          <w:sz w:val="32"/>
          <w:szCs w:val="32"/>
        </w:rPr>
        <w:t>为年度预算的编制、执行、项目监督、绩效评价等系列工作提供了制度基础，</w:t>
      </w:r>
      <w:r>
        <w:rPr>
          <w:rFonts w:hint="eastAsia" w:ascii="仿宋_GB2312" w:eastAsia="仿宋_GB2312"/>
          <w:sz w:val="32"/>
          <w:szCs w:val="32"/>
        </w:rPr>
        <w:t>同时明确了各部门的工作任务及职责，确保我单位部门绩效管理工作有效开展。</w:t>
      </w:r>
    </w:p>
    <w:p>
      <w:pPr>
        <w:spacing w:line="570" w:lineRule="exact"/>
        <w:ind w:firstLine="640" w:firstLineChars="200"/>
        <w:rPr>
          <w:rFonts w:ascii="黑体" w:hAnsi="黑体" w:eastAsia="黑体"/>
          <w:sz w:val="32"/>
          <w:szCs w:val="32"/>
        </w:rPr>
      </w:pPr>
      <w:r>
        <w:rPr>
          <w:rFonts w:hint="eastAsia" w:ascii="仿宋_GB2312" w:hAnsi="黑体" w:eastAsia="仿宋_GB2312"/>
          <w:sz w:val="32"/>
          <w:szCs w:val="32"/>
        </w:rPr>
        <w:t>加强支出管理</w:t>
      </w:r>
      <w:r>
        <w:rPr>
          <w:rFonts w:hint="eastAsia" w:ascii="黑体" w:hAnsi="黑体" w:eastAsia="黑体"/>
          <w:sz w:val="32"/>
          <w:szCs w:val="32"/>
        </w:rPr>
        <w:t>。</w:t>
      </w:r>
      <w:r>
        <w:rPr>
          <w:rFonts w:hint="eastAsia" w:ascii="仿宋_GB2312" w:eastAsia="仿宋_GB2312"/>
          <w:sz w:val="32"/>
          <w:szCs w:val="32"/>
        </w:rPr>
        <w:t>加强资金支出管理，优化支出结构，按照实际情况编制预算，尽快启动项目，及时拨付资金，确保项目支出进度达标。</w:t>
      </w:r>
    </w:p>
    <w:p>
      <w:pPr>
        <w:spacing w:line="570" w:lineRule="exact"/>
        <w:ind w:firstLine="480" w:firstLineChars="150"/>
        <w:rPr>
          <w:rFonts w:eastAsia="方正仿宋_GBK"/>
          <w:sz w:val="32"/>
          <w:szCs w:val="32"/>
        </w:rPr>
      </w:pPr>
      <w:r>
        <w:rPr>
          <w:rFonts w:hint="eastAsia" w:ascii="仿宋_GB2312" w:eastAsia="仿宋_GB2312"/>
          <w:sz w:val="32"/>
          <w:szCs w:val="32"/>
        </w:rPr>
        <w:t>加强绩效运行监控。按要求开展绩效运行监控，发现问题及时采取措施，确保绩效目标如期保质实现。</w:t>
      </w:r>
    </w:p>
    <w:p>
      <w:pPr>
        <w:spacing w:line="570" w:lineRule="exact"/>
        <w:ind w:firstLine="480" w:firstLineChars="150"/>
        <w:rPr>
          <w:rFonts w:ascii="仿宋_GB2312" w:eastAsia="仿宋_GB2312"/>
          <w:sz w:val="32"/>
          <w:szCs w:val="32"/>
        </w:rPr>
      </w:pPr>
      <w:r>
        <w:rPr>
          <w:rFonts w:hint="eastAsia" w:ascii="仿宋_GB2312" w:eastAsia="仿宋_GB2312"/>
          <w:sz w:val="32"/>
          <w:szCs w:val="32"/>
        </w:rPr>
        <w:t>做好绩效自评。高质高效的完成年度预算绩效评价工作，对出现的问题及时整改，优化项目资金的使用结构，提高财政资金的使用效率。规范财务资产管理。</w:t>
      </w:r>
    </w:p>
    <w:p>
      <w:pPr>
        <w:spacing w:line="570" w:lineRule="exact"/>
        <w:ind w:firstLine="480" w:firstLineChars="150"/>
        <w:rPr>
          <w:rFonts w:ascii="仿宋_GB2312" w:eastAsia="仿宋_GB2312"/>
          <w:sz w:val="32"/>
          <w:szCs w:val="32"/>
        </w:rPr>
      </w:pPr>
      <w:r>
        <w:rPr>
          <w:rFonts w:hint="eastAsia" w:ascii="仿宋_GB2312" w:eastAsia="仿宋_GB2312"/>
          <w:sz w:val="32"/>
          <w:szCs w:val="32"/>
        </w:rPr>
        <w:t>规范财务资产管理。加强对单位资产的管理，按时登记固定资产、计提折旧，规范对固定资产使用的管理，做到物尽其用。</w:t>
      </w:r>
    </w:p>
    <w:p>
      <w:pPr>
        <w:spacing w:line="570" w:lineRule="exact"/>
        <w:ind w:firstLine="480" w:firstLineChars="150"/>
        <w:rPr>
          <w:rFonts w:ascii="仿宋_GB2312" w:eastAsia="仿宋_GB2312"/>
          <w:sz w:val="32"/>
          <w:szCs w:val="32"/>
        </w:rPr>
      </w:pPr>
      <w:r>
        <w:rPr>
          <w:rFonts w:hint="eastAsia" w:ascii="仿宋_GB2312" w:eastAsia="仿宋_GB2312"/>
          <w:sz w:val="32"/>
          <w:szCs w:val="32"/>
        </w:rPr>
        <w:t>加强内部监督。加强内部监督，对绩效运行情况、重大支出决策进行监督，确保财政资金安全有效。</w:t>
      </w:r>
    </w:p>
    <w:p>
      <w:pPr>
        <w:spacing w:line="570" w:lineRule="exact"/>
        <w:ind w:firstLine="480" w:firstLineChars="150"/>
        <w:rPr>
          <w:rFonts w:ascii="仿宋_GB2312" w:eastAsia="仿宋_GB2312"/>
          <w:sz w:val="32"/>
          <w:szCs w:val="32"/>
        </w:rPr>
      </w:pPr>
      <w:r>
        <w:rPr>
          <w:rFonts w:hint="eastAsia" w:ascii="仿宋_GB2312" w:eastAsia="仿宋_GB2312"/>
          <w:sz w:val="32"/>
          <w:szCs w:val="32"/>
        </w:rPr>
        <w:t>加强宣传培训调研。加强对审计人员培训，深入学习法律知识，开展审计大比武活动，提高本部门审计人员的业务素质，高质高效的完成审计项目。</w:t>
      </w:r>
    </w:p>
    <w:p>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部门预算项目绩效目标</w:t>
      </w:r>
      <w:bookmarkStart w:id="5" w:name="_Toc_4_4_0000000004"/>
      <w:bookmarkStart w:id="6" w:name="_Toc68791550"/>
    </w:p>
    <w:p>
      <w:pPr>
        <w:spacing w:line="560" w:lineRule="exact"/>
        <w:jc w:val="left"/>
        <w:rPr>
          <w:rFonts w:ascii="方正仿宋简体" w:hAnsi="方正仿宋简体" w:eastAsia="方正仿宋简体" w:cs="方正仿宋简体"/>
          <w:color w:val="FF0000"/>
          <w:sz w:val="32"/>
          <w:szCs w:val="32"/>
        </w:rPr>
        <w:sectPr>
          <w:pgSz w:w="16840" w:h="11900" w:orient="landscape"/>
          <w:pgMar w:top="1588" w:right="2098" w:bottom="1474" w:left="1985" w:header="720" w:footer="720" w:gutter="0"/>
          <w:cols w:space="720" w:num="1"/>
        </w:sectPr>
      </w:pPr>
    </w:p>
    <w:bookmarkEnd w:id="5"/>
    <w:p>
      <w:pPr>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全市审计项目专项经费绩效目标表</w:t>
      </w:r>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548"/>
        <w:gridCol w:w="30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814" w:type="dxa"/>
            <w:gridSpan w:val="6"/>
            <w:tcBorders>
              <w:top w:val="single" w:color="FFFFFF" w:sz="6" w:space="0"/>
              <w:left w:val="single" w:color="FFFFFF" w:sz="6" w:space="0"/>
              <w:right w:val="single" w:color="FFFFFF" w:sz="6" w:space="0"/>
            </w:tcBorders>
            <w:vAlign w:val="center"/>
          </w:tcPr>
          <w:p>
            <w:pPr>
              <w:pStyle w:val="15"/>
            </w:pPr>
            <w:r>
              <w:t>319001遵化市审计局本级</w:t>
            </w:r>
          </w:p>
        </w:tc>
        <w:tc>
          <w:tcPr>
            <w:tcW w:w="2080"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08" w:type="dxa"/>
            <w:gridSpan w:val="2"/>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13028122P003369100018</w:t>
            </w:r>
          </w:p>
        </w:tc>
        <w:tc>
          <w:tcPr>
            <w:tcW w:w="1587"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4423" w:type="dxa"/>
            <w:gridSpan w:val="3"/>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全市审计项目专项经费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276"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80.00</w:t>
            </w:r>
          </w:p>
        </w:tc>
        <w:tc>
          <w:tcPr>
            <w:tcW w:w="1587"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04"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80.00</w:t>
            </w:r>
          </w:p>
        </w:tc>
        <w:tc>
          <w:tcPr>
            <w:tcW w:w="1039"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2080"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bCs/>
                <w:sz w:val="24"/>
                <w:szCs w:val="24"/>
              </w:rPr>
            </w:pPr>
          </w:p>
        </w:tc>
        <w:tc>
          <w:tcPr>
            <w:tcW w:w="8618" w:type="dxa"/>
            <w:gridSpan w:val="6"/>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主要用于开展经济责任审计，重大政策跟踪审计、财政审计、投资审计、预决算执行审计和其他财政收支情况审计等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08" w:type="dxa"/>
            <w:gridSpan w:val="2"/>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587"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04"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119" w:type="dxa"/>
            <w:gridSpan w:val="2"/>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bCs/>
                <w:sz w:val="24"/>
                <w:szCs w:val="24"/>
              </w:rPr>
            </w:pPr>
          </w:p>
        </w:tc>
        <w:tc>
          <w:tcPr>
            <w:tcW w:w="2608" w:type="dxa"/>
            <w:gridSpan w:val="2"/>
            <w:vAlign w:val="center"/>
          </w:tcPr>
          <w:p>
            <w:pPr>
              <w:pStyle w:val="19"/>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25%</w:t>
            </w:r>
          </w:p>
        </w:tc>
        <w:tc>
          <w:tcPr>
            <w:tcW w:w="1587" w:type="dxa"/>
            <w:vAlign w:val="center"/>
          </w:tcPr>
          <w:p>
            <w:pPr>
              <w:pStyle w:val="19"/>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50%</w:t>
            </w:r>
          </w:p>
        </w:tc>
        <w:tc>
          <w:tcPr>
            <w:tcW w:w="1304" w:type="dxa"/>
            <w:vAlign w:val="center"/>
          </w:tcPr>
          <w:p>
            <w:pPr>
              <w:pStyle w:val="19"/>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75%</w:t>
            </w:r>
          </w:p>
        </w:tc>
        <w:tc>
          <w:tcPr>
            <w:tcW w:w="3119" w:type="dxa"/>
            <w:gridSpan w:val="2"/>
            <w:vAlign w:val="center"/>
          </w:tcPr>
          <w:p>
            <w:pPr>
              <w:pStyle w:val="19"/>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8618" w:type="dxa"/>
            <w:gridSpan w:val="6"/>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1.依法全面履行审计监督职责，充分发挥审计在推进国家治理体系和治理能力现代化中的作用。</w:t>
            </w:r>
          </w:p>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2.加大审计力度，充分发挥审计监督作用，维护国家财政经济秩序，提高资金使用效益，保障经济社会健康发展。</w:t>
            </w:r>
          </w:p>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3.加强审计信息化建设，提升审计效能，防范审计风险。</w:t>
            </w:r>
          </w:p>
        </w:tc>
      </w:tr>
    </w:tbl>
    <w:p>
      <w:pPr>
        <w:spacing w:line="2"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color w:val="000000"/>
          <w:sz w:val="24"/>
          <w:szCs w:val="24"/>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2"/>
        <w:gridCol w:w="1901"/>
        <w:gridCol w:w="1984"/>
        <w:gridCol w:w="4307"/>
        <w:gridCol w:w="1336"/>
        <w:gridCol w:w="3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276"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32"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891"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897"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2222" w:type="dxa"/>
            <w:vAlign w:val="center"/>
          </w:tcPr>
          <w:p>
            <w:pPr>
              <w:pStyle w:val="17"/>
              <w:rPr>
                <w:rFonts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产出指标</w:t>
            </w: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数量指标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完成集中审计项目数量</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完成集中审计项目数量</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≥80个</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bCs/>
                <w:sz w:val="24"/>
                <w:szCs w:val="24"/>
              </w:rPr>
            </w:pP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质量指标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审计报告质量</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审计报告合格率</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≥95百分比</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bCs/>
                <w:sz w:val="24"/>
                <w:szCs w:val="24"/>
              </w:rPr>
            </w:pP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时效指标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审计计划完成率</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全年审计计划完成率</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≥95百分比</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bCs/>
                <w:sz w:val="24"/>
                <w:szCs w:val="24"/>
              </w:rPr>
            </w:pP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成本指标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年中追加预算次数</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全年追加预算次数</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≤1次</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效益指标</w:t>
            </w: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经济效益指标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问题资金整改率</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各类审计项目发现问题资金整改率</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≥90百分比</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bCs/>
                <w:sz w:val="24"/>
                <w:szCs w:val="24"/>
              </w:rPr>
            </w:pP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社会效益指标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整改措施</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被审计单位根基审计建议制定整改措施</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≥200条</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bCs/>
                <w:sz w:val="24"/>
                <w:szCs w:val="24"/>
              </w:rPr>
            </w:pP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生态效益指标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重大政策落实跟踪审计</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重大政策落实跟踪审计</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≥3个</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bCs/>
                <w:sz w:val="24"/>
                <w:szCs w:val="24"/>
              </w:rPr>
            </w:pP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可持续影响指标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审计决定落实率</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审计决定落实率</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≥85百分比</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满意度指标</w:t>
            </w:r>
          </w:p>
        </w:tc>
        <w:tc>
          <w:tcPr>
            <w:tcW w:w="1276"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服务对象满意度指标</w:t>
            </w:r>
          </w:p>
        </w:tc>
        <w:tc>
          <w:tcPr>
            <w:tcW w:w="133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被审计单位满意程度</w:t>
            </w:r>
          </w:p>
        </w:tc>
        <w:tc>
          <w:tcPr>
            <w:tcW w:w="2891"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被审计单位满意程度</w:t>
            </w:r>
          </w:p>
        </w:tc>
        <w:tc>
          <w:tcPr>
            <w:tcW w:w="897"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≥95百分比</w:t>
            </w:r>
          </w:p>
        </w:tc>
        <w:tc>
          <w:tcPr>
            <w:tcW w:w="2222" w:type="dxa"/>
            <w:vAlign w:val="center"/>
          </w:tcPr>
          <w:p>
            <w:pPr>
              <w:pStyle w:val="18"/>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《2022年审计项目计划》根据</w:t>
            </w:r>
            <w:r>
              <w:rPr>
                <w:rFonts w:hint="eastAsia" w:ascii="方正仿宋简体" w:hAnsi="方正仿宋简体" w:eastAsia="方正仿宋简体" w:cs="方正仿宋简体"/>
                <w:bCs/>
                <w:sz w:val="24"/>
                <w:szCs w:val="24"/>
                <w:lang w:eastAsia="zh-CN"/>
              </w:rPr>
              <w:t>《中华人民共和国审计法》</w:t>
            </w:r>
            <w:r>
              <w:rPr>
                <w:rFonts w:hint="eastAsia" w:ascii="方正仿宋简体" w:hAnsi="方正仿宋简体" w:eastAsia="方正仿宋简体" w:cs="方正仿宋简体"/>
                <w:bCs/>
                <w:sz w:val="24"/>
                <w:szCs w:val="24"/>
              </w:rPr>
              <w:t>第十一条：审计机关履行职责所</w:t>
            </w:r>
            <w:r>
              <w:rPr>
                <w:rFonts w:hint="eastAsia" w:ascii="方正仿宋简体" w:hAnsi="方正仿宋简体" w:eastAsia="方正仿宋简体" w:cs="方正仿宋简体"/>
                <w:bCs/>
                <w:sz w:val="24"/>
                <w:szCs w:val="24"/>
                <w:lang w:eastAsia="zh-CN"/>
              </w:rPr>
              <w:t>必需的</w:t>
            </w:r>
            <w:r>
              <w:rPr>
                <w:rFonts w:hint="eastAsia" w:ascii="方正仿宋简体" w:hAnsi="方正仿宋简体" w:eastAsia="方正仿宋简体" w:cs="方正仿宋简体"/>
                <w:bCs/>
                <w:sz w:val="24"/>
                <w:szCs w:val="24"/>
              </w:rPr>
              <w:t>经费，应当列入预算，由本级人民政府予以保证。</w:t>
            </w:r>
          </w:p>
        </w:tc>
      </w:tr>
    </w:tbl>
    <w:p>
      <w:pPr>
        <w:rPr>
          <w:rFonts w:ascii="方正仿宋简体" w:hAnsi="方正仿宋简体" w:eastAsia="方正仿宋简体" w:cs="方正仿宋简体"/>
          <w:bCs/>
          <w:sz w:val="24"/>
          <w:szCs w:val="24"/>
        </w:rPr>
        <w:sectPr>
          <w:pgSz w:w="16840" w:h="11900" w:orient="landscape"/>
          <w:pgMar w:top="1588" w:right="2098" w:bottom="1474" w:left="1985" w:header="720" w:footer="720" w:gutter="0"/>
          <w:cols w:space="720" w:num="1"/>
        </w:sectPr>
      </w:pPr>
    </w:p>
    <w:p>
      <w:pPr>
        <w:jc w:val="center"/>
      </w:pPr>
      <w:r>
        <w:rPr>
          <w:rFonts w:ascii="方正仿宋_GBK" w:hAnsi="方正仿宋_GBK" w:eastAsia="方正仿宋_GBK" w:cs="方正仿宋_GBK"/>
          <w:color w:val="000000"/>
          <w:sz w:val="28"/>
        </w:rPr>
        <w:t xml:space="preserve"> </w:t>
      </w:r>
    </w:p>
    <w:p>
      <w:pPr>
        <w:jc w:val="center"/>
        <w:outlineLvl w:val="3"/>
        <w:rPr>
          <w:rFonts w:ascii="方正仿宋简体" w:hAnsi="方正仿宋简体" w:eastAsia="方正仿宋简体" w:cs="方正仿宋简体"/>
          <w:sz w:val="32"/>
          <w:szCs w:val="32"/>
        </w:rPr>
      </w:pPr>
      <w:bookmarkStart w:id="7" w:name="_Toc_4_4_0000000005"/>
      <w:r>
        <w:rPr>
          <w:rFonts w:hint="eastAsia" w:ascii="方正仿宋简体" w:hAnsi="方正仿宋简体" w:eastAsia="方正仿宋简体" w:cs="方正仿宋简体"/>
          <w:color w:val="000000"/>
          <w:sz w:val="32"/>
          <w:szCs w:val="32"/>
        </w:rPr>
        <w:t>审计局购置行政执法用车绩效目标表</w:t>
      </w:r>
      <w:bookmarkEnd w:id="7"/>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319001遵化市审计局本级</w:t>
            </w:r>
          </w:p>
        </w:tc>
        <w:tc>
          <w:tcPr>
            <w:tcW w:w="1843" w:type="dxa"/>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608" w:type="dxa"/>
            <w:gridSpan w:val="2"/>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13028122P00337210001P</w:t>
            </w:r>
          </w:p>
        </w:tc>
        <w:tc>
          <w:tcPr>
            <w:tcW w:w="1587"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4422" w:type="dxa"/>
            <w:gridSpan w:val="3"/>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审计局购置行政执法用车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18.00</w:t>
            </w:r>
          </w:p>
        </w:tc>
        <w:tc>
          <w:tcPr>
            <w:tcW w:w="1587"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30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18.00</w:t>
            </w:r>
          </w:p>
        </w:tc>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rPr>
            </w:pPr>
          </w:p>
        </w:tc>
        <w:tc>
          <w:tcPr>
            <w:tcW w:w="8617" w:type="dxa"/>
            <w:gridSpan w:val="6"/>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主要用于落实审计监督制度，提高审计行政执法监督工作效率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608"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587"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04"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3118"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rPr>
            </w:pPr>
          </w:p>
        </w:tc>
        <w:tc>
          <w:tcPr>
            <w:tcW w:w="2608" w:type="dxa"/>
            <w:gridSpan w:val="2"/>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1587"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1304"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75%</w:t>
            </w:r>
          </w:p>
        </w:tc>
        <w:tc>
          <w:tcPr>
            <w:tcW w:w="3118" w:type="dxa"/>
            <w:gridSpan w:val="2"/>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8617" w:type="dxa"/>
            <w:gridSpan w:val="6"/>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1.目标内容1：依法全面履行审计监督职责，充分发挥审计在推进国家治理体系和治理能力现代化中的作用。</w:t>
            </w:r>
          </w:p>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2.目标内容2：提升审计效能，防范审计风险，充分发挥审计监督作用，维护国家财政经济秩序，提高资金使用效益，保障经济社会健康发展。</w:t>
            </w:r>
          </w:p>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3.目标内容3：确保购置行政执法用车符合规定标准。</w:t>
            </w:r>
          </w:p>
        </w:tc>
      </w:tr>
    </w:tbl>
    <w:p>
      <w:pPr>
        <w:spacing w:line="2"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332"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89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1843"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购车数量</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购车数量</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≤1辆</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车辆质量标准</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车辆质量标准合格率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设备（含车辆和专用耗材）到位及</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设备（含车辆和专用耗材）到位及时率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车辆总价</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车辆总价款不超过18万元</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≤18万元</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机动车年检率</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机动车年检率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车驾管信息化水平提升</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车驾管信息化水平提升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≥50百分比</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辅助重大政策落实情况审计</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xml:space="preserve">辅助重大政策落实情况审计项目数量 </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≥3个</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车辆使用年限</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新购置的行政执法用车最低使用年限</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≥10年</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群众对审计人员依法审计、廉洁审计、文明审计方面满意度</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≥95百分比</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唐财采【2021】3号</w:t>
            </w:r>
          </w:p>
        </w:tc>
      </w:tr>
    </w:tbl>
    <w:p>
      <w:pPr>
        <w:rPr>
          <w:rFonts w:ascii="方正仿宋简体" w:hAnsi="方正仿宋简体" w:eastAsia="方正仿宋简体" w:cs="方正仿宋简体"/>
        </w:rPr>
        <w:sectPr>
          <w:pgSz w:w="16840" w:h="11900" w:orient="landscape"/>
          <w:pgMar w:top="907" w:right="2098" w:bottom="680" w:left="1985" w:header="720" w:footer="720" w:gutter="0"/>
          <w:cols w:space="720" w:num="1"/>
        </w:sectPr>
      </w:pPr>
    </w:p>
    <w:p>
      <w:pPr>
        <w:jc w:val="center"/>
        <w:rPr>
          <w:rFonts w:ascii="方正仿宋简体" w:hAnsi="方正仿宋简体" w:eastAsia="方正仿宋简体" w:cs="方正仿宋简体"/>
          <w:sz w:val="44"/>
          <w:szCs w:val="44"/>
        </w:rPr>
      </w:pPr>
      <w:r>
        <w:rPr>
          <w:rFonts w:hint="eastAsia" w:ascii="方正小标宋简体" w:hAnsi="方正仿宋_GBK" w:eastAsia="方正小标宋简体" w:cs="方正仿宋_GBK"/>
          <w:color w:val="000000"/>
          <w:sz w:val="44"/>
          <w:szCs w:val="44"/>
        </w:rPr>
        <w:t xml:space="preserve"> </w:t>
      </w:r>
      <w:bookmarkStart w:id="8" w:name="_Toc_4_4_0000000006"/>
      <w:r>
        <w:rPr>
          <w:rFonts w:hint="eastAsia" w:ascii="方正仿宋简体" w:hAnsi="方正仿宋简体" w:eastAsia="方正仿宋简体" w:cs="方正仿宋简体"/>
          <w:color w:val="000000"/>
          <w:sz w:val="44"/>
          <w:szCs w:val="44"/>
        </w:rPr>
        <w:t>预算决算执行审计项目绩效目标表</w:t>
      </w:r>
      <w:bookmarkEnd w:id="8"/>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319001遵化市审计局本级</w:t>
            </w:r>
          </w:p>
        </w:tc>
        <w:tc>
          <w:tcPr>
            <w:tcW w:w="1843" w:type="dxa"/>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608" w:type="dxa"/>
            <w:gridSpan w:val="2"/>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13028122P00337010001C</w:t>
            </w:r>
          </w:p>
        </w:tc>
        <w:tc>
          <w:tcPr>
            <w:tcW w:w="1587"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4422" w:type="dxa"/>
            <w:gridSpan w:val="3"/>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预算决算执行审计项目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1587"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30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184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rPr>
            </w:pPr>
          </w:p>
        </w:tc>
        <w:tc>
          <w:tcPr>
            <w:tcW w:w="8617" w:type="dxa"/>
            <w:gridSpan w:val="6"/>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主要用于开展预算、决算专项审计。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608"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587"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04"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3118"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rPr>
            </w:pPr>
          </w:p>
        </w:tc>
        <w:tc>
          <w:tcPr>
            <w:tcW w:w="2608" w:type="dxa"/>
            <w:gridSpan w:val="2"/>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1587"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1304"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75%</w:t>
            </w:r>
          </w:p>
        </w:tc>
        <w:tc>
          <w:tcPr>
            <w:tcW w:w="3118" w:type="dxa"/>
            <w:gridSpan w:val="2"/>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8617" w:type="dxa"/>
            <w:gridSpan w:val="6"/>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1.目标内容1：依法全面履行审计监督职责，充分发挥审计在推进国家治理体系和治理能力现代化中的作用。</w:t>
            </w:r>
          </w:p>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2.目标内容2：加大审计力度，充分发挥审计监督作用，维护国家财政经济秩序，提高资金使用效益，保障经济社会健康发展。</w:t>
            </w:r>
          </w:p>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3.目标内容3：加强审计信息化建设，提升审计效能，防范审计风险。</w:t>
            </w:r>
          </w:p>
        </w:tc>
      </w:tr>
    </w:tbl>
    <w:p>
      <w:pPr>
        <w:spacing w:line="2"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548"/>
        <w:gridCol w:w="3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276"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332"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89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039"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080"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完成集中审计项目数量</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完成集中审计项目数量</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≥2个</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审计报告质量</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审计报告合格率</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≥95百分比</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审计计划完成率</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全年审计计划完成率</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≥95百分比</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年中追加预算次数</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全年追加预算次数</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≤1次</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问题资金整改率</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各类审计项目发现问题资金整改率</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≥90百分比</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整改措施</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被审计单位根基审计建议制定整改措施</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≥50条</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重大政策落实跟踪审计</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重大政策落实跟踪审计</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≥3个</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rPr>
            </w:pP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审计决定落实率</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审计决定落实率</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≥90百分比</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27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3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被审计单位满意程度</w:t>
            </w:r>
          </w:p>
        </w:tc>
        <w:tc>
          <w:tcPr>
            <w:tcW w:w="289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被审计单位满意程度</w:t>
            </w:r>
          </w:p>
        </w:tc>
        <w:tc>
          <w:tcPr>
            <w:tcW w:w="103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≥95百分比</w:t>
            </w:r>
          </w:p>
        </w:tc>
        <w:tc>
          <w:tcPr>
            <w:tcW w:w="208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18"/>
                <w:szCs w:val="18"/>
              </w:rPr>
              <w:t>《2022年审计项目计划》根据</w:t>
            </w:r>
            <w:r>
              <w:rPr>
                <w:rFonts w:hint="eastAsia" w:ascii="方正仿宋简体" w:hAnsi="方正仿宋简体" w:eastAsia="方正仿宋简体" w:cs="方正仿宋简体"/>
                <w:sz w:val="18"/>
                <w:szCs w:val="18"/>
                <w:lang w:eastAsia="zh-CN"/>
              </w:rPr>
              <w:t>《中华人民共和国审计法》</w:t>
            </w:r>
            <w:r>
              <w:rPr>
                <w:rFonts w:hint="eastAsia" w:ascii="方正仿宋简体" w:hAnsi="方正仿宋简体" w:eastAsia="方正仿宋简体" w:cs="方正仿宋简体"/>
                <w:sz w:val="18"/>
                <w:szCs w:val="18"/>
              </w:rPr>
              <w:t>第十一条：审计机关履行职责所</w:t>
            </w:r>
            <w:r>
              <w:rPr>
                <w:rFonts w:hint="eastAsia" w:ascii="方正仿宋简体" w:hAnsi="方正仿宋简体" w:eastAsia="方正仿宋简体" w:cs="方正仿宋简体"/>
                <w:sz w:val="18"/>
                <w:szCs w:val="18"/>
                <w:lang w:eastAsia="zh-CN"/>
              </w:rPr>
              <w:t>必需的</w:t>
            </w:r>
            <w:r>
              <w:rPr>
                <w:rFonts w:hint="eastAsia" w:ascii="方正仿宋简体" w:hAnsi="方正仿宋简体" w:eastAsia="方正仿宋简体" w:cs="方正仿宋简体"/>
                <w:sz w:val="18"/>
                <w:szCs w:val="18"/>
              </w:rPr>
              <w:t>经费，应当列入预算，由本级人民政府予以保证。</w:t>
            </w:r>
          </w:p>
        </w:tc>
      </w:tr>
    </w:tbl>
    <w:p>
      <w:pPr>
        <w:ind w:firstLine="640" w:firstLineChars="200"/>
        <w:rPr>
          <w:rFonts w:ascii="方正仿宋简体" w:hAnsi="方正仿宋简体" w:eastAsia="方正仿宋简体" w:cs="方正仿宋简体"/>
          <w:color w:val="000000"/>
          <w:sz w:val="32"/>
          <w:szCs w:val="32"/>
        </w:rPr>
        <w:sectPr>
          <w:footerReference r:id="rId5" w:type="default"/>
          <w:pgSz w:w="16840" w:h="11900" w:orient="landscape"/>
          <w:pgMar w:top="1588" w:right="2098" w:bottom="1474" w:left="1985" w:header="851" w:footer="992" w:gutter="0"/>
          <w:cols w:space="720" w:num="1"/>
          <w:docGrid w:linePitch="312" w:charSpace="0"/>
        </w:sectPr>
      </w:pPr>
    </w:p>
    <w:p>
      <w:pPr>
        <w:spacing w:line="570" w:lineRule="exact"/>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bookmarkEnd w:id="6"/>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2022年，遵化市审计局部门安排政府采购预算</w:t>
      </w:r>
      <w:r>
        <w:rPr>
          <w:rFonts w:ascii="方正仿宋简体" w:hAnsi="方正仿宋简体" w:eastAsia="方正仿宋简体" w:cs="方正仿宋简体"/>
          <w:sz w:val="32"/>
          <w:szCs w:val="32"/>
        </w:rPr>
        <w:t>24</w:t>
      </w:r>
      <w:r>
        <w:rPr>
          <w:rFonts w:hint="eastAsia" w:ascii="方正仿宋简体" w:hAnsi="方正仿宋简体" w:eastAsia="方正仿宋简体" w:cs="方正仿宋简体"/>
          <w:sz w:val="32"/>
          <w:szCs w:val="32"/>
        </w:rPr>
        <w:t>万元。</w:t>
      </w:r>
    </w:p>
    <w:p>
      <w:pPr>
        <w:spacing w:line="57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7"/>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2"/>
        <w:gridCol w:w="1641"/>
        <w:gridCol w:w="767"/>
        <w:gridCol w:w="1513"/>
        <w:gridCol w:w="548"/>
        <w:gridCol w:w="1537"/>
        <w:gridCol w:w="1469"/>
        <w:gridCol w:w="1545"/>
        <w:gridCol w:w="1611"/>
        <w:gridCol w:w="623"/>
        <w:gridCol w:w="781"/>
        <w:gridCol w:w="623"/>
        <w:gridCol w:w="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3" w:hRule="atLeast"/>
          <w:tblHeader/>
        </w:trPr>
        <w:tc>
          <w:tcPr>
            <w:tcW w:w="8267" w:type="dxa"/>
            <w:gridSpan w:val="7"/>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319001遵化市审计局部门</w:t>
            </w:r>
          </w:p>
        </w:tc>
        <w:tc>
          <w:tcPr>
            <w:tcW w:w="5727" w:type="dxa"/>
            <w:gridSpan w:val="6"/>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tblHeader/>
        </w:trPr>
        <w:tc>
          <w:tcPr>
            <w:tcW w:w="2433" w:type="dxa"/>
            <w:gridSpan w:val="2"/>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政府采购项目来源</w:t>
            </w:r>
          </w:p>
        </w:tc>
        <w:tc>
          <w:tcPr>
            <w:tcW w:w="767" w:type="dxa"/>
            <w:vMerge w:val="restart"/>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采购物品名称</w:t>
            </w:r>
          </w:p>
        </w:tc>
        <w:tc>
          <w:tcPr>
            <w:tcW w:w="1513" w:type="dxa"/>
            <w:vMerge w:val="restart"/>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政府采购目录序号</w:t>
            </w:r>
          </w:p>
        </w:tc>
        <w:tc>
          <w:tcPr>
            <w:tcW w:w="548" w:type="dxa"/>
            <w:vMerge w:val="restart"/>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计量单位</w:t>
            </w:r>
          </w:p>
        </w:tc>
        <w:tc>
          <w:tcPr>
            <w:tcW w:w="1537" w:type="dxa"/>
            <w:vMerge w:val="restart"/>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w:t>
            </w:r>
          </w:p>
        </w:tc>
        <w:tc>
          <w:tcPr>
            <w:tcW w:w="1469" w:type="dxa"/>
            <w:vMerge w:val="restart"/>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单价</w:t>
            </w:r>
          </w:p>
        </w:tc>
        <w:tc>
          <w:tcPr>
            <w:tcW w:w="5727" w:type="dxa"/>
            <w:gridSpan w:val="6"/>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62" w:hRule="atLeast"/>
          <w:tblHeader/>
        </w:trPr>
        <w:tc>
          <w:tcPr>
            <w:tcW w:w="792" w:type="dxa"/>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项目名称</w:t>
            </w:r>
          </w:p>
        </w:tc>
        <w:tc>
          <w:tcPr>
            <w:tcW w:w="1641" w:type="dxa"/>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预算资金</w:t>
            </w:r>
          </w:p>
        </w:tc>
        <w:tc>
          <w:tcPr>
            <w:tcW w:w="767" w:type="dxa"/>
            <w:vMerge w:val="continue"/>
            <w:vAlign w:val="center"/>
          </w:tcPr>
          <w:p>
            <w:pPr>
              <w:jc w:val="left"/>
              <w:rPr>
                <w:rFonts w:ascii="方正仿宋简体" w:hAnsi="方正仿宋简体" w:eastAsia="方正仿宋简体" w:cs="方正仿宋简体"/>
                <w:bCs/>
                <w:szCs w:val="21"/>
              </w:rPr>
            </w:pPr>
          </w:p>
        </w:tc>
        <w:tc>
          <w:tcPr>
            <w:tcW w:w="1513" w:type="dxa"/>
            <w:vMerge w:val="continue"/>
            <w:vAlign w:val="center"/>
          </w:tcPr>
          <w:p>
            <w:pPr>
              <w:jc w:val="left"/>
              <w:rPr>
                <w:rFonts w:ascii="方正仿宋简体" w:hAnsi="方正仿宋简体" w:eastAsia="方正仿宋简体" w:cs="方正仿宋简体"/>
                <w:bCs/>
                <w:szCs w:val="21"/>
              </w:rPr>
            </w:pPr>
          </w:p>
        </w:tc>
        <w:tc>
          <w:tcPr>
            <w:tcW w:w="548" w:type="dxa"/>
            <w:vMerge w:val="continue"/>
            <w:vAlign w:val="center"/>
          </w:tcPr>
          <w:p>
            <w:pPr>
              <w:jc w:val="left"/>
              <w:rPr>
                <w:rFonts w:ascii="方正仿宋简体" w:hAnsi="方正仿宋简体" w:eastAsia="方正仿宋简体" w:cs="方正仿宋简体"/>
                <w:bCs/>
                <w:szCs w:val="21"/>
              </w:rPr>
            </w:pPr>
          </w:p>
        </w:tc>
        <w:tc>
          <w:tcPr>
            <w:tcW w:w="1537" w:type="dxa"/>
            <w:vMerge w:val="continue"/>
            <w:vAlign w:val="center"/>
          </w:tcPr>
          <w:p>
            <w:pPr>
              <w:jc w:val="left"/>
              <w:rPr>
                <w:rFonts w:ascii="方正仿宋简体" w:hAnsi="方正仿宋简体" w:eastAsia="方正仿宋简体" w:cs="方正仿宋简体"/>
                <w:bCs/>
                <w:szCs w:val="21"/>
              </w:rPr>
            </w:pPr>
          </w:p>
        </w:tc>
        <w:tc>
          <w:tcPr>
            <w:tcW w:w="1469" w:type="dxa"/>
            <w:vMerge w:val="continue"/>
            <w:vAlign w:val="center"/>
          </w:tcPr>
          <w:p>
            <w:pPr>
              <w:jc w:val="left"/>
              <w:rPr>
                <w:rFonts w:ascii="方正仿宋简体" w:hAnsi="方正仿宋简体" w:eastAsia="方正仿宋简体" w:cs="方正仿宋简体"/>
                <w:bCs/>
                <w:szCs w:val="21"/>
              </w:rPr>
            </w:pPr>
          </w:p>
        </w:tc>
        <w:tc>
          <w:tcPr>
            <w:tcW w:w="1545" w:type="dxa"/>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合计</w:t>
            </w:r>
          </w:p>
        </w:tc>
        <w:tc>
          <w:tcPr>
            <w:tcW w:w="1611" w:type="dxa"/>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一般公共预算拨款</w:t>
            </w:r>
          </w:p>
        </w:tc>
        <w:tc>
          <w:tcPr>
            <w:tcW w:w="623" w:type="dxa"/>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基金预算拨款</w:t>
            </w:r>
          </w:p>
        </w:tc>
        <w:tc>
          <w:tcPr>
            <w:tcW w:w="781" w:type="dxa"/>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国有资本经营预算拨款</w:t>
            </w:r>
          </w:p>
        </w:tc>
        <w:tc>
          <w:tcPr>
            <w:tcW w:w="623" w:type="dxa"/>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财政专户核拨</w:t>
            </w:r>
          </w:p>
        </w:tc>
        <w:tc>
          <w:tcPr>
            <w:tcW w:w="544" w:type="dxa"/>
            <w:vAlign w:val="center"/>
          </w:tcPr>
          <w:p>
            <w:pPr>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9" w:hRule="atLeast"/>
        </w:trPr>
        <w:tc>
          <w:tcPr>
            <w:tcW w:w="792"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公用类项目</w:t>
            </w:r>
          </w:p>
        </w:tc>
        <w:tc>
          <w:tcPr>
            <w:tcW w:w="164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20.61</w:t>
            </w:r>
          </w:p>
        </w:tc>
        <w:tc>
          <w:tcPr>
            <w:tcW w:w="767"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车辆维修和保养服务</w:t>
            </w:r>
          </w:p>
        </w:tc>
        <w:tc>
          <w:tcPr>
            <w:tcW w:w="1513"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C050301</w:t>
            </w:r>
          </w:p>
        </w:tc>
        <w:tc>
          <w:tcPr>
            <w:tcW w:w="548"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辆</w:t>
            </w:r>
          </w:p>
        </w:tc>
        <w:tc>
          <w:tcPr>
            <w:tcW w:w="1537"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2</w:t>
            </w:r>
          </w:p>
        </w:tc>
        <w:tc>
          <w:tcPr>
            <w:tcW w:w="1469"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1.00</w:t>
            </w:r>
          </w:p>
        </w:tc>
        <w:tc>
          <w:tcPr>
            <w:tcW w:w="1545"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2.00</w:t>
            </w:r>
          </w:p>
        </w:tc>
        <w:tc>
          <w:tcPr>
            <w:tcW w:w="161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2.00</w:t>
            </w:r>
          </w:p>
        </w:tc>
        <w:tc>
          <w:tcPr>
            <w:tcW w:w="623"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78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623"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544"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1" w:hRule="atLeast"/>
        </w:trPr>
        <w:tc>
          <w:tcPr>
            <w:tcW w:w="792"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全市审计项目专项经费</w:t>
            </w:r>
          </w:p>
        </w:tc>
        <w:tc>
          <w:tcPr>
            <w:tcW w:w="164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80.00</w:t>
            </w:r>
          </w:p>
        </w:tc>
        <w:tc>
          <w:tcPr>
            <w:tcW w:w="767"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台式计算机</w:t>
            </w:r>
          </w:p>
        </w:tc>
        <w:tc>
          <w:tcPr>
            <w:tcW w:w="1513"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A02010104</w:t>
            </w:r>
          </w:p>
        </w:tc>
        <w:tc>
          <w:tcPr>
            <w:tcW w:w="548"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台</w:t>
            </w:r>
          </w:p>
        </w:tc>
        <w:tc>
          <w:tcPr>
            <w:tcW w:w="1537"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5</w:t>
            </w:r>
          </w:p>
        </w:tc>
        <w:tc>
          <w:tcPr>
            <w:tcW w:w="1469"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0.45</w:t>
            </w:r>
          </w:p>
        </w:tc>
        <w:tc>
          <w:tcPr>
            <w:tcW w:w="1545"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2.25</w:t>
            </w:r>
          </w:p>
        </w:tc>
        <w:tc>
          <w:tcPr>
            <w:tcW w:w="161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2.25</w:t>
            </w:r>
          </w:p>
        </w:tc>
        <w:tc>
          <w:tcPr>
            <w:tcW w:w="623"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78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623"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544"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1" w:hRule="atLeast"/>
        </w:trPr>
        <w:tc>
          <w:tcPr>
            <w:tcW w:w="792"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全市审计项目专项经费</w:t>
            </w:r>
          </w:p>
        </w:tc>
        <w:tc>
          <w:tcPr>
            <w:tcW w:w="164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80.00</w:t>
            </w:r>
          </w:p>
        </w:tc>
        <w:tc>
          <w:tcPr>
            <w:tcW w:w="767"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便携式计算机</w:t>
            </w:r>
          </w:p>
        </w:tc>
        <w:tc>
          <w:tcPr>
            <w:tcW w:w="1513"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A02010105</w:t>
            </w:r>
          </w:p>
        </w:tc>
        <w:tc>
          <w:tcPr>
            <w:tcW w:w="548" w:type="dxa"/>
            <w:vAlign w:val="center"/>
          </w:tcPr>
          <w:p>
            <w:pPr>
              <w:adjustRightInd w:val="0"/>
              <w:snapToGrid w:val="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台</w:t>
            </w:r>
          </w:p>
        </w:tc>
        <w:tc>
          <w:tcPr>
            <w:tcW w:w="1537"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10</w:t>
            </w:r>
          </w:p>
        </w:tc>
        <w:tc>
          <w:tcPr>
            <w:tcW w:w="1469"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0.60</w:t>
            </w:r>
          </w:p>
        </w:tc>
        <w:tc>
          <w:tcPr>
            <w:tcW w:w="1545"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6.00</w:t>
            </w:r>
          </w:p>
        </w:tc>
        <w:tc>
          <w:tcPr>
            <w:tcW w:w="161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r>
              <w:rPr>
                <w:rFonts w:eastAsiaTheme="majorEastAsia"/>
                <w:snapToGrid w:val="0"/>
                <w:spacing w:val="2"/>
                <w:kern w:val="0"/>
                <w:position w:val="2"/>
                <w:szCs w:val="21"/>
              </w:rPr>
              <w:t>6.00</w:t>
            </w:r>
          </w:p>
        </w:tc>
        <w:tc>
          <w:tcPr>
            <w:tcW w:w="623"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781"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623"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c>
          <w:tcPr>
            <w:tcW w:w="544" w:type="dxa"/>
            <w:vAlign w:val="center"/>
          </w:tcPr>
          <w:p>
            <w:pPr>
              <w:adjustRightInd w:val="0"/>
              <w:snapToGrid w:val="0"/>
              <w:ind w:right="840"/>
              <w:jc w:val="center"/>
              <w:rPr>
                <w:rFonts w:ascii="方正仿宋简体" w:hAnsi="方正仿宋简体" w:cs="方正仿宋简体" w:eastAsiaTheme="majorEastAsia"/>
                <w:bCs/>
                <w:snapToGrid w:val="0"/>
                <w:spacing w:val="2"/>
                <w:kern w:val="0"/>
                <w:positio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1" w:hRule="atLeast"/>
        </w:trPr>
        <w:tc>
          <w:tcPr>
            <w:tcW w:w="792" w:type="dxa"/>
            <w:vAlign w:val="center"/>
          </w:tcPr>
          <w:p>
            <w:pPr>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全市审计项目专项经费</w:t>
            </w:r>
          </w:p>
        </w:tc>
        <w:tc>
          <w:tcPr>
            <w:tcW w:w="1641"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80.00</w:t>
            </w:r>
          </w:p>
        </w:tc>
        <w:tc>
          <w:tcPr>
            <w:tcW w:w="767" w:type="dxa"/>
            <w:vAlign w:val="center"/>
          </w:tcPr>
          <w:p>
            <w:pPr>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空调机</w:t>
            </w:r>
          </w:p>
        </w:tc>
        <w:tc>
          <w:tcPr>
            <w:tcW w:w="1513" w:type="dxa"/>
            <w:vAlign w:val="center"/>
          </w:tcPr>
          <w:p>
            <w:pPr>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A0206180203</w:t>
            </w:r>
          </w:p>
        </w:tc>
        <w:tc>
          <w:tcPr>
            <w:tcW w:w="548" w:type="dxa"/>
            <w:vAlign w:val="center"/>
          </w:tcPr>
          <w:p>
            <w:pPr>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台</w:t>
            </w:r>
          </w:p>
        </w:tc>
        <w:tc>
          <w:tcPr>
            <w:tcW w:w="1537"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5</w:t>
            </w:r>
          </w:p>
        </w:tc>
        <w:tc>
          <w:tcPr>
            <w:tcW w:w="1469"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0.35</w:t>
            </w:r>
          </w:p>
        </w:tc>
        <w:tc>
          <w:tcPr>
            <w:tcW w:w="1545"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1.75</w:t>
            </w:r>
          </w:p>
        </w:tc>
        <w:tc>
          <w:tcPr>
            <w:tcW w:w="1611"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1.75</w:t>
            </w:r>
          </w:p>
        </w:tc>
        <w:tc>
          <w:tcPr>
            <w:tcW w:w="623" w:type="dxa"/>
            <w:vAlign w:val="center"/>
          </w:tcPr>
          <w:p>
            <w:pPr>
              <w:ind w:right="840"/>
              <w:jc w:val="center"/>
              <w:rPr>
                <w:rFonts w:ascii="方正仿宋简体" w:hAnsi="方正仿宋简体" w:cs="方正仿宋简体" w:eastAsiaTheme="majorEastAsia"/>
                <w:bCs/>
                <w:spacing w:val="2"/>
                <w:position w:val="2"/>
                <w:szCs w:val="21"/>
              </w:rPr>
            </w:pPr>
          </w:p>
        </w:tc>
        <w:tc>
          <w:tcPr>
            <w:tcW w:w="781" w:type="dxa"/>
            <w:vAlign w:val="center"/>
          </w:tcPr>
          <w:p>
            <w:pPr>
              <w:ind w:right="840"/>
              <w:jc w:val="center"/>
              <w:rPr>
                <w:rFonts w:ascii="方正仿宋简体" w:hAnsi="方正仿宋简体" w:cs="方正仿宋简体" w:eastAsiaTheme="majorEastAsia"/>
                <w:bCs/>
                <w:spacing w:val="2"/>
                <w:position w:val="2"/>
                <w:szCs w:val="21"/>
              </w:rPr>
            </w:pPr>
          </w:p>
        </w:tc>
        <w:tc>
          <w:tcPr>
            <w:tcW w:w="623" w:type="dxa"/>
            <w:vAlign w:val="center"/>
          </w:tcPr>
          <w:p>
            <w:pPr>
              <w:ind w:right="840"/>
              <w:jc w:val="center"/>
              <w:rPr>
                <w:rFonts w:ascii="方正仿宋简体" w:hAnsi="方正仿宋简体" w:cs="方正仿宋简体" w:eastAsiaTheme="majorEastAsia"/>
                <w:bCs/>
                <w:spacing w:val="2"/>
                <w:position w:val="2"/>
                <w:szCs w:val="21"/>
              </w:rPr>
            </w:pPr>
          </w:p>
        </w:tc>
        <w:tc>
          <w:tcPr>
            <w:tcW w:w="544" w:type="dxa"/>
            <w:vAlign w:val="center"/>
          </w:tcPr>
          <w:p>
            <w:pPr>
              <w:ind w:right="840"/>
              <w:jc w:val="center"/>
              <w:rPr>
                <w:rFonts w:ascii="方正仿宋简体" w:hAnsi="方正仿宋简体" w:cs="方正仿宋简体" w:eastAsiaTheme="majorEastAsia"/>
                <w:bCs/>
                <w:spacing w:val="2"/>
                <w:positio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1" w:hRule="atLeast"/>
        </w:trPr>
        <w:tc>
          <w:tcPr>
            <w:tcW w:w="792" w:type="dxa"/>
            <w:vAlign w:val="center"/>
          </w:tcPr>
          <w:p>
            <w:pPr>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全市审计项目专项经费</w:t>
            </w:r>
          </w:p>
        </w:tc>
        <w:tc>
          <w:tcPr>
            <w:tcW w:w="1641"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80.00</w:t>
            </w:r>
          </w:p>
        </w:tc>
        <w:tc>
          <w:tcPr>
            <w:tcW w:w="767" w:type="dxa"/>
            <w:vAlign w:val="center"/>
          </w:tcPr>
          <w:p>
            <w:pPr>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视频会议会议室终端</w:t>
            </w:r>
          </w:p>
        </w:tc>
        <w:tc>
          <w:tcPr>
            <w:tcW w:w="1513" w:type="dxa"/>
            <w:vAlign w:val="center"/>
          </w:tcPr>
          <w:p>
            <w:pPr>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A02080803</w:t>
            </w:r>
          </w:p>
        </w:tc>
        <w:tc>
          <w:tcPr>
            <w:tcW w:w="548" w:type="dxa"/>
            <w:vAlign w:val="center"/>
          </w:tcPr>
          <w:p>
            <w:pPr>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套</w:t>
            </w:r>
          </w:p>
        </w:tc>
        <w:tc>
          <w:tcPr>
            <w:tcW w:w="1537"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1</w:t>
            </w:r>
          </w:p>
        </w:tc>
        <w:tc>
          <w:tcPr>
            <w:tcW w:w="1469"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12.00</w:t>
            </w:r>
          </w:p>
        </w:tc>
        <w:tc>
          <w:tcPr>
            <w:tcW w:w="1545"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12.00</w:t>
            </w:r>
          </w:p>
        </w:tc>
        <w:tc>
          <w:tcPr>
            <w:tcW w:w="1611" w:type="dxa"/>
            <w:vAlign w:val="center"/>
          </w:tcPr>
          <w:p>
            <w:pPr>
              <w:ind w:right="840"/>
              <w:jc w:val="center"/>
              <w:rPr>
                <w:rFonts w:ascii="方正仿宋简体" w:hAnsi="方正仿宋简体" w:cs="方正仿宋简体" w:eastAsiaTheme="majorEastAsia"/>
                <w:bCs/>
                <w:spacing w:val="2"/>
                <w:position w:val="2"/>
                <w:szCs w:val="21"/>
              </w:rPr>
            </w:pPr>
            <w:r>
              <w:rPr>
                <w:rFonts w:eastAsiaTheme="majorEastAsia"/>
                <w:spacing w:val="2"/>
                <w:position w:val="2"/>
                <w:szCs w:val="21"/>
              </w:rPr>
              <w:t>12.00</w:t>
            </w:r>
          </w:p>
        </w:tc>
        <w:tc>
          <w:tcPr>
            <w:tcW w:w="623" w:type="dxa"/>
            <w:vAlign w:val="center"/>
          </w:tcPr>
          <w:p>
            <w:pPr>
              <w:ind w:right="840"/>
              <w:jc w:val="center"/>
              <w:rPr>
                <w:rFonts w:ascii="方正仿宋简体" w:hAnsi="方正仿宋简体" w:cs="方正仿宋简体" w:eastAsiaTheme="majorEastAsia"/>
                <w:bCs/>
                <w:spacing w:val="2"/>
                <w:position w:val="2"/>
                <w:szCs w:val="21"/>
              </w:rPr>
            </w:pPr>
          </w:p>
        </w:tc>
        <w:tc>
          <w:tcPr>
            <w:tcW w:w="781" w:type="dxa"/>
            <w:vAlign w:val="center"/>
          </w:tcPr>
          <w:p>
            <w:pPr>
              <w:ind w:right="840"/>
              <w:jc w:val="center"/>
              <w:rPr>
                <w:rFonts w:ascii="方正仿宋简体" w:hAnsi="方正仿宋简体" w:cs="方正仿宋简体" w:eastAsiaTheme="majorEastAsia"/>
                <w:bCs/>
                <w:spacing w:val="2"/>
                <w:position w:val="2"/>
                <w:szCs w:val="21"/>
              </w:rPr>
            </w:pPr>
          </w:p>
        </w:tc>
        <w:tc>
          <w:tcPr>
            <w:tcW w:w="623" w:type="dxa"/>
            <w:vAlign w:val="center"/>
          </w:tcPr>
          <w:p>
            <w:pPr>
              <w:ind w:right="840"/>
              <w:jc w:val="center"/>
              <w:rPr>
                <w:rFonts w:ascii="方正仿宋简体" w:hAnsi="方正仿宋简体" w:cs="方正仿宋简体" w:eastAsiaTheme="majorEastAsia"/>
                <w:bCs/>
                <w:spacing w:val="2"/>
                <w:position w:val="2"/>
                <w:szCs w:val="21"/>
              </w:rPr>
            </w:pPr>
          </w:p>
        </w:tc>
        <w:tc>
          <w:tcPr>
            <w:tcW w:w="544" w:type="dxa"/>
            <w:vAlign w:val="center"/>
          </w:tcPr>
          <w:p>
            <w:pPr>
              <w:ind w:right="840"/>
              <w:jc w:val="center"/>
              <w:rPr>
                <w:rFonts w:ascii="方正仿宋简体" w:hAnsi="方正仿宋简体" w:cs="方正仿宋简体" w:eastAsiaTheme="majorEastAsia"/>
                <w:bCs/>
                <w:spacing w:val="2"/>
                <w:position w:val="2"/>
                <w:szCs w:val="21"/>
              </w:rPr>
            </w:pPr>
          </w:p>
        </w:tc>
      </w:tr>
    </w:tbl>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注：无政府采购预算财政拨款预算，空表列示。</w:t>
      </w:r>
    </w:p>
    <w:p>
      <w:pPr>
        <w:spacing w:before="120" w:beforeLines="50" w:after="120" w:afterLines="50" w:line="570" w:lineRule="exact"/>
        <w:ind w:firstLine="640" w:firstLineChars="200"/>
        <w:jc w:val="left"/>
        <w:outlineLvl w:val="2"/>
        <w:rPr>
          <w:rFonts w:ascii="方正黑体简体" w:hAnsi="方正黑体简体" w:eastAsia="方正黑体简体" w:cs="方正黑体简体"/>
          <w:sz w:val="32"/>
          <w:szCs w:val="32"/>
        </w:rPr>
      </w:pPr>
      <w:bookmarkStart w:id="9" w:name="_Toc68791551"/>
      <w:r>
        <w:rPr>
          <w:rFonts w:hint="eastAsia" w:ascii="方正黑体简体" w:hAnsi="方正黑体简体" w:eastAsia="方正黑体简体" w:cs="方正黑体简体"/>
          <w:sz w:val="32"/>
          <w:szCs w:val="32"/>
        </w:rPr>
        <w:t>七、国有资产信息</w:t>
      </w:r>
      <w:bookmarkEnd w:id="9"/>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遵化市审计局部门（含所属单位）上年末固定资产金额为</w:t>
      </w:r>
      <w:r>
        <w:rPr>
          <w:rFonts w:ascii="方正仿宋简体" w:hAnsi="方正仿宋简体" w:eastAsia="方正仿宋简体" w:cs="方正仿宋简体"/>
          <w:sz w:val="32"/>
          <w:szCs w:val="32"/>
        </w:rPr>
        <w:t>78.92</w:t>
      </w:r>
      <w:r>
        <w:rPr>
          <w:rFonts w:hint="eastAsia" w:ascii="方正仿宋简体" w:hAnsi="方正仿宋简体" w:eastAsia="方正仿宋简体" w:cs="方正仿宋简体"/>
          <w:sz w:val="32"/>
          <w:szCs w:val="32"/>
        </w:rPr>
        <w:t>万元（详见下表）。本年度拟购置固定资产总额为</w:t>
      </w:r>
      <w:r>
        <w:rPr>
          <w:rFonts w:ascii="方正仿宋简体" w:hAnsi="方正仿宋简体" w:eastAsia="方正仿宋简体" w:cs="方正仿宋简体"/>
          <w:sz w:val="32"/>
          <w:szCs w:val="32"/>
        </w:rPr>
        <w:t>24</w:t>
      </w:r>
      <w:r>
        <w:rPr>
          <w:rFonts w:hint="eastAsia" w:ascii="方正仿宋简体" w:hAnsi="方正仿宋简体" w:eastAsia="方正仿宋简体" w:cs="方正仿宋简体"/>
          <w:sz w:val="32"/>
          <w:szCs w:val="32"/>
        </w:rPr>
        <w:t>万，已按要求列入政府采购预算，详见政府采购预算表。</w:t>
      </w:r>
    </w:p>
    <w:p>
      <w:pPr>
        <w:spacing w:line="570" w:lineRule="exact"/>
        <w:ind w:firstLine="640" w:firstLineChars="200"/>
        <w:jc w:val="left"/>
        <w:rPr>
          <w:rFonts w:ascii="方正仿宋简体" w:hAnsi="方正仿宋简体" w:eastAsia="方正仿宋简体" w:cs="方正仿宋简体"/>
          <w:sz w:val="32"/>
          <w:szCs w:val="32"/>
        </w:rPr>
      </w:pPr>
    </w:p>
    <w:p>
      <w:pPr>
        <w:spacing w:line="570" w:lineRule="exact"/>
        <w:ind w:firstLine="640" w:firstLineChars="200"/>
        <w:jc w:val="left"/>
        <w:rPr>
          <w:rFonts w:ascii="方正仿宋简体" w:hAnsi="方正仿宋简体" w:eastAsia="方正仿宋简体" w:cs="方正仿宋简体"/>
          <w:sz w:val="32"/>
          <w:szCs w:val="32"/>
        </w:rPr>
      </w:pPr>
    </w:p>
    <w:p>
      <w:pPr>
        <w:spacing w:line="570" w:lineRule="exact"/>
        <w:ind w:firstLine="640" w:firstLineChars="200"/>
        <w:jc w:val="left"/>
        <w:rPr>
          <w:rFonts w:ascii="方正仿宋简体" w:hAnsi="方正仿宋简体" w:eastAsia="方正仿宋简体" w:cs="方正仿宋简体"/>
          <w:sz w:val="32"/>
          <w:szCs w:val="32"/>
        </w:rPr>
      </w:pPr>
    </w:p>
    <w:p>
      <w:pPr>
        <w:spacing w:line="570" w:lineRule="exact"/>
        <w:ind w:firstLine="640" w:firstLineChars="200"/>
        <w:jc w:val="left"/>
        <w:rPr>
          <w:rFonts w:ascii="方正仿宋简体" w:hAnsi="方正仿宋简体" w:eastAsia="方正仿宋简体" w:cs="方正仿宋简体"/>
          <w:sz w:val="32"/>
          <w:szCs w:val="32"/>
        </w:rPr>
      </w:pPr>
    </w:p>
    <w:p>
      <w:pPr>
        <w:tabs>
          <w:tab w:val="left" w:pos="2076"/>
        </w:tabs>
        <w:spacing w:line="57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5"/>
        <w:gridCol w:w="2990"/>
        <w:gridCol w:w="3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6" w:hRule="atLeast"/>
          <w:tblHeader/>
          <w:jc w:val="center"/>
        </w:trPr>
        <w:tc>
          <w:tcPr>
            <w:tcW w:w="5141" w:type="dxa"/>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319001遵化市审计局部门</w:t>
            </w:r>
          </w:p>
        </w:tc>
        <w:tc>
          <w:tcPr>
            <w:tcW w:w="4605" w:type="dxa"/>
            <w:gridSpan w:val="2"/>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tblHeader/>
          <w:jc w:val="center"/>
        </w:trPr>
        <w:tc>
          <w:tcPr>
            <w:tcW w:w="5141" w:type="dxa"/>
            <w:vAlign w:val="center"/>
          </w:tcPr>
          <w:p>
            <w:pPr>
              <w:spacing w:line="56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项   目</w:t>
            </w:r>
          </w:p>
        </w:tc>
        <w:tc>
          <w:tcPr>
            <w:tcW w:w="1977" w:type="dxa"/>
            <w:vAlign w:val="center"/>
          </w:tcPr>
          <w:p>
            <w:pPr>
              <w:spacing w:line="56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数量</w:t>
            </w:r>
          </w:p>
        </w:tc>
        <w:tc>
          <w:tcPr>
            <w:tcW w:w="2627" w:type="dxa"/>
            <w:vAlign w:val="center"/>
          </w:tcPr>
          <w:p>
            <w:pPr>
              <w:spacing w:line="56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5141"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资产总额</w:t>
            </w:r>
          </w:p>
        </w:tc>
        <w:tc>
          <w:tcPr>
            <w:tcW w:w="1977"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w:t>
            </w:r>
          </w:p>
        </w:tc>
        <w:tc>
          <w:tcPr>
            <w:tcW w:w="2627" w:type="dxa"/>
            <w:vAlign w:val="center"/>
          </w:tcPr>
          <w:p>
            <w:pPr>
              <w:spacing w:line="560" w:lineRule="exact"/>
              <w:ind w:firstLine="560" w:firstLineChars="200"/>
              <w:jc w:val="center"/>
              <w:rPr>
                <w:rFonts w:ascii="方正仿宋简体" w:hAnsi="方正仿宋简体" w:eastAsia="方正仿宋简体" w:cs="方正仿宋简体"/>
                <w:bCs/>
                <w:sz w:val="28"/>
                <w:szCs w:val="28"/>
              </w:rPr>
            </w:pPr>
            <w:r>
              <w:rPr>
                <w:rFonts w:ascii="方正仿宋简体" w:hAnsi="方正仿宋简体" w:eastAsia="方正仿宋简体" w:cs="方正仿宋简体"/>
                <w:bCs/>
                <w:sz w:val="28"/>
                <w:szCs w:val="28"/>
              </w:rPr>
              <w:t>78.92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5141"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1、房屋（平方米）</w:t>
            </w:r>
          </w:p>
        </w:tc>
        <w:tc>
          <w:tcPr>
            <w:tcW w:w="1977"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p>
        </w:tc>
        <w:tc>
          <w:tcPr>
            <w:tcW w:w="2627" w:type="dxa"/>
            <w:vAlign w:val="center"/>
          </w:tcPr>
          <w:p>
            <w:pPr>
              <w:spacing w:line="560" w:lineRule="exact"/>
              <w:ind w:firstLine="560" w:firstLineChars="200"/>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5141"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 xml:space="preserve">   其中：办公用房（平方米）</w:t>
            </w:r>
          </w:p>
        </w:tc>
        <w:tc>
          <w:tcPr>
            <w:tcW w:w="1977"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p>
        </w:tc>
        <w:tc>
          <w:tcPr>
            <w:tcW w:w="2627" w:type="dxa"/>
            <w:vAlign w:val="center"/>
          </w:tcPr>
          <w:p>
            <w:pPr>
              <w:spacing w:line="560" w:lineRule="exact"/>
              <w:ind w:firstLine="560" w:firstLineChars="200"/>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5141"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2、车辆（台、辆）</w:t>
            </w:r>
          </w:p>
        </w:tc>
        <w:tc>
          <w:tcPr>
            <w:tcW w:w="1977"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p>
        </w:tc>
        <w:tc>
          <w:tcPr>
            <w:tcW w:w="2627" w:type="dxa"/>
            <w:vAlign w:val="center"/>
          </w:tcPr>
          <w:p>
            <w:pPr>
              <w:spacing w:line="560" w:lineRule="exact"/>
              <w:ind w:firstLine="560" w:firstLineChars="200"/>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5141"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3、单价在20万元以上的设备</w:t>
            </w:r>
          </w:p>
        </w:tc>
        <w:tc>
          <w:tcPr>
            <w:tcW w:w="1977"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p>
        </w:tc>
        <w:tc>
          <w:tcPr>
            <w:tcW w:w="2627" w:type="dxa"/>
            <w:vAlign w:val="center"/>
          </w:tcPr>
          <w:p>
            <w:pPr>
              <w:spacing w:line="560" w:lineRule="exact"/>
              <w:ind w:firstLine="560" w:firstLineChars="200"/>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5141"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4、其他固定资产</w:t>
            </w:r>
          </w:p>
        </w:tc>
        <w:tc>
          <w:tcPr>
            <w:tcW w:w="1977" w:type="dxa"/>
            <w:vAlign w:val="center"/>
          </w:tcPr>
          <w:p>
            <w:pPr>
              <w:spacing w:line="560" w:lineRule="exact"/>
              <w:ind w:firstLine="560" w:firstLineChars="200"/>
              <w:jc w:val="left"/>
              <w:rPr>
                <w:rFonts w:ascii="方正仿宋简体" w:hAnsi="方正仿宋简体" w:eastAsia="方正仿宋简体" w:cs="方正仿宋简体"/>
                <w:bCs/>
                <w:sz w:val="28"/>
                <w:szCs w:val="28"/>
              </w:rPr>
            </w:pPr>
          </w:p>
        </w:tc>
        <w:tc>
          <w:tcPr>
            <w:tcW w:w="2627" w:type="dxa"/>
            <w:vAlign w:val="center"/>
          </w:tcPr>
          <w:p>
            <w:pPr>
              <w:spacing w:line="560" w:lineRule="exact"/>
              <w:ind w:firstLine="560" w:firstLineChars="200"/>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78.</w:t>
            </w:r>
            <w:r>
              <w:rPr>
                <w:rFonts w:ascii="方正仿宋简体" w:hAnsi="方正仿宋简体" w:eastAsia="方正仿宋简体" w:cs="方正仿宋简体"/>
                <w:bCs/>
                <w:sz w:val="28"/>
                <w:szCs w:val="28"/>
              </w:rPr>
              <w:t>92</w:t>
            </w:r>
          </w:p>
        </w:tc>
      </w:tr>
    </w:tbl>
    <w:p>
      <w:pPr>
        <w:spacing w:line="570" w:lineRule="exact"/>
        <w:ind w:firstLine="640" w:firstLineChars="200"/>
        <w:jc w:val="left"/>
        <w:rPr>
          <w:rFonts w:ascii="方正黑体简体" w:hAnsi="方正黑体简体" w:eastAsia="方正黑体简体" w:cs="方正黑体简体"/>
          <w:sz w:val="32"/>
          <w:szCs w:val="32"/>
        </w:rPr>
      </w:pPr>
      <w:bookmarkStart w:id="10" w:name="_Toc68791552"/>
      <w:r>
        <w:rPr>
          <w:rFonts w:hint="eastAsia" w:ascii="方正黑体简体" w:hAnsi="方正黑体简体" w:eastAsia="方正黑体简体" w:cs="方正黑体简体"/>
          <w:sz w:val="32"/>
          <w:szCs w:val="32"/>
        </w:rPr>
        <w:t>八、名词解释</w:t>
      </w:r>
      <w:bookmarkEnd w:id="10"/>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70" w:lineRule="exact"/>
        <w:ind w:firstLine="640" w:firstLineChars="200"/>
        <w:jc w:val="left"/>
        <w:rPr>
          <w:rFonts w:ascii="方正黑体简体" w:hAnsi="方正黑体简体" w:eastAsia="方正黑体简体" w:cs="方正黑体简体"/>
          <w:sz w:val="32"/>
          <w:szCs w:val="32"/>
        </w:rPr>
      </w:pPr>
      <w:bookmarkStart w:id="11" w:name="_Toc68791553"/>
      <w:r>
        <w:rPr>
          <w:rFonts w:hint="eastAsia" w:ascii="方正黑体简体" w:hAnsi="方正黑体简体" w:eastAsia="方正黑体简体" w:cs="方正黑体简体"/>
          <w:sz w:val="32"/>
          <w:szCs w:val="32"/>
        </w:rPr>
        <w:t>九、其他需要说明的事项</w:t>
      </w:r>
      <w:bookmarkEnd w:id="11"/>
    </w:p>
    <w:p>
      <w:pPr>
        <w:spacing w:line="570" w:lineRule="exact"/>
        <w:ind w:firstLine="640" w:firstLineChars="200"/>
        <w:jc w:val="left"/>
        <w:rPr>
          <w:rFonts w:ascii="仿宋" w:hAnsi="仿宋" w:eastAsia="仿宋" w:cs="仿宋"/>
          <w:szCs w:val="21"/>
        </w:rPr>
      </w:pPr>
      <w:r>
        <w:rPr>
          <w:rFonts w:hint="eastAsia" w:ascii="方正仿宋简体" w:hAnsi="方正仿宋简体" w:eastAsia="方正仿宋简体" w:cs="方正仿宋简体"/>
          <w:sz w:val="32"/>
          <w:szCs w:val="32"/>
        </w:rPr>
        <w:t>本部门无其他需要说明的事项。</w:t>
      </w:r>
    </w:p>
    <w:sectPr>
      <w:pgSz w:w="16840" w:h="11900" w:orient="landscape"/>
      <w:pgMar w:top="907" w:right="1474" w:bottom="79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3A04BEDE-AABB-4C4C-B106-47F4849CC0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FC6311D-49B3-4C23-A639-0F77D87AC7D8}"/>
  </w:font>
  <w:font w:name="方正仿宋_GBK">
    <w:altName w:val="微软雅黑"/>
    <w:panose1 w:val="02000000000000000000"/>
    <w:charset w:val="86"/>
    <w:family w:val="auto"/>
    <w:pitch w:val="default"/>
    <w:sig w:usb0="00000000" w:usb1="00000000" w:usb2="00082016" w:usb3="00000000" w:csb0="00040001" w:csb1="00000000"/>
    <w:embedRegular r:id="rId3" w:fontKey="{46FEDDCB-96A5-482B-ACF7-13B91E37F0D8}"/>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00016" w:usb3="00000000" w:csb0="00040000" w:csb1="00000000"/>
  </w:font>
  <w:font w:name="方正仿宋简体">
    <w:panose1 w:val="03000509000000000000"/>
    <w:charset w:val="86"/>
    <w:family w:val="script"/>
    <w:pitch w:val="default"/>
    <w:sig w:usb0="00000001" w:usb1="080E0000" w:usb2="00000000" w:usb3="00000000" w:csb0="00040000" w:csb1="00000000"/>
    <w:embedRegular r:id="rId4" w:fontKey="{5097DE1F-0EF5-42DA-8673-E0F4C725781D}"/>
  </w:font>
  <w:font w:name="方正小标宋简体">
    <w:panose1 w:val="02000000000000000000"/>
    <w:charset w:val="86"/>
    <w:family w:val="script"/>
    <w:pitch w:val="default"/>
    <w:sig w:usb0="00000001" w:usb1="080E0000" w:usb2="00000000" w:usb3="00000000" w:csb0="00040000" w:csb1="00000000"/>
    <w:embedRegular r:id="rId5" w:fontKey="{10453C7D-0352-44B4-B005-AA97823B4094}"/>
  </w:font>
  <w:font w:name="方正黑体简体">
    <w:panose1 w:val="03000509000000000000"/>
    <w:charset w:val="86"/>
    <w:family w:val="script"/>
    <w:pitch w:val="default"/>
    <w:sig w:usb0="00000001" w:usb1="080E0000" w:usb2="00000000" w:usb3="00000000" w:csb0="00040000" w:csb1="00000000"/>
    <w:embedRegular r:id="rId6" w:fontKey="{18442C5C-48B9-4011-BE27-B1002B66C2AC}"/>
  </w:font>
  <w:font w:name="方正楷体简体">
    <w:panose1 w:val="03000509000000000000"/>
    <w:charset w:val="86"/>
    <w:family w:val="script"/>
    <w:pitch w:val="default"/>
    <w:sig w:usb0="00000001" w:usb1="080E0000" w:usb2="00000000" w:usb3="00000000" w:csb0="00040000" w:csb1="00000000"/>
    <w:embedRegular r:id="rId7" w:fontKey="{AE457E12-6FE8-4D60-8358-92EE1C47F55A}"/>
  </w:font>
  <w:font w:name="仿宋">
    <w:panose1 w:val="02010609060101010101"/>
    <w:charset w:val="86"/>
    <w:family w:val="modern"/>
    <w:pitch w:val="default"/>
    <w:sig w:usb0="800002BF" w:usb1="38CF7CFA" w:usb2="00000016" w:usb3="00000000" w:csb0="00040001" w:csb1="00000000"/>
    <w:embedRegular r:id="rId8" w:fontKey="{719AD1CA-D02A-4237-A817-A7B0BBF04021}"/>
  </w:font>
  <w:font w:name="仿宋_GB2312">
    <w:altName w:val="仿宋"/>
    <w:panose1 w:val="00000000000000000000"/>
    <w:charset w:val="00"/>
    <w:family w:val="auto"/>
    <w:pitch w:val="default"/>
    <w:sig w:usb0="00000000" w:usb1="00000000" w:usb2="00000000" w:usb3="00000000" w:csb0="00000000" w:csb1="00000000"/>
    <w:embedRegular r:id="rId9" w:fontKey="{8EA5753A-AED4-44B8-ACA0-EA033A92F65C}"/>
  </w:font>
  <w:font w:name="楷体">
    <w:panose1 w:val="02010609060101010101"/>
    <w:charset w:val="86"/>
    <w:family w:val="modern"/>
    <w:pitch w:val="default"/>
    <w:sig w:usb0="800002BF" w:usb1="38CF7CFA" w:usb2="00000016" w:usb3="00000000" w:csb0="00040001" w:csb1="00000000"/>
    <w:embedRegular r:id="rId10" w:fontKey="{8B046462-B083-46FE-BD60-6609D61C82F6}"/>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embedRegular r:id="rId11" w:fontKey="{F4DB614B-02A4-4DE7-A9EB-071E9F8836A7}"/>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posOffset>9091930</wp:posOffset>
              </wp:positionH>
              <wp:positionV relativeFrom="paragraph">
                <wp:posOffset>146050</wp:posOffset>
              </wp:positionV>
              <wp:extent cx="254000" cy="342900"/>
              <wp:effectExtent l="0" t="0" r="12700" b="0"/>
              <wp:wrapNone/>
              <wp:docPr id="2" name="文本框 1033"/>
              <wp:cNvGraphicFramePr/>
              <a:graphic xmlns:a="http://schemas.openxmlformats.org/drawingml/2006/main">
                <a:graphicData uri="http://schemas.microsoft.com/office/word/2010/wordprocessingShape">
                  <wps:wsp>
                    <wps:cNvSpPr txBox="1">
                      <a:spLocks noChangeArrowheads="1"/>
                    </wps:cNvSpPr>
                    <wps:spPr bwMode="auto">
                      <a:xfrm>
                        <a:off x="0" y="0"/>
                        <a:ext cx="254000" cy="342900"/>
                      </a:xfrm>
                      <a:prstGeom prst="rect">
                        <a:avLst/>
                      </a:prstGeom>
                      <a:noFill/>
                      <a:ln>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文本框 1033" o:spid="_x0000_s1026" o:spt="202" type="#_x0000_t202" style="position:absolute;left:0pt;margin-left:715.9pt;margin-top:11.5pt;height:27pt;width:20pt;mso-position-horizontal-relative:margin;z-index:251660288;mso-width-relative:page;mso-height-relative:page;" filled="f" stroked="f" coordsize="21600,21600" o:gfxdata="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um3Ob2AAAAAsBAAAPAAAAAAAA&#10;AAEAIAAAACIAAABkcnMvZG93bnJldi54bWxQSwECFAAUAAAACACHTuJALnu13BICAAAVBAAADgAA&#10;AAAAAAABACAAAAAnAQAAZHJzL2Uyb0RvYy54bWxQSwUGAAAAAAYABgBZAQAAqwUAAAAA&#10;">
              <v:fill on="f" focussize="0,0"/>
              <v:stroke on="f"/>
              <v:imagedata o:title=""/>
              <o:lock v:ext="edit" aspectratio="f"/>
              <v:textbox inset="0mm,0mm,0mm,0mm">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139700"/>
              <wp:effectExtent l="0" t="0" r="0" b="0"/>
              <wp:wrapNone/>
              <wp:docPr id="1" name="文本框 103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3"/>
                          </w:pPr>
                          <w:r>
                            <w:fldChar w:fldCharType="begin"/>
                          </w:r>
                          <w:r>
                            <w:instrText xml:space="preserve"> PAGE  \* MERGEFORMAT </w:instrText>
                          </w:r>
                          <w:r>
                            <w:fldChar w:fldCharType="separate"/>
                          </w:r>
                          <w:r>
                            <w:t>39</w:t>
                          </w:r>
                          <w:r>
                            <w:fldChar w:fldCharType="end"/>
                          </w:r>
                        </w:p>
                      </w:txbxContent>
                    </wps:txbx>
                    <wps:bodyPr rot="0" vert="horz" wrap="none" lIns="0" tIns="0" rIns="0" bIns="0" anchor="t" anchorCtr="0" upright="1">
                      <a:spAutoFit/>
                    </wps:bodyPr>
                  </wps:wsp>
                </a:graphicData>
              </a:graphic>
            </wp:anchor>
          </w:drawing>
        </mc:Choice>
        <mc:Fallback>
          <w:pict>
            <v:shape id="文本框 1031" o:spid="_x0000_s1026" o:spt="202" type="#_x0000_t202" style="position:absolute;left:0pt;margin-top:0pt;height:11pt;width:9.15pt;mso-position-horizontal:right;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LpYU0AAAAAMBAAAPAAAAAAAAAAEAIAAAACIAAABkcnMv&#10;ZG93bnJldi54bWxQSwECFAAUAAAACACHTuJAvAJGRgsCAAAFBAAADgAAAAAAAAABACAAAAAfAQAA&#10;ZHJzL2Uyb0RvYy54bWxQSwUGAAAAAAYABgBZAQAAnA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mZDc0MzZkNmM3NjUwOTAxYzE0NzRjODg0NWVjMzYifQ=="/>
  </w:docVars>
  <w:rsids>
    <w:rsidRoot w:val="007B7DAC"/>
    <w:rsid w:val="0000191A"/>
    <w:rsid w:val="000119AD"/>
    <w:rsid w:val="00011AAB"/>
    <w:rsid w:val="000879D5"/>
    <w:rsid w:val="000F119B"/>
    <w:rsid w:val="000F5685"/>
    <w:rsid w:val="001849C5"/>
    <w:rsid w:val="00185360"/>
    <w:rsid w:val="001F1125"/>
    <w:rsid w:val="00211136"/>
    <w:rsid w:val="00211470"/>
    <w:rsid w:val="00244D0B"/>
    <w:rsid w:val="002573F9"/>
    <w:rsid w:val="00284ECA"/>
    <w:rsid w:val="00285CCD"/>
    <w:rsid w:val="00296139"/>
    <w:rsid w:val="002B442B"/>
    <w:rsid w:val="002F55D6"/>
    <w:rsid w:val="003203AB"/>
    <w:rsid w:val="003404BB"/>
    <w:rsid w:val="00350E0F"/>
    <w:rsid w:val="00352BBB"/>
    <w:rsid w:val="003550D1"/>
    <w:rsid w:val="003A73A2"/>
    <w:rsid w:val="003E3753"/>
    <w:rsid w:val="00451EC1"/>
    <w:rsid w:val="0048718A"/>
    <w:rsid w:val="004952D5"/>
    <w:rsid w:val="00496EA3"/>
    <w:rsid w:val="004E4A99"/>
    <w:rsid w:val="00523556"/>
    <w:rsid w:val="005334A0"/>
    <w:rsid w:val="00543934"/>
    <w:rsid w:val="00570ECF"/>
    <w:rsid w:val="0059436F"/>
    <w:rsid w:val="005B4423"/>
    <w:rsid w:val="005B680B"/>
    <w:rsid w:val="005C11CF"/>
    <w:rsid w:val="005D4E2E"/>
    <w:rsid w:val="005F2202"/>
    <w:rsid w:val="006062FB"/>
    <w:rsid w:val="00627F27"/>
    <w:rsid w:val="00633FBF"/>
    <w:rsid w:val="00642AEF"/>
    <w:rsid w:val="006B1BD7"/>
    <w:rsid w:val="00745559"/>
    <w:rsid w:val="007508B0"/>
    <w:rsid w:val="007610F7"/>
    <w:rsid w:val="007672B7"/>
    <w:rsid w:val="00790499"/>
    <w:rsid w:val="00792059"/>
    <w:rsid w:val="007A0E8D"/>
    <w:rsid w:val="007B053F"/>
    <w:rsid w:val="007B7DAC"/>
    <w:rsid w:val="007F6D4C"/>
    <w:rsid w:val="007F763C"/>
    <w:rsid w:val="00816EC6"/>
    <w:rsid w:val="00831080"/>
    <w:rsid w:val="008A2480"/>
    <w:rsid w:val="00915C27"/>
    <w:rsid w:val="00927E80"/>
    <w:rsid w:val="009323D0"/>
    <w:rsid w:val="00954A23"/>
    <w:rsid w:val="00992BA3"/>
    <w:rsid w:val="009E057E"/>
    <w:rsid w:val="00A3758B"/>
    <w:rsid w:val="00A464E7"/>
    <w:rsid w:val="00A970A1"/>
    <w:rsid w:val="00B47592"/>
    <w:rsid w:val="00B5045B"/>
    <w:rsid w:val="00BB382F"/>
    <w:rsid w:val="00C34901"/>
    <w:rsid w:val="00C35372"/>
    <w:rsid w:val="00C40A25"/>
    <w:rsid w:val="00C60112"/>
    <w:rsid w:val="00C96AA0"/>
    <w:rsid w:val="00CB4BB6"/>
    <w:rsid w:val="00CC3AFD"/>
    <w:rsid w:val="00D451F8"/>
    <w:rsid w:val="00D810A2"/>
    <w:rsid w:val="00DC5A62"/>
    <w:rsid w:val="00EB3D35"/>
    <w:rsid w:val="00EE042E"/>
    <w:rsid w:val="00F25E67"/>
    <w:rsid w:val="00F8192C"/>
    <w:rsid w:val="00FC307B"/>
    <w:rsid w:val="00FF6D2C"/>
    <w:rsid w:val="024C4CC7"/>
    <w:rsid w:val="031E5023"/>
    <w:rsid w:val="033A6154"/>
    <w:rsid w:val="034F401E"/>
    <w:rsid w:val="03685B9C"/>
    <w:rsid w:val="03D424E6"/>
    <w:rsid w:val="049D7FDE"/>
    <w:rsid w:val="04F63CC6"/>
    <w:rsid w:val="05DA705A"/>
    <w:rsid w:val="069528D3"/>
    <w:rsid w:val="07A1465B"/>
    <w:rsid w:val="07CF5EEC"/>
    <w:rsid w:val="07EB0F1A"/>
    <w:rsid w:val="085327BB"/>
    <w:rsid w:val="085C5796"/>
    <w:rsid w:val="08A52DFF"/>
    <w:rsid w:val="08FC3767"/>
    <w:rsid w:val="090411D3"/>
    <w:rsid w:val="09A064A3"/>
    <w:rsid w:val="09AE68F1"/>
    <w:rsid w:val="0A597F3F"/>
    <w:rsid w:val="0B3B0595"/>
    <w:rsid w:val="0C472F3C"/>
    <w:rsid w:val="0DDD0437"/>
    <w:rsid w:val="0E3804ED"/>
    <w:rsid w:val="0E3F4C6B"/>
    <w:rsid w:val="0E551E27"/>
    <w:rsid w:val="0FFE6D6C"/>
    <w:rsid w:val="123E55EC"/>
    <w:rsid w:val="12CB7C01"/>
    <w:rsid w:val="12EF4843"/>
    <w:rsid w:val="134C5AA1"/>
    <w:rsid w:val="139412EE"/>
    <w:rsid w:val="14BA13CD"/>
    <w:rsid w:val="15FD116F"/>
    <w:rsid w:val="165D57B7"/>
    <w:rsid w:val="166F3C6D"/>
    <w:rsid w:val="1690383A"/>
    <w:rsid w:val="171659AA"/>
    <w:rsid w:val="17A53929"/>
    <w:rsid w:val="187668BA"/>
    <w:rsid w:val="18792896"/>
    <w:rsid w:val="1AB3725D"/>
    <w:rsid w:val="1ACD6FF8"/>
    <w:rsid w:val="1D08040C"/>
    <w:rsid w:val="1E1823CB"/>
    <w:rsid w:val="1E1D2B90"/>
    <w:rsid w:val="1E8E32A8"/>
    <w:rsid w:val="1EE95C5B"/>
    <w:rsid w:val="217F591B"/>
    <w:rsid w:val="21925097"/>
    <w:rsid w:val="229318FF"/>
    <w:rsid w:val="229A1643"/>
    <w:rsid w:val="23152068"/>
    <w:rsid w:val="234E1072"/>
    <w:rsid w:val="23CB4526"/>
    <w:rsid w:val="243146EF"/>
    <w:rsid w:val="26D70594"/>
    <w:rsid w:val="26E919BE"/>
    <w:rsid w:val="27A47DDD"/>
    <w:rsid w:val="27AC7CC9"/>
    <w:rsid w:val="288464AA"/>
    <w:rsid w:val="28CF521A"/>
    <w:rsid w:val="29275089"/>
    <w:rsid w:val="2AAE7BE1"/>
    <w:rsid w:val="2D1F6C70"/>
    <w:rsid w:val="2E0964AA"/>
    <w:rsid w:val="2F592C85"/>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E78A1"/>
    <w:rsid w:val="408D1B8F"/>
    <w:rsid w:val="40DF0E09"/>
    <w:rsid w:val="41543F25"/>
    <w:rsid w:val="417B67B7"/>
    <w:rsid w:val="41D157C2"/>
    <w:rsid w:val="41F97124"/>
    <w:rsid w:val="42265E56"/>
    <w:rsid w:val="425603E3"/>
    <w:rsid w:val="42DA0485"/>
    <w:rsid w:val="43DC73BB"/>
    <w:rsid w:val="4458751E"/>
    <w:rsid w:val="46BA6D19"/>
    <w:rsid w:val="46E82FB1"/>
    <w:rsid w:val="47031780"/>
    <w:rsid w:val="476651DD"/>
    <w:rsid w:val="48214178"/>
    <w:rsid w:val="483B1E05"/>
    <w:rsid w:val="4870538C"/>
    <w:rsid w:val="492F1465"/>
    <w:rsid w:val="494F7FAB"/>
    <w:rsid w:val="498854B1"/>
    <w:rsid w:val="4BE115E5"/>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329786E"/>
    <w:rsid w:val="5409264A"/>
    <w:rsid w:val="54525A49"/>
    <w:rsid w:val="54C120D0"/>
    <w:rsid w:val="54DC46EC"/>
    <w:rsid w:val="555A379D"/>
    <w:rsid w:val="5588121E"/>
    <w:rsid w:val="55EA2A2C"/>
    <w:rsid w:val="5605007D"/>
    <w:rsid w:val="588E0985"/>
    <w:rsid w:val="58E13A06"/>
    <w:rsid w:val="594E241C"/>
    <w:rsid w:val="5C6357D3"/>
    <w:rsid w:val="5C76110E"/>
    <w:rsid w:val="5D3C3B24"/>
    <w:rsid w:val="5D496449"/>
    <w:rsid w:val="5D6967E0"/>
    <w:rsid w:val="5F5175FF"/>
    <w:rsid w:val="61E47B98"/>
    <w:rsid w:val="620E3E48"/>
    <w:rsid w:val="62272621"/>
    <w:rsid w:val="6248439C"/>
    <w:rsid w:val="638B4489"/>
    <w:rsid w:val="646F2F1F"/>
    <w:rsid w:val="64A2308F"/>
    <w:rsid w:val="64B4044D"/>
    <w:rsid w:val="650C7C0D"/>
    <w:rsid w:val="663514F4"/>
    <w:rsid w:val="6A1D02D2"/>
    <w:rsid w:val="6A6909B1"/>
    <w:rsid w:val="6A724DC3"/>
    <w:rsid w:val="6C3111EA"/>
    <w:rsid w:val="6C603669"/>
    <w:rsid w:val="6C6F771A"/>
    <w:rsid w:val="6CBB3C39"/>
    <w:rsid w:val="6D550BB3"/>
    <w:rsid w:val="6F0C4ACF"/>
    <w:rsid w:val="6F40683E"/>
    <w:rsid w:val="71136F71"/>
    <w:rsid w:val="712D27DB"/>
    <w:rsid w:val="71A6516C"/>
    <w:rsid w:val="71AA15F1"/>
    <w:rsid w:val="7304063B"/>
    <w:rsid w:val="736A0139"/>
    <w:rsid w:val="74961386"/>
    <w:rsid w:val="75385AF1"/>
    <w:rsid w:val="754A1737"/>
    <w:rsid w:val="75F27075"/>
    <w:rsid w:val="760A4BBB"/>
    <w:rsid w:val="760D1A5C"/>
    <w:rsid w:val="76384823"/>
    <w:rsid w:val="76D35717"/>
    <w:rsid w:val="76DD4C70"/>
    <w:rsid w:val="775D5293"/>
    <w:rsid w:val="77935322"/>
    <w:rsid w:val="780204DD"/>
    <w:rsid w:val="79161645"/>
    <w:rsid w:val="7AAF4FDA"/>
    <w:rsid w:val="7AE765B8"/>
    <w:rsid w:val="7B193B0B"/>
    <w:rsid w:val="7B3545DB"/>
    <w:rsid w:val="7B397DEA"/>
    <w:rsid w:val="7C427128"/>
    <w:rsid w:val="7C7C0F53"/>
    <w:rsid w:val="7CFE11C6"/>
    <w:rsid w:val="7D1D1970"/>
    <w:rsid w:val="7DCA1740"/>
    <w:rsid w:val="7DF6594F"/>
    <w:rsid w:val="7DFD4F4B"/>
    <w:rsid w:val="7ED0697C"/>
    <w:rsid w:val="7F2D597E"/>
    <w:rsid w:val="7FD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style>
  <w:style w:type="paragraph" w:styleId="6">
    <w:name w:val="toc 2"/>
    <w:basedOn w:val="1"/>
    <w:next w:val="1"/>
    <w:unhideWhenUsed/>
    <w:qFormat/>
    <w:uiPriority w:val="39"/>
    <w:pPr>
      <w:ind w:left="420" w:leftChars="200"/>
    </w:p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unhideWhenUsed/>
    <w:qFormat/>
    <w:uiPriority w:val="99"/>
  </w:style>
  <w:style w:type="character" w:styleId="11">
    <w:name w:val="Hyperlink"/>
    <w:unhideWhenUsed/>
    <w:qFormat/>
    <w:uiPriority w:val="99"/>
    <w:rPr>
      <w:color w:val="0000FF"/>
      <w:u w:val="single"/>
    </w:rPr>
  </w:style>
  <w:style w:type="character" w:customStyle="1" w:styleId="12">
    <w:name w:val="页脚 字符"/>
    <w:link w:val="3"/>
    <w:semiHidden/>
    <w:uiPriority w:val="99"/>
    <w:rPr>
      <w:kern w:val="2"/>
      <w:sz w:val="18"/>
      <w:szCs w:val="18"/>
    </w:rPr>
  </w:style>
  <w:style w:type="character" w:customStyle="1" w:styleId="13">
    <w:name w:val="页眉 字符"/>
    <w:link w:val="4"/>
    <w:semiHidden/>
    <w:qFormat/>
    <w:uiPriority w:val="99"/>
    <w:rPr>
      <w:kern w:val="2"/>
      <w:sz w:val="18"/>
      <w:szCs w:val="18"/>
    </w:rPr>
  </w:style>
  <w:style w:type="paragraph" w:customStyle="1" w:styleId="14">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15">
    <w:name w:val="单元格样式5"/>
    <w:basedOn w:val="1"/>
    <w:qFormat/>
    <w:uiPriority w:val="0"/>
    <w:pPr>
      <w:jc w:val="left"/>
    </w:pPr>
    <w:rPr>
      <w:rFonts w:ascii="方正书宋_GBK" w:hAnsi="方正书宋_GBK" w:eastAsia="方正书宋_GBK" w:cs="方正书宋_GBK"/>
      <w:b/>
    </w:rPr>
  </w:style>
  <w:style w:type="paragraph" w:customStyle="1" w:styleId="16">
    <w:name w:val="单元格样式4"/>
    <w:basedOn w:val="1"/>
    <w:qFormat/>
    <w:uiPriority w:val="0"/>
    <w:pPr>
      <w:jc w:val="right"/>
    </w:pPr>
    <w:rPr>
      <w:rFonts w:ascii="方正书宋_GBK" w:hAnsi="方正书宋_GBK" w:eastAsia="方正书宋_GBK" w:cs="方正书宋_GBK"/>
    </w:rPr>
  </w:style>
  <w:style w:type="paragraph" w:customStyle="1" w:styleId="17">
    <w:name w:val="单元格样式1"/>
    <w:basedOn w:val="1"/>
    <w:qFormat/>
    <w:uiPriority w:val="0"/>
    <w:pPr>
      <w:jc w:val="center"/>
    </w:pPr>
    <w:rPr>
      <w:rFonts w:ascii="方正书宋_GBK" w:hAnsi="方正书宋_GBK" w:eastAsia="方正书宋_GBK" w:cs="方正书宋_GBK"/>
      <w:b/>
    </w:rPr>
  </w:style>
  <w:style w:type="paragraph" w:customStyle="1" w:styleId="18">
    <w:name w:val="单元格样式2"/>
    <w:basedOn w:val="1"/>
    <w:qFormat/>
    <w:uiPriority w:val="0"/>
    <w:pPr>
      <w:jc w:val="left"/>
    </w:pPr>
    <w:rPr>
      <w:rFonts w:ascii="方正书宋_GBK" w:hAnsi="方正书宋_GBK" w:eastAsia="方正书宋_GBK" w:cs="方正书宋_GBK"/>
    </w:rPr>
  </w:style>
  <w:style w:type="paragraph" w:customStyle="1" w:styleId="19">
    <w:name w:val="单元格样式3"/>
    <w:basedOn w:val="1"/>
    <w:qFormat/>
    <w:uiPriority w:val="0"/>
    <w:pPr>
      <w:jc w:val="center"/>
    </w:pPr>
    <w:rPr>
      <w:rFonts w:ascii="方正书宋_GBK" w:hAnsi="方正书宋_GBK" w:eastAsia="方正书宋_GBK" w:cs="方正书宋_GBK"/>
    </w:rPr>
  </w:style>
  <w:style w:type="paragraph" w:customStyle="1" w:styleId="20">
    <w:name w:val="p0"/>
    <w:basedOn w:val="1"/>
    <w:qFormat/>
    <w:uiPriority w:val="0"/>
    <w:pPr>
      <w:widowControl/>
    </w:pPr>
    <w:rPr>
      <w:rFonts w:ascii="宋体" w:hAnsi="宋体" w:cs="宋体"/>
      <w:kern w:val="0"/>
      <w:sz w:val="32"/>
      <w:szCs w:val="32"/>
    </w:rPr>
  </w:style>
  <w:style w:type="paragraph" w:customStyle="1" w:styleId="21">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2817D-CF58-4333-BF82-CB1F5ACDD9D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2454</Words>
  <Characters>13992</Characters>
  <Lines>116</Lines>
  <Paragraphs>32</Paragraphs>
  <TotalTime>1</TotalTime>
  <ScaleCrop>false</ScaleCrop>
  <LinksUpToDate>false</LinksUpToDate>
  <CharactersWithSpaces>16414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2022-05-17T08:03:00Z</dcterms:created>
  <dc:creator>微软用户</dc:creator>
  <cp:lastModifiedBy>从容</cp:lastModifiedBy>
  <cp:lastPrinted>2022-06-24T07:09:00Z</cp:lastPrinted>
  <dcterms:modified xsi:type="dcterms:W3CDTF">2024-03-18T06:51:22Z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4DEE9FC10C1545D5A85AB9A2222E232D_12</vt:lpwstr>
  </property>
</Properties>
</file>