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552"/>
          <w:tab w:val="left" w:pos="7323"/>
          <w:tab w:val="left" w:pos="12218"/>
          <w:tab w:val="left" w:pos="14365"/>
          <w:tab w:val="left" w:pos="17759"/>
          <w:tab w:val="left" w:pos="19300"/>
          <w:tab w:val="left" w:pos="20220"/>
        </w:tabs>
        <w:ind w:firstLine="642"/>
        <w:jc w:val="center"/>
        <w:rPr>
          <w:rFonts w:hint="eastAsia" w:ascii="宋体" w:hAnsi="宋体" w:cs="Arial"/>
          <w:b/>
          <w:color w:val="000000"/>
          <w:kern w:val="0"/>
          <w:sz w:val="40"/>
          <w:szCs w:val="40"/>
        </w:rPr>
      </w:pPr>
      <w:r>
        <w:rPr>
          <w:rFonts w:hint="eastAsia" w:ascii="宋体" w:hAnsi="宋体" w:cs="Arial"/>
          <w:b/>
          <w:color w:val="000000"/>
          <w:kern w:val="0"/>
          <w:sz w:val="40"/>
          <w:szCs w:val="40"/>
        </w:rPr>
        <w:t>遵化市平安城镇人民政府</w:t>
      </w:r>
    </w:p>
    <w:p>
      <w:pPr>
        <w:widowControl/>
        <w:tabs>
          <w:tab w:val="left" w:pos="5552"/>
          <w:tab w:val="left" w:pos="7323"/>
          <w:tab w:val="left" w:pos="12218"/>
          <w:tab w:val="left" w:pos="14365"/>
          <w:tab w:val="left" w:pos="17759"/>
          <w:tab w:val="left" w:pos="19300"/>
          <w:tab w:val="left" w:pos="20220"/>
        </w:tabs>
        <w:ind w:firstLine="642"/>
        <w:jc w:val="center"/>
        <w:rPr>
          <w:rFonts w:hint="eastAsia" w:ascii="宋体" w:hAnsi="宋体" w:cs="Arial"/>
          <w:b/>
          <w:color w:val="000000"/>
          <w:kern w:val="0"/>
          <w:sz w:val="40"/>
          <w:szCs w:val="40"/>
        </w:rPr>
      </w:pPr>
      <w:r>
        <w:rPr>
          <w:rFonts w:hint="eastAsia" w:ascii="宋体" w:hAnsi="宋体" w:cs="Arial"/>
          <w:b/>
          <w:color w:val="000000"/>
          <w:kern w:val="0"/>
          <w:sz w:val="40"/>
          <w:szCs w:val="40"/>
        </w:rPr>
        <w:t>202</w:t>
      </w:r>
      <w:r>
        <w:rPr>
          <w:rFonts w:hint="eastAsia" w:ascii="宋体" w:hAnsi="宋体" w:cs="Arial"/>
          <w:b/>
          <w:color w:val="000000"/>
          <w:kern w:val="0"/>
          <w:sz w:val="40"/>
          <w:szCs w:val="40"/>
          <w:lang w:val="en-US" w:eastAsia="zh-CN"/>
        </w:rPr>
        <w:t>1</w:t>
      </w:r>
      <w:r>
        <w:rPr>
          <w:rFonts w:hint="eastAsia" w:ascii="宋体" w:hAnsi="宋体" w:cs="Arial"/>
          <w:b/>
          <w:color w:val="000000"/>
          <w:kern w:val="0"/>
          <w:sz w:val="40"/>
          <w:szCs w:val="40"/>
        </w:rPr>
        <w:t>年度预算信息公开</w:t>
      </w:r>
    </w:p>
    <w:p>
      <w:pPr>
        <w:widowControl/>
        <w:tabs>
          <w:tab w:val="left" w:pos="5552"/>
          <w:tab w:val="left" w:pos="7323"/>
          <w:tab w:val="left" w:pos="12218"/>
          <w:tab w:val="left" w:pos="14365"/>
          <w:tab w:val="left" w:pos="17759"/>
          <w:tab w:val="left" w:pos="19300"/>
          <w:tab w:val="left" w:pos="20220"/>
        </w:tabs>
        <w:ind w:left="92" w:leftChars="44"/>
        <w:jc w:val="center"/>
        <w:rPr>
          <w:rFonts w:hint="eastAsia" w:ascii="宋体" w:hAnsi="宋体" w:cs="Arial"/>
          <w:b/>
          <w:color w:val="000000"/>
          <w:kern w:val="0"/>
          <w:sz w:val="40"/>
          <w:szCs w:val="40"/>
        </w:rPr>
      </w:pPr>
    </w:p>
    <w:p>
      <w:pPr>
        <w:tabs>
          <w:tab w:val="left" w:pos="540"/>
        </w:tabs>
        <w:ind w:firstLine="540" w:firstLineChars="225"/>
        <w:rPr>
          <w:rFonts w:hint="eastAsia" w:ascii="方正仿宋简体" w:hAnsi="黑体" w:eastAsia="方正仿宋简体" w:cs="黑体"/>
          <w:color w:val="000000"/>
          <w:kern w:val="0"/>
          <w:sz w:val="32"/>
          <w:szCs w:val="32"/>
        </w:rPr>
      </w:pPr>
      <w:r>
        <w:rPr>
          <w:rFonts w:hint="eastAsia" w:ascii="方正仿宋简体" w:hAnsi="宋体" w:eastAsia="方正仿宋简体" w:cs="宋体"/>
          <w:color w:val="000000"/>
          <w:kern w:val="0"/>
          <w:sz w:val="24"/>
          <w:szCs w:val="32"/>
        </w:rPr>
        <w:t xml:space="preserve"> </w:t>
      </w:r>
      <w:r>
        <w:rPr>
          <w:rFonts w:hint="eastAsia" w:ascii="方正仿宋简体" w:hAnsi="黑体" w:eastAsia="方正仿宋简体" w:cs="黑体"/>
          <w:sz w:val="32"/>
          <w:szCs w:val="32"/>
        </w:rPr>
        <w:t>按照《中华人民共和国预算法》、《地方预决算公开操作规程》和《河北省省级预算公开办法》规定，现将遵化市</w:t>
      </w:r>
      <w:r>
        <w:rPr>
          <w:rFonts w:hint="eastAsia" w:ascii="方正仿宋简体" w:hAnsi="黑体" w:eastAsia="方正仿宋简体" w:cs="黑体"/>
          <w:sz w:val="32"/>
          <w:szCs w:val="32"/>
          <w:lang w:eastAsia="zh-CN"/>
        </w:rPr>
        <w:t>平安城镇</w:t>
      </w:r>
      <w:r>
        <w:rPr>
          <w:rFonts w:hint="eastAsia" w:ascii="方正仿宋简体" w:hAnsi="黑体" w:eastAsia="方正仿宋简体" w:cs="黑体"/>
          <w:sz w:val="32"/>
          <w:szCs w:val="32"/>
        </w:rPr>
        <w:t>人民政府2021年部门预算公开如下：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480" w:lineRule="auto"/>
        <w:ind w:firstLine="219" w:firstLineChars="78"/>
        <w:jc w:val="left"/>
        <w:rPr>
          <w:rFonts w:hint="eastAsia" w:ascii="方正黑体简体" w:hAnsi="黑体" w:eastAsia="方正黑体简体" w:cs="黑体"/>
          <w:b/>
          <w:sz w:val="28"/>
          <w:szCs w:val="28"/>
        </w:rPr>
      </w:pPr>
      <w:r>
        <w:rPr>
          <w:rFonts w:hint="eastAsia" w:ascii="方正黑体简体" w:hAnsi="黑体" w:eastAsia="方正黑体简体" w:cs="黑体"/>
          <w:b/>
          <w:sz w:val="28"/>
          <w:szCs w:val="28"/>
        </w:rPr>
        <w:t>部门职责及机构设置情况</w:t>
      </w:r>
    </w:p>
    <w:p>
      <w:pPr>
        <w:widowControl/>
        <w:tabs>
          <w:tab w:val="left" w:pos="5552"/>
          <w:tab w:val="left" w:pos="7323"/>
          <w:tab w:val="left" w:pos="12218"/>
          <w:tab w:val="left" w:pos="14365"/>
          <w:tab w:val="left" w:pos="17759"/>
          <w:tab w:val="left" w:pos="19300"/>
          <w:tab w:val="left" w:pos="20220"/>
        </w:tabs>
        <w:spacing w:line="480" w:lineRule="auto"/>
        <w:ind w:firstLine="560" w:firstLineChars="200"/>
        <w:jc w:val="left"/>
        <w:rPr>
          <w:rFonts w:hint="eastAsia" w:ascii="黑体" w:hAnsi="黑体" w:eastAsia="黑体" w:cs="黑体"/>
          <w:sz w:val="28"/>
          <w:szCs w:val="28"/>
        </w:rPr>
      </w:pPr>
      <w:r>
        <w:rPr>
          <w:rFonts w:hint="eastAsia" w:ascii="黑体" w:hAnsi="黑体" w:eastAsia="黑体" w:cs="黑体"/>
          <w:sz w:val="28"/>
          <w:szCs w:val="28"/>
        </w:rPr>
        <w:t>部门职责:</w:t>
      </w:r>
    </w:p>
    <w:p>
      <w:pPr>
        <w:spacing w:line="616" w:lineRule="atLeast"/>
        <w:rPr>
          <w:rFonts w:hint="eastAsia" w:ascii="方正仿宋简体" w:hAnsi="宋体" w:eastAsia="方正仿宋简体" w:cs="宋体"/>
          <w:color w:val="000000"/>
          <w:kern w:val="0"/>
          <w:sz w:val="32"/>
          <w:szCs w:val="32"/>
        </w:rPr>
      </w:pPr>
      <w:r>
        <w:rPr>
          <w:rFonts w:hint="eastAsia" w:ascii="黑体" w:hAnsi="黑体" w:eastAsia="黑体" w:cs="黑体"/>
          <w:sz w:val="28"/>
          <w:szCs w:val="28"/>
        </w:rPr>
        <w:t xml:space="preserve">   </w:t>
      </w:r>
      <w:r>
        <w:rPr>
          <w:rFonts w:hint="eastAsia" w:ascii="方正仿宋简体" w:hAnsi="宋体" w:eastAsia="方正仿宋简体" w:cs="宋体"/>
          <w:b/>
          <w:color w:val="000000"/>
          <w:kern w:val="0"/>
          <w:sz w:val="32"/>
          <w:szCs w:val="32"/>
        </w:rPr>
        <w:t>（一）促进经济发展，增加农民收入。</w:t>
      </w:r>
      <w:r>
        <w:rPr>
          <w:rFonts w:hint="eastAsia" w:ascii="方正仿宋简体" w:hAnsi="宋体" w:eastAsia="方正仿宋简体" w:cs="宋体"/>
          <w:color w:val="000000"/>
          <w:kern w:val="0"/>
          <w:sz w:val="32"/>
          <w:szCs w:val="32"/>
        </w:rPr>
        <w:t>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616" w:lineRule="atLeast"/>
        <w:rPr>
          <w:rFonts w:hint="eastAsia" w:ascii="方正仿宋简体" w:hAnsi="黑体" w:eastAsia="方正仿宋简体" w:cs="黑体"/>
          <w:sz w:val="32"/>
          <w:szCs w:val="32"/>
        </w:rPr>
      </w:pPr>
      <w:r>
        <w:rPr>
          <w:rFonts w:hint="eastAsia" w:ascii="黑体" w:hAnsi="黑体" w:eastAsia="黑体" w:cs="黑体"/>
          <w:sz w:val="28"/>
          <w:szCs w:val="28"/>
        </w:rPr>
        <w:t xml:space="preserve">    </w:t>
      </w:r>
      <w:r>
        <w:rPr>
          <w:rFonts w:hint="eastAsia" w:ascii="方正仿宋简体" w:hAnsi="黑体" w:eastAsia="方正仿宋简体" w:cs="黑体"/>
          <w:b/>
          <w:sz w:val="32"/>
          <w:szCs w:val="32"/>
        </w:rPr>
        <w:t>（二）提供公共服务，着力改善民生。</w:t>
      </w:r>
      <w:r>
        <w:rPr>
          <w:rFonts w:hint="eastAsia" w:ascii="方正仿宋简体" w:hAnsi="黑体" w:eastAsia="方正仿宋简体" w:cs="黑体"/>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616" w:lineRule="atLeast"/>
        <w:ind w:firstLine="218" w:firstLineChars="78"/>
        <w:rPr>
          <w:rFonts w:hint="eastAsia" w:ascii="方正仿宋简体" w:hAnsi="黑体" w:eastAsia="方正仿宋简体" w:cs="黑体"/>
          <w:sz w:val="32"/>
          <w:szCs w:val="32"/>
        </w:rPr>
      </w:pPr>
      <w:r>
        <w:rPr>
          <w:rFonts w:hint="eastAsia" w:ascii="黑体" w:hAnsi="黑体" w:eastAsia="黑体" w:cs="黑体"/>
          <w:sz w:val="28"/>
          <w:szCs w:val="28"/>
        </w:rPr>
        <w:t xml:space="preserve"> </w:t>
      </w:r>
      <w:r>
        <w:rPr>
          <w:rFonts w:hint="eastAsia" w:ascii="方正仿宋简体" w:hAnsi="黑体" w:eastAsia="方正仿宋简体" w:cs="黑体"/>
          <w:b/>
          <w:sz w:val="32"/>
          <w:szCs w:val="32"/>
        </w:rPr>
        <w:t xml:space="preserve"> （三）加强社会管理，维护农村稳定。</w:t>
      </w:r>
      <w:r>
        <w:rPr>
          <w:rFonts w:hint="eastAsia" w:ascii="方正仿宋简体" w:hAnsi="黑体" w:eastAsia="方正仿宋简体" w:cs="黑体"/>
          <w:sz w:val="32"/>
          <w:szCs w:val="32"/>
        </w:rPr>
        <w:t>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616" w:lineRule="atLeast"/>
        <w:ind w:firstLine="482" w:firstLineChars="150"/>
        <w:rPr>
          <w:rFonts w:hint="eastAsia" w:ascii="方正仿宋简体" w:hAnsi="黑体" w:eastAsia="方正仿宋简体" w:cs="黑体"/>
          <w:sz w:val="32"/>
          <w:szCs w:val="32"/>
        </w:rPr>
      </w:pPr>
      <w:r>
        <w:rPr>
          <w:rFonts w:hint="eastAsia" w:ascii="方正仿宋简体" w:hAnsi="黑体" w:eastAsia="方正仿宋简体" w:cs="黑体"/>
          <w:b/>
          <w:sz w:val="32"/>
          <w:szCs w:val="32"/>
        </w:rPr>
        <w:t>（四）推进基层民主，促进农村和谐。</w:t>
      </w:r>
      <w:r>
        <w:rPr>
          <w:rFonts w:hint="eastAsia" w:ascii="方正仿宋简体" w:hAnsi="黑体" w:eastAsia="方正仿宋简体" w:cs="黑体"/>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616" w:lineRule="atLeast"/>
        <w:rPr>
          <w:rFonts w:hint="eastAsia" w:ascii="方正仿宋简体" w:hAnsi="黑体" w:eastAsia="方正仿宋简体" w:cs="黑体"/>
          <w:b/>
          <w:sz w:val="32"/>
          <w:szCs w:val="32"/>
        </w:rPr>
      </w:pPr>
      <w:r>
        <w:rPr>
          <w:rFonts w:hint="eastAsia" w:ascii="黑体" w:hAnsi="黑体" w:eastAsia="黑体" w:cs="黑体"/>
          <w:sz w:val="28"/>
          <w:szCs w:val="28"/>
        </w:rPr>
        <w:t xml:space="preserve">    </w:t>
      </w:r>
      <w:r>
        <w:rPr>
          <w:rFonts w:hint="eastAsia" w:ascii="方正仿宋简体" w:hAnsi="黑体" w:eastAsia="方正仿宋简体" w:cs="黑体"/>
          <w:b/>
          <w:sz w:val="32"/>
          <w:szCs w:val="32"/>
        </w:rPr>
        <w:t>机构设置：</w:t>
      </w:r>
    </w:p>
    <w:p>
      <w:pPr>
        <w:jc w:val="center"/>
        <w:outlineLvl w:val="0"/>
        <w:rPr>
          <w:rFonts w:hint="eastAsia" w:ascii="方正仿宋简体" w:hAnsi="黑体" w:eastAsia="方正仿宋简体" w:cs="黑体"/>
          <w:b/>
          <w:sz w:val="32"/>
          <w:szCs w:val="32"/>
        </w:rPr>
      </w:pPr>
      <w:r>
        <w:rPr>
          <w:rFonts w:hint="eastAsia" w:ascii="方正仿宋简体" w:hAnsi="黑体" w:eastAsia="方正仿宋简体" w:cs="黑体"/>
          <w:b/>
          <w:sz w:val="32"/>
          <w:szCs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81"/>
        <w:gridCol w:w="1709"/>
        <w:gridCol w:w="1469"/>
        <w:gridCol w:w="3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81"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单位名称</w:t>
            </w:r>
          </w:p>
        </w:tc>
        <w:tc>
          <w:tcPr>
            <w:tcW w:w="1709"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单位性质</w:t>
            </w:r>
          </w:p>
        </w:tc>
        <w:tc>
          <w:tcPr>
            <w:tcW w:w="1469"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单位规格</w:t>
            </w:r>
          </w:p>
        </w:tc>
        <w:tc>
          <w:tcPr>
            <w:tcW w:w="3751"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81" w:type="dxa"/>
            <w:vMerge w:val="continue"/>
            <w:noWrap w:val="0"/>
            <w:vAlign w:val="center"/>
          </w:tcPr>
          <w:p>
            <w:pPr>
              <w:spacing w:line="300" w:lineRule="exact"/>
              <w:jc w:val="left"/>
              <w:outlineLvl w:val="0"/>
              <w:rPr>
                <w:rFonts w:hint="eastAsia" w:ascii="黑体" w:hAnsi="黑体" w:eastAsia="黑体" w:cs="黑体"/>
                <w:sz w:val="28"/>
                <w:szCs w:val="28"/>
              </w:rPr>
            </w:pPr>
          </w:p>
        </w:tc>
        <w:tc>
          <w:tcPr>
            <w:tcW w:w="1709" w:type="dxa"/>
            <w:vMerge w:val="continue"/>
            <w:noWrap w:val="0"/>
            <w:vAlign w:val="center"/>
          </w:tcPr>
          <w:p>
            <w:pPr>
              <w:spacing w:line="300" w:lineRule="exact"/>
              <w:jc w:val="left"/>
              <w:outlineLvl w:val="0"/>
              <w:rPr>
                <w:rFonts w:hint="eastAsia" w:ascii="黑体" w:hAnsi="黑体" w:eastAsia="黑体" w:cs="黑体"/>
                <w:sz w:val="28"/>
                <w:szCs w:val="28"/>
              </w:rPr>
            </w:pPr>
          </w:p>
        </w:tc>
        <w:tc>
          <w:tcPr>
            <w:tcW w:w="1469" w:type="dxa"/>
            <w:vMerge w:val="continue"/>
            <w:noWrap w:val="0"/>
            <w:vAlign w:val="center"/>
          </w:tcPr>
          <w:p>
            <w:pPr>
              <w:spacing w:line="300" w:lineRule="exact"/>
              <w:jc w:val="left"/>
              <w:outlineLvl w:val="0"/>
              <w:rPr>
                <w:rFonts w:hint="eastAsia" w:ascii="黑体" w:hAnsi="黑体" w:eastAsia="黑体" w:cs="黑体"/>
                <w:sz w:val="28"/>
                <w:szCs w:val="28"/>
              </w:rPr>
            </w:pPr>
          </w:p>
        </w:tc>
        <w:tc>
          <w:tcPr>
            <w:tcW w:w="3751" w:type="dxa"/>
            <w:vMerge w:val="continue"/>
            <w:noWrap w:val="0"/>
            <w:vAlign w:val="center"/>
          </w:tcPr>
          <w:p>
            <w:pPr>
              <w:spacing w:line="300" w:lineRule="exact"/>
              <w:jc w:val="left"/>
              <w:outlineLvl w:val="0"/>
              <w:rPr>
                <w:rFonts w:hint="eastAsia"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合    计</w:t>
            </w:r>
          </w:p>
        </w:tc>
        <w:tc>
          <w:tcPr>
            <w:tcW w:w="1709" w:type="dxa"/>
            <w:noWrap w:val="0"/>
            <w:vAlign w:val="center"/>
          </w:tcPr>
          <w:p>
            <w:pPr>
              <w:spacing w:line="300" w:lineRule="exact"/>
              <w:jc w:val="center"/>
              <w:rPr>
                <w:rFonts w:hint="eastAsia" w:ascii="黑体" w:hAnsi="黑体" w:eastAsia="黑体" w:cs="黑体"/>
                <w:b/>
                <w:bCs/>
                <w:sz w:val="28"/>
                <w:szCs w:val="28"/>
              </w:rPr>
            </w:pPr>
          </w:p>
        </w:tc>
        <w:tc>
          <w:tcPr>
            <w:tcW w:w="1469" w:type="dxa"/>
            <w:noWrap w:val="0"/>
            <w:vAlign w:val="center"/>
          </w:tcPr>
          <w:p>
            <w:pPr>
              <w:spacing w:line="300" w:lineRule="exact"/>
              <w:jc w:val="center"/>
              <w:rPr>
                <w:rFonts w:hint="eastAsia" w:ascii="黑体" w:hAnsi="黑体" w:eastAsia="黑体" w:cs="黑体"/>
                <w:b/>
                <w:bCs/>
                <w:sz w:val="28"/>
                <w:szCs w:val="28"/>
              </w:rPr>
            </w:pPr>
          </w:p>
        </w:tc>
        <w:tc>
          <w:tcPr>
            <w:tcW w:w="3751" w:type="dxa"/>
            <w:noWrap w:val="0"/>
            <w:vAlign w:val="center"/>
          </w:tcPr>
          <w:p>
            <w:pPr>
              <w:spacing w:line="300" w:lineRule="exact"/>
              <w:jc w:val="center"/>
              <w:rPr>
                <w:rFonts w:hint="eastAsia"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遵化市平安城镇人民政府</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遵化市平安城镇党政综合办公室</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遵化市平安城镇社会事务办公室</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遵化市平安城镇经济发展办公室</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遵化市平安城镇城镇建设办公室</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遵化市平安城镇社会治安综合治理办公室</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遵化市平安城镇财政所农村经营管理服务站</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遵化市平安城镇人口和计划生育服务中心</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遵化市平安城镇文化综合服务中心</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遵化市平安城镇劳动保障事务站</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bl>
    <w:p>
      <w:pPr>
        <w:ind w:firstLine="803" w:firstLineChars="250"/>
        <w:rPr>
          <w:rFonts w:hint="eastAsia" w:ascii="方正黑体简体" w:hAnsi="黑体" w:eastAsia="方正黑体简体" w:cs="黑体"/>
          <w:b/>
          <w:bCs/>
          <w:sz w:val="32"/>
          <w:szCs w:val="32"/>
        </w:rPr>
      </w:pPr>
      <w:r>
        <w:rPr>
          <w:rFonts w:hint="eastAsia" w:ascii="方正黑体简体" w:hAnsi="黑体" w:eastAsia="方正黑体简体" w:cs="黑体"/>
          <w:b/>
          <w:bCs/>
          <w:sz w:val="32"/>
          <w:szCs w:val="32"/>
        </w:rPr>
        <w:t>二、部门预算安排的总体情况</w:t>
      </w:r>
    </w:p>
    <w:p>
      <w:pPr>
        <w:ind w:firstLine="720" w:firstLineChars="225"/>
        <w:rPr>
          <w:rFonts w:hint="eastAsia"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按照预算管理有关规定，目前我市部门预算的编制实行综合预算制度，即全部收入和支出都反映在预算中。</w:t>
      </w:r>
    </w:p>
    <w:p>
      <w:pPr>
        <w:ind w:firstLine="640"/>
        <w:rPr>
          <w:rFonts w:hint="eastAsia" w:ascii="方正黑体简体" w:hAnsi="黑体" w:eastAsia="方正黑体简体" w:cs="黑体"/>
          <w:b/>
          <w:sz w:val="32"/>
          <w:szCs w:val="32"/>
        </w:rPr>
      </w:pPr>
      <w:r>
        <w:rPr>
          <w:rFonts w:hint="eastAsia" w:ascii="方正黑体简体" w:hAnsi="黑体" w:eastAsia="方正黑体简体" w:cs="黑体"/>
          <w:b/>
          <w:sz w:val="32"/>
          <w:szCs w:val="32"/>
        </w:rPr>
        <w:t>1、收入说明</w:t>
      </w:r>
    </w:p>
    <w:p>
      <w:pPr>
        <w:ind w:firstLine="640"/>
        <w:rPr>
          <w:rFonts w:hint="eastAsia" w:ascii="方正仿宋简体" w:hAnsi="黑体" w:eastAsia="方正仿宋简体" w:cs="黑体"/>
          <w:sz w:val="32"/>
          <w:szCs w:val="32"/>
        </w:rPr>
      </w:pPr>
      <w:r>
        <w:rPr>
          <w:rFonts w:hint="eastAsia" w:ascii="方正仿宋简体" w:hAnsi="黑体" w:eastAsia="方正仿宋简体" w:cs="黑体"/>
          <w:sz w:val="32"/>
          <w:szCs w:val="32"/>
        </w:rPr>
        <w:t>反映本部门当年全部收入。2021年预算收入806.01万元，其中：一般公共预算收入806.01万元，基金预算收入0万元，财政专户核拨收入0万元，其他来源收入0万元。</w:t>
      </w:r>
    </w:p>
    <w:p>
      <w:pPr>
        <w:ind w:firstLine="640"/>
        <w:rPr>
          <w:rFonts w:hint="eastAsia" w:ascii="方正黑体简体" w:hAnsi="黑体" w:eastAsia="方正黑体简体" w:cs="黑体"/>
          <w:b/>
          <w:sz w:val="32"/>
          <w:szCs w:val="32"/>
        </w:rPr>
      </w:pPr>
      <w:r>
        <w:rPr>
          <w:rFonts w:hint="eastAsia" w:ascii="方正黑体简体" w:hAnsi="黑体" w:eastAsia="方正黑体简体" w:cs="黑体"/>
          <w:b/>
          <w:sz w:val="32"/>
          <w:szCs w:val="32"/>
        </w:rPr>
        <w:t>2、支出说明</w:t>
      </w:r>
    </w:p>
    <w:p>
      <w:pPr>
        <w:ind w:firstLine="640"/>
        <w:rPr>
          <w:rFonts w:hint="eastAsia" w:ascii="方正仿宋简体" w:hAnsi="黑体" w:eastAsia="方正仿宋简体" w:cs="黑体"/>
          <w:sz w:val="32"/>
          <w:szCs w:val="32"/>
        </w:rPr>
      </w:pPr>
      <w:r>
        <w:rPr>
          <w:rFonts w:hint="eastAsia" w:ascii="方正仿宋简体" w:hAnsi="黑体" w:eastAsia="方正仿宋简体" w:cs="黑体"/>
          <w:sz w:val="32"/>
          <w:szCs w:val="32"/>
        </w:rPr>
        <w:t>收支预算总表支出栏、基本支出表、项目支出表按经济分类和支出功能分类科目编制，反映遵化市平安城镇人民政府2021年度部门预算中支出预算的总体情况。2021年支出预算806.01万元，其中基本支出773.01万元，包括人员经费676.66万元和日常公用经费96.35万元；项目支出33万元。</w:t>
      </w:r>
    </w:p>
    <w:p>
      <w:pPr>
        <w:ind w:firstLine="640"/>
        <w:rPr>
          <w:rFonts w:hint="eastAsia" w:ascii="方正黑体简体" w:hAnsi="黑体" w:eastAsia="方正黑体简体" w:cs="黑体"/>
          <w:b/>
          <w:sz w:val="32"/>
          <w:szCs w:val="32"/>
        </w:rPr>
      </w:pPr>
      <w:r>
        <w:rPr>
          <w:rFonts w:hint="eastAsia" w:ascii="方正黑体简体" w:hAnsi="黑体" w:eastAsia="方正黑体简体" w:cs="黑体"/>
          <w:b/>
          <w:sz w:val="32"/>
          <w:szCs w:val="32"/>
        </w:rPr>
        <w:t>3、比上年增减情况</w:t>
      </w:r>
    </w:p>
    <w:p>
      <w:pPr>
        <w:ind w:firstLine="640" w:firstLineChars="200"/>
        <w:rPr>
          <w:rFonts w:hint="eastAsia" w:ascii="方正仿宋简体" w:hAnsi="黑体" w:eastAsia="方正仿宋简体" w:cs="黑体"/>
          <w:sz w:val="32"/>
          <w:szCs w:val="32"/>
        </w:rPr>
      </w:pPr>
      <w:r>
        <w:rPr>
          <w:rFonts w:hint="eastAsia" w:ascii="方正仿宋简体" w:hAnsi="黑体" w:eastAsia="方正仿宋简体" w:cs="黑体"/>
          <w:sz w:val="32"/>
          <w:szCs w:val="32"/>
        </w:rPr>
        <w:t>2021年预算收支安排806.01万元，较2020年预算增加44.52万元，其中：基本支出增加44.52万元，主要为人员经费支出增加34.74万元；（人员经费增加的主要原因为正常人员调入）；日常公用经费增加了9.78万元（增加原因主要是人员调入）。项目支出33万元，与上年的持平。</w:t>
      </w:r>
    </w:p>
    <w:p>
      <w:pPr>
        <w:autoSpaceDE w:val="0"/>
        <w:autoSpaceDN w:val="0"/>
        <w:adjustRightInd w:val="0"/>
        <w:ind w:firstLine="643" w:firstLineChars="200"/>
        <w:jc w:val="left"/>
        <w:rPr>
          <w:rFonts w:hint="eastAsia" w:ascii="方正黑体简体" w:hAnsi="黑体" w:eastAsia="方正黑体简体" w:cs="黑体"/>
          <w:b/>
          <w:bCs/>
          <w:sz w:val="32"/>
          <w:szCs w:val="32"/>
        </w:rPr>
      </w:pPr>
      <w:r>
        <w:rPr>
          <w:rFonts w:hint="eastAsia" w:ascii="方正黑体简体" w:hAnsi="黑体" w:eastAsia="方正黑体简体" w:cs="黑体"/>
          <w:b/>
          <w:bCs/>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简体" w:hAnsi="黑体" w:eastAsia="方正仿宋简体" w:cs="黑体"/>
          <w:sz w:val="32"/>
          <w:szCs w:val="32"/>
        </w:rPr>
      </w:pPr>
      <w:r>
        <w:rPr>
          <w:rFonts w:hint="eastAsia" w:ascii="方正仿宋简体" w:eastAsia="方正仿宋简体"/>
          <w:sz w:val="32"/>
          <w:szCs w:val="32"/>
        </w:rPr>
        <w:t>2021</w:t>
      </w:r>
      <w:r>
        <w:rPr>
          <w:rFonts w:hint="eastAsia" w:ascii="方正仿宋简体" w:eastAsia="方正仿宋简体" w:cs="方正仿宋_GBK"/>
          <w:sz w:val="32"/>
          <w:szCs w:val="32"/>
        </w:rPr>
        <w:t>年，我镇机关运行经费共计安排</w:t>
      </w:r>
      <w:r>
        <w:rPr>
          <w:rFonts w:hint="eastAsia" w:ascii="方正仿宋简体" w:eastAsia="方正仿宋简体"/>
          <w:sz w:val="32"/>
          <w:szCs w:val="32"/>
        </w:rPr>
        <w:t>96.35</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2021年机关办公费10万元，电费2.5万元，邮电费1.8万元，取暖费15万元，差旅费2万元，维修(护)费1万元，会议费0.25万元,培训费0.25万元, 公务用车运行维护费23.3万元，公务接待费0.7万元，退休干部公用经费0.77万元，公务补贴费用24.35万元, 其他业务费5.5万元，工会经费4.32万元，福利费4.61万元。</w:t>
      </w:r>
    </w:p>
    <w:p>
      <w:pPr>
        <w:autoSpaceDE w:val="0"/>
        <w:autoSpaceDN w:val="0"/>
        <w:adjustRightInd w:val="0"/>
        <w:ind w:firstLine="803" w:firstLineChars="250"/>
        <w:jc w:val="left"/>
        <w:rPr>
          <w:rFonts w:hint="eastAsia" w:ascii="方正黑体简体" w:hAnsi="黑体" w:eastAsia="方正黑体简体" w:cs="黑体"/>
          <w:b/>
          <w:bCs/>
          <w:sz w:val="32"/>
          <w:szCs w:val="32"/>
        </w:rPr>
      </w:pPr>
      <w:r>
        <w:rPr>
          <w:rFonts w:hint="eastAsia" w:ascii="方正黑体简体" w:hAnsi="黑体" w:eastAsia="方正黑体简体" w:cs="黑体"/>
          <w:b/>
          <w:bCs/>
          <w:sz w:val="32"/>
          <w:szCs w:val="32"/>
        </w:rPr>
        <w:t>四、财政拨款“三公”经费预算情况及增减变化原因</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 xml:space="preserve">2020年我镇“三公”经费预算安排24.5万元，较2020年预算增加7.8万元。具体安排情况为： </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一）公务用车购置及运行费。2021年预算安排23.3万元，较2020年预算16万增加7.3万元，其中①公务用车购置安排0万元，与2020年持平，无增减变化。②公车运行维护经费安排23.3万元，较上年预算增加7.3万元。因为按照《遵化市乡镇管理体制》遵政字[2017]16号文件精神，公务用车维护费每辆车5.825万元。我镇共有公务用车4辆。</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（二）公务接待费。2021年预算安排0.7万元，与2020持平，无增减变动。</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（三）因公出国（境）费安排0万元，与2020年持平，无增减变化。</w:t>
      </w:r>
    </w:p>
    <w:p>
      <w:pPr>
        <w:tabs>
          <w:tab w:val="left" w:pos="5955"/>
        </w:tabs>
        <w:spacing w:line="560" w:lineRule="exact"/>
        <w:ind w:firstLine="903" w:firstLineChars="281"/>
        <w:rPr>
          <w:rFonts w:hint="eastAsia" w:ascii="方正黑体简体" w:hAnsi="黑体" w:eastAsia="方正黑体简体" w:cs="黑体"/>
          <w:b/>
          <w:sz w:val="32"/>
          <w:szCs w:val="32"/>
        </w:rPr>
      </w:pPr>
      <w:r>
        <w:rPr>
          <w:rFonts w:hint="eastAsia" w:ascii="方正黑体简体" w:hAnsi="黑体" w:eastAsia="方正黑体简体" w:cs="黑体"/>
          <w:b/>
          <w:sz w:val="32"/>
          <w:szCs w:val="32"/>
        </w:rPr>
        <w:t>五、绩效预算信息情况</w:t>
      </w:r>
      <w:r>
        <w:rPr>
          <w:rFonts w:hint="eastAsia" w:ascii="方正黑体简体" w:hAnsi="黑体" w:eastAsia="方正黑体简体" w:cs="黑体"/>
          <w:b/>
          <w:sz w:val="32"/>
          <w:szCs w:val="32"/>
        </w:rPr>
        <w:tab/>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（一）负责政务信息的收集、整理、反馈工作；组织对市政府重要工作、重大决策的调查研究，及时向市政府领导提出建议，当好参谋。</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（二）负责镇政府各种会议及活动的准备和服务工作以及，议定事项的落实。</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（三）负责镇政府机关的档案、印章、信件管理和机要保密工作。</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（四）围绕镇政府中心工作和上级政府经济社会发展的重要问题，开展调查研究，为领导决策提供有针对性、实用性、可操作性和超前性的对策和建议，并对决策执行情况进行跟踪调查和反馈。</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（五）协调镇政府各部门之间的关系。负责对上级重要文件、市政府会议精神传达、决定事项及市政府领导批示的执行落实情况。</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（六）负责镇政府机关值班和处理群众来信、来访的接待及应急管理工作，处理突发事件、重大灾情和重大事故，并负责向上级报告。</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（七）负责行政审批上报服务工作。</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（八）负责全镇农业和农村工作的综合、协调、指导。</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（九）负责全镇小城镇建设、工业发展、环保、交通、拆迁等工作的综合、协调、督导。</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（十）负责全镇财税、流通、市场建设、金融等工作的综合、协调、督导。</w:t>
      </w:r>
    </w:p>
    <w:p>
      <w:pPr>
        <w:spacing w:line="560" w:lineRule="exact"/>
        <w:ind w:firstLine="720" w:firstLineChars="225"/>
        <w:rPr>
          <w:rFonts w:hint="eastAsia" w:ascii="方正仿宋简体" w:hAnsi="黑体" w:eastAsia="方正仿宋简体" w:cs="黑体"/>
          <w:sz w:val="32"/>
          <w:szCs w:val="32"/>
        </w:rPr>
      </w:pPr>
      <w:r>
        <w:rPr>
          <w:rFonts w:hint="eastAsia" w:ascii="方正仿宋简体" w:hAnsi="黑体" w:eastAsia="方正仿宋简体" w:cs="黑体"/>
          <w:sz w:val="32"/>
          <w:szCs w:val="32"/>
        </w:rPr>
        <w:t>（十一）负责档案行政管理工作。</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（十二）做好市政府领导交办的其它工作任务。</w:t>
      </w:r>
    </w:p>
    <w:p>
      <w:pPr>
        <w:jc w:val="center"/>
        <w:outlineLvl w:val="0"/>
        <w:rPr>
          <w:rFonts w:hint="eastAsia" w:ascii="仿宋" w:hAnsi="仿宋" w:eastAsia="仿宋" w:cs="仿宋"/>
          <w:sz w:val="32"/>
          <w:szCs w:val="32"/>
        </w:rPr>
      </w:pPr>
    </w:p>
    <w:p>
      <w:pPr>
        <w:jc w:val="center"/>
        <w:outlineLvl w:val="0"/>
        <w:rPr>
          <w:rFonts w:ascii="仿宋" w:hAnsi="仿宋" w:eastAsia="仿宋" w:cs="仿宋"/>
          <w:sz w:val="32"/>
          <w:szCs w:val="32"/>
        </w:rPr>
      </w:pPr>
      <w:r>
        <w:rPr>
          <w:rFonts w:hint="eastAsia" w:ascii="仿宋" w:hAnsi="仿宋" w:eastAsia="仿宋" w:cs="仿宋"/>
          <w:sz w:val="32"/>
          <w:szCs w:val="32"/>
        </w:rPr>
        <w:t>部门职责</w:t>
      </w:r>
      <w:r>
        <w:rPr>
          <w:rFonts w:ascii="仿宋" w:hAnsi="仿宋" w:eastAsia="仿宋" w:cs="仿宋"/>
          <w:sz w:val="32"/>
          <w:szCs w:val="32"/>
        </w:rPr>
        <w:t>-</w:t>
      </w:r>
      <w:r>
        <w:rPr>
          <w:rFonts w:hint="eastAsia" w:ascii="仿宋" w:hAnsi="仿宋" w:eastAsia="仿宋" w:cs="仿宋"/>
          <w:sz w:val="32"/>
          <w:szCs w:val="32"/>
        </w:rPr>
        <w:t>工作活动绩效目标</w:t>
      </w:r>
    </w:p>
    <w:p>
      <w:pPr>
        <w:jc w:val="center"/>
        <w:outlineLvl w:val="0"/>
        <w:rPr>
          <w:rFonts w:ascii="仿宋" w:hAnsi="仿宋" w:eastAsia="仿宋" w:cs="仿宋"/>
          <w:sz w:val="32"/>
          <w:szCs w:val="32"/>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7"/>
        <w:gridCol w:w="1080"/>
        <w:gridCol w:w="2880"/>
        <w:gridCol w:w="4320"/>
        <w:gridCol w:w="1080"/>
        <w:gridCol w:w="882"/>
        <w:gridCol w:w="720"/>
        <w:gridCol w:w="72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727"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434024遵化市平安城镇人民政府</w:t>
            </w:r>
          </w:p>
        </w:tc>
        <w:tc>
          <w:tcPr>
            <w:tcW w:w="3207"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6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0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432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207"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67" w:type="dxa"/>
            <w:vMerge w:val="continue"/>
            <w:noWrap w:val="0"/>
            <w:vAlign w:val="center"/>
          </w:tcPr>
          <w:p>
            <w:pPr>
              <w:spacing w:line="300" w:lineRule="exact"/>
              <w:jc w:val="left"/>
              <w:outlineLvl w:val="0"/>
            </w:pPr>
          </w:p>
        </w:tc>
        <w:tc>
          <w:tcPr>
            <w:tcW w:w="1080" w:type="dxa"/>
            <w:vMerge w:val="continue"/>
            <w:noWrap w:val="0"/>
            <w:vAlign w:val="center"/>
          </w:tcPr>
          <w:p>
            <w:pPr>
              <w:spacing w:line="300" w:lineRule="exact"/>
              <w:jc w:val="left"/>
              <w:outlineLvl w:val="0"/>
            </w:pPr>
          </w:p>
        </w:tc>
        <w:tc>
          <w:tcPr>
            <w:tcW w:w="2880" w:type="dxa"/>
            <w:vMerge w:val="continue"/>
            <w:noWrap w:val="0"/>
            <w:vAlign w:val="center"/>
          </w:tcPr>
          <w:p>
            <w:pPr>
              <w:spacing w:line="300" w:lineRule="exact"/>
              <w:jc w:val="left"/>
              <w:outlineLvl w:val="0"/>
            </w:pPr>
          </w:p>
        </w:tc>
        <w:tc>
          <w:tcPr>
            <w:tcW w:w="4320" w:type="dxa"/>
            <w:vMerge w:val="continue"/>
            <w:noWrap w:val="0"/>
            <w:vAlign w:val="center"/>
          </w:tcPr>
          <w:p>
            <w:pPr>
              <w:spacing w:line="300" w:lineRule="exact"/>
              <w:jc w:val="left"/>
              <w:outlineLvl w:val="0"/>
            </w:pPr>
          </w:p>
        </w:tc>
        <w:tc>
          <w:tcPr>
            <w:tcW w:w="1080" w:type="dxa"/>
            <w:vMerge w:val="continue"/>
            <w:noWrap w:val="0"/>
            <w:vAlign w:val="center"/>
          </w:tcPr>
          <w:p>
            <w:pPr>
              <w:spacing w:line="300" w:lineRule="exact"/>
              <w:jc w:val="left"/>
              <w:outlineLvl w:val="0"/>
            </w:pPr>
          </w:p>
        </w:tc>
        <w:tc>
          <w:tcPr>
            <w:tcW w:w="882"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20"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20"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85"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1"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一、政务服务与政务管理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政务公开、乡镇政府会议管理、政务联络工作。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突出政务、加强事务管理，力求重点工作出精品。难点工作求突破、基础工作有创新、常规工作见特色。以机关干部工作作风为依据，增强工作综合服务实力。</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1367"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、政务公开、会议管理、政务联络。</w:t>
            </w:r>
          </w:p>
        </w:tc>
        <w:tc>
          <w:tcPr>
            <w:tcW w:w="1080" w:type="dxa"/>
            <w:vMerge w:val="restart"/>
            <w:noWrap w:val="0"/>
            <w:vAlign w:val="center"/>
          </w:tcPr>
          <w:p>
            <w:pPr>
              <w:spacing w:line="300" w:lineRule="exact"/>
              <w:jc w:val="left"/>
              <w:rPr>
                <w:rFonts w:ascii="方正书宋_GBK" w:eastAsia="方正书宋_GBK"/>
              </w:rPr>
            </w:pPr>
          </w:p>
        </w:tc>
        <w:tc>
          <w:tcPr>
            <w:tcW w:w="288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不断提高信息公开工作业务水平；协助乡镇政府领导组织会议决定事项的落实；做好上级政府及有关部门政务往来与经济交流工作，负责乡镇政府领导公务活动的接待安排。</w:t>
            </w:r>
          </w:p>
        </w:tc>
        <w:tc>
          <w:tcPr>
            <w:tcW w:w="432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提升政务公开服务水平。承办会议，有效推动经济发展，保障重大决策落实，积极贯彻工作部署，创新工作机制，提升服务水平。围绕我乡镇中心工作，有效促进对外经贸协作和外地高科技项目合作。</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组织对外联络（次）</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2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72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885"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对外联络服务满意度</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履行信息公开职责</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承办会议次数</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二、应急管理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负责乡镇政府值班工作，及时报告重大情况，协助乡镇政府领导组织处理突发事件。</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有效保证应急突发事件应对处置，完善应急体系，有效组织应急演练，进一步提升应急工作水平。</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、应急管理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加强乡镇政府值班工作，及时报告重要情况，传达和落实乡政府领导重要指示，协助乡镇政府领导完成组织处理突发事件应急处置工作。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完善应急体系，确保快速、有效处置突发事件，提高事件应对实效。</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应急事件处置情况</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三、政府电子政务</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政务信息工作和机关电子政务工作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保障政府网络系统安全运行，切实提高技术保障能力和服务水平。</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、政府电子政务管理与服务</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政务信息工作和机关电子政务工作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保障政府网络系统安全运行，切实提高技术保障能力和服务水平。</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网络系统升级</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四、综合业务、事务管理</w:t>
            </w:r>
          </w:p>
        </w:tc>
        <w:tc>
          <w:tcPr>
            <w:tcW w:w="1080" w:type="dxa"/>
            <w:noWrap w:val="0"/>
            <w:vAlign w:val="center"/>
          </w:tcPr>
          <w:p>
            <w:pPr>
              <w:spacing w:line="300" w:lineRule="exact"/>
              <w:jc w:val="left"/>
              <w:rPr>
                <w:rFonts w:ascii="方正书宋_GBK" w:eastAsia="方正书宋_GBK"/>
                <w:b/>
              </w:rPr>
            </w:pPr>
            <w:r>
              <w:rPr>
                <w:rFonts w:hint="eastAsia" w:ascii="方正书宋_GBK" w:eastAsia="方正书宋_GBK"/>
                <w:b/>
              </w:rPr>
              <w:t>806.01</w:t>
            </w: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紧紧围绕乡镇政府中心工作，积极与乡镇领导协调谋大事，解难事，不断提高参政水平，努力为领导提供服务层次和优质服务。</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优质后勤管理水平，通过加强公车管理，降低运行成本，为创建节约型机关打下了良好的基础。采取保障乡镇政府领导和机关工作办公环境的措施，提升服务管理水平，保障乡镇领导和机关工作的正常运转。及时了解国内外形势、党和国家的方针政策以及上级重要部署和要求，及时为老干部提供优质高效服务。</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、综合业务、事务管理</w:t>
            </w:r>
          </w:p>
        </w:tc>
        <w:tc>
          <w:tcPr>
            <w:tcW w:w="108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806.01</w:t>
            </w:r>
          </w:p>
        </w:tc>
        <w:tc>
          <w:tcPr>
            <w:tcW w:w="288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协助乡镇政府领导组织起草或审核以镇政府、镇政府办公室名义发布的公文；办理各部门报送的文电；对部门间出现的争议问题提出处理意见；组织起草镇政府领导重要讲话及其他重要文稿；组织专题调研；组织共青团、妇联、信访等各项工作及活动；承办镇政府领导交办的其他事项。</w:t>
            </w:r>
          </w:p>
        </w:tc>
        <w:tc>
          <w:tcPr>
            <w:tcW w:w="432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采取保障乡镇政府领导和机关工作办公环境的措施，提升了服务管理水平，保障了乡镇处领导和机关工作的正常运转。</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各项综合业务管理工作完成率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各项综合事务管理工作完成率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五、信息收集、督查调研</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围绕乡镇政府党委总体工作部署开展综合调研，收集和处理信息、反映动态；承担乡镇政府党委重要工作部署贯彻落实的督导检查，上级领导和乡镇政府党委领导批示件的传达和催办落实。</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信息真实完整，领导满意，批示率高。</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、信息收集、督查调研</w:t>
            </w:r>
          </w:p>
        </w:tc>
        <w:tc>
          <w:tcPr>
            <w:tcW w:w="1080" w:type="dxa"/>
            <w:vMerge w:val="restart"/>
            <w:noWrap w:val="0"/>
            <w:vAlign w:val="center"/>
          </w:tcPr>
          <w:p>
            <w:pPr>
              <w:spacing w:line="300" w:lineRule="exact"/>
              <w:jc w:val="left"/>
              <w:rPr>
                <w:rFonts w:ascii="方正书宋_GBK" w:eastAsia="方正书宋_GBK"/>
              </w:rPr>
            </w:pPr>
          </w:p>
        </w:tc>
        <w:tc>
          <w:tcPr>
            <w:tcW w:w="288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围绕乡镇政府党委的重大决策部署收集、整理和反馈信息；社情民意调查；系统信息网络的协调和指导工作。乡镇政府党委重大决策部署贯彻落实的督促检查；乡镇政府党委领导同志有关批示件的催办落实；承担乡镇政府党委领导同志批示件及情况的综汇工作；围绕乡镇政府党委重大决策的贯彻落实进行调查研究；全乡镇政府党委系统督查网络的协调和指导工作。</w:t>
            </w:r>
          </w:p>
        </w:tc>
        <w:tc>
          <w:tcPr>
            <w:tcW w:w="432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信息真实完整，领导满意，批示率高。</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信息采集上报</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六、干部管理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负责乡镇政府村两级党组织建设，指导全乡镇政府党员教育工作、管理和发展工作，负责干部培养选拔和安置；</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健全乡镇政府村两级党的组织制度、党内生活制度建设；指导村两委工作，培养锻炼干部，提高干部整体素质，不断提高干部素质和业务能力。</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、党员和党组织建设、干部管理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负责乡镇政府村两级党组织建设；指导全乡镇政府党员教育工作；组织落实培养选拔后备干部、妇女干部。</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加强组织建设和党员管理，不断提高执政能力和领导水平；组织落实培养选拔后备干部、妇女干部。</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干部选拔工作完成率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七、保险业务及退休管理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负责各类保险的筹集、支付、管理；负责乡镇政府离退休人员的审核工作。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做好全镇政府各类保险管理工作及退休管理工作</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、保险及退休管理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做好保险及退休管理工作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各类保险及时足额收缴并做好管理工作</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保险收缴情况</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八、城乡规划</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对由市政府审批的规划进行监督实施。</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、城乡规划制订、实施与监督</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审查、督导依法编制城乡规划；加强和改进规划管理技术手段，对依法批准的城乡规划进行监督实施。</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完成本级规划编制，健全规划体系</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规划完成率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九、城乡建设管理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拟定村庄和小城镇建设政策并指导实施；指导乡镇政府、乡村庄规划的编制和实施；指导农村住房建设、住房安全和危房改造；改善小城镇和村庄人居环境。</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加强管理，提高城市承载能力和宜居度。加强村乡镇政府建设，改善农村人居环境，实现城乡统筹发展。协调和指导推进镇政府城乡化工作，加快城乡镇政府化进程。</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、推进城乡镇政府化建设</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推进小城镇和集镇人居环境改善，加快城市建设投融资体制改革，协调和指导推进城镇化工作。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加强村乡镇政府建设，改善农村人居环境，实现城乡统筹发展</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危房改造完成率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十、计划生育</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提供各类计划生育技术服务，建立利益导向机制，开展出生人口性别比治理以及流动人口计划生育管理等各项工作。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、计划生育奖励扶持政策</w:t>
            </w:r>
          </w:p>
        </w:tc>
        <w:tc>
          <w:tcPr>
            <w:tcW w:w="1080" w:type="dxa"/>
            <w:vMerge w:val="restart"/>
            <w:noWrap w:val="0"/>
            <w:vAlign w:val="center"/>
          </w:tcPr>
          <w:p>
            <w:pPr>
              <w:spacing w:line="300" w:lineRule="exact"/>
              <w:jc w:val="left"/>
              <w:rPr>
                <w:rFonts w:ascii="方正书宋_GBK" w:eastAsia="方正书宋_GBK"/>
              </w:rPr>
            </w:pPr>
          </w:p>
        </w:tc>
        <w:tc>
          <w:tcPr>
            <w:tcW w:w="288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采取奖励、扶助、社会保障等机制，引导家庭和个人采取计划生育措施，提高计划生育家庭发展能力。</w:t>
            </w:r>
          </w:p>
        </w:tc>
        <w:tc>
          <w:tcPr>
            <w:tcW w:w="432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增强群众自觉实行计划生育的积极性，稳定适度的低生育水平，提高计划生育家庭发展能力，增强计划生育家庭的凝聚力及成员幸福感。</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十一、完善农村经营管理体制</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引导农村土地合理流转</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规范流转行为，优化资源配置，加快新农村建设和城乡镇政府化进程。</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、促进土地流转</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指导全乡镇政府建立运转顺畅、便捷高效的农村土地承包经营权流转服务平台，带动土地流转依法、有序开展。</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十二、扶持农产品生产</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对生产者采取直接补贴的办法，支持推广优良品种，提高农产品产量、质量，提高生产经营效益。</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提高农产品产量，提高经济效益，增加农民收入。</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、实施良种补贴</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按照国家、省部署，对全县主要粮食作物实施良种补贴。</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小麦、玉米、水稻、棉花良种补贴全覆盖。</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主要农作物良种补贴覆盖率</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885" w:type="dxa"/>
            <w:noWrap w:val="0"/>
            <w:vAlign w:val="center"/>
          </w:tcPr>
          <w:p>
            <w:pPr>
              <w:spacing w:line="300" w:lineRule="exact"/>
              <w:jc w:val="center"/>
              <w:rPr>
                <w:rFonts w:ascii="方正书宋_GBK" w:eastAsia="方正书宋_GBK"/>
              </w:rPr>
            </w:pPr>
            <w:r>
              <w:rPr>
                <w:rFonts w:ascii="方正书宋_GBK" w:eastAsia="方正书宋_GBK"/>
              </w:rPr>
              <w:t>&lt;92%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十三、林业生态建设</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组织全乡镇政府退耕还林工作，加强森林资源保护管理</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完成上级部门下达的任务，有效改善生态环境。</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、退耕还林</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组织实施退耕还林、荒山荒地造林及巩固退耕成果等工程，兑现政策补助资金。</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所辖地区的生态状况得到明显改善。</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退耕还林任务完成率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885"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十四、林业科技支撑和公共服务</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组织、协调全乡镇政府森林火灾的预防与扑救工作，承担全乡镇政府森林防火指挥部的具体工作。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预防和减少自然灾害对森林资源的损失，保护森林资源</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、林业防灾减灾</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组织、协调全乡镇政府森林火灾的预防与扑救工作，承担全乡镇政府森林防火指挥部的具体工作。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预防和减少自然灾害对森林资源的损失，保护森林资源</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森林火灾受害控制率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&lt;0.1‰</w:t>
            </w:r>
          </w:p>
        </w:tc>
        <w:tc>
          <w:tcPr>
            <w:tcW w:w="720" w:type="dxa"/>
            <w:noWrap w:val="0"/>
            <w:vAlign w:val="center"/>
          </w:tcPr>
          <w:p>
            <w:pPr>
              <w:spacing w:line="300" w:lineRule="exact"/>
              <w:jc w:val="center"/>
              <w:rPr>
                <w:rFonts w:ascii="方正书宋_GBK" w:eastAsia="方正书宋_GBK"/>
              </w:rPr>
            </w:pPr>
            <w:r>
              <w:rPr>
                <w:rFonts w:ascii="方正书宋_GBK" w:eastAsia="方正书宋_GBK"/>
              </w:rPr>
              <w:t>&lt;0.2‰</w:t>
            </w:r>
          </w:p>
        </w:tc>
        <w:tc>
          <w:tcPr>
            <w:tcW w:w="720" w:type="dxa"/>
            <w:noWrap w:val="0"/>
            <w:vAlign w:val="center"/>
          </w:tcPr>
          <w:p>
            <w:pPr>
              <w:spacing w:line="300" w:lineRule="exact"/>
              <w:jc w:val="center"/>
              <w:rPr>
                <w:rFonts w:ascii="方正书宋_GBK" w:eastAsia="方正书宋_GBK"/>
              </w:rPr>
            </w:pPr>
            <w:r>
              <w:rPr>
                <w:rFonts w:ascii="方正书宋_GBK" w:eastAsia="方正书宋_GBK"/>
              </w:rPr>
              <w:t>&lt;0.3‰</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十五、水利水电项目建设与管理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水利水电项目的建设与维护管理</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按期完成水利水电项目建设和维修管护任务，对社会稳定的经济发展起到积极作用</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、农田水利建设</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建设小型农田水利设施，实施节水灌溉、灌区续建配套与节水改造等，推广综合节水技术。</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提高农业用水效率、改善农业生产条件</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560" w:lineRule="exact"/>
        <w:ind w:firstLine="720"/>
        <w:rPr>
          <w:rFonts w:hint="eastAsia" w:ascii="方正仿宋简体" w:hAnsi="黑体" w:eastAsia="方正仿宋简体" w:cs="黑体"/>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tbl>
      <w:tblPr>
        <w:tblStyle w:val="2"/>
        <w:tblW w:w="15000" w:type="dxa"/>
        <w:tblInd w:w="-779" w:type="dxa"/>
        <w:tblLayout w:type="fixed"/>
        <w:tblCellMar>
          <w:top w:w="0" w:type="dxa"/>
          <w:left w:w="0" w:type="dxa"/>
          <w:bottom w:w="0" w:type="dxa"/>
          <w:right w:w="0" w:type="dxa"/>
        </w:tblCellMar>
      </w:tblPr>
      <w:tblGrid>
        <w:gridCol w:w="868"/>
        <w:gridCol w:w="196"/>
        <w:gridCol w:w="989"/>
        <w:gridCol w:w="412"/>
        <w:gridCol w:w="1238"/>
        <w:gridCol w:w="201"/>
        <w:gridCol w:w="1658"/>
        <w:gridCol w:w="61"/>
        <w:gridCol w:w="2747"/>
        <w:gridCol w:w="43"/>
        <w:gridCol w:w="923"/>
        <w:gridCol w:w="443"/>
        <w:gridCol w:w="518"/>
        <w:gridCol w:w="276"/>
        <w:gridCol w:w="116"/>
        <w:gridCol w:w="750"/>
        <w:gridCol w:w="1190"/>
        <w:gridCol w:w="1118"/>
        <w:gridCol w:w="1253"/>
      </w:tblGrid>
      <w:tr>
        <w:tblPrEx>
          <w:tblCellMar>
            <w:top w:w="0" w:type="dxa"/>
            <w:left w:w="0" w:type="dxa"/>
            <w:bottom w:w="0" w:type="dxa"/>
            <w:right w:w="0" w:type="dxa"/>
          </w:tblCellMar>
        </w:tblPrEx>
        <w:trPr>
          <w:cantSplit/>
          <w:trHeight w:val="549" w:hRule="exact"/>
        </w:trPr>
        <w:tc>
          <w:tcPr>
            <w:tcW w:w="15000" w:type="dxa"/>
            <w:gridSpan w:val="19"/>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43"/>
                <w:szCs w:val="43"/>
              </w:rPr>
            </w:pPr>
            <w:r>
              <w:rPr>
                <w:rFonts w:hint="eastAsia" w:ascii="宋体" w:hAnsi="宋体" w:cs="宋体"/>
                <w:b/>
                <w:color w:val="000000"/>
                <w:kern w:val="0"/>
                <w:sz w:val="43"/>
                <w:szCs w:val="43"/>
                <w:lang w:bidi="ar"/>
              </w:rPr>
              <w:t>预算项目绩效表</w:t>
            </w:r>
          </w:p>
        </w:tc>
      </w:tr>
      <w:tr>
        <w:tblPrEx>
          <w:tblCellMar>
            <w:top w:w="0" w:type="dxa"/>
            <w:left w:w="0" w:type="dxa"/>
            <w:bottom w:w="0" w:type="dxa"/>
            <w:right w:w="0" w:type="dxa"/>
          </w:tblCellMar>
        </w:tblPrEx>
        <w:trPr>
          <w:cantSplit/>
          <w:trHeight w:val="554" w:hRule="atLeast"/>
        </w:trPr>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9233"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项目编码及名称：[13028121PHA538YZB7ZH5]乡镇环境治理经费（平安城）</w:t>
            </w:r>
          </w:p>
        </w:tc>
        <w:tc>
          <w:tcPr>
            <w:tcW w:w="11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预算年度：2021</w:t>
            </w:r>
          </w:p>
        </w:tc>
        <w:tc>
          <w:tcPr>
            <w:tcW w:w="356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0" w:type="dxa"/>
            <w:bottom w:w="0" w:type="dxa"/>
            <w:right w:w="0" w:type="dxa"/>
          </w:tblCellMar>
        </w:tblPrEx>
        <w:trPr>
          <w:cantSplit/>
          <w:trHeight w:val="182" w:hRule="atLeast"/>
        </w:trPr>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栏次</w:t>
            </w:r>
          </w:p>
        </w:tc>
        <w:tc>
          <w:tcPr>
            <w:tcW w:w="14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7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8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cantSplit/>
          <w:trHeight w:val="272"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项目编码</w:t>
            </w:r>
          </w:p>
        </w:tc>
        <w:tc>
          <w:tcPr>
            <w:tcW w:w="59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13028121PHA538YZB7ZH5</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项目名称</w:t>
            </w:r>
          </w:p>
        </w:tc>
        <w:tc>
          <w:tcPr>
            <w:tcW w:w="470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乡镇环境治理经费（平安城）</w:t>
            </w:r>
          </w:p>
        </w:tc>
      </w:tr>
      <w:tr>
        <w:tblPrEx>
          <w:tblCellMar>
            <w:top w:w="0" w:type="dxa"/>
            <w:left w:w="0" w:type="dxa"/>
            <w:bottom w:w="0" w:type="dxa"/>
            <w:right w:w="0" w:type="dxa"/>
          </w:tblCellMar>
        </w:tblPrEx>
        <w:trPr>
          <w:cantSplit/>
          <w:trHeight w:val="257"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734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项目绩效模板</w:t>
            </w:r>
          </w:p>
        </w:tc>
        <w:tc>
          <w:tcPr>
            <w:tcW w:w="6587"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cantSplit/>
          <w:trHeight w:val="594"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4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资金用途</w:t>
            </w:r>
          </w:p>
        </w:tc>
        <w:tc>
          <w:tcPr>
            <w:tcW w:w="12535"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预算数18万元。其中：财政资金18万，其他资金0万元。该项目规划全年镇。主要是城乡结合部集贸市场，辖区内公路河道，桥梁，铁路周边，公共厕所等死角，指导各村采用“户集，村收，镇运”和卫生填埋等形式建立日常保洁。</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资金支出计划</w:t>
            </w:r>
          </w:p>
        </w:tc>
        <w:tc>
          <w:tcPr>
            <w:tcW w:w="31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3月底</w:t>
            </w:r>
          </w:p>
        </w:tc>
        <w:tc>
          <w:tcPr>
            <w:tcW w:w="46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6月底</w:t>
            </w:r>
          </w:p>
        </w:tc>
        <w:tc>
          <w:tcPr>
            <w:tcW w:w="114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10月底</w:t>
            </w:r>
          </w:p>
        </w:tc>
        <w:tc>
          <w:tcPr>
            <w:tcW w:w="356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12月底</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31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46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114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w:t>
            </w:r>
          </w:p>
        </w:tc>
        <w:tc>
          <w:tcPr>
            <w:tcW w:w="356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绩效目标</w:t>
            </w: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目标1</w:t>
            </w:r>
          </w:p>
        </w:tc>
        <w:tc>
          <w:tcPr>
            <w:tcW w:w="11096"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使本镇辖区内环境卫生得到改善，人居环境有所提高</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目标2</w:t>
            </w:r>
          </w:p>
        </w:tc>
        <w:tc>
          <w:tcPr>
            <w:tcW w:w="11096"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保障我镇环保等各项检查达标</w:t>
            </w:r>
          </w:p>
        </w:tc>
      </w:tr>
      <w:tr>
        <w:tblPrEx>
          <w:tblCellMar>
            <w:top w:w="0" w:type="dxa"/>
            <w:left w:w="0" w:type="dxa"/>
            <w:bottom w:w="0" w:type="dxa"/>
            <w:right w:w="0" w:type="dxa"/>
          </w:tblCellMar>
        </w:tblPrEx>
        <w:trPr>
          <w:cantSplit/>
          <w:trHeight w:val="272"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1096"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3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二级指标</w:t>
            </w:r>
          </w:p>
        </w:tc>
        <w:tc>
          <w:tcPr>
            <w:tcW w:w="171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三级指标</w:t>
            </w:r>
          </w:p>
        </w:tc>
        <w:tc>
          <w:tcPr>
            <w:tcW w:w="279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绩效指标描述（指标内容）</w:t>
            </w:r>
          </w:p>
        </w:tc>
        <w:tc>
          <w:tcPr>
            <w:tcW w:w="1884"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评（扣）分标准</w:t>
            </w:r>
          </w:p>
        </w:tc>
        <w:tc>
          <w:tcPr>
            <w:tcW w:w="345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指标值</w:t>
            </w:r>
          </w:p>
        </w:tc>
        <w:tc>
          <w:tcPr>
            <w:tcW w:w="12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指标确定依据</w:t>
            </w:r>
          </w:p>
        </w:tc>
      </w:tr>
      <w:tr>
        <w:tblPrEx>
          <w:tblCellMar>
            <w:top w:w="0" w:type="dxa"/>
            <w:left w:w="0" w:type="dxa"/>
            <w:bottom w:w="0" w:type="dxa"/>
            <w:right w:w="0" w:type="dxa"/>
          </w:tblCellMar>
        </w:tblPrEx>
        <w:trPr>
          <w:cantSplit/>
          <w:trHeight w:val="287"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143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279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1884"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符号</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值</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单位（文字描述）</w:t>
            </w:r>
          </w:p>
        </w:tc>
        <w:tc>
          <w:tcPr>
            <w:tcW w:w="12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cantSplit/>
          <w:trHeight w:val="32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产出指标</w:t>
            </w: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村人居环境整治个数</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覆盖全镇39个村</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39.00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覆盖全镇39个村</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提高环境卫生状况</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人居环境卫生整体提升百分比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人居环境卫生整体提升</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设施正常使用率</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垃圾桶正常使用率百分比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垃圾桶正常使用率提高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项目实际成本百分比提高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效益指标</w:t>
            </w: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受益人口数</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全镇收益人口数</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56000.00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全镇收益人口数完成</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科技进步贡献率</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科技进步贡献百分比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科技进步贡献百分比提高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604"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生活垃圾无害化处理率</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生活垃圾无害化处理达到百分比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生活垃圾无害化处理达到百分比提高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95"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人居环境整体水平</w:t>
            </w: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为常住人口提供整体的人居环境百分比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90.00</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为常住人口提供整体的人居环境百分比提高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609"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满意度指标</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受益群众满意度</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受益人口满意度达到百分比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受益人口满意度达到百分比提高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40"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504" w:hRule="exact"/>
        </w:trPr>
        <w:tc>
          <w:tcPr>
            <w:tcW w:w="15000" w:type="dxa"/>
            <w:gridSpan w:val="19"/>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43"/>
                <w:szCs w:val="43"/>
              </w:rPr>
            </w:pPr>
            <w:r>
              <w:rPr>
                <w:rFonts w:hint="eastAsia" w:ascii="宋体" w:hAnsi="宋体" w:cs="宋体"/>
                <w:b/>
                <w:color w:val="000000"/>
                <w:kern w:val="0"/>
                <w:sz w:val="43"/>
                <w:szCs w:val="43"/>
                <w:lang w:bidi="ar"/>
              </w:rPr>
              <w:t>预算项目绩效表</w:t>
            </w:r>
          </w:p>
        </w:tc>
      </w:tr>
      <w:tr>
        <w:tblPrEx>
          <w:tblCellMar>
            <w:top w:w="0" w:type="dxa"/>
            <w:left w:w="0" w:type="dxa"/>
            <w:bottom w:w="0" w:type="dxa"/>
            <w:right w:w="0" w:type="dxa"/>
          </w:tblCellMar>
        </w:tblPrEx>
        <w:trPr>
          <w:trHeight w:val="300" w:hRule="exact"/>
        </w:trPr>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序号</w:t>
            </w:r>
          </w:p>
        </w:tc>
        <w:tc>
          <w:tcPr>
            <w:tcW w:w="8468"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项目编码及名称：[13028121WS6VQ7YOHGT5D]乡镇维稳经费（平安城镇）</w:t>
            </w:r>
          </w:p>
        </w:tc>
        <w:tc>
          <w:tcPr>
            <w:tcW w:w="12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预算年度：2021</w:t>
            </w:r>
          </w:p>
        </w:tc>
        <w:tc>
          <w:tcPr>
            <w:tcW w:w="442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金额单位：万元</w:t>
            </w:r>
          </w:p>
        </w:tc>
      </w:tr>
      <w:tr>
        <w:tblPrEx>
          <w:tblCellMar>
            <w:top w:w="0" w:type="dxa"/>
            <w:left w:w="0" w:type="dxa"/>
            <w:bottom w:w="0" w:type="dxa"/>
            <w:right w:w="0" w:type="dxa"/>
          </w:tblCellMar>
        </w:tblPrEx>
        <w:trPr>
          <w:trHeight w:val="272" w:hRule="exact"/>
        </w:trPr>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栏次</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8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7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272"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项目编码</w:t>
            </w:r>
          </w:p>
        </w:tc>
        <w:tc>
          <w:tcPr>
            <w:tcW w:w="631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13028121WS6VQ7YOHGT5D</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项目名称</w:t>
            </w:r>
          </w:p>
        </w:tc>
        <w:tc>
          <w:tcPr>
            <w:tcW w:w="5664"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乡镇维稳经费（平安城镇）</w:t>
            </w:r>
          </w:p>
        </w:tc>
      </w:tr>
      <w:tr>
        <w:tblPrEx>
          <w:tblCellMar>
            <w:top w:w="0" w:type="dxa"/>
            <w:left w:w="0" w:type="dxa"/>
            <w:bottom w:w="0" w:type="dxa"/>
            <w:right w:w="0" w:type="dxa"/>
          </w:tblCellMar>
        </w:tblPrEx>
        <w:trPr>
          <w:trHeight w:val="272"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750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项目绩效模板</w:t>
            </w:r>
          </w:p>
        </w:tc>
        <w:tc>
          <w:tcPr>
            <w:tcW w:w="663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380"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资金用途</w:t>
            </w:r>
          </w:p>
        </w:tc>
        <w:tc>
          <w:tcPr>
            <w:tcW w:w="12947"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预算数15万元。其中：财政资金15万元，其他资金0万元。用于我镇社会治安、综合治理、统一受理、调解、分流、处理各类矛盾纠纷和群众来信来访预算数。</w:t>
            </w:r>
          </w:p>
        </w:tc>
      </w:tr>
      <w:tr>
        <w:tblPrEx>
          <w:tblCellMar>
            <w:top w:w="0" w:type="dxa"/>
            <w:left w:w="0" w:type="dxa"/>
            <w:bottom w:w="0" w:type="dxa"/>
            <w:right w:w="0" w:type="dxa"/>
          </w:tblCellMar>
        </w:tblPrEx>
        <w:trPr>
          <w:trHeight w:val="282"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35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3月底</w:t>
            </w:r>
          </w:p>
        </w:tc>
        <w:tc>
          <w:tcPr>
            <w:tcW w:w="3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6月底</w:t>
            </w:r>
          </w:p>
        </w:tc>
        <w:tc>
          <w:tcPr>
            <w:tcW w:w="12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10月底</w:t>
            </w:r>
          </w:p>
        </w:tc>
        <w:tc>
          <w:tcPr>
            <w:tcW w:w="4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12月底</w:t>
            </w:r>
          </w:p>
        </w:tc>
      </w:tr>
      <w:tr>
        <w:tblPrEx>
          <w:tblCellMar>
            <w:top w:w="0" w:type="dxa"/>
            <w:left w:w="0" w:type="dxa"/>
            <w:bottom w:w="0" w:type="dxa"/>
            <w:right w:w="0" w:type="dxa"/>
          </w:tblCellMar>
        </w:tblPrEx>
        <w:trPr>
          <w:trHeight w:val="27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35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25</w:t>
            </w:r>
          </w:p>
        </w:tc>
        <w:tc>
          <w:tcPr>
            <w:tcW w:w="3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50</w:t>
            </w:r>
          </w:p>
        </w:tc>
        <w:tc>
          <w:tcPr>
            <w:tcW w:w="12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75</w:t>
            </w:r>
          </w:p>
        </w:tc>
        <w:tc>
          <w:tcPr>
            <w:tcW w:w="4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tblPrEx>
          <w:tblCellMar>
            <w:top w:w="0" w:type="dxa"/>
            <w:left w:w="0" w:type="dxa"/>
            <w:bottom w:w="0" w:type="dxa"/>
            <w:right w:w="0" w:type="dxa"/>
          </w:tblCellMar>
        </w:tblPrEx>
        <w:trPr>
          <w:trHeight w:val="28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绩效目标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目标1</w:t>
            </w:r>
          </w:p>
        </w:tc>
        <w:tc>
          <w:tcPr>
            <w:tcW w:w="11297"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减少我镇社会不安定因素和矛盾纠纷</w:t>
            </w:r>
          </w:p>
        </w:tc>
      </w:tr>
      <w:tr>
        <w:tblPrEx>
          <w:tblCellMar>
            <w:top w:w="0" w:type="dxa"/>
            <w:left w:w="0" w:type="dxa"/>
            <w:bottom w:w="0" w:type="dxa"/>
            <w:right w:w="0" w:type="dxa"/>
          </w:tblCellMar>
        </w:tblPrEx>
        <w:trPr>
          <w:trHeight w:val="300" w:hRule="atLeas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目标2</w:t>
            </w:r>
          </w:p>
        </w:tc>
        <w:tc>
          <w:tcPr>
            <w:tcW w:w="11297"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指导和督促有关部门，充分发挥人民调解、行政调解、司法调解、防范重大安全事故，保障社会和谐稳定</w:t>
            </w:r>
          </w:p>
        </w:tc>
      </w:tr>
      <w:tr>
        <w:tblPrEx>
          <w:tblCellMar>
            <w:top w:w="0" w:type="dxa"/>
            <w:left w:w="0" w:type="dxa"/>
            <w:bottom w:w="0" w:type="dxa"/>
            <w:right w:w="0" w:type="dxa"/>
          </w:tblCellMar>
        </w:tblPrEx>
        <w:trPr>
          <w:trHeight w:val="260" w:hRule="atLeas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一级指标</w:t>
            </w:r>
          </w:p>
        </w:tc>
        <w:tc>
          <w:tcPr>
            <w:tcW w:w="165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8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三级指标</w:t>
            </w:r>
          </w:p>
        </w:tc>
        <w:tc>
          <w:tcPr>
            <w:tcW w:w="2808"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绩效指标描述（指标内容）</w:t>
            </w:r>
          </w:p>
        </w:tc>
        <w:tc>
          <w:tcPr>
            <w:tcW w:w="9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评（扣）分标准</w:t>
            </w:r>
          </w:p>
        </w:tc>
        <w:tc>
          <w:tcPr>
            <w:tcW w:w="329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23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指标确定依据</w:t>
            </w:r>
          </w:p>
        </w:tc>
      </w:tr>
      <w:tr>
        <w:tblPrEx>
          <w:tblCellMar>
            <w:top w:w="0" w:type="dxa"/>
            <w:left w:w="0" w:type="dxa"/>
            <w:bottom w:w="0" w:type="dxa"/>
            <w:right w:w="0" w:type="dxa"/>
          </w:tblCellMar>
        </w:tblPrEx>
        <w:trPr>
          <w:trHeight w:val="26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8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2808"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9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符号</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值</w:t>
            </w:r>
          </w:p>
        </w:tc>
        <w:tc>
          <w:tcPr>
            <w:tcW w:w="20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单位（文字描述）</w:t>
            </w:r>
          </w:p>
        </w:tc>
        <w:tc>
          <w:tcPr>
            <w:tcW w:w="2371" w:type="dxa"/>
            <w:gridSpan w:val="2"/>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59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产出指标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数量指标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覆盖率</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全部39个村调解矛盾数量占排查纠纷数</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39.00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全部39个村调解矛盾数量占排查纠纷数</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58"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质量指标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优良率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减少上访总数的比率</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%,百分比,减少上访总数的比率</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遵政字[2017]16号《遵化市乡镇财政管理体制暂行办法》</w:t>
            </w:r>
          </w:p>
        </w:tc>
      </w:tr>
      <w:tr>
        <w:tblPrEx>
          <w:tblCellMar>
            <w:top w:w="0" w:type="dxa"/>
            <w:left w:w="0" w:type="dxa"/>
            <w:bottom w:w="0" w:type="dxa"/>
            <w:right w:w="0" w:type="dxa"/>
          </w:tblCellMar>
        </w:tblPrEx>
        <w:trPr>
          <w:trHeight w:val="55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时效指标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完成率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按上级要求时间解决上访问题</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%,百分比,完成率</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69"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成本指标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成本率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解决上访案件成本</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%,百分比人民调解案件数</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69"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18</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效益指标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可持续影响指标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生态效益影响力</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促进生态修复治理和保护</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%,百分比,促进生态修复治理和保护</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8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19</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社会影响力</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受援群众投诉率</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%,百分比,受援群众投诉率</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8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对经济发展带来的效果</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解决上访问题有利于经济发展</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%,百分比,解决上访问题</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9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生态效益指标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长期使用性</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上访案件合理解决对社会发展有促进作用</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%,百分比解决对社会发展作用</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6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满意度指标</w:t>
            </w:r>
          </w:p>
        </w:tc>
        <w:tc>
          <w:tcPr>
            <w:tcW w:w="1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接受调解人员满意度</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接受调解人员满意度</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bl>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r>
        <w:rPr>
          <w:rFonts w:hint="eastAsia" w:ascii="方正黑体简体" w:hAnsi="黑体" w:eastAsia="方正黑体简体" w:cs="黑体"/>
          <w:b/>
          <w:bCs/>
          <w:sz w:val="32"/>
          <w:szCs w:val="32"/>
        </w:rPr>
        <w:t>六、政府采购预算情况</w:t>
      </w:r>
    </w:p>
    <w:p>
      <w:pPr>
        <w:spacing w:line="560" w:lineRule="exact"/>
        <w:ind w:firstLine="899" w:firstLineChars="281"/>
        <w:rPr>
          <w:rFonts w:hint="eastAsia" w:ascii="方正仿宋简体" w:hAnsi="黑体" w:eastAsia="方正仿宋简体" w:cs="黑体"/>
          <w:sz w:val="32"/>
          <w:szCs w:val="32"/>
        </w:rPr>
      </w:pPr>
      <w:r>
        <w:rPr>
          <w:rFonts w:hint="eastAsia" w:ascii="方正仿宋简体" w:hAnsi="黑体" w:eastAsia="方正仿宋简体" w:cs="黑体"/>
          <w:sz w:val="32"/>
          <w:szCs w:val="32"/>
        </w:rPr>
        <w:t>政府采购无预算安排</w:t>
      </w: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r>
        <w:rPr>
          <w:rFonts w:hint="eastAsia" w:ascii="方正黑体简体" w:hAnsi="黑体" w:eastAsia="方正黑体简体" w:cs="黑体"/>
          <w:sz w:val="32"/>
          <w:szCs w:val="32"/>
        </w:rPr>
        <w:t>七、国有资产信息情况</w:t>
      </w:r>
      <w:r>
        <w:rPr>
          <w:rFonts w:hint="eastAsia" w:ascii="方正黑体简体" w:hAnsi="黑体" w:eastAsia="方正黑体简体" w:cs="黑体"/>
          <w:sz w:val="32"/>
          <w:szCs w:val="32"/>
        </w:rPr>
        <w:tab/>
      </w:r>
    </w:p>
    <w:p>
      <w:pPr>
        <w:spacing w:line="560" w:lineRule="exact"/>
        <w:ind w:firstLine="1078" w:firstLineChars="337"/>
        <w:rPr>
          <w:rFonts w:hint="eastAsia" w:ascii="方正仿宋简体" w:hAnsi="黑体" w:eastAsia="方正仿宋简体" w:cs="黑体"/>
          <w:sz w:val="32"/>
          <w:szCs w:val="32"/>
        </w:rPr>
      </w:pPr>
      <w:r>
        <w:rPr>
          <w:rFonts w:hint="eastAsia" w:ascii="方正仿宋简体" w:hAnsi="黑体" w:eastAsia="方正仿宋简体" w:cs="黑体"/>
          <w:sz w:val="32"/>
          <w:szCs w:val="32"/>
        </w:rPr>
        <w:t>我镇上年末固定资产金额为254.25万元（详见下表）。本年度无国有资产购置情况。</w:t>
      </w:r>
    </w:p>
    <w:p>
      <w:pPr>
        <w:ind w:firstLine="640"/>
        <w:rPr>
          <w:rFonts w:hint="eastAsia" w:ascii="黑体" w:hAnsi="黑体" w:eastAsia="黑体" w:cs="黑体"/>
          <w:sz w:val="28"/>
          <w:szCs w:val="28"/>
        </w:rPr>
      </w:pPr>
    </w:p>
    <w:tbl>
      <w:tblPr>
        <w:tblStyle w:val="2"/>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noWrap w:val="0"/>
            <w:vAlign w:val="center"/>
          </w:tcPr>
          <w:p>
            <w:pPr>
              <w:widowControl/>
              <w:ind w:left="218" w:leftChars="104" w:firstLine="4729" w:firstLineChars="1472"/>
              <w:rPr>
                <w:rFonts w:hint="eastAsia"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编制部门：遵化市平安城镇人民政府</w:t>
            </w:r>
          </w:p>
        </w:tc>
        <w:tc>
          <w:tcPr>
            <w:tcW w:w="5103" w:type="dxa"/>
            <w:tcBorders>
              <w:top w:val="nil"/>
              <w:left w:val="nil"/>
              <w:bottom w:val="nil"/>
              <w:right w:val="nil"/>
            </w:tcBorders>
            <w:noWrap w:val="0"/>
            <w:vAlign w:val="center"/>
          </w:tcPr>
          <w:p>
            <w:pPr>
              <w:widowControl/>
              <w:ind w:firstLine="840" w:firstLineChars="300"/>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截止时间：2020年12月31日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noWrap w:val="0"/>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258.05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3128</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129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1000</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129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4</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65.38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266　</w:t>
            </w:r>
          </w:p>
        </w:tc>
        <w:tc>
          <w:tcPr>
            <w:tcW w:w="5103" w:type="dxa"/>
            <w:tcBorders>
              <w:top w:val="nil"/>
              <w:left w:val="nil"/>
              <w:bottom w:val="single" w:color="auto" w:sz="4" w:space="0"/>
              <w:right w:val="single" w:color="auto" w:sz="4" w:space="0"/>
            </w:tcBorders>
            <w:noWrap w:val="0"/>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63.67</w:t>
            </w:r>
          </w:p>
        </w:tc>
      </w:tr>
    </w:tbl>
    <w:p>
      <w:pPr>
        <w:spacing w:line="560" w:lineRule="exact"/>
        <w:ind w:firstLine="790" w:firstLineChars="246"/>
        <w:rPr>
          <w:rFonts w:hint="eastAsia" w:ascii="方正黑体简体" w:hAnsi="黑体" w:eastAsia="方正黑体简体" w:cs="黑体"/>
          <w:b/>
          <w:sz w:val="32"/>
          <w:szCs w:val="32"/>
        </w:rPr>
      </w:pPr>
      <w:r>
        <w:rPr>
          <w:rFonts w:hint="eastAsia" w:ascii="方正黑体简体" w:hAnsi="黑体" w:eastAsia="方正黑体简体" w:cs="黑体"/>
          <w:b/>
          <w:sz w:val="32"/>
          <w:szCs w:val="32"/>
        </w:rPr>
        <w:t>八、专业名词解释</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hint="eastAsia" w:ascii="方正黑体简体" w:hAnsi="黑体" w:eastAsia="方正黑体简体" w:cs="黑体"/>
          <w:b/>
          <w:sz w:val="32"/>
          <w:szCs w:val="32"/>
        </w:rPr>
      </w:pPr>
      <w:r>
        <w:rPr>
          <w:rFonts w:hint="eastAsia" w:ascii="黑体" w:hAnsi="黑体" w:eastAsia="黑体" w:cs="黑体"/>
          <w:sz w:val="28"/>
          <w:szCs w:val="28"/>
        </w:rPr>
        <w:t xml:space="preserve">   </w:t>
      </w:r>
      <w:r>
        <w:rPr>
          <w:rFonts w:hint="eastAsia" w:ascii="方正黑体简体" w:hAnsi="黑体" w:eastAsia="方正黑体简体" w:cs="黑体"/>
          <w:sz w:val="32"/>
          <w:szCs w:val="32"/>
        </w:rPr>
        <w:t xml:space="preserve"> </w:t>
      </w:r>
      <w:r>
        <w:rPr>
          <w:rFonts w:hint="eastAsia" w:ascii="方正黑体简体" w:hAnsi="黑体" w:eastAsia="方正黑体简体" w:cs="黑体"/>
          <w:b/>
          <w:sz w:val="32"/>
          <w:szCs w:val="32"/>
        </w:rPr>
        <w:t xml:space="preserve"> 九、其他需要说明的事项</w:t>
      </w:r>
    </w:p>
    <w:p>
      <w:pPr>
        <w:adjustRightInd w:val="0"/>
        <w:snapToGrid w:val="0"/>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1、遵化市平安城镇政府2021年部门预算中未安排政府性基金预算，故政府性基金预算支出表为空。</w:t>
      </w:r>
    </w:p>
    <w:p>
      <w:pPr>
        <w:adjustRightInd w:val="0"/>
        <w:snapToGrid w:val="0"/>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2、遵化市平安城政府2021年部门预算中未安排国有资本经营预算，故国有资本经营预算支出表为空。</w:t>
      </w:r>
    </w:p>
    <w:p>
      <w:pPr>
        <w:rPr>
          <w:rFonts w:hint="eastAsia" w:ascii="黑体" w:hAnsi="黑体" w:eastAsia="黑体" w:cs="黑体"/>
          <w:kern w:val="0"/>
          <w:sz w:val="28"/>
          <w:szCs w:val="28"/>
        </w:rPr>
      </w:pPr>
    </w:p>
    <w:p>
      <w:bookmarkStart w:id="0" w:name="_GoBack"/>
      <w:bookmarkEnd w:id="0"/>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NTBjNzJhMmM5YjRjNTUyMjE2MjE0NWY3NmZhMjQifQ=="/>
  </w:docVars>
  <w:rsids>
    <w:rsidRoot w:val="00000000"/>
    <w:rsid w:val="391F3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2024-03-18T07:51:57Z</dcterms:created>
  <dc:creator>Administrator</dc:creator>
  <cp:lastModifiedBy>WPS_1543924322</cp:lastModifiedBy>
  <dcterms:modified xsi:type="dcterms:W3CDTF">2024-03-18T07:52:14Z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27378C118C9942049B0E9A909836B585_12</vt:lpwstr>
  </property>
</Properties>
</file>