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72"/>
        </w:rPr>
        <w:t>遵化市财政局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 w:hAnsi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eastAsia="方正楷体_GBK" w:cs="方正楷体_GBK" w:hAnsi="方正楷体_GBK"/>
          <w:b/>
          <w:color w:val="000000"/>
          <w:sz w:val="32"/>
        </w:rPr>
        <w:t>遵化市财政局编制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num="1" w:space="720"/>
          <w:titlePg/>
          <w:docGrid w:linePitch="326" w:charSpace="0"/>
        </w:sectPr>
      </w:pPr>
      <w:r>
        <w:rPr>
          <w:rFonts w:ascii="方正楷体_GBK" w:eastAsia="方正楷体_GBK" w:cs="方正楷体_GBK" w:hAnsi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1.财政综合业务管理经费绩效目标表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2.机关办公用房维修墙面粉刷及老旧线路改造经费绩效目标表</w:t>
        <w:tab/>
      </w:r>
      <w:r>
        <w:fldChar w:fldCharType="begin"/>
      </w:r>
      <w:r>
        <w:instrText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.全市会计培训执法检查及国资企业年终财务审计服务费绩效目标表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.全市预算单位一体化平台系统及金财工程升级、维护经费绩效目标表</w:t>
        <w:tab/>
      </w:r>
      <w:r>
        <w:fldChar w:fldCharType="begin"/>
      </w:r>
      <w:r>
        <w:instrText>PAGEREF _Toc_4_4_0000000008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.税源调查及两税专项核查购买服务经费绩效目标表</w:t>
        <w:tab/>
      </w:r>
      <w:r>
        <w:fldChar w:fldCharType="begin"/>
      </w:r>
      <w:r>
        <w:instrText>PAGEREF _Toc_4_4_0000000009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>.预决算管理会议及培训费绩效目标表</w:t>
        <w:tab/>
      </w:r>
      <w:r>
        <w:fldChar w:fldCharType="begin"/>
      </w:r>
      <w:r>
        <w:instrText>PAGEREF _Toc_4_4_0000000010 \h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  <w:rPr>
          <w:rFonts w:eastAsia="方正仿宋_GBK" w:hint="eastAsia"/>
          <w:lang w:val="en-US" w:eastAsia="zh-CN"/>
        </w:rPr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>.预算绩效评价管理培训经费绩效目标表</w:t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3</w:t>
      </w:r>
    </w:p>
    <w:p>
      <w:pPr>
        <w:pStyle w:val="17"/>
        <w:tabs>
          <w:tab w:val="right" w:leader="dot" w:pos="9282"/>
        </w:tabs>
        <w:rPr>
          <w:rFonts w:eastAsia="方正仿宋_GBK" w:hint="eastAsia"/>
          <w:lang w:val="en-US" w:eastAsia="zh-CN"/>
        </w:rPr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>.专项债券资金、PPP入库一案两书等评审专项经费绩效目标表</w:t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17"/>
        <w:tabs>
          <w:tab w:val="right" w:leader="dot" w:pos="9282"/>
        </w:tabs>
        <w:rPr>
          <w:rFonts w:eastAsia="方正仿宋_GBK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t>冀财农【2021】160号2022年省级农村财会人员培训一般转移支付资金绩效目标表</w:t>
        <w:tab/>
      </w:r>
      <w:r>
        <w:rPr>
          <w:rFonts w:hint="eastAsia"/>
          <w:lang w:val="en-US" w:eastAsia="zh-CN"/>
        </w:rPr>
        <w:t>29</w:t>
      </w: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cols w:num="1" w:space="720"/>
          <w:docGrid w:linePitch="326" w:charSpace="0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cs="方正黑体_GBK" w:hAnsi="方正黑体_GBK"/>
          <w:color w:val="000000"/>
          <w:sz w:val="28"/>
        </w:rPr>
        <w:t>一、总体绩效目标</w:t>
      </w:r>
      <w:bookmarkEnd w:id="0"/>
    </w:p>
    <w:p>
      <w:pPr>
        <w:pStyle w:val="20"/>
      </w:pPr>
      <w:r>
        <w:t>202</w:t>
      </w:r>
      <w:r>
        <w:rPr>
          <w:rFonts w:hint="eastAsia"/>
          <w:lang w:val="en-US" w:eastAsia="zh-CN"/>
        </w:rPr>
        <w:t>2</w:t>
      </w:r>
      <w:r>
        <w:t>年，在市委、市政府的正确领导下，</w:t>
      </w:r>
      <w:r>
        <w:rPr>
          <w:rFonts w:hint="eastAsia"/>
        </w:rPr>
        <w:t>我局始终学习习近平新时代中国特色社会主义思想</w:t>
      </w:r>
      <w:r>
        <w:t>，紧紧围绕推动京津冀协同发展，坚持新发展理念，贯彻落实积极财政政策，加快重点领域和关键环节改革，着力支持打好防范化解重大风险、精准脱贫、污染防治“三大攻坚战”，促进经济社会健康稳定发展，为建设经济强市、旅游城市作出新的贡献。</w:t>
      </w:r>
    </w:p>
    <w:p>
      <w:pPr>
        <w:pStyle w:val="20"/>
      </w:pPr>
      <w:r>
        <w:t>（一）进一步加强财源建设，促进经济高质量发展。一是认真贯彻落实积极财政政策，全面落实减税降费政策。支持优化营商环境，主动为企业特别是民营企业解难题、办实事，推动我市民营经济发展；二是加快产业调整，助力企业转型，发展一批投资小、耗能低、见效快的工业项目，做大工业税源；三是增强“招大引强”能力，提高招商质量。重点加大现代服务业中现代物流、电子商务、信息化产业招商力度，促进现代服务业加快发展。四是大力争取上级政策财源支持，研究吃透上级出台的精准扶贫、生态环保、乡村振兴等政策，不断提高掌握和运用政策的能力。</w:t>
      </w:r>
    </w:p>
    <w:p>
      <w:pPr>
        <w:pStyle w:val="20"/>
      </w:pPr>
      <w:r>
        <w:t>（二）进一步加强税费征管，努力增加财政收入。一是定期组织召开财政、税务等征收部门联席会议，集中解决征管中存在的困难和问题，有针对性制定征管措施，破解征收难点。二是充分发挥综合治税平台作用，协同共管，加大监控力度，确保税源不流失。三是采取多项措施挖潜增收，堵塞收入漏洞，做到依法征收、应收尽收，尽一切努力弥补减税降费缺口。</w:t>
      </w:r>
    </w:p>
    <w:p>
      <w:pPr>
        <w:pStyle w:val="20"/>
      </w:pPr>
      <w:r>
        <w:t>（三）进一步优化支出结构，力促财政平稳运行。全面提升财政保障水平，优化财政支出结构，压缩一般性支出，保障重点支出。一是按照“保工资、保运转、保民生”的原则，优化支出结构，合理安排支出。保障脱贫攻坚、大气污染防治、集中供热等重点支出资金需求，继续加大对“三农”、教育、卫生、扫黑除恶工作等投入力度，同时严控三公经费支出，努力压减行政运行成本，促进各项社会事业协调发展。二是强化预算单位支出预算执行主体责任，有效传导支出压力，形成群策群力、齐抓共管的支出管理合力，提高项目执行效率，充分发挥财政资金效益。三是加大存量资金统筹使用力度，缓解支出压力，确保年度预算平衡。</w:t>
      </w:r>
    </w:p>
    <w:p>
      <w:pPr>
        <w:pStyle w:val="20"/>
      </w:pPr>
      <w:r>
        <w:t xml:space="preserve">（四）进一步深化财政改革，提升财政管理水平。一是扎实推进绩效预算改革。将加快预算执行进度、提高财政资金使用效益和保障资金安全等有机结合起来，牢固树立依法理财意识，强化预算执行的严肃性。同时，进一步加大预决算公开力度，广泛接受社会监督。二是进一步加大对工程项目审核及招标采购的推进力度，坚持“应审尽审”“应采尽采”，最大限度地提高资金的使用效益。三是严格执行《政府债务偿还和风险化解规划》，多方筹措资金，将当年政府债券到期本息及隐性债务化解目标足额列入年度预算，确保按时还本付息，不发生政府债券违约事件,完成年度债务化解任务。四是进一步健全财务管理制度，牢固树立过“紧日子”思想，打好“铁算盘”，严控一般性支出，坚决制止铺张浪费，厉行节约，全面提高财政资金使用效益。继续加强行政事业单位资产管理，推进各项财政基础管理工作规范化、科学化。    </w:t>
      </w:r>
    </w:p>
    <w:p>
      <w:pPr>
        <w:pStyle w:val="20"/>
      </w:pPr>
      <w:r>
        <w:t>（五）加强教育培训，提升工作能力。深入学习贯彻坚持集中教育和经常性教育相结合，用党的创新理论武装党员干部头脑，指导财政改革发展实践。坚持和加强党对财政工作的领导，</w:t>
      </w:r>
      <w:bookmarkStart w:id="1" w:name="_GoBack"/>
      <w:bookmarkEnd w:id="1"/>
      <w:r>
        <w:t>不折不扣贯彻落实市委市政府各项决策部署。落实全面从严治党主体责任，坚定不移推进全面从严治党，严格执行中央八项规定，持之以恒反对“四风”，抓实廉政警示教育，引导党员干部知敬畏、存戒惧、守底线。加强财政干部能力建设，通过组织开展财政业务培训，打造“忠诚、干净、担当”的财政干部队伍，为财政改革发展提供坚强的组织保障和人才支撑。强化调查研究，加强机关效能建设，不断提高财政工作效率和服务质量。</w:t>
      </w:r>
    </w:p>
    <w:p>
      <w:pPr>
        <w:spacing w:before="10" w:after="10"/>
        <w:ind w:firstLine="560"/>
        <w:jc w:val="left"/>
        <w:outlineLvl w:val="1"/>
        <w:rPr>
          <w:rFonts w:ascii="方正黑体_GBK" w:eastAsia="方正黑体_GBK" w:cs="方正黑体_GBK" w:hAnsi="方正黑体_GBK"/>
          <w:color w:val="000000"/>
          <w:sz w:val="28"/>
        </w:rPr>
      </w:pPr>
      <w:bookmarkStart w:id="2" w:name="_Toc_2_2_0000000002"/>
    </w:p>
    <w:p>
      <w:pPr>
        <w:spacing w:before="10" w:after="10"/>
        <w:ind w:firstLine="560"/>
        <w:jc w:val="left"/>
        <w:outlineLvl w:val="1"/>
      </w:pPr>
      <w:r>
        <w:rPr>
          <w:rFonts w:ascii="方正黑体_GBK" w:eastAsia="方正黑体_GBK" w:cs="方正黑体_GBK" w:hAnsi="方正黑体_GBK"/>
          <w:color w:val="000000"/>
          <w:sz w:val="28"/>
        </w:rPr>
        <w:t>二、分项绩效目标</w:t>
      </w:r>
      <w:bookmarkEnd w:id="2"/>
    </w:p>
    <w:p>
      <w:pPr>
        <w:pStyle w:val="21"/>
      </w:pPr>
      <w:r>
        <w:t>一、税源调查及两税专项核查购买服务经费</w:t>
      </w:r>
    </w:p>
    <w:p>
      <w:pPr>
        <w:pStyle w:val="21"/>
      </w:pPr>
      <w:r>
        <w:t>绩效目标：落实增值税、消费税、资源税、个人所得税等税制改革任务，清理规范税收优惠政策，监控重点税源，保障税收政策落实到位，税收收入征收到位；进行税制改革的研究分析和效应评估，为市委、市政府科学决策提供依据</w:t>
      </w:r>
    </w:p>
    <w:p>
      <w:pPr>
        <w:pStyle w:val="21"/>
      </w:pPr>
      <w:r>
        <w:t>绩效指标：带动社会资金投资比增长7%，</w:t>
      </w:r>
    </w:p>
    <w:p>
      <w:pPr>
        <w:pStyle w:val="21"/>
      </w:pPr>
      <w:r>
        <w:t>（二）财政综合业务管理经费</w:t>
      </w:r>
    </w:p>
    <w:p>
      <w:pPr>
        <w:pStyle w:val="21"/>
      </w:pPr>
      <w:r>
        <w:t>绩效目标：严格执行国家财政、税收、财务、会计管理的各项法律法规；处理好涉及财政、税收、债务等方面的涉外事务。根据国民经济和社会发展规划，制定全县财政税收收入计划。</w:t>
      </w:r>
    </w:p>
    <w:p>
      <w:pPr>
        <w:pStyle w:val="21"/>
      </w:pPr>
      <w:r>
        <w:t>绩效指标：国民经济发展的贡献率增长7%</w:t>
      </w:r>
    </w:p>
    <w:p>
      <w:pPr>
        <w:pStyle w:val="21"/>
      </w:pPr>
      <w:r>
        <w:t>（三）全市会计培训及执法检查经费</w:t>
      </w:r>
    </w:p>
    <w:p>
      <w:pPr>
        <w:pStyle w:val="21"/>
      </w:pPr>
      <w:r>
        <w:t>绩效目标：完成会计培训的布置、调研与信息收集、执法办案等工作。</w:t>
      </w:r>
    </w:p>
    <w:p>
      <w:pPr>
        <w:pStyle w:val="21"/>
      </w:pPr>
      <w:r>
        <w:t>绩效指标：受训学员持证上岗率95%。学员满意度95%以上。</w:t>
      </w:r>
    </w:p>
    <w:p>
      <w:pPr>
        <w:pStyle w:val="21"/>
      </w:pPr>
      <w:r>
        <w:t>（四）机关办公用房燃气锅炉改造及老旧线路改造等经费。</w:t>
      </w:r>
    </w:p>
    <w:p>
      <w:pPr>
        <w:pStyle w:val="21"/>
      </w:pPr>
      <w:r>
        <w:t>绩效目标：对我局机关办公楼及附属房屋内外墙、楼梯、大厅、进行粉刷维修改造，对办公环境进行绿化、美化，对机关食堂设备维修改造。。</w:t>
      </w:r>
    </w:p>
    <w:p>
      <w:pPr>
        <w:pStyle w:val="21"/>
      </w:pPr>
      <w:r>
        <w:t>绩效指标：通过验收的工程量占建设、改造、修缮总量的比率85%。　</w:t>
      </w:r>
    </w:p>
    <w:p>
      <w:pPr>
        <w:pStyle w:val="21"/>
      </w:pPr>
      <w:r>
        <w:t>（五）预决算管理会议及培训费。</w:t>
      </w:r>
    </w:p>
    <w:p>
      <w:pPr>
        <w:pStyle w:val="21"/>
      </w:pPr>
      <w:r>
        <w:t>绩效目标：按时完成部门预算和政府功能预算草案的编制和向人大报告工作。推进权责发生制政府综合财务报告制度改革。编制市本级财政总决算；汇总编报全市财政总决算、社保基金决算、全市部门决算</w:t>
      </w:r>
    </w:p>
    <w:p>
      <w:pPr>
        <w:pStyle w:val="21"/>
      </w:pPr>
    </w:p>
    <w:p>
      <w:pPr>
        <w:pStyle w:val="21"/>
      </w:pPr>
      <w:r>
        <w:t>绩效指标：强化预算管理促进社会稳定</w:t>
      </w:r>
    </w:p>
    <w:p>
      <w:pPr>
        <w:pStyle w:val="21"/>
      </w:pPr>
      <w:r>
        <w:t>（六）全市预算管理一体化平台系统等软件升级维护资金。</w:t>
      </w:r>
    </w:p>
    <w:p>
      <w:pPr>
        <w:pStyle w:val="21"/>
      </w:pPr>
      <w:r>
        <w:t>绩效目标：及时科学处理综合事项，各项工作无差错。按时办理与上下级财政的工作联络事项，依法发布财政信息，按时完成领导交办的改革研究拟定工作</w:t>
      </w:r>
    </w:p>
    <w:p>
      <w:pPr>
        <w:pStyle w:val="21"/>
      </w:pPr>
      <w:r>
        <w:t>绩效指标：系统高峰时段平均响应时间与合理的响应时间的比率90%</w:t>
      </w:r>
    </w:p>
    <w:p>
      <w:pPr>
        <w:pStyle w:val="21"/>
      </w:pPr>
      <w:r>
        <w:t>（七）预算绩效评价管理培训经费</w:t>
      </w:r>
    </w:p>
    <w:p>
      <w:pPr>
        <w:pStyle w:val="21"/>
      </w:pPr>
      <w:r>
        <w:t>绩效目标：按时完成绩效目标审核，绩效自评及重点评价。</w:t>
      </w:r>
    </w:p>
    <w:p>
      <w:pPr>
        <w:pStyle w:val="21"/>
      </w:pPr>
      <w:r>
        <w:t>绩效指标：按照上级要求和完成绩效预算管理各项任务。</w:t>
      </w:r>
    </w:p>
    <w:p>
      <w:pPr>
        <w:pStyle w:val="21"/>
      </w:pPr>
      <w:r>
        <w:t>（八）专项债券资金、PPP入库“一案两书”等评审专项经费</w:t>
      </w:r>
    </w:p>
    <w:p>
      <w:pPr>
        <w:pStyle w:val="21"/>
      </w:pPr>
      <w:r>
        <w:t>绩效目标：及时科学处理综合事项，各项工作无差错。按时办理与上下级财政的工作联络事项，依法发布财政信息，按时完成领导交办的改革研究拟定工作</w:t>
      </w:r>
    </w:p>
    <w:p>
      <w:pPr>
        <w:pStyle w:val="21"/>
      </w:pPr>
      <w:r>
        <w:t>绩效指标：通过ppp模式落实地方重大项目促进经济增长，保障民生领域财力供给</w:t>
      </w:r>
    </w:p>
    <w:p>
      <w:pPr>
        <w:spacing w:before="10" w:after="10"/>
        <w:ind w:firstLine="560"/>
        <w:jc w:val="left"/>
        <w:outlineLvl w:val="1"/>
      </w:pPr>
      <w:bookmarkStart w:id="3" w:name="_Toc_2_2_0000000003"/>
      <w:r>
        <w:rPr>
          <w:rFonts w:ascii="方正黑体_GBK" w:eastAsia="方正黑体_GBK" w:cs="方正黑体_GBK" w:hAnsi="方正黑体_GBK"/>
          <w:color w:val="000000"/>
          <w:sz w:val="28"/>
        </w:rPr>
        <w:t>三、工作保障措施</w:t>
      </w:r>
      <w:bookmarkEnd w:id="3"/>
    </w:p>
    <w:p>
      <w:pPr>
        <w:pStyle w:val="22"/>
      </w:pPr>
      <w:r>
        <w:t>一、在培育持续财源上下功夫，夯实收入基础。以京津冀协同发展为契机，搞好项目对接，加快产业调整，引进一批产业链条长、技术含量高、社会效益佳、发展前景好的项目，发展一批投资小、耗能低、见效快的项目；大力发展旅游业，带动第三产业快速发展。同时，大力推广PPP合作模式、股权投资等多种形式，解决发展中的资金瓶颈问题。</w:t>
      </w:r>
    </w:p>
    <w:p>
      <w:pPr>
        <w:pStyle w:val="22"/>
      </w:pPr>
      <w:r>
        <w:t>二、在加强税费征管上见真章，增加财政收入。一是完善综合治税管理机制，继续加大协税护税力度，实现资源共享，做到挖潜、堵漏、增收。二是加强征收管理，努力增加非税收入。三是加强土地出让管理，压减土地收储成本，提高政府收益。同时继续做好土地整理及耕地占补平衡指标转让工作，最大限度增加财政收入。</w:t>
      </w:r>
    </w:p>
    <w:p>
      <w:pPr>
        <w:pStyle w:val="22"/>
      </w:pPr>
      <w:r>
        <w:t>三、在优化支出结构上重民生，提高资金效益。以供给侧结构性改革为主线，落实好各项财政政策。一是按照“保工资、保运转、保民生”的原则，优化支出结构，合理安排支出。加大“三农”、教育、卫生等投入力度，促进各项社会事业协调发展。同时为易地扶贫搬迁、化解产能、美丽乡村建设等重点项目提供资金支持。二是整合部门涉农资金，向贫困村和重大扶贫产业项目集中投放，打好精准脱贫攻坚战。三是加快专款支出进度，确保项目尽快实施，提高资金使用效益。</w:t>
      </w:r>
    </w:p>
    <w:p>
      <w:pPr>
        <w:pStyle w:val="22"/>
      </w:pPr>
      <w:r>
        <w:t>四、在财政资金监管上抓规范，推进财政改革。一是进一步深化绩效预算改革，不断提高预算管理水平。二是进一步加强地方政府债务管理，严控各类超预算工程建设，建立科学完善的风险控制体系，切实防范财政风险。三是进一步加大对工程项目审核及招标采购的推进力度，坚持“应审尽审”“应采尽采”，最大限度地提高资金的使用效益。按照方式灵活、程序简便、竞争有效、结果评价的原则，积极探索推进政府购买服务工作。四是进一步健全财务管理制度，严肃财经纪律，规范理财行为，强化财政监督检查，及时处理违规违纪问题。坚持厉行节约，严控“三公”经费等一般性支出，确保财政资金安全、规范运行。</w:t>
      </w:r>
    </w:p>
    <w:p>
      <w:pPr>
        <w:pStyle w:val="22"/>
      </w:pPr>
      <w:r>
        <w:t>完善制度建设。制定完善预算绩效管理制度、资金管理办法、工作保障制度等，为全年预算绩效目标的实现奠定制度基础。</w:t>
      </w:r>
    </w:p>
    <w:p>
      <w:pPr>
        <w:pStyle w:val="22"/>
      </w:pPr>
      <w:r>
        <w:t>加强支出管理。采取优化支出结构、编细编实预算、加快履行政府采购手续、尽快启动项目、及时支付资金、6月底前细化代编预算、按规定及时下达资金等多种措施，确保支出进度达标。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22"/>
      </w:pPr>
      <w:r>
        <w:t>加强绩效运行监控。按要求开展绩效运行监控，发现问题及时采取措施，确保绩效目标如期保质实现。</w:t>
      </w:r>
    </w:p>
    <w:p>
      <w:pPr>
        <w:pStyle w:val="22"/>
      </w:pPr>
      <w:r>
        <w:t>做好绩效自评。按要求开展上年度部门预算绩效自评和重点评价工作，对评价中发现的问题及时整改，调整优化支出结构，提高财政资金使用效益。</w:t>
      </w:r>
    </w:p>
    <w:p>
      <w:pPr>
        <w:pStyle w:val="22"/>
      </w:pPr>
      <w:r>
        <w:t>规范财务资产管理。完善财务管理制度，严格审批程序，加强固定资产登记、使用和报废处置管理，做到支出合理，物尽其用。</w:t>
      </w:r>
    </w:p>
    <w:p>
      <w:pPr>
        <w:pStyle w:val="22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22"/>
      </w:pPr>
      <w:r>
        <w:t>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22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num="1" w:space="720"/>
          <w:docGrid w:linePitch="326" w:charSpace="0"/>
        </w:sectPr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 w:hAnsi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4"/>
      <w:r>
        <w:rPr>
          <w:rFonts w:ascii="方正仿宋_GBK" w:eastAsia="方正仿宋_GBK" w:cs="方正仿宋_GBK" w:hAnsi="方正仿宋_GBK"/>
          <w:color w:val="000000"/>
          <w:sz w:val="28"/>
        </w:rPr>
        <w:t>1.财政综合业务管理经费绩效目标表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13028122P00LU3910002U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财政综合业务管理经费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90.00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90.00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财政综合业务管理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1.严格执行国家财政、税收、财务、会计管理的各项法律法规；处理好涉及财政、税收、债务等方面的涉外事务。根据国民经济和社会发展规划，制定全县财政税收收入计划。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综合业务工作完成率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综合业务工作完成率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综合业务管理工作完成率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综合业务管理工作完成率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综合业务工作任务及时性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综合业务工作任务及时性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预算资金执行率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预算资金执行率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项目工程完成情况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项目工程完成情况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对经济发展的促进作用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对经济发展的促进作用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加强节约集约利用，促进生态文明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加强节约集约利用，促进生态文明建设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可持续性服务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可持续性服务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办理单位满意度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办理单位满意度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关于印发《遵化市财政局职能配置、内设机构和人员编制规定》的通知遵办字〔2019〕45号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5"/>
      <w:r>
        <w:rPr>
          <w:rFonts w:ascii="方正仿宋_GBK" w:eastAsia="方正仿宋_GBK" w:cs="方正仿宋_GBK" w:hAnsi="方正仿宋_GBK"/>
          <w:color w:val="000000"/>
          <w:sz w:val="28"/>
        </w:rPr>
        <w:t>2.机关办公用房维修墙面粉刷及老旧线路改造经费绩效目标表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13028122P00268210001K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机关办公用房维修墙面粉刷及老旧线路改造经费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105.00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105.00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机关办公用房维修墙面粉刷及老旧线路改造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1.机关办公用房维修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2654"/>
        <w:gridCol w:w="1327"/>
        <w:gridCol w:w="1327"/>
      </w:tblGrid>
      <w:tr>
        <w:trPr>
          <w:trHeight w:val="397"/>
          <w:tblHeader/>
        </w:trPr>
        <w:tc>
          <w:tcPr>
            <w:tcW w:w="1327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327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房屋维修维护面积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房屋维修维护面积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≥1500平米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维修改造办公设施合格率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维修改造办公设施合格率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设备维修及时率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设备维修及时率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维修预算节支率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维修预算节支率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≥10%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提高效率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提高效率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项目符合设计标准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项目符合设计标准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环保节能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环保节能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可持续性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可持续性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  <w:tr>
        <w:trPr>
          <w:trHeight w:val="369"/>
        </w:trPr>
        <w:tc>
          <w:tcPr>
            <w:tcW w:w="1327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人员满意度</w:t>
            </w:r>
          </w:p>
        </w:tc>
        <w:tc>
          <w:tcPr>
            <w:tcW w:w="265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人员满意度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机关办公用房维修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Chars="200" w:firstLine="560"/>
        <w:jc w:val="both"/>
        <w:outlineLvl w:val="9"/>
      </w:pPr>
      <w:bookmarkStart w:id="6" w:name="_Toc_4_4_0000000007"/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3</w:t>
      </w:r>
      <w:r>
        <w:rPr>
          <w:rFonts w:ascii="方正仿宋_GBK" w:eastAsia="方正仿宋_GBK" w:cs="方正仿宋_GBK" w:hAnsi="方正仿宋_GBK"/>
          <w:color w:val="000000"/>
          <w:sz w:val="28"/>
        </w:rPr>
        <w:t>.全市会计培训执法检查及国资企业年终财务审计服务费绩效目标表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13028122P00253910001F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全市会计培训执法检查及国资企业年终财务审计服务费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105.00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105.00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全市会计培训执法检查及国资企业年终审计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1.完成会计培训的布置、调研与信息收集、执法办案等工作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培训人员人次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培训人员人次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≥1000%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培训合格率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培训合格率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每人每天培训费标准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每人每天培训费标准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≤30%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培训效果影响程度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培训效果影响程度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普及农业科技和政策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普及农业科技和政策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举办《河北财政》培训班，提升基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举办《河北财政》培训班，提升基层财政人员新闻写作水平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≥85%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培训效果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培训效果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按照辖区内会计人员数量和执法人员总量进行计算遵化市财政局【2017】2号文件　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4</w:t>
      </w:r>
      <w:r>
        <w:rPr>
          <w:rFonts w:ascii="方正仿宋_GBK" w:eastAsia="方正仿宋_GBK" w:cs="方正仿宋_GBK" w:hAnsi="方正仿宋_GBK"/>
          <w:color w:val="000000"/>
          <w:sz w:val="28"/>
        </w:rPr>
        <w:t>.全市预算单位一体化平台系统及金财工程升级、维护经费绩效目标表</w:t>
      </w:r>
      <w:bookmarkEnd w:id="7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13028122P00253610001E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120.00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120.00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全市一体化平台系统及金财工程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1.全市一体化平台系统及金财工程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采集信息准确率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采集信息准确率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信息系统建设维护工作完成率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信息系统建设维护工作完成率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政务信息业务培训完成时间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政务信息业务培训完成时间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预算执行率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预算执行率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系统录取信息准确率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系统录取信息准确率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信息网络系统安全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信息网络系统安全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结果准确性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结果准确性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监测、评价完成率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监测、评价完成率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社会公众满意度（%）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社会公众满意度（%）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全市预算单位一体化平台系统及金财工程升级、维护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5</w:t>
      </w:r>
      <w:r>
        <w:rPr>
          <w:rFonts w:ascii="方正仿宋_GBK" w:eastAsia="方正仿宋_GBK" w:cs="方正仿宋_GBK" w:hAnsi="方正仿宋_GBK"/>
          <w:color w:val="000000"/>
          <w:sz w:val="28"/>
        </w:rPr>
        <w:t>.税源调查及两税专项核查购买服务经费绩效目标表</w:t>
      </w:r>
      <w:bookmarkEnd w:id="8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13028122P002531100012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税源调查及两税专项核查购买服务经费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350.00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350.00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税源调查及两税专项核查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落实增值税、消费税、资源税、个人所得税等税制改革任务，清理规范税收优惠政策，监控重点税源，保障税收政策落实到位，税收收入征收到位；进行税制改革的研究分析和效应评估，为市委、市政府科学决策提供依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调查企业户数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调查企业户数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≥200个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已达标企业确认率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已达标企业确认率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各项任务完成及时率（%）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各项任务完成及时率（%）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预算执行率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预算执行率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税收增长率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税收增长率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解决企业诉求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解决企业诉求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结果准确性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结果准确性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增强影响力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增强影响力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企业满意度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企业满意度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市委、市政府关于提高税收收入的相关文件及会议纪要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6</w:t>
      </w:r>
      <w:r>
        <w:rPr>
          <w:rFonts w:ascii="方正仿宋_GBK" w:eastAsia="方正仿宋_GBK" w:cs="方正仿宋_GBK" w:hAnsi="方正仿宋_GBK"/>
          <w:color w:val="000000"/>
          <w:sz w:val="28"/>
        </w:rPr>
        <w:t>.预决算管理会议及培训费绩效目标表</w:t>
      </w:r>
      <w:bookmarkEnd w:id="9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13028122P006M9610002K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预决算管理会议及培训费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50.00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50.00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预决算管理会议和培训费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1.严格执行国家财政、税收、财务、会计管理的各项法律法规；处理好涉及财政、税收、债务等方面的涉外事务。根据国民经济和社会发展规划，制定全县财政税收收入计划。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培训计划按期完成率（%）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培训计划按期完成率（%）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会计人员业务培训合格率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会计人员业务培训合格率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项目资金支付率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项目资金支付率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  <w:p>
            <w:pPr>
              <w:pStyle w:val="25"/>
            </w:pP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提高财务培训水平，提高服务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提高财务培训水平，提高服务工作能力。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推动基础软件生态培育工作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推动基础软件生态培育工作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  <w:p>
            <w:pPr>
              <w:pStyle w:val="25"/>
            </w:pP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根据上级财政部门的工作要求和关于印发《遵化市财政局职能配置、内设机构和人员编制规定》的通知遵办字〔2019〕52号</w:t>
            </w:r>
          </w:p>
          <w:p>
            <w:pPr>
              <w:pStyle w:val="25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7</w:t>
      </w:r>
      <w:r>
        <w:rPr>
          <w:rFonts w:ascii="方正仿宋_GBK" w:eastAsia="方正仿宋_GBK" w:cs="方正仿宋_GBK" w:hAnsi="方正仿宋_GBK"/>
          <w:color w:val="000000"/>
          <w:sz w:val="28"/>
        </w:rPr>
        <w:t>.预算绩效评价管理培训经费绩效目标表</w:t>
      </w:r>
      <w:bookmarkEnd w:id="10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13028122P002545100010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预算绩效评价管理培训经费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60.00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60.00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预算绩效评价培训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1.按时完成部门预算和政府功能预算草案的编制和向人大报告工作。推进权责发生制政府综合财务报告制度改革。编制市本级财政总决算；汇总编报全市财政总决算、社保基金决算、全市部门决算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培训计划按期完成率（%）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培训计划按期完成率（%）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培训合格率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培训合格率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项目资金支付率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项目资金支付率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培训合规率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培训合规率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环保节能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环保节能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推动基础软件生态培育工作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推动基础软件生态培育工作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关于印发《遵化市财政局职能配置、内设机构和人员编制规定》的通知遵办字〔2019〕49号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 w:hAnsi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8</w:t>
      </w:r>
      <w:r>
        <w:rPr>
          <w:rFonts w:ascii="方正仿宋_GBK" w:eastAsia="方正仿宋_GBK" w:cs="方正仿宋_GBK" w:hAnsi="方正仿宋_GBK"/>
          <w:color w:val="000000"/>
          <w:sz w:val="28"/>
        </w:rPr>
        <w:t>.专项债券资金、PPP入库一案两书等评审专项经费绩效目标表</w:t>
      </w:r>
      <w:bookmarkEnd w:id="11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13028122P00254310001L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专项债券资金、PPP入库一案两书等评审专项经费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100.00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100.00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专项债券资金、PPP入库一案两书评审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1.按时办理与上下级财政的工作联络事项，依法发布财政信息，按时完成领导交办的改革研究拟定工作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 w:hAnsi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完成经济分析报告数量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完成经济分析报告数量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综合业务管理工作完成率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综合业务管理工作完成率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服务的完成度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服务的完成度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预算执行率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预算执行率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提高效率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提高效率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项目实现功能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项目实现功能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建设项目环评执行率（%）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建设项目环评执行率（%）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项目规划准确率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项目规划准确率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企业满意度</w:t>
            </w:r>
          </w:p>
        </w:tc>
        <w:tc>
          <w:tcPr>
            <w:tcW w:w="2891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企业满意度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遵化市推广政府与社会资本合作模式领导小组《关于推广政府与社会资本合作模式有关问题的通知》【2017}1号</w:t>
            </w:r>
          </w:p>
        </w:tc>
      </w:tr>
    </w:tbl>
    <w:p/>
    <w:p/>
    <w:p/>
    <w:p/>
    <w:p/>
    <w:p/>
    <w:p/>
    <w:p/>
    <w:p/>
    <w:p/>
    <w:p>
      <w:pPr>
        <w:spacing w:before="0" w:after="0"/>
        <w:ind w:firstLine="560"/>
        <w:jc w:val="left"/>
        <w:outlineLvl w:val="3"/>
      </w:pPr>
      <w:r>
        <w:rPr>
          <w:rFonts w:ascii="方正仿宋_GBK" w:eastAsia="方正仿宋_GBK" w:cs="方正仿宋_GBK" w:hAnsi="方正仿宋_GBK" w:hint="eastAsia"/>
          <w:color w:val="000000"/>
          <w:sz w:val="28"/>
          <w:lang w:val="en-US" w:eastAsia="zh-CN"/>
        </w:rPr>
        <w:t>9、</w:t>
      </w:r>
      <w:r>
        <w:rPr>
          <w:rFonts w:ascii="方正仿宋_GBK" w:eastAsia="方正仿宋_GBK" w:cs="方正仿宋_GBK" w:hAnsi="方正仿宋_GBK"/>
          <w:color w:val="000000"/>
          <w:sz w:val="28"/>
        </w:rPr>
        <w:t>冀财农【2021】160号2022年省级农村财会人员培训一般转移支付资金绩效目标表</w:t>
      </w:r>
    </w:p>
    <w:p/>
    <w:p/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4"/>
            </w:pPr>
            <w:r>
              <w:t>318001遵化市财政局本级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327" w:type="dxa"/>
            <w:vAlign w:val="center"/>
          </w:tcPr>
          <w:p>
            <w:pPr>
              <w:pStyle w:val="26"/>
            </w:pPr>
            <w:r>
              <w:t>项目编码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13028122P00342510001C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3981" w:type="dxa"/>
            <w:gridSpan w:val="3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冀财农【2021】160号2022年省级农村财会人员培训一般转移支付资金</w:t>
            </w:r>
          </w:p>
        </w:tc>
      </w:tr>
      <w:tr>
        <w:trPr>
          <w:trHeight w:val="369"/>
        </w:trPr>
        <w:tc>
          <w:tcPr>
            <w:tcW w:w="1327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24.00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24.00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327" w:type="dxa"/>
            <w:vMerge/>
          </w:tcPr>
          <w:p/>
        </w:tc>
        <w:tc>
          <w:tcPr>
            <w:tcW w:w="7962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全市农村财会人员培训</w:t>
            </w:r>
          </w:p>
        </w:tc>
      </w:tr>
      <w:tr>
        <w:trPr>
          <w:trHeight w:val="369"/>
        </w:trPr>
        <w:tc>
          <w:tcPr>
            <w:tcW w:w="1327" w:type="dxa"/>
            <w:vMerge w:val="restart"/>
            <w:vAlign w:val="center"/>
          </w:tcPr>
          <w:p>
            <w:pPr>
              <w:pStyle w:val="26"/>
            </w:pPr>
            <w:r>
              <w:t>资金支出计划（%）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3月底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6月底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10月底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327" w:type="dxa"/>
            <w:vMerge/>
          </w:tcPr>
          <w:p/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7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327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7962" w:type="dxa"/>
            <w:gridSpan w:val="6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1.全市农村财会人员培训</w:t>
            </w:r>
          </w:p>
        </w:tc>
      </w:tr>
      <w:tr>
        <w:trPr>
          <w:trHeight w:val="397"/>
          <w:tblHeader/>
        </w:trPr>
        <w:tc>
          <w:tcPr>
            <w:tcW w:w="1327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指标值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6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327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数量指标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培训期数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培训期数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≥1次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质量指标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培训合格率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培训合格率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时效指标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培训按期完成率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成本指标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按总成本控制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按总成本控制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≤95%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 w:val="restart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经济效益指标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培训工作经济效益提升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社会效益指标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培训合规率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培训合规率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生态效益指标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环保节能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环保节能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可持续影响指标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各项工作任务按时完成率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各项工作任务按时完成率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  <w:tr>
        <w:trPr>
          <w:trHeight w:val="369"/>
        </w:trPr>
        <w:tc>
          <w:tcPr>
            <w:tcW w:w="1327" w:type="dxa"/>
            <w:vAlign w:val="center"/>
          </w:tcPr>
          <w:p>
            <w:pPr>
              <w:pStyle w:val="27"/>
            </w:pPr>
            <w:r>
              <w:t>满意度指标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服务对象满意度指标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满意率</w:t>
            </w:r>
          </w:p>
        </w:tc>
        <w:tc>
          <w:tcPr>
            <w:tcW w:w="2654" w:type="dxa"/>
            <w:gridSpan w:val="2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满意率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≥95%</w:t>
            </w:r>
          </w:p>
        </w:tc>
        <w:tc>
          <w:tcPr>
            <w:tcW w:w="1327" w:type="dxa"/>
            <w:tcBorders>
              <w:left w:val="single" w:sz="6" w:space="0" w:color="000000"/>
            </w:tcBorders>
            <w:vAlign w:val="center"/>
          </w:tcPr>
          <w:p>
            <w:pPr>
              <w:pStyle w:val="25"/>
            </w:pPr>
            <w:r>
              <w:t>冀财农【2021】160号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>
      <w:pPr>
        <w:spacing w:before="0" w:after="0" w:line="2" w:lineRule="exact"/>
        <w:ind w:firstLine="0"/>
        <w:jc w:val="center"/>
        <w:outlineLvl w:val="9"/>
      </w:pPr>
    </w:p>
    <w:p>
      <w:pPr>
        <w:sectPr>
          <w:pgSz w:w="11900" w:h="16840"/>
          <w:pgMar w:top="1984" w:right="1304" w:bottom="1134" w:left="1304" w:header="720" w:footer="720" w:gutter="0"/>
          <w:cols w:num="1" w:space="720"/>
          <w:docGrid w:linePitch="326" w:charSpace="0"/>
        </w:sectPr>
      </w:pPr>
    </w:p>
    <w:p/>
    <w:sectPr>
      <w:pgSz w:w="11900" w:h="16840"/>
      <w:pgMar w:top="1984" w:right="1304" w:bottom="1134" w:left="1304" w:header="720" w:footer="720" w:gutter="0"/>
      <w:cols w:num="1" w:space="72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楷体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lef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720"/>
  <w:evenAndOddHeaders/>
  <w:drawingGridHorizontalSpacing w:val="120"/>
  <w:drawingGridVerticalSpacing w:val="163"/>
  <w:displayHorizontalDrawingGridEvery w:val="0"/>
  <w:displayVerticalDrawingGridEvery w:val="1"/>
  <w:compat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Times New Roman" w:eastAsia="Times New Roman" w:cs="Arial" w:hAnsi="Times New Roman"/>
      <w:sz w:val="24"/>
      <w:szCs w:val="24"/>
      <w:lang w:val="en-US" w:eastAsia="uk-UA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Times New Roman" w:cs="Arial" w:hAnsi="Times New Roman"/>
      <w:b/>
      <w:bCs/>
      <w:kern w:val="44"/>
      <w:sz w:val="44"/>
      <w:szCs w:val="44"/>
      <w:lang w:val="en-US" w:eastAsia="uk-UA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z w:val="32"/>
      <w:szCs w:val="32"/>
      <w:lang w:val="en-US" w:eastAsia="uk-UA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Times New Roman" w:cs="Arial" w:hAnsi="Times New Roman"/>
      <w:b/>
      <w:bCs/>
      <w:sz w:val="32"/>
      <w:szCs w:val="32"/>
      <w:lang w:val="en-US" w:eastAsia="uk-UA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qFormat/>
    <w:basedOn w:val="0"/>
    <w:next w:val="0"/>
    <w:pPr>
      <w:spacing w:before="120" w:line="240" w:lineRule="auto"/>
      <w:ind w:firstLine="0"/>
    </w:pPr>
    <w:rPr>
      <w:rFonts w:ascii="Times New Roman" w:eastAsia="方正仿宋_GBK" w:cs="Times New Roman" w:hAnsi="Times New Roman"/>
      <w:color w:val="000000"/>
      <w:sz w:val="28"/>
      <w:lang w:val="en-US"/>
    </w:rPr>
  </w:style>
  <w:style w:type="paragraph" w:styleId="18">
    <w:name w:val="toc 4"/>
    <w:qFormat/>
    <w:basedOn w:val="0"/>
    <w:next w:val="0"/>
    <w:pPr>
      <w:ind w:left="720"/>
    </w:pPr>
  </w:style>
  <w:style w:type="paragraph" w:styleId="19">
    <w:name w:val="toc 2"/>
    <w:qFormat/>
    <w:basedOn w:val="0"/>
    <w:next w:val="0"/>
    <w:pPr>
      <w:ind w:left="240"/>
    </w:pPr>
  </w:style>
  <w:style w:type="paragraph" w:customStyle="1" w:styleId="20">
    <w:name w:val="插入文本样式-插入总体目标文件"/>
    <w:qFormat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1">
    <w:name w:val="插入文本样式-插入职责分类绩效目标文件"/>
    <w:qFormat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2">
    <w:name w:val="插入文本样式-插入实现年度发展规划目标的保障措施文件"/>
    <w:qFormat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3">
    <w:name w:val="单元格样式4"/>
    <w:qFormat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 w:hAnsi="方正书宋_GBK"/>
      <w:sz w:val="21"/>
    </w:rPr>
  </w:style>
  <w:style w:type="paragraph" w:customStyle="1" w:styleId="24">
    <w:name w:val="单元格样式5"/>
    <w:qFormat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 w:hAnsi="方正书宋_GBK"/>
      <w:b/>
      <w:sz w:val="21"/>
    </w:rPr>
  </w:style>
  <w:style w:type="paragraph" w:customStyle="1" w:styleId="25">
    <w:name w:val="单元格样式2"/>
    <w:qFormat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 w:hAnsi="方正书宋_GBK"/>
      <w:sz w:val="21"/>
    </w:rPr>
  </w:style>
  <w:style w:type="paragraph" w:customStyle="1" w:styleId="26">
    <w:name w:val="单元格样式1"/>
    <w:qFormat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 w:hAnsi="方正书宋_GBK"/>
      <w:b/>
      <w:sz w:val="21"/>
    </w:rPr>
  </w:style>
  <w:style w:type="paragraph" w:customStyle="1" w:styleId="27">
    <w:name w:val="单元格样式3"/>
    <w:qFormat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 w:hAnsi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086AA01D-E3E1-46A1-BDBE-89E6BA936EE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33</TotalTime>
  <Application>Yozo_Office27021597764231189</Application>
  <Pages>30</Pages>
  <Words>0</Words>
  <Characters>9841</Characters>
  <Lines>0</Lines>
  <Paragraphs>176</Paragraphs>
  <CharactersWithSpaces>13122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DELL</cp:lastModifiedBy>
  <cp:revision>1</cp:revision>
  <dcterms:created xsi:type="dcterms:W3CDTF">2022-02-24T08:55:00Z</dcterms:created>
  <dcterms:modified xsi:type="dcterms:W3CDTF">2024-03-18T06:32:51Z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</Properties>
</file>