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60" w:line="480" w:lineRule="auto"/>
        <w:jc w:val="center"/>
        <w:rPr>
          <w:rFonts w:ascii="黑体" w:hAnsi="黑体" w:eastAsia="黑体" w:cs="黑体"/>
          <w:b/>
          <w:sz w:val="72"/>
        </w:rPr>
      </w:pPr>
      <w:r>
        <w:pict>
          <v:shape id="_x0000_s1026" o:spid="_x0000_s1026" o:spt="75" type="#_x0000_t75" style="position:absolute;left:0pt;margin-left:-93.15pt;margin-top:-68.25pt;height:1088.5pt;width:598.8pt;z-index:-251657216;mso-width-relative:page;mso-height-relative:page;" o:ole="t" filled="f" o:preferrelative="t" stroked="f" coordsize="21600,21600">
            <v:path/>
            <v:fill on="f" focussize="0,0"/>
            <v:stroke on="f"/>
            <v:imagedata r:id="rId5" o:title=""/>
            <o:lock v:ext="edit" aspectratio="t"/>
          </v:shape>
          <o:OLEObject Type="Embed" ProgID="StaticMetafile" ShapeID="_x0000_s1026" DrawAspect="Content" ObjectID="_1468075725" r:id="rId4">
            <o:LockedField>false</o:LockedField>
          </o:OLEObject>
        </w:pict>
      </w:r>
    </w:p>
    <w:p>
      <w:pPr>
        <w:spacing w:after="160" w:line="1200" w:lineRule="auto"/>
        <w:jc w:val="center"/>
        <w:rPr>
          <w:rFonts w:ascii="黑体" w:hAnsi="黑体" w:eastAsia="黑体" w:cs="黑体"/>
          <w:color w:val="FDEFBE"/>
          <w:sz w:val="56"/>
        </w:rPr>
      </w:pPr>
    </w:p>
    <w:p>
      <w:pPr>
        <w:keepNext w:val="0"/>
        <w:keepLines w:val="0"/>
        <w:pageBreakBefore w:val="0"/>
        <w:widowControl w:val="0"/>
        <w:kinsoku/>
        <w:wordWrap/>
        <w:overflowPunct/>
        <w:topLinePunct w:val="0"/>
        <w:autoSpaceDE/>
        <w:autoSpaceDN/>
        <w:bidi w:val="0"/>
        <w:adjustRightInd/>
        <w:snapToGrid/>
        <w:spacing w:after="160" w:line="360" w:lineRule="auto"/>
        <w:jc w:val="center"/>
        <w:textAlignment w:val="auto"/>
        <w:rPr>
          <w:rFonts w:ascii="黑体" w:hAnsi="黑体" w:eastAsia="黑体" w:cs="黑体"/>
          <w:color w:val="FDEFBE"/>
          <w:sz w:val="56"/>
        </w:rPr>
      </w:pPr>
    </w:p>
    <w:p>
      <w:pPr>
        <w:keepNext w:val="0"/>
        <w:keepLines w:val="0"/>
        <w:pageBreakBefore w:val="0"/>
        <w:widowControl w:val="0"/>
        <w:kinsoku/>
        <w:wordWrap/>
        <w:overflowPunct/>
        <w:topLinePunct w:val="0"/>
        <w:autoSpaceDE/>
        <w:autoSpaceDN/>
        <w:bidi w:val="0"/>
        <w:adjustRightInd/>
        <w:snapToGrid/>
        <w:spacing w:after="160" w:line="360" w:lineRule="auto"/>
        <w:jc w:val="center"/>
        <w:textAlignment w:val="auto"/>
        <w:rPr>
          <w:rFonts w:ascii="黑体" w:hAnsi="黑体" w:eastAsia="黑体" w:cs="黑体"/>
          <w:color w:val="FDEFBE"/>
          <w:sz w:val="72"/>
          <w:szCs w:val="72"/>
        </w:rPr>
      </w:pPr>
      <w:r>
        <w:rPr>
          <w:rFonts w:ascii="黑体" w:hAnsi="黑体" w:eastAsia="黑体" w:cs="黑体"/>
          <w:color w:val="FDEFBE"/>
          <w:sz w:val="72"/>
          <w:szCs w:val="72"/>
        </w:rPr>
        <w:t>中国人民政治协商会议河北省遵化市委员会</w:t>
      </w:r>
    </w:p>
    <w:p>
      <w:pPr>
        <w:spacing w:after="160" w:line="1200" w:lineRule="auto"/>
        <w:jc w:val="center"/>
        <w:rPr>
          <w:rFonts w:ascii="Times New Roman" w:hAnsi="Times New Roman" w:eastAsia="Times New Roman" w:cs="Times New Roman"/>
          <w:color w:val="FDEFBE"/>
          <w:sz w:val="96"/>
        </w:rPr>
      </w:pPr>
      <w:r>
        <w:rPr>
          <w:rFonts w:ascii="黑体" w:hAnsi="黑体" w:eastAsia="黑体" w:cs="黑体"/>
          <w:color w:val="FDEFBE"/>
          <w:sz w:val="96"/>
        </w:rPr>
        <w:t>2018年度部门决算</w:t>
      </w:r>
    </w:p>
    <w:p>
      <w:pPr>
        <w:spacing w:after="160" w:line="480" w:lineRule="auto"/>
        <w:rPr>
          <w:rFonts w:ascii="Times New Roman" w:hAnsi="Times New Roman" w:eastAsia="Times New Roman" w:cs="Times New Roman"/>
          <w:color w:val="FDEFBE"/>
          <w:sz w:val="96"/>
        </w:rPr>
      </w:pPr>
    </w:p>
    <w:p>
      <w:pPr>
        <w:spacing w:after="160" w:line="480" w:lineRule="auto"/>
        <w:jc w:val="center"/>
        <w:rPr>
          <w:rFonts w:ascii="黑体" w:hAnsi="黑体" w:eastAsia="黑体" w:cs="黑体"/>
          <w:color w:val="002060"/>
          <w:sz w:val="72"/>
        </w:rPr>
      </w:pPr>
    </w:p>
    <w:p>
      <w:pPr>
        <w:spacing w:after="160" w:line="480" w:lineRule="auto"/>
        <w:jc w:val="center"/>
        <w:rPr>
          <w:rFonts w:ascii="黑体" w:hAnsi="黑体" w:eastAsia="黑体" w:cs="黑体"/>
          <w:b/>
          <w:sz w:val="72"/>
        </w:rPr>
      </w:pPr>
    </w:p>
    <w:p>
      <w:pPr>
        <w:spacing w:after="160" w:line="480" w:lineRule="auto"/>
        <w:jc w:val="center"/>
        <w:rPr>
          <w:rFonts w:ascii="黑体" w:hAnsi="黑体" w:eastAsia="黑体" w:cs="黑体"/>
          <w:b/>
          <w:sz w:val="72"/>
        </w:rPr>
      </w:pPr>
    </w:p>
    <w:p>
      <w:pPr>
        <w:spacing w:after="160" w:line="480" w:lineRule="auto"/>
        <w:rPr>
          <w:rFonts w:ascii="楷体" w:hAnsi="楷体" w:eastAsia="楷体" w:cs="楷体"/>
          <w:b/>
          <w:sz w:val="44"/>
        </w:rPr>
      </w:pPr>
    </w:p>
    <w:p>
      <w:pPr>
        <w:spacing w:after="160" w:line="480" w:lineRule="auto"/>
        <w:rPr>
          <w:rFonts w:ascii="楷体" w:hAnsi="楷体" w:eastAsia="楷体" w:cs="楷体"/>
          <w:b/>
          <w:sz w:val="44"/>
        </w:rPr>
      </w:pPr>
      <w:r>
        <w:rPr>
          <w:rFonts w:hint="eastAsia"/>
        </w:rPr>
        <w:drawing>
          <wp:anchor distT="0" distB="0" distL="114935" distR="114935" simplePos="0" relativeHeight="251660288" behindDoc="0" locked="0" layoutInCell="1" allowOverlap="1">
            <wp:simplePos x="0" y="0"/>
            <wp:positionH relativeFrom="column">
              <wp:posOffset>-133350</wp:posOffset>
            </wp:positionH>
            <wp:positionV relativeFrom="paragraph">
              <wp:posOffset>442595</wp:posOffset>
            </wp:positionV>
            <wp:extent cx="5591175" cy="7992110"/>
            <wp:effectExtent l="0" t="0" r="9525" b="8890"/>
            <wp:wrapSquare wrapText="bothSides"/>
            <wp:docPr id="3" name="图片 3" descr="55ab8ab77a1b5db551e45206a422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5ab8ab77a1b5db551e45206a422ce3"/>
                    <pic:cNvPicPr>
                      <a:picLocks noChangeAspect="1"/>
                    </pic:cNvPicPr>
                  </pic:nvPicPr>
                  <pic:blipFill>
                    <a:blip r:embed="rId6" cstate="print"/>
                    <a:stretch>
                      <a:fillRect/>
                    </a:stretch>
                  </pic:blipFill>
                  <pic:spPr>
                    <a:xfrm>
                      <a:off x="0" y="0"/>
                      <a:ext cx="5591175" cy="7992110"/>
                    </a:xfrm>
                    <a:prstGeom prst="rect">
                      <a:avLst/>
                    </a:prstGeom>
                  </pic:spPr>
                </pic:pic>
              </a:graphicData>
            </a:graphic>
          </wp:anchor>
        </w:drawing>
      </w:r>
    </w:p>
    <w:p>
      <w:pPr>
        <w:spacing w:after="160"/>
        <w:ind w:firstLine="640"/>
        <w:jc w:val="center"/>
        <w:rPr>
          <w:rFonts w:ascii="方正仿宋_GBK" w:hAnsi="方正仿宋_GBK" w:eastAsia="方正仿宋_GBK" w:cs="方正仿宋_GBK"/>
          <w:color w:val="333333"/>
          <w:sz w:val="32"/>
          <w:shd w:val="clear" w:color="auto" w:fill="FFFFFF"/>
        </w:rPr>
      </w:pPr>
      <w:r>
        <w:object>
          <v:shape id="_x0000_i1025" o:spt="75" type="#_x0000_t75" style="height:561.75pt;width:380.25pt;" o:ole="t" filled="f" o:preferrelative="t" stroked="f" coordsize="21600,21600">
            <v:path/>
            <v:fill on="f" focussize="0,0"/>
            <v:stroke on="f" joinstyle="miter"/>
            <v:imagedata r:id="rId8" o:title=""/>
            <o:lock v:ext="edit" aspectratio="t"/>
            <w10:wrap type="none"/>
            <w10:anchorlock/>
          </v:shape>
          <o:OLEObject Type="Embed" ProgID="StaticMetafile" ShapeID="_x0000_i1025" DrawAspect="Content" ObjectID="_1468075726" r:id="rId7">
            <o:LockedField>false</o:LockedField>
          </o:OLEObject>
        </w:object>
      </w:r>
    </w:p>
    <w:p>
      <w:pPr>
        <w:spacing w:line="1000" w:lineRule="auto"/>
        <w:jc w:val="center"/>
        <w:rPr>
          <w:rFonts w:ascii="黑体" w:hAnsi="黑体" w:eastAsia="黑体" w:cs="黑体"/>
          <w:sz w:val="48"/>
        </w:rPr>
      </w:pPr>
    </w:p>
    <w:p>
      <w:pPr>
        <w:spacing w:line="1000" w:lineRule="auto"/>
        <w:jc w:val="center"/>
        <w:rPr>
          <w:rFonts w:ascii="黑体" w:hAnsi="黑体" w:eastAsia="黑体" w:cs="黑体"/>
          <w:sz w:val="48"/>
        </w:rPr>
      </w:pPr>
    </w:p>
    <w:p>
      <w:pPr>
        <w:spacing w:line="1000" w:lineRule="auto"/>
        <w:jc w:val="center"/>
        <w:rPr>
          <w:rFonts w:ascii="Times New Roman" w:hAnsi="Times New Roman" w:eastAsia="Times New Roman" w:cs="Times New Roman"/>
          <w:sz w:val="32"/>
        </w:rPr>
      </w:pPr>
      <w:r>
        <w:rPr>
          <w:rFonts w:ascii="黑体" w:hAnsi="黑体" w:eastAsia="黑体" w:cs="黑体"/>
          <w:sz w:val="48"/>
        </w:rPr>
        <w:t>目    录</w:t>
      </w:r>
    </w:p>
    <w:p>
      <w:pPr>
        <w:spacing w:after="160" w:line="580" w:lineRule="auto"/>
        <w:ind w:firstLine="640"/>
        <w:rPr>
          <w:rFonts w:ascii="Times New Roman" w:hAnsi="Times New Roman" w:eastAsia="Times New Roman" w:cs="Times New Roman"/>
          <w:sz w:val="24"/>
        </w:rPr>
      </w:pPr>
      <w:r>
        <w:rPr>
          <w:rFonts w:ascii="宋体" w:hAnsi="宋体" w:eastAsia="宋体" w:cs="宋体"/>
          <w:sz w:val="32"/>
        </w:rPr>
        <w:t>第一部分部门概况</w:t>
      </w:r>
    </w:p>
    <w:p>
      <w:pPr>
        <w:spacing w:after="160" w:line="580" w:lineRule="auto"/>
        <w:ind w:firstLine="1273"/>
        <w:rPr>
          <w:rFonts w:ascii="Times New Roman" w:hAnsi="Times New Roman" w:eastAsia="Times New Roman" w:cs="Times New Roman"/>
          <w:sz w:val="32"/>
        </w:rPr>
      </w:pPr>
      <w:r>
        <w:rPr>
          <w:rFonts w:ascii="宋体" w:hAnsi="宋体" w:eastAsia="宋体" w:cs="宋体"/>
          <w:sz w:val="32"/>
        </w:rPr>
        <w:t>一、部门职责</w:t>
      </w:r>
    </w:p>
    <w:p>
      <w:pPr>
        <w:spacing w:after="160" w:line="580" w:lineRule="auto"/>
        <w:ind w:firstLine="1273"/>
        <w:rPr>
          <w:rFonts w:ascii="Times New Roman" w:hAnsi="Times New Roman" w:eastAsia="Times New Roman" w:cs="Times New Roman"/>
          <w:sz w:val="32"/>
        </w:rPr>
      </w:pPr>
      <w:r>
        <w:rPr>
          <w:rFonts w:ascii="宋体" w:hAnsi="宋体" w:eastAsia="宋体" w:cs="宋体"/>
          <w:sz w:val="32"/>
        </w:rPr>
        <w:t>二、机构设置</w:t>
      </w:r>
    </w:p>
    <w:p>
      <w:pPr>
        <w:spacing w:after="160" w:line="580" w:lineRule="auto"/>
        <w:ind w:firstLine="640"/>
        <w:rPr>
          <w:rFonts w:ascii="Times New Roman" w:hAnsi="Times New Roman" w:eastAsia="Times New Roman" w:cs="Times New Roman"/>
          <w:sz w:val="20"/>
        </w:rPr>
      </w:pPr>
      <w:r>
        <w:rPr>
          <w:rFonts w:ascii="宋体" w:hAnsi="宋体" w:eastAsia="宋体" w:cs="宋体"/>
          <w:sz w:val="32"/>
        </w:rPr>
        <w:t>第二部分</w:t>
      </w:r>
      <w:r>
        <w:rPr>
          <w:rFonts w:ascii="Times New Roman" w:hAnsi="Times New Roman" w:eastAsia="Times New Roman" w:cs="Times New Roman"/>
          <w:sz w:val="32"/>
        </w:rPr>
        <w:t xml:space="preserve">   2018</w:t>
      </w:r>
      <w:r>
        <w:rPr>
          <w:rFonts w:ascii="宋体" w:hAnsi="宋体" w:eastAsia="宋体" w:cs="宋体"/>
          <w:sz w:val="32"/>
        </w:rPr>
        <w:t>年度部门决算报表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一、收入支出决算总表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二、收入决算表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三、支出决算表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四、财政拨款收入支出决算总表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五、一般公共预算财政拨款支出决算表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六、一般公共预算财政拨款基本支出决算表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七、一般公共预算财政拨款“三公”经费支出决算表</w:t>
      </w:r>
    </w:p>
    <w:p>
      <w:pPr>
        <w:spacing w:after="160" w:line="580" w:lineRule="auto"/>
        <w:ind w:left="640" w:firstLine="640"/>
        <w:rPr>
          <w:rFonts w:ascii="宋体" w:hAnsi="宋体" w:eastAsia="宋体" w:cs="宋体"/>
          <w:sz w:val="32"/>
        </w:rPr>
      </w:pP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八、政府性基金预算财政拨款收入支出决算表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九、国有资本经营预算支出决算表</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十、政府采购情况表</w:t>
      </w:r>
    </w:p>
    <w:p>
      <w:pPr>
        <w:spacing w:after="160" w:line="580" w:lineRule="auto"/>
        <w:ind w:firstLine="640"/>
        <w:rPr>
          <w:rFonts w:ascii="Times New Roman" w:hAnsi="Times New Roman" w:eastAsia="Times New Roman" w:cs="Times New Roman"/>
          <w:sz w:val="32"/>
        </w:rPr>
      </w:pPr>
      <w:r>
        <w:rPr>
          <w:rFonts w:ascii="宋体" w:hAnsi="宋体" w:eastAsia="宋体" w:cs="宋体"/>
          <w:sz w:val="32"/>
        </w:rPr>
        <w:t>第三部分政协部门</w:t>
      </w:r>
      <w:r>
        <w:rPr>
          <w:rFonts w:ascii="Times New Roman" w:hAnsi="Times New Roman" w:eastAsia="Times New Roman" w:cs="Times New Roman"/>
          <w:sz w:val="32"/>
        </w:rPr>
        <w:t>2018</w:t>
      </w:r>
      <w:r>
        <w:rPr>
          <w:rFonts w:ascii="宋体" w:hAnsi="宋体" w:eastAsia="宋体" w:cs="宋体"/>
          <w:sz w:val="32"/>
        </w:rPr>
        <w:t>年部门决算情况说明</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一、收入支出决算总体情况说明</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二、收入决算情况说明</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三、支出决算情况说明</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四、财政拨款收入支出决算总体情况说明</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五、一般公共预算“三公”经费支出决算情况说明</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六、预算绩效情况说明</w:t>
      </w:r>
    </w:p>
    <w:p>
      <w:pPr>
        <w:spacing w:after="160" w:line="580" w:lineRule="auto"/>
        <w:ind w:left="640" w:firstLine="640"/>
        <w:rPr>
          <w:rFonts w:ascii="Times New Roman" w:hAnsi="Times New Roman" w:eastAsia="Times New Roman" w:cs="Times New Roman"/>
          <w:sz w:val="32"/>
        </w:rPr>
      </w:pPr>
      <w:r>
        <w:rPr>
          <w:rFonts w:ascii="宋体" w:hAnsi="宋体" w:eastAsia="宋体" w:cs="宋体"/>
          <w:sz w:val="32"/>
        </w:rPr>
        <w:t>七、其他重要事项的说明</w:t>
      </w:r>
    </w:p>
    <w:p>
      <w:pPr>
        <w:spacing w:after="160" w:line="580" w:lineRule="auto"/>
        <w:ind w:firstLine="640"/>
        <w:rPr>
          <w:rFonts w:ascii="宋体" w:hAnsi="宋体" w:eastAsia="宋体" w:cs="宋体"/>
          <w:sz w:val="32"/>
        </w:rPr>
      </w:pPr>
      <w:r>
        <w:rPr>
          <w:rFonts w:ascii="宋体" w:hAnsi="宋体" w:eastAsia="宋体" w:cs="宋体"/>
          <w:sz w:val="32"/>
        </w:rPr>
        <w:t>第四部分名词解释</w:t>
      </w:r>
    </w:p>
    <w:p>
      <w:pPr>
        <w:spacing w:after="160" w:line="580" w:lineRule="auto"/>
        <w:ind w:firstLine="640"/>
        <w:rPr>
          <w:rFonts w:ascii="宋体" w:hAnsi="宋体" w:eastAsia="宋体" w:cs="宋体"/>
          <w:sz w:val="32"/>
        </w:rPr>
      </w:pPr>
    </w:p>
    <w:p>
      <w:pPr>
        <w:spacing w:after="160" w:line="580" w:lineRule="auto"/>
        <w:ind w:firstLine="640"/>
        <w:rPr>
          <w:rFonts w:ascii="宋体" w:hAnsi="宋体" w:eastAsia="宋体" w:cs="宋体"/>
          <w:sz w:val="32"/>
        </w:rPr>
        <w:sectPr>
          <w:pgSz w:w="11906" w:h="16838"/>
          <w:pgMar w:top="1440" w:right="1800" w:bottom="1440" w:left="1800" w:header="851" w:footer="992" w:gutter="0"/>
          <w:cols w:space="425" w:num="1"/>
          <w:docGrid w:type="lines" w:linePitch="312" w:charSpace="0"/>
        </w:sectPr>
      </w:pPr>
    </w:p>
    <w:p>
      <w:pPr>
        <w:spacing w:after="160" w:line="480" w:lineRule="auto"/>
        <w:jc w:val="center"/>
        <w:rPr>
          <w:rFonts w:ascii="黑体" w:hAnsi="黑体" w:eastAsia="黑体" w:cs="黑体"/>
          <w:color w:val="FDEFBE"/>
          <w:sz w:val="72"/>
          <w:szCs w:val="72"/>
        </w:rPr>
      </w:pPr>
      <w:r>
        <w:pict>
          <v:shape id="_x0000_s1028" o:spid="_x0000_s1028" o:spt="75" type="#_x0000_t75" style="position:absolute;left:0pt;margin-left:-88.2pt;margin-top:-70.75pt;height:855.45pt;width:592.35pt;z-index:-251654144;mso-width-relative:page;mso-height-relative:page;" o:ole="t" filled="f" o:preferrelative="t" stroked="f" coordsize="21600,21600">
            <v:path/>
            <v:fill on="f" focussize="0,0"/>
            <v:stroke on="f"/>
            <v:imagedata r:id="rId10" o:title=""/>
            <o:lock v:ext="edit" aspectratio="t"/>
          </v:shape>
          <o:OLEObject Type="Embed" ProgID="StaticMetafile" ShapeID="_x0000_s1028" DrawAspect="Content" ObjectID="_1468075727" r:id="rId9">
            <o:LockedField>false</o:LockedField>
          </o:OLEObject>
        </w:pict>
      </w:r>
    </w:p>
    <w:p>
      <w:pPr>
        <w:spacing w:after="160" w:line="480" w:lineRule="auto"/>
        <w:jc w:val="center"/>
        <w:rPr>
          <w:rFonts w:ascii="黑体" w:hAnsi="黑体" w:eastAsia="黑体" w:cs="黑体"/>
          <w:color w:val="FDEFBE"/>
          <w:sz w:val="72"/>
          <w:szCs w:val="72"/>
        </w:rPr>
      </w:pPr>
    </w:p>
    <w:p>
      <w:pPr>
        <w:spacing w:after="160" w:line="480" w:lineRule="auto"/>
        <w:jc w:val="center"/>
        <w:rPr>
          <w:rFonts w:ascii="黑体" w:hAnsi="黑体" w:eastAsia="黑体" w:cs="黑体"/>
          <w:color w:val="FDEFBE"/>
          <w:sz w:val="72"/>
          <w:szCs w:val="72"/>
        </w:rPr>
      </w:pPr>
    </w:p>
    <w:p>
      <w:pPr>
        <w:spacing w:after="160" w:line="480" w:lineRule="auto"/>
        <w:jc w:val="center"/>
        <w:rPr>
          <w:rFonts w:ascii="黑体" w:hAnsi="黑体" w:eastAsia="黑体" w:cs="黑体"/>
          <w:color w:val="FDEFBE"/>
          <w:sz w:val="72"/>
          <w:szCs w:val="72"/>
        </w:rPr>
      </w:pPr>
    </w:p>
    <w:p>
      <w:pPr>
        <w:spacing w:after="160" w:line="480" w:lineRule="auto"/>
        <w:jc w:val="center"/>
        <w:rPr>
          <w:rFonts w:ascii="黑体" w:hAnsi="黑体" w:eastAsia="黑体" w:cs="黑体"/>
          <w:color w:val="FDEFBE"/>
          <w:sz w:val="72"/>
          <w:szCs w:val="72"/>
        </w:rPr>
      </w:pPr>
    </w:p>
    <w:p>
      <w:pPr>
        <w:spacing w:after="160" w:line="480" w:lineRule="auto"/>
        <w:jc w:val="center"/>
        <w:rPr>
          <w:rFonts w:ascii="黑体" w:hAnsi="黑体" w:eastAsia="黑体" w:cs="黑体"/>
          <w:color w:val="FDEFBE"/>
          <w:sz w:val="72"/>
          <w:szCs w:val="72"/>
        </w:rPr>
      </w:pPr>
    </w:p>
    <w:p>
      <w:pPr>
        <w:spacing w:after="160" w:line="480" w:lineRule="auto"/>
        <w:jc w:val="center"/>
        <w:rPr>
          <w:rFonts w:hint="eastAsia" w:ascii="黑体" w:hAnsi="黑体" w:eastAsia="黑体" w:cs="黑体"/>
          <w:sz w:val="32"/>
          <w:lang w:val="en-US" w:eastAsia="zh-CN"/>
        </w:rPr>
      </w:pPr>
      <w:r>
        <w:rPr>
          <w:rFonts w:ascii="黑体" w:hAnsi="黑体" w:eastAsia="黑体" w:cs="黑体"/>
          <w:color w:val="FDEFBE"/>
          <w:sz w:val="72"/>
          <w:szCs w:val="72"/>
        </w:rPr>
        <w:t>第一部分  部门概</w:t>
      </w:r>
      <w:r>
        <w:rPr>
          <w:rFonts w:hint="eastAsia" w:ascii="黑体" w:hAnsi="黑体" w:eastAsia="黑体" w:cs="黑体"/>
          <w:color w:val="FDEFBE"/>
          <w:sz w:val="72"/>
          <w:szCs w:val="72"/>
          <w:lang w:val="en-US" w:eastAsia="zh-CN"/>
        </w:rPr>
        <w:t>况</w:t>
      </w:r>
    </w:p>
    <w:p>
      <w:pPr>
        <w:spacing w:after="160" w:line="580" w:lineRule="auto"/>
        <w:rPr>
          <w:rFonts w:ascii="宋体" w:hAnsi="宋体" w:eastAsia="宋体" w:cs="宋体"/>
          <w:sz w:val="32"/>
        </w:rPr>
        <w:sectPr>
          <w:pgSz w:w="11906" w:h="16838"/>
          <w:pgMar w:top="1440" w:right="1800" w:bottom="1440" w:left="1800" w:header="851" w:footer="992" w:gutter="0"/>
          <w:cols w:space="425" w:num="1"/>
          <w:docGrid w:type="lines" w:linePitch="312" w:charSpace="0"/>
        </w:sectPr>
      </w:pPr>
    </w:p>
    <w:p>
      <w:pPr>
        <w:keepNext/>
        <w:keepLines/>
        <w:spacing w:line="600" w:lineRule="auto"/>
        <w:jc w:val="left"/>
        <w:rPr>
          <w:rFonts w:ascii="黑体" w:hAnsi="黑体" w:eastAsia="黑体" w:cs="黑体"/>
          <w:sz w:val="32"/>
        </w:rPr>
      </w:pPr>
    </w:p>
    <w:p>
      <w:pPr>
        <w:keepNext/>
        <w:keepLines/>
        <w:spacing w:line="600" w:lineRule="auto"/>
        <w:jc w:val="left"/>
        <w:rPr>
          <w:rFonts w:ascii="黑体" w:hAnsi="黑体" w:eastAsia="黑体" w:cs="黑体"/>
          <w:sz w:val="32"/>
        </w:rPr>
      </w:pPr>
      <w:r>
        <w:rPr>
          <w:rFonts w:ascii="黑体" w:hAnsi="黑体" w:eastAsia="黑体" w:cs="黑体"/>
          <w:sz w:val="32"/>
        </w:rPr>
        <w:t>一、部门职责</w:t>
      </w:r>
    </w:p>
    <w:p>
      <w:pPr>
        <w:spacing w:after="160" w:line="360" w:lineRule="auto"/>
        <w:rPr>
          <w:rFonts w:ascii="方正仿宋简体" w:hAnsi="方正仿宋简体" w:eastAsia="方正仿宋简体" w:cs="方正仿宋简体"/>
          <w:sz w:val="32"/>
        </w:rPr>
      </w:pPr>
      <w:r>
        <w:rPr>
          <w:rFonts w:ascii="方正仿宋简体" w:hAnsi="方正仿宋简体" w:eastAsia="方正仿宋简体" w:cs="方正仿宋简体"/>
          <w:sz w:val="32"/>
        </w:rPr>
        <w:t>我单位主要职责是：</w:t>
      </w:r>
    </w:p>
    <w:p>
      <w:pPr>
        <w:numPr>
          <w:ilvl w:val="0"/>
          <w:numId w:val="1"/>
        </w:numPr>
        <w:spacing w:after="160" w:line="480" w:lineRule="auto"/>
        <w:ind w:firstLine="640"/>
        <w:rPr>
          <w:rFonts w:ascii="方正仿宋简体" w:hAnsi="方正仿宋简体" w:eastAsia="方正仿宋简体" w:cs="方正仿宋简体"/>
          <w:sz w:val="32"/>
        </w:rPr>
      </w:pPr>
      <w:r>
        <w:rPr>
          <w:rFonts w:ascii="方正仿宋简体" w:hAnsi="方正仿宋简体" w:eastAsia="方正仿宋简体" w:cs="方正仿宋简体"/>
          <w:sz w:val="32"/>
        </w:rPr>
        <w:t>政治协商：就大政方针及重要问题在决策之前进行协商和就决策执行过程中的重要问题进行协商。</w:t>
      </w:r>
    </w:p>
    <w:p>
      <w:pPr>
        <w:spacing w:after="160" w:line="480" w:lineRule="auto"/>
        <w:ind w:firstLine="640"/>
        <w:rPr>
          <w:rFonts w:ascii="方正仿宋简体" w:hAnsi="方正仿宋简体" w:eastAsia="方正仿宋简体" w:cs="方正仿宋简体"/>
          <w:sz w:val="32"/>
        </w:rPr>
      </w:pPr>
      <w:r>
        <w:rPr>
          <w:rFonts w:ascii="方正仿宋简体" w:hAnsi="方正仿宋简体" w:eastAsia="方正仿宋简体" w:cs="方正仿宋简体"/>
          <w:sz w:val="32"/>
        </w:rPr>
        <w:t>2、民主监督：有效履行民主监督职责。通过意见、建议、批评的方式对国家法律法规的实施、重大方针政策的贯彻执行、</w:t>
      </w:r>
      <w:r>
        <w:rPr>
          <w:rFonts w:hint="eastAsia" w:ascii="方正仿宋简体" w:hAnsi="方正仿宋简体" w:eastAsia="方正仿宋简体" w:cs="方正仿宋简体"/>
          <w:sz w:val="32"/>
          <w:lang w:eastAsia="zh-CN"/>
        </w:rPr>
        <w:t>市委、市政府</w:t>
      </w:r>
      <w:bookmarkStart w:id="0" w:name="_GoBack"/>
      <w:bookmarkEnd w:id="0"/>
      <w:r>
        <w:rPr>
          <w:rFonts w:ascii="方正仿宋简体" w:hAnsi="方正仿宋简体" w:eastAsia="方正仿宋简体" w:cs="方正仿宋简体"/>
          <w:sz w:val="32"/>
        </w:rPr>
        <w:t>的工作进行政治监督。</w:t>
      </w:r>
    </w:p>
    <w:p>
      <w:pPr>
        <w:spacing w:after="160" w:line="480" w:lineRule="auto"/>
        <w:ind w:firstLine="640"/>
        <w:rPr>
          <w:rFonts w:ascii="仿宋_GB2312" w:hAnsi="仿宋_GB2312" w:eastAsia="仿宋_GB2312" w:cs="仿宋_GB2312"/>
          <w:sz w:val="32"/>
        </w:rPr>
      </w:pPr>
      <w:r>
        <w:rPr>
          <w:rFonts w:ascii="方正仿宋简体" w:hAnsi="方正仿宋简体" w:eastAsia="方正仿宋简体" w:cs="方正仿宋简体"/>
          <w:sz w:val="32"/>
        </w:rPr>
        <w:t>3、参政议政：通过对重大问题以及人民群众普遍关心的问题，开展调查研究，向市委、市政府提出意见和建议。</w:t>
      </w:r>
    </w:p>
    <w:p>
      <w:pPr>
        <w:keepNext/>
        <w:keepLines/>
        <w:spacing w:line="600" w:lineRule="auto"/>
        <w:jc w:val="left"/>
        <w:rPr>
          <w:rFonts w:ascii="黑体" w:hAnsi="黑体" w:eastAsia="黑体" w:cs="黑体"/>
          <w:sz w:val="32"/>
        </w:rPr>
      </w:pPr>
      <w:r>
        <w:rPr>
          <w:rFonts w:ascii="黑体" w:hAnsi="黑体" w:eastAsia="黑体" w:cs="黑体"/>
          <w:sz w:val="32"/>
        </w:rPr>
        <w:t>二、机构设置</w:t>
      </w:r>
    </w:p>
    <w:p>
      <w:pPr>
        <w:spacing w:line="560" w:lineRule="auto"/>
        <w:rPr>
          <w:rFonts w:ascii="仿宋_GB2312" w:hAnsi="仿宋_GB2312" w:eastAsia="仿宋_GB2312" w:cs="仿宋_GB2312"/>
          <w:sz w:val="32"/>
        </w:rPr>
      </w:pPr>
      <w:r>
        <w:rPr>
          <w:rFonts w:ascii="仿宋_GB2312" w:hAnsi="仿宋_GB2312" w:eastAsia="仿宋_GB2312" w:cs="仿宋_GB2312"/>
          <w:sz w:val="32"/>
        </w:rPr>
        <w:t>从决算编报单位构成看，纳入2018 年度本部门决算汇编范围的独立核算单位（以下简称“单位”）共1 个，具体情况如下：</w:t>
      </w:r>
    </w:p>
    <w:tbl>
      <w:tblPr>
        <w:tblStyle w:val="4"/>
        <w:tblW w:w="0" w:type="auto"/>
        <w:jc w:val="center"/>
        <w:tblLayout w:type="autofit"/>
        <w:tblCellMar>
          <w:top w:w="0" w:type="dxa"/>
          <w:left w:w="10" w:type="dxa"/>
          <w:bottom w:w="0" w:type="dxa"/>
          <w:right w:w="10" w:type="dxa"/>
        </w:tblCellMar>
      </w:tblPr>
      <w:tblGrid>
        <w:gridCol w:w="916"/>
        <w:gridCol w:w="3308"/>
        <w:gridCol w:w="1935"/>
        <w:gridCol w:w="2363"/>
      </w:tblGrid>
      <w:tr>
        <w:tblPrEx>
          <w:tblCellMar>
            <w:top w:w="0" w:type="dxa"/>
            <w:left w:w="10" w:type="dxa"/>
            <w:bottom w:w="0" w:type="dxa"/>
            <w:right w:w="10" w:type="dxa"/>
          </w:tblCellMar>
        </w:tblPrEx>
        <w:trPr>
          <w:trHeight w:val="811"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560" w:lineRule="auto"/>
              <w:jc w:val="center"/>
            </w:pPr>
            <w:r>
              <w:rPr>
                <w:rFonts w:ascii="仿宋_GB2312" w:hAnsi="仿宋_GB2312" w:eastAsia="仿宋_GB2312" w:cs="仿宋_GB2312"/>
                <w:b/>
                <w:sz w:val="28"/>
              </w:rPr>
              <w:t>序号</w:t>
            </w:r>
          </w:p>
        </w:tc>
        <w:tc>
          <w:tcPr>
            <w:tcW w:w="33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560" w:lineRule="auto"/>
              <w:jc w:val="center"/>
            </w:pPr>
            <w:r>
              <w:rPr>
                <w:rFonts w:ascii="仿宋_GB2312" w:hAnsi="仿宋_GB2312" w:eastAsia="仿宋_GB2312" w:cs="仿宋_GB2312"/>
                <w:b/>
                <w:sz w:val="28"/>
              </w:rPr>
              <w:t>单位名称</w:t>
            </w:r>
          </w:p>
        </w:tc>
        <w:tc>
          <w:tcPr>
            <w:tcW w:w="19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560" w:lineRule="auto"/>
              <w:jc w:val="center"/>
            </w:pPr>
            <w:r>
              <w:rPr>
                <w:rFonts w:ascii="仿宋_GB2312" w:hAnsi="仿宋_GB2312" w:eastAsia="仿宋_GB2312" w:cs="仿宋_GB2312"/>
                <w:b/>
                <w:sz w:val="28"/>
              </w:rPr>
              <w:t>单位基本性质</w:t>
            </w:r>
          </w:p>
        </w:tc>
        <w:tc>
          <w:tcPr>
            <w:tcW w:w="23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line="560" w:lineRule="auto"/>
              <w:jc w:val="center"/>
            </w:pPr>
            <w:r>
              <w:rPr>
                <w:rFonts w:ascii="仿宋_GB2312" w:hAnsi="仿宋_GB2312" w:eastAsia="仿宋_GB2312" w:cs="仿宋_GB2312"/>
                <w:b/>
                <w:sz w:val="28"/>
              </w:rPr>
              <w:t>经费形式</w:t>
            </w:r>
          </w:p>
        </w:tc>
      </w:tr>
      <w:tr>
        <w:tblPrEx>
          <w:tblCellMar>
            <w:top w:w="0" w:type="dxa"/>
            <w:left w:w="10" w:type="dxa"/>
            <w:bottom w:w="0" w:type="dxa"/>
            <w:right w:w="10" w:type="dxa"/>
          </w:tblCellMar>
        </w:tblPrEx>
        <w:trPr>
          <w:trHeight w:val="1179"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560" w:lineRule="auto"/>
              <w:jc w:val="center"/>
            </w:pPr>
            <w:r>
              <w:rPr>
                <w:rFonts w:ascii="仿宋_GB2312" w:hAnsi="仿宋_GB2312" w:eastAsia="仿宋_GB2312" w:cs="仿宋_GB2312"/>
                <w:sz w:val="28"/>
              </w:rPr>
              <w:t>1</w:t>
            </w:r>
          </w:p>
        </w:tc>
        <w:tc>
          <w:tcPr>
            <w:tcW w:w="33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keepNext w:val="0"/>
              <w:keepLines w:val="0"/>
              <w:pageBreakBefore w:val="0"/>
              <w:widowControl w:val="0"/>
              <w:kinsoku/>
              <w:wordWrap/>
              <w:overflowPunct/>
              <w:topLinePunct w:val="0"/>
              <w:autoSpaceDE/>
              <w:autoSpaceDN/>
              <w:bidi w:val="0"/>
              <w:adjustRightInd/>
              <w:snapToGrid/>
              <w:spacing w:line="570" w:lineRule="exact"/>
              <w:textAlignment w:val="auto"/>
            </w:pPr>
            <w:r>
              <w:rPr>
                <w:rFonts w:ascii="仿宋_GB2312" w:hAnsi="仿宋_GB2312" w:eastAsia="仿宋_GB2312" w:cs="仿宋_GB2312"/>
                <w:sz w:val="28"/>
              </w:rPr>
              <w:t>中国人民政治协商会议河北省遵化市委员会</w:t>
            </w:r>
          </w:p>
        </w:tc>
        <w:tc>
          <w:tcPr>
            <w:tcW w:w="19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560" w:lineRule="auto"/>
              <w:jc w:val="center"/>
            </w:pPr>
            <w:r>
              <w:rPr>
                <w:rFonts w:ascii="仿宋_GB2312" w:hAnsi="仿宋_GB2312" w:eastAsia="仿宋_GB2312" w:cs="仿宋_GB2312"/>
                <w:sz w:val="28"/>
              </w:rPr>
              <w:t>行政单位</w:t>
            </w:r>
          </w:p>
        </w:tc>
        <w:tc>
          <w:tcPr>
            <w:tcW w:w="23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560" w:lineRule="auto"/>
              <w:jc w:val="center"/>
            </w:pPr>
            <w:r>
              <w:rPr>
                <w:rFonts w:ascii="仿宋_GB2312" w:hAnsi="仿宋_GB2312" w:eastAsia="仿宋_GB2312" w:cs="仿宋_GB2312"/>
                <w:sz w:val="28"/>
              </w:rPr>
              <w:t>财政拨款</w:t>
            </w:r>
          </w:p>
        </w:tc>
      </w:tr>
      <w:tr>
        <w:tblPrEx>
          <w:tblCellMar>
            <w:top w:w="0" w:type="dxa"/>
            <w:left w:w="10" w:type="dxa"/>
            <w:bottom w:w="0" w:type="dxa"/>
            <w:right w:w="10" w:type="dxa"/>
          </w:tblCellMar>
        </w:tblPrEx>
        <w:trPr>
          <w:trHeight w:val="702" w:hRule="atLeast"/>
          <w:jc w:val="center"/>
        </w:trPr>
        <w:tc>
          <w:tcPr>
            <w:tcW w:w="9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560" w:lineRule="auto"/>
              <w:jc w:val="center"/>
            </w:pPr>
            <w:r>
              <w:rPr>
                <w:rFonts w:ascii="仿宋_GB2312" w:hAnsi="仿宋_GB2312" w:eastAsia="仿宋_GB2312" w:cs="仿宋_GB2312"/>
                <w:sz w:val="28"/>
              </w:rPr>
              <w:t>2</w:t>
            </w:r>
          </w:p>
        </w:tc>
        <w:tc>
          <w:tcPr>
            <w:tcW w:w="330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560" w:lineRule="auto"/>
              <w:rPr>
                <w:rFonts w:ascii="宋体" w:hAnsi="宋体" w:eastAsia="宋体" w:cs="宋体"/>
                <w:sz w:val="22"/>
              </w:rPr>
            </w:pPr>
          </w:p>
        </w:tc>
        <w:tc>
          <w:tcPr>
            <w:tcW w:w="19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560" w:lineRule="auto"/>
              <w:jc w:val="center"/>
              <w:rPr>
                <w:rFonts w:ascii="宋体" w:hAnsi="宋体" w:eastAsia="宋体" w:cs="宋体"/>
                <w:sz w:val="22"/>
              </w:rPr>
            </w:pPr>
          </w:p>
        </w:tc>
        <w:tc>
          <w:tcPr>
            <w:tcW w:w="236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560" w:lineRule="auto"/>
              <w:jc w:val="center"/>
              <w:rPr>
                <w:rFonts w:ascii="宋体" w:hAnsi="宋体" w:eastAsia="宋体" w:cs="宋体"/>
                <w:sz w:val="22"/>
              </w:rPr>
            </w:pPr>
          </w:p>
        </w:tc>
      </w:tr>
    </w:tbl>
    <w:p>
      <w:pPr>
        <w:spacing w:after="160" w:line="560" w:lineRule="auto"/>
        <w:jc w:val="center"/>
        <w:rPr>
          <w:rFonts w:ascii="黑体" w:hAnsi="黑体" w:eastAsia="黑体" w:cs="黑体"/>
          <w:sz w:val="52"/>
        </w:rPr>
      </w:pPr>
    </w:p>
    <w:p>
      <w:pPr>
        <w:spacing w:after="160" w:line="560" w:lineRule="auto"/>
        <w:jc w:val="center"/>
        <w:rPr>
          <w:rFonts w:ascii="黑体" w:hAnsi="黑体" w:eastAsia="黑体" w:cs="黑体"/>
          <w:sz w:val="52"/>
        </w:rPr>
      </w:pPr>
      <w:r>
        <w:pict>
          <v:shape id="_x0000_s1030" o:spid="_x0000_s1030" o:spt="75" type="#_x0000_t75" style="position:absolute;left:0pt;margin-left:-87.75pt;margin-top:-72.45pt;height:1015.25pt;width:718.85pt;z-index:-251653120;mso-width-relative:page;mso-height-relative:page;" o:ole="t" filled="f" o:preferrelative="t" stroked="f" coordsize="21600,21600">
            <v:path/>
            <v:fill on="f" focussize="0,0"/>
            <v:stroke on="f"/>
            <v:imagedata r:id="rId12" o:title=""/>
            <o:lock v:ext="edit" aspectratio="t"/>
          </v:shape>
          <o:OLEObject Type="Embed" ProgID="StaticMetafile" ShapeID="_x0000_s1030" DrawAspect="Content" ObjectID="_1468075728" r:id="rId11">
            <o:LockedField>false</o:LockedField>
          </o:OLEObject>
        </w:pict>
      </w:r>
    </w:p>
    <w:p>
      <w:pPr>
        <w:spacing w:after="160" w:line="560" w:lineRule="auto"/>
        <w:jc w:val="center"/>
        <w:rPr>
          <w:rFonts w:ascii="黑体" w:hAnsi="黑体" w:eastAsia="黑体" w:cs="黑体"/>
          <w:sz w:val="52"/>
        </w:rPr>
      </w:pPr>
    </w:p>
    <w:p>
      <w:pPr>
        <w:spacing w:after="160" w:line="560" w:lineRule="auto"/>
        <w:jc w:val="center"/>
        <w:rPr>
          <w:rFonts w:ascii="黑体" w:hAnsi="黑体" w:eastAsia="黑体" w:cs="黑体"/>
          <w:color w:val="FDEFBE"/>
          <w:sz w:val="96"/>
        </w:rPr>
      </w:pPr>
    </w:p>
    <w:p>
      <w:pPr>
        <w:spacing w:after="160" w:line="560" w:lineRule="auto"/>
        <w:jc w:val="center"/>
        <w:rPr>
          <w:rFonts w:ascii="黑体" w:hAnsi="黑体" w:eastAsia="黑体" w:cs="黑体"/>
          <w:color w:val="FDEFBE"/>
          <w:sz w:val="96"/>
        </w:rPr>
      </w:pPr>
    </w:p>
    <w:p>
      <w:pPr>
        <w:spacing w:after="160" w:line="560" w:lineRule="auto"/>
        <w:jc w:val="center"/>
        <w:rPr>
          <w:rFonts w:ascii="黑体" w:hAnsi="黑体" w:eastAsia="黑体" w:cs="黑体"/>
          <w:color w:val="FDEFBE"/>
          <w:sz w:val="96"/>
        </w:rPr>
      </w:pPr>
    </w:p>
    <w:p>
      <w:pPr>
        <w:spacing w:after="160" w:line="560" w:lineRule="auto"/>
        <w:jc w:val="center"/>
        <w:rPr>
          <w:rFonts w:ascii="黑体" w:hAnsi="黑体" w:eastAsia="黑体" w:cs="黑体"/>
          <w:sz w:val="96"/>
          <w:szCs w:val="96"/>
        </w:rPr>
      </w:pPr>
      <w:r>
        <w:rPr>
          <w:rFonts w:ascii="黑体" w:hAnsi="黑体" w:eastAsia="黑体" w:cs="黑体"/>
          <w:color w:val="FDEFBE"/>
          <w:sz w:val="96"/>
          <w:szCs w:val="96"/>
        </w:rPr>
        <w:t>第二部分</w:t>
      </w:r>
    </w:p>
    <w:p>
      <w:pPr>
        <w:spacing w:after="160" w:line="1200" w:lineRule="auto"/>
        <w:jc w:val="center"/>
        <w:rPr>
          <w:rFonts w:ascii="黑体" w:hAnsi="黑体" w:eastAsia="黑体" w:cs="黑体"/>
          <w:color w:val="FDEFBE"/>
          <w:sz w:val="96"/>
          <w:szCs w:val="96"/>
        </w:rPr>
      </w:pPr>
      <w:r>
        <w:rPr>
          <w:rFonts w:ascii="黑体" w:hAnsi="黑体" w:eastAsia="黑体" w:cs="黑体"/>
          <w:color w:val="FDEFBE"/>
          <w:sz w:val="96"/>
          <w:szCs w:val="96"/>
        </w:rPr>
        <w:t>2018年度部门决算报表</w:t>
      </w:r>
    </w:p>
    <w:p>
      <w:pPr>
        <w:spacing w:after="160" w:line="480" w:lineRule="auto"/>
        <w:rPr>
          <w:rFonts w:ascii="仿宋_GB2312" w:hAnsi="仿宋_GB2312" w:eastAsia="仿宋_GB2312" w:cs="仿宋_GB2312"/>
          <w:b/>
          <w:sz w:val="28"/>
          <w:shd w:val="clear" w:color="auto" w:fill="FFFF00"/>
        </w:rPr>
      </w:pPr>
    </w:p>
    <w:p>
      <w:pPr>
        <w:spacing w:after="160" w:line="480" w:lineRule="auto"/>
        <w:rPr>
          <w:rFonts w:ascii="仿宋_GB2312" w:hAnsi="仿宋_GB2312" w:eastAsia="仿宋_GB2312" w:cs="仿宋_GB2312"/>
          <w:b/>
          <w:sz w:val="28"/>
          <w:shd w:val="clear" w:color="auto" w:fill="FFFF00"/>
        </w:rPr>
      </w:pPr>
    </w:p>
    <w:p>
      <w:pPr>
        <w:spacing w:after="160" w:line="480" w:lineRule="auto"/>
        <w:rPr>
          <w:rFonts w:ascii="仿宋_GB2312" w:hAnsi="仿宋_GB2312" w:eastAsia="仿宋_GB2312" w:cs="仿宋_GB2312"/>
          <w:b/>
          <w:sz w:val="28"/>
          <w:shd w:val="clear" w:color="auto" w:fill="FFFF00"/>
        </w:rPr>
      </w:pPr>
    </w:p>
    <w:tbl>
      <w:tblPr>
        <w:tblStyle w:val="4"/>
        <w:tblW w:w="0" w:type="auto"/>
        <w:jc w:val="center"/>
        <w:tblLayout w:type="autofit"/>
        <w:tblCellMar>
          <w:top w:w="0" w:type="dxa"/>
          <w:left w:w="10" w:type="dxa"/>
          <w:bottom w:w="0" w:type="dxa"/>
          <w:right w:w="10" w:type="dxa"/>
        </w:tblCellMar>
      </w:tblPr>
      <w:tblGrid>
        <w:gridCol w:w="2372"/>
        <w:gridCol w:w="521"/>
        <w:gridCol w:w="1234"/>
        <w:gridCol w:w="2372"/>
        <w:gridCol w:w="521"/>
        <w:gridCol w:w="1314"/>
      </w:tblGrid>
      <w:tr>
        <w:tblPrEx>
          <w:tblCellMar>
            <w:top w:w="0" w:type="dxa"/>
            <w:left w:w="10" w:type="dxa"/>
            <w:bottom w:w="0" w:type="dxa"/>
            <w:right w:w="10" w:type="dxa"/>
          </w:tblCellMar>
        </w:tblPrEx>
        <w:trPr>
          <w:trHeight w:val="567" w:hRule="atLeast"/>
          <w:jc w:val="center"/>
        </w:trPr>
        <w:tc>
          <w:tcPr>
            <w:tcW w:w="8334" w:type="dxa"/>
            <w:gridSpan w:val="6"/>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keepNext w:val="0"/>
              <w:keepLines w:val="0"/>
              <w:pageBreakBefore w:val="0"/>
              <w:widowControl w:val="0"/>
              <w:kinsoku/>
              <w:wordWrap/>
              <w:overflowPunct/>
              <w:topLinePunct w:val="0"/>
              <w:autoSpaceDE/>
              <w:autoSpaceDN/>
              <w:bidi w:val="0"/>
              <w:adjustRightInd/>
              <w:snapToGrid/>
              <w:spacing w:line="570" w:lineRule="exact"/>
              <w:jc w:val="center"/>
              <w:textAlignment w:val="auto"/>
            </w:pPr>
            <w:r>
              <w:rPr>
                <w:rFonts w:ascii="黑体" w:hAnsi="黑体" w:eastAsia="黑体" w:cs="黑体"/>
                <w:sz w:val="40"/>
              </w:rPr>
              <w:t>收入支出决算总表</w:t>
            </w:r>
          </w:p>
        </w:tc>
      </w:tr>
      <w:tr>
        <w:tblPrEx>
          <w:tblCellMar>
            <w:top w:w="0" w:type="dxa"/>
            <w:left w:w="10" w:type="dxa"/>
            <w:bottom w:w="0" w:type="dxa"/>
            <w:right w:w="10" w:type="dxa"/>
          </w:tblCellMar>
        </w:tblPrEx>
        <w:trPr>
          <w:trHeight w:val="321" w:hRule="atLeast"/>
          <w:jc w:val="center"/>
        </w:trPr>
        <w:tc>
          <w:tcPr>
            <w:tcW w:w="237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521"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234"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237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521"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314"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公开01表</w:t>
            </w:r>
          </w:p>
        </w:tc>
      </w:tr>
      <w:tr>
        <w:tblPrEx>
          <w:tblCellMar>
            <w:top w:w="0" w:type="dxa"/>
            <w:left w:w="10" w:type="dxa"/>
            <w:bottom w:w="0" w:type="dxa"/>
            <w:right w:w="10" w:type="dxa"/>
          </w:tblCellMar>
        </w:tblPrEx>
        <w:trPr>
          <w:trHeight w:val="418" w:hRule="atLeast"/>
          <w:jc w:val="center"/>
        </w:trPr>
        <w:tc>
          <w:tcPr>
            <w:tcW w:w="6499" w:type="dxa"/>
            <w:gridSpan w:val="4"/>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rPr>
            </w:pPr>
            <w:r>
              <w:rPr>
                <w:rFonts w:ascii="宋体" w:hAnsi="宋体" w:eastAsia="宋体" w:cs="宋体"/>
                <w:sz w:val="20"/>
              </w:rPr>
              <w:t>部门：中国人民政治协商会议河北省遵化市委员会</w:t>
            </w:r>
          </w:p>
        </w:tc>
        <w:tc>
          <w:tcPr>
            <w:tcW w:w="521"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314"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金额单位：万元</w:t>
            </w:r>
          </w:p>
        </w:tc>
      </w:tr>
      <w:tr>
        <w:tblPrEx>
          <w:tblCellMar>
            <w:top w:w="0" w:type="dxa"/>
            <w:left w:w="10" w:type="dxa"/>
            <w:bottom w:w="0" w:type="dxa"/>
            <w:right w:w="10" w:type="dxa"/>
          </w:tblCellMar>
        </w:tblPrEx>
        <w:trPr>
          <w:trHeight w:val="295" w:hRule="atLeast"/>
          <w:jc w:val="center"/>
        </w:trPr>
        <w:tc>
          <w:tcPr>
            <w:tcW w:w="4127" w:type="dxa"/>
            <w:gridSpan w:val="3"/>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sz w:val="22"/>
              </w:rPr>
              <w:t>收入</w:t>
            </w:r>
          </w:p>
        </w:tc>
        <w:tc>
          <w:tcPr>
            <w:tcW w:w="4207" w:type="dxa"/>
            <w:gridSpan w:val="3"/>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sz w:val="22"/>
              </w:rPr>
              <w:t>支出</w:t>
            </w:r>
          </w:p>
        </w:tc>
      </w:tr>
      <w:tr>
        <w:tblPrEx>
          <w:tblCellMar>
            <w:top w:w="0" w:type="dxa"/>
            <w:left w:w="10" w:type="dxa"/>
            <w:bottom w:w="0" w:type="dxa"/>
            <w:right w:w="10" w:type="dxa"/>
          </w:tblCellMar>
        </w:tblPrEx>
        <w:trPr>
          <w:trHeight w:val="295"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sz w:val="22"/>
              </w:rPr>
              <w:t>项目</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sz w:val="22"/>
              </w:rPr>
              <w:t>行次</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sz w:val="22"/>
              </w:rPr>
              <w:t>金额</w:t>
            </w: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sz w:val="22"/>
              </w:rPr>
              <w:t>项目</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sz w:val="22"/>
              </w:rPr>
              <w:t>行次</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sz w:val="22"/>
              </w:rPr>
              <w:t>金额</w:t>
            </w:r>
          </w:p>
        </w:tc>
      </w:tr>
      <w:tr>
        <w:tblPrEx>
          <w:tblCellMar>
            <w:top w:w="0" w:type="dxa"/>
            <w:left w:w="10" w:type="dxa"/>
            <w:bottom w:w="0" w:type="dxa"/>
            <w:right w:w="10" w:type="dxa"/>
          </w:tblCellMar>
        </w:tblPrEx>
        <w:trPr>
          <w:trHeight w:val="295"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栏次</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w:t>
            </w: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栏次</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w:t>
            </w:r>
          </w:p>
        </w:tc>
      </w:tr>
      <w:tr>
        <w:tblPrEx>
          <w:tblCellMar>
            <w:top w:w="0" w:type="dxa"/>
            <w:left w:w="10" w:type="dxa"/>
            <w:bottom w:w="0" w:type="dxa"/>
            <w:right w:w="10" w:type="dxa"/>
          </w:tblCellMar>
        </w:tblPrEx>
        <w:trPr>
          <w:trHeight w:val="365"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一、财政拨款收入</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522.07</w:t>
            </w: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一、一般公共服务支出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28</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435.63</w:t>
            </w: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二、上级补助收入</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二、外交支出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29</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三、事业收入</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三、国防支出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30</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四、经营收入</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四、公共安全支出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31</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五、附属单位上缴收入</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5</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五、教育支出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32</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六、其他收入</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6</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六、科学技术支出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33</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7</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七、文化体育与传媒支出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34</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8</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八、社会保障和就业支出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35</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32.7</w:t>
            </w: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9</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九、医疗卫生与计划生育支出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36</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34.09</w:t>
            </w: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10</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十、节能环保支出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37</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11</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十一、城乡社区支出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38</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12</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十二、农林水支出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39</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13</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十三、交通运输支出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40</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14</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十四、资源勘探信息等支出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41</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15</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十五、商业服务业等支出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42</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16</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十六、金融支出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43</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17</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十七、援助其他地区支出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44</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18</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十八、国土海洋气象等支出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45</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19</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十九、住房保障支出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46</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19.65</w:t>
            </w: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20</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二十、粮油物资储备支出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47</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21</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二十一、其他支出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48</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22</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二十二、债务还本支出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49</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23</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二十三、债务付息支出</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50</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本年收入合计</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24</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18"/>
              </w:rPr>
              <w:t>522.07</w:t>
            </w: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本年支出合计</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51</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522.07</w:t>
            </w:r>
          </w:p>
        </w:tc>
      </w:tr>
      <w:tr>
        <w:tblPrEx>
          <w:tblCellMar>
            <w:top w:w="0" w:type="dxa"/>
            <w:left w:w="10" w:type="dxa"/>
            <w:bottom w:w="0" w:type="dxa"/>
            <w:right w:w="10" w:type="dxa"/>
          </w:tblCellMar>
        </w:tblPrEx>
        <w:trPr>
          <w:trHeight w:val="385"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用事业基金弥补收支差额</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25</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结余分配</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52</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年初结转和结余</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26</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sz w:val="20"/>
              </w:rPr>
              <w:t>年末结转和结余</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53</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7" w:hRule="atLeast"/>
          <w:jc w:val="center"/>
        </w:trPr>
        <w:tc>
          <w:tcPr>
            <w:tcW w:w="2372"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b/>
                <w:sz w:val="20"/>
              </w:rPr>
              <w:t>总计</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27</w:t>
            </w:r>
          </w:p>
        </w:tc>
        <w:tc>
          <w:tcPr>
            <w:tcW w:w="123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18"/>
              </w:rPr>
              <w:t>522.07</w:t>
            </w:r>
          </w:p>
        </w:tc>
        <w:tc>
          <w:tcPr>
            <w:tcW w:w="237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b/>
                <w:sz w:val="20"/>
              </w:rPr>
              <w:t>总计</w:t>
            </w:r>
          </w:p>
        </w:tc>
        <w:tc>
          <w:tcPr>
            <w:tcW w:w="52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sz w:val="20"/>
              </w:rPr>
              <w:t>54</w:t>
            </w:r>
          </w:p>
        </w:tc>
        <w:tc>
          <w:tcPr>
            <w:tcW w:w="131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sz w:val="20"/>
              </w:rPr>
              <w:t>522.07</w:t>
            </w:r>
          </w:p>
        </w:tc>
      </w:tr>
      <w:tr>
        <w:tblPrEx>
          <w:tblCellMar>
            <w:top w:w="0" w:type="dxa"/>
            <w:left w:w="10" w:type="dxa"/>
            <w:bottom w:w="0" w:type="dxa"/>
            <w:right w:w="10" w:type="dxa"/>
          </w:tblCellMar>
        </w:tblPrEx>
        <w:trPr>
          <w:trHeight w:val="417" w:hRule="atLeast"/>
          <w:jc w:val="center"/>
        </w:trPr>
        <w:tc>
          <w:tcPr>
            <w:tcW w:w="8334" w:type="dxa"/>
            <w:gridSpan w:val="6"/>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rPr>
              <w:t>注：本表反映部门本年度的总收支和年末结转结余情况。</w:t>
            </w:r>
          </w:p>
        </w:tc>
      </w:tr>
    </w:tbl>
    <w:p>
      <w:pPr>
        <w:spacing w:line="560" w:lineRule="auto"/>
        <w:jc w:val="left"/>
        <w:rPr>
          <w:rFonts w:ascii="仿宋_GB2312" w:hAnsi="仿宋_GB2312" w:eastAsia="仿宋_GB2312" w:cs="仿宋_GB2312"/>
          <w:b/>
          <w:sz w:val="28"/>
          <w:shd w:val="clear" w:color="auto" w:fill="FFFF00"/>
        </w:rPr>
      </w:pPr>
    </w:p>
    <w:tbl>
      <w:tblPr>
        <w:tblStyle w:val="4"/>
        <w:tblW w:w="0" w:type="auto"/>
        <w:jc w:val="center"/>
        <w:tblLayout w:type="autofit"/>
        <w:tblCellMar>
          <w:top w:w="0" w:type="dxa"/>
          <w:left w:w="10" w:type="dxa"/>
          <w:bottom w:w="0" w:type="dxa"/>
          <w:right w:w="10" w:type="dxa"/>
        </w:tblCellMar>
      </w:tblPr>
      <w:tblGrid>
        <w:gridCol w:w="306"/>
        <w:gridCol w:w="470"/>
        <w:gridCol w:w="473"/>
        <w:gridCol w:w="1102"/>
        <w:gridCol w:w="480"/>
        <w:gridCol w:w="237"/>
        <w:gridCol w:w="481"/>
        <w:gridCol w:w="649"/>
        <w:gridCol w:w="219"/>
        <w:gridCol w:w="496"/>
        <w:gridCol w:w="287"/>
        <w:gridCol w:w="406"/>
        <w:gridCol w:w="376"/>
        <w:gridCol w:w="319"/>
        <w:gridCol w:w="464"/>
        <w:gridCol w:w="782"/>
        <w:gridCol w:w="787"/>
      </w:tblGrid>
      <w:tr>
        <w:tblPrEx>
          <w:tblCellMar>
            <w:top w:w="0" w:type="dxa"/>
            <w:left w:w="10" w:type="dxa"/>
            <w:bottom w:w="0" w:type="dxa"/>
            <w:right w:w="10" w:type="dxa"/>
          </w:tblCellMar>
        </w:tblPrEx>
        <w:trPr>
          <w:trHeight w:val="770" w:hRule="atLeast"/>
          <w:jc w:val="center"/>
        </w:trPr>
        <w:tc>
          <w:tcPr>
            <w:tcW w:w="8334" w:type="dxa"/>
            <w:gridSpan w:val="17"/>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bottom"/>
          </w:tcPr>
          <w:p>
            <w:pPr>
              <w:spacing w:after="160" w:line="480" w:lineRule="auto"/>
              <w:jc w:val="center"/>
            </w:pPr>
            <w:r>
              <w:rPr>
                <w:rFonts w:ascii="黑体" w:hAnsi="黑体" w:eastAsia="黑体" w:cs="黑体"/>
                <w:color w:val="000000"/>
                <w:sz w:val="40"/>
              </w:rPr>
              <w:t>收入决算表</w:t>
            </w:r>
          </w:p>
        </w:tc>
      </w:tr>
      <w:tr>
        <w:tblPrEx>
          <w:tblCellMar>
            <w:top w:w="0" w:type="dxa"/>
            <w:left w:w="10" w:type="dxa"/>
            <w:bottom w:w="0" w:type="dxa"/>
            <w:right w:w="10" w:type="dxa"/>
          </w:tblCellMar>
        </w:tblPrEx>
        <w:trPr>
          <w:trHeight w:val="362" w:hRule="atLeast"/>
          <w:jc w:val="center"/>
        </w:trPr>
        <w:tc>
          <w:tcPr>
            <w:tcW w:w="306"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470"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473"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10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480"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23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130"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715"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693"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695"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2033" w:type="dxa"/>
            <w:gridSpan w:val="3"/>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公开02表</w:t>
            </w:r>
          </w:p>
        </w:tc>
      </w:tr>
      <w:tr>
        <w:tblPrEx>
          <w:tblCellMar>
            <w:top w:w="0" w:type="dxa"/>
            <w:left w:w="10" w:type="dxa"/>
            <w:bottom w:w="0" w:type="dxa"/>
            <w:right w:w="10" w:type="dxa"/>
          </w:tblCellMar>
        </w:tblPrEx>
        <w:trPr>
          <w:trHeight w:val="362" w:hRule="atLeast"/>
          <w:jc w:val="center"/>
        </w:trPr>
        <w:tc>
          <w:tcPr>
            <w:tcW w:w="6301" w:type="dxa"/>
            <w:gridSpan w:val="14"/>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rPr>
            </w:pPr>
            <w:r>
              <w:rPr>
                <w:rFonts w:ascii="宋体" w:hAnsi="宋体" w:eastAsia="宋体" w:cs="宋体"/>
                <w:color w:val="000000"/>
              </w:rPr>
              <w:t>部门：</w:t>
            </w:r>
            <w:r>
              <w:rPr>
                <w:rFonts w:ascii="宋体" w:hAnsi="宋体" w:eastAsia="宋体" w:cs="宋体"/>
                <w:sz w:val="20"/>
              </w:rPr>
              <w:t>中国人民政治协商会议河北省遵化市委员会</w:t>
            </w:r>
          </w:p>
        </w:tc>
        <w:tc>
          <w:tcPr>
            <w:tcW w:w="2033" w:type="dxa"/>
            <w:gridSpan w:val="3"/>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金额单位：万元</w:t>
            </w:r>
          </w:p>
        </w:tc>
      </w:tr>
      <w:tr>
        <w:tblPrEx>
          <w:tblCellMar>
            <w:top w:w="0" w:type="dxa"/>
            <w:left w:w="10" w:type="dxa"/>
            <w:bottom w:w="0" w:type="dxa"/>
            <w:right w:w="10" w:type="dxa"/>
          </w:tblCellMar>
        </w:tblPrEx>
        <w:trPr>
          <w:trHeight w:val="325" w:hRule="atLeast"/>
          <w:jc w:val="center"/>
        </w:trPr>
        <w:tc>
          <w:tcPr>
            <w:tcW w:w="2351" w:type="dxa"/>
            <w:gridSpan w:val="4"/>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项目</w:t>
            </w:r>
          </w:p>
        </w:tc>
        <w:tc>
          <w:tcPr>
            <w:tcW w:w="1198" w:type="dxa"/>
            <w:gridSpan w:val="3"/>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本年收入合计</w:t>
            </w:r>
          </w:p>
        </w:tc>
        <w:tc>
          <w:tcPr>
            <w:tcW w:w="868" w:type="dxa"/>
            <w:gridSpan w:val="2"/>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财政拨款收入</w:t>
            </w:r>
          </w:p>
        </w:tc>
        <w:tc>
          <w:tcPr>
            <w:tcW w:w="783" w:type="dxa"/>
            <w:gridSpan w:val="2"/>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上级补助收入</w:t>
            </w:r>
          </w:p>
        </w:tc>
        <w:tc>
          <w:tcPr>
            <w:tcW w:w="782" w:type="dxa"/>
            <w:gridSpan w:val="2"/>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事业收入</w:t>
            </w:r>
          </w:p>
        </w:tc>
        <w:tc>
          <w:tcPr>
            <w:tcW w:w="783" w:type="dxa"/>
            <w:gridSpan w:val="2"/>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经营收入</w:t>
            </w:r>
          </w:p>
        </w:tc>
        <w:tc>
          <w:tcPr>
            <w:tcW w:w="782" w:type="dxa"/>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附属单位上缴收入</w:t>
            </w:r>
          </w:p>
        </w:tc>
        <w:tc>
          <w:tcPr>
            <w:tcW w:w="787" w:type="dxa"/>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其他收入</w:t>
            </w:r>
          </w:p>
        </w:tc>
      </w:tr>
      <w:tr>
        <w:tblPrEx>
          <w:tblCellMar>
            <w:top w:w="0" w:type="dxa"/>
            <w:left w:w="10" w:type="dxa"/>
            <w:bottom w:w="0" w:type="dxa"/>
            <w:right w:w="10" w:type="dxa"/>
          </w:tblCellMar>
        </w:tblPrEx>
        <w:trPr>
          <w:trHeight w:val="626"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功能分类科目编码</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科目名称</w:t>
            </w:r>
          </w:p>
        </w:tc>
        <w:tc>
          <w:tcPr>
            <w:tcW w:w="1198" w:type="dxa"/>
            <w:gridSpan w:val="3"/>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868" w:type="dxa"/>
            <w:gridSpan w:val="2"/>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83" w:type="dxa"/>
            <w:gridSpan w:val="2"/>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82" w:type="dxa"/>
            <w:gridSpan w:val="2"/>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83" w:type="dxa"/>
            <w:gridSpan w:val="2"/>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82"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87"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391" w:hRule="atLeast"/>
          <w:jc w:val="center"/>
        </w:trPr>
        <w:tc>
          <w:tcPr>
            <w:tcW w:w="2351"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栏次</w:t>
            </w:r>
          </w:p>
        </w:tc>
        <w:tc>
          <w:tcPr>
            <w:tcW w:w="1198" w:type="dxa"/>
            <w:gridSpan w:val="3"/>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w:t>
            </w:r>
          </w:p>
        </w:tc>
        <w:tc>
          <w:tcPr>
            <w:tcW w:w="868"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w:t>
            </w:r>
          </w:p>
        </w:tc>
        <w:tc>
          <w:tcPr>
            <w:tcW w:w="783"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w:t>
            </w:r>
          </w:p>
        </w:tc>
        <w:tc>
          <w:tcPr>
            <w:tcW w:w="782"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w:t>
            </w:r>
          </w:p>
        </w:tc>
        <w:tc>
          <w:tcPr>
            <w:tcW w:w="783"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w:t>
            </w:r>
          </w:p>
        </w:tc>
        <w:tc>
          <w:tcPr>
            <w:tcW w:w="782"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6</w:t>
            </w:r>
          </w:p>
        </w:tc>
        <w:tc>
          <w:tcPr>
            <w:tcW w:w="78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7</w:t>
            </w:r>
          </w:p>
        </w:tc>
      </w:tr>
      <w:tr>
        <w:tblPrEx>
          <w:tblCellMar>
            <w:top w:w="0" w:type="dxa"/>
            <w:left w:w="10" w:type="dxa"/>
            <w:bottom w:w="0" w:type="dxa"/>
            <w:right w:w="10" w:type="dxa"/>
          </w:tblCellMar>
        </w:tblPrEx>
        <w:trPr>
          <w:trHeight w:val="90" w:hRule="atLeast"/>
          <w:jc w:val="center"/>
        </w:trPr>
        <w:tc>
          <w:tcPr>
            <w:tcW w:w="2351"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合计</w:t>
            </w:r>
          </w:p>
        </w:tc>
        <w:tc>
          <w:tcPr>
            <w:tcW w:w="1198" w:type="dxa"/>
            <w:gridSpan w:val="3"/>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b/>
                <w:color w:val="000000"/>
              </w:rPr>
              <w:t>522.07</w:t>
            </w:r>
          </w:p>
        </w:tc>
        <w:tc>
          <w:tcPr>
            <w:tcW w:w="868" w:type="dxa"/>
            <w:gridSpan w:val="2"/>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b/>
                <w:color w:val="000000"/>
              </w:rPr>
              <w:t>522.07</w:t>
            </w:r>
          </w:p>
        </w:tc>
        <w:tc>
          <w:tcPr>
            <w:tcW w:w="783" w:type="dxa"/>
            <w:gridSpan w:val="2"/>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782" w:type="dxa"/>
            <w:gridSpan w:val="2"/>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一般公共服务支出</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435.63</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435.63</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政协事务</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435.63</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435.63</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2010201</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行政运行</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2010202</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一般行政管理事务</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36.67</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36.67</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2010204</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政协会议</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45.63</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45.63</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2010205</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政协视察</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36.00</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36.00</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2010206</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参政议政</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22.93</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22.93</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社会保障和就业支出</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20805</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行政事业单位离退休</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2080505</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行政事业单位基本养老保险缴费支出</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医疗卫生与计划生育</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21011</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行政事业单位医疗</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2101101</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行政单位医疗</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住房保障支出</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22102</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住房改革支出</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71" w:hRule="atLeast"/>
          <w:jc w:val="center"/>
        </w:trPr>
        <w:tc>
          <w:tcPr>
            <w:tcW w:w="1249"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2210201</w:t>
            </w:r>
          </w:p>
        </w:tc>
        <w:tc>
          <w:tcPr>
            <w:tcW w:w="110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住房公积金</w:t>
            </w:r>
          </w:p>
        </w:tc>
        <w:tc>
          <w:tcPr>
            <w:tcW w:w="1198" w:type="dxa"/>
            <w:gridSpan w:val="3"/>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86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78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2"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8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81" w:hRule="atLeast"/>
          <w:jc w:val="center"/>
        </w:trPr>
        <w:tc>
          <w:tcPr>
            <w:tcW w:w="8334" w:type="dxa"/>
            <w:gridSpan w:val="17"/>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注：本表反映部门本年度取得的各项收入情况。</w:t>
            </w:r>
          </w:p>
        </w:tc>
      </w:tr>
    </w:tbl>
    <w:p>
      <w:pPr>
        <w:spacing w:line="560" w:lineRule="auto"/>
        <w:jc w:val="left"/>
        <w:rPr>
          <w:rFonts w:ascii="仿宋_GB2312" w:hAnsi="仿宋_GB2312" w:eastAsia="仿宋_GB2312" w:cs="仿宋_GB2312"/>
          <w:b/>
          <w:sz w:val="28"/>
          <w:shd w:val="clear" w:color="auto" w:fill="FFFF00"/>
        </w:rPr>
      </w:pPr>
    </w:p>
    <w:tbl>
      <w:tblPr>
        <w:tblStyle w:val="4"/>
        <w:tblW w:w="0" w:type="auto"/>
        <w:tblInd w:w="4" w:type="dxa"/>
        <w:tblLayout w:type="autofit"/>
        <w:tblCellMar>
          <w:top w:w="0" w:type="dxa"/>
          <w:left w:w="10" w:type="dxa"/>
          <w:bottom w:w="0" w:type="dxa"/>
          <w:right w:w="10" w:type="dxa"/>
        </w:tblCellMar>
      </w:tblPr>
      <w:tblGrid>
        <w:gridCol w:w="1274"/>
        <w:gridCol w:w="981"/>
        <w:gridCol w:w="1006"/>
        <w:gridCol w:w="1007"/>
        <w:gridCol w:w="666"/>
        <w:gridCol w:w="340"/>
        <w:gridCol w:w="660"/>
        <w:gridCol w:w="293"/>
        <w:gridCol w:w="693"/>
        <w:gridCol w:w="260"/>
        <w:gridCol w:w="963"/>
      </w:tblGrid>
      <w:tr>
        <w:tblPrEx>
          <w:tblCellMar>
            <w:top w:w="0" w:type="dxa"/>
            <w:left w:w="10" w:type="dxa"/>
            <w:bottom w:w="0" w:type="dxa"/>
            <w:right w:w="10" w:type="dxa"/>
          </w:tblCellMar>
        </w:tblPrEx>
        <w:trPr>
          <w:trHeight w:val="705" w:hRule="atLeast"/>
        </w:trPr>
        <w:tc>
          <w:tcPr>
            <w:tcW w:w="8143" w:type="dxa"/>
            <w:gridSpan w:val="11"/>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center"/>
            </w:pPr>
            <w:r>
              <w:rPr>
                <w:rFonts w:ascii="黑体" w:hAnsi="黑体" w:eastAsia="黑体" w:cs="黑体"/>
                <w:color w:val="000000"/>
                <w:sz w:val="40"/>
              </w:rPr>
              <w:t>支出决算表</w:t>
            </w:r>
          </w:p>
        </w:tc>
      </w:tr>
      <w:tr>
        <w:tblPrEx>
          <w:tblCellMar>
            <w:top w:w="0" w:type="dxa"/>
            <w:left w:w="10" w:type="dxa"/>
            <w:bottom w:w="0" w:type="dxa"/>
            <w:right w:w="10" w:type="dxa"/>
          </w:tblCellMar>
        </w:tblPrEx>
        <w:trPr>
          <w:trHeight w:val="357" w:hRule="atLeast"/>
        </w:trPr>
        <w:tc>
          <w:tcPr>
            <w:tcW w:w="4934" w:type="dxa"/>
            <w:gridSpan w:val="5"/>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000"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986"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223"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公开03表</w:t>
            </w:r>
          </w:p>
        </w:tc>
      </w:tr>
      <w:tr>
        <w:tblPrEx>
          <w:tblCellMar>
            <w:top w:w="0" w:type="dxa"/>
            <w:left w:w="10" w:type="dxa"/>
            <w:bottom w:w="0" w:type="dxa"/>
            <w:right w:w="10" w:type="dxa"/>
          </w:tblCellMar>
        </w:tblPrEx>
        <w:trPr>
          <w:trHeight w:val="336" w:hRule="atLeast"/>
        </w:trPr>
        <w:tc>
          <w:tcPr>
            <w:tcW w:w="5934" w:type="dxa"/>
            <w:gridSpan w:val="7"/>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rPr>
            </w:pPr>
            <w:r>
              <w:rPr>
                <w:rFonts w:ascii="宋体" w:hAnsi="宋体" w:eastAsia="宋体" w:cs="宋体"/>
                <w:color w:val="000000"/>
              </w:rPr>
              <w:t>部门：</w:t>
            </w:r>
            <w:r>
              <w:rPr>
                <w:rFonts w:ascii="宋体" w:hAnsi="宋体" w:eastAsia="宋体" w:cs="宋体"/>
                <w:sz w:val="20"/>
              </w:rPr>
              <w:t>中国人民政治协商会议河北省遵化市委员会</w:t>
            </w:r>
          </w:p>
        </w:tc>
        <w:tc>
          <w:tcPr>
            <w:tcW w:w="2209" w:type="dxa"/>
            <w:gridSpan w:val="4"/>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金额单位：万元</w:t>
            </w:r>
          </w:p>
        </w:tc>
      </w:tr>
      <w:tr>
        <w:tblPrEx>
          <w:tblCellMar>
            <w:top w:w="0" w:type="dxa"/>
            <w:left w:w="10" w:type="dxa"/>
            <w:bottom w:w="0" w:type="dxa"/>
            <w:right w:w="10" w:type="dxa"/>
          </w:tblCellMar>
        </w:tblPrEx>
        <w:trPr>
          <w:trHeight w:val="530" w:hRule="atLeast"/>
        </w:trPr>
        <w:tc>
          <w:tcPr>
            <w:tcW w:w="2255" w:type="dxa"/>
            <w:gridSpan w:val="2"/>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项目</w:t>
            </w:r>
          </w:p>
        </w:tc>
        <w:tc>
          <w:tcPr>
            <w:tcW w:w="1006" w:type="dxa"/>
            <w:vMerge w:val="restart"/>
            <w:tcBorders>
              <w:top w:val="single" w:color="000000" w:sz="4" w:space="0"/>
              <w:left w:val="single" w:color="000000" w:sz="6" w:space="0"/>
              <w:bottom w:val="single" w:color="000000" w:sz="6"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本年支出合计</w:t>
            </w:r>
          </w:p>
        </w:tc>
        <w:tc>
          <w:tcPr>
            <w:tcW w:w="1007" w:type="dxa"/>
            <w:vMerge w:val="restart"/>
            <w:tcBorders>
              <w:top w:val="single" w:color="000000" w:sz="4" w:space="0"/>
              <w:left w:val="single" w:color="000000" w:sz="6" w:space="0"/>
              <w:bottom w:val="single" w:color="000000" w:sz="6"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基本支出</w:t>
            </w:r>
          </w:p>
        </w:tc>
        <w:tc>
          <w:tcPr>
            <w:tcW w:w="1006" w:type="dxa"/>
            <w:gridSpan w:val="2"/>
            <w:vMerge w:val="restart"/>
            <w:tcBorders>
              <w:top w:val="single" w:color="000000" w:sz="4" w:space="0"/>
              <w:left w:val="single" w:color="000000" w:sz="6" w:space="0"/>
              <w:bottom w:val="single" w:color="000000" w:sz="6"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项目支出</w:t>
            </w:r>
          </w:p>
        </w:tc>
        <w:tc>
          <w:tcPr>
            <w:tcW w:w="953" w:type="dxa"/>
            <w:gridSpan w:val="2"/>
            <w:vMerge w:val="restart"/>
            <w:tcBorders>
              <w:top w:val="single" w:color="000000" w:sz="4" w:space="0"/>
              <w:left w:val="single" w:color="000000" w:sz="6" w:space="0"/>
              <w:bottom w:val="single" w:color="000000" w:sz="6"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上缴上级支出</w:t>
            </w:r>
          </w:p>
        </w:tc>
        <w:tc>
          <w:tcPr>
            <w:tcW w:w="953" w:type="dxa"/>
            <w:gridSpan w:val="2"/>
            <w:vMerge w:val="restart"/>
            <w:tcBorders>
              <w:top w:val="single" w:color="000000" w:sz="4" w:space="0"/>
              <w:left w:val="single" w:color="000000" w:sz="6" w:space="0"/>
              <w:bottom w:val="single" w:color="000000" w:sz="6"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经营支出</w:t>
            </w:r>
          </w:p>
        </w:tc>
        <w:tc>
          <w:tcPr>
            <w:tcW w:w="963" w:type="dxa"/>
            <w:vMerge w:val="restart"/>
            <w:tcBorders>
              <w:top w:val="single" w:color="000000" w:sz="4" w:space="0"/>
              <w:left w:val="single" w:color="000000" w:sz="6" w:space="0"/>
              <w:bottom w:val="single" w:color="000000" w:sz="6"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对附属单位补助支出</w:t>
            </w:r>
          </w:p>
        </w:tc>
      </w:tr>
      <w:tr>
        <w:tblPrEx>
          <w:tblCellMar>
            <w:top w:w="0" w:type="dxa"/>
            <w:left w:w="10" w:type="dxa"/>
            <w:bottom w:w="0" w:type="dxa"/>
            <w:right w:w="10" w:type="dxa"/>
          </w:tblCellMar>
        </w:tblPrEx>
        <w:trPr>
          <w:trHeight w:val="691"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功能分类科目编码</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科目名称</w:t>
            </w:r>
          </w:p>
        </w:tc>
        <w:tc>
          <w:tcPr>
            <w:tcW w:w="1006"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0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06"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953"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953"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963"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349" w:hRule="atLeast"/>
        </w:trPr>
        <w:tc>
          <w:tcPr>
            <w:tcW w:w="2255"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栏次</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2</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3</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4</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5</w:t>
            </w: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6</w:t>
            </w:r>
          </w:p>
        </w:tc>
      </w:tr>
      <w:tr>
        <w:tblPrEx>
          <w:tblCellMar>
            <w:top w:w="0" w:type="dxa"/>
            <w:left w:w="10" w:type="dxa"/>
            <w:bottom w:w="0" w:type="dxa"/>
            <w:right w:w="10" w:type="dxa"/>
          </w:tblCellMar>
        </w:tblPrEx>
        <w:trPr>
          <w:trHeight w:val="389" w:hRule="atLeast"/>
        </w:trPr>
        <w:tc>
          <w:tcPr>
            <w:tcW w:w="2255"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合计</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b/>
                <w:color w:val="000000"/>
              </w:rPr>
              <w:t>522.07</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b/>
                <w:color w:val="000000"/>
              </w:rPr>
              <w:t>380.86</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b/>
                <w:color w:val="000000"/>
              </w:rPr>
              <w:t>141.22</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一般公共服务支出</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435.63</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141.22</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政协事务</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435.63</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141.22</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2010201</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行政运行</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2010202</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一般行政管理事务</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36.67</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0.00</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36.67</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2010204</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政协会议</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45.63</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0.00</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45.63</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2010205</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政协视察</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36.00</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0.00</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36.00</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2010206</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参政议政</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22.93</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0.00</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22.93</w:t>
            </w: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社会保障和就业支出</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20805</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行政事业单位离退休</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2080505</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行政事业单位基本养老保险缴费支出</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医疗卫生与计划生育</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21011</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行政事业单位医疗</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2101101</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行政单位医疗</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住房保障支出</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22102</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住房改革支出</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13" w:hRule="atLeast"/>
        </w:trPr>
        <w:tc>
          <w:tcPr>
            <w:tcW w:w="1274"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2210201</w:t>
            </w:r>
          </w:p>
        </w:tc>
        <w:tc>
          <w:tcPr>
            <w:tcW w:w="98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住房公积金</w:t>
            </w:r>
          </w:p>
        </w:tc>
        <w:tc>
          <w:tcPr>
            <w:tcW w:w="100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0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00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53"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6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660" w:hRule="atLeast"/>
        </w:trPr>
        <w:tc>
          <w:tcPr>
            <w:tcW w:w="8143" w:type="dxa"/>
            <w:gridSpan w:val="11"/>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注：本表反映部门本年度各项支出情况。</w:t>
            </w:r>
          </w:p>
        </w:tc>
      </w:tr>
    </w:tbl>
    <w:p>
      <w:pPr>
        <w:spacing w:line="560" w:lineRule="auto"/>
        <w:jc w:val="left"/>
        <w:rPr>
          <w:rFonts w:ascii="仿宋_GB2312" w:hAnsi="仿宋_GB2312" w:eastAsia="仿宋_GB2312" w:cs="仿宋_GB2312"/>
          <w:b/>
          <w:sz w:val="28"/>
          <w:shd w:val="clear" w:color="auto" w:fill="FFFF00"/>
        </w:rPr>
      </w:pPr>
    </w:p>
    <w:tbl>
      <w:tblPr>
        <w:tblStyle w:val="4"/>
        <w:tblW w:w="0" w:type="auto"/>
        <w:tblInd w:w="4" w:type="dxa"/>
        <w:tblLayout w:type="autofit"/>
        <w:tblCellMar>
          <w:top w:w="0" w:type="dxa"/>
          <w:left w:w="10" w:type="dxa"/>
          <w:bottom w:w="0" w:type="dxa"/>
          <w:right w:w="10" w:type="dxa"/>
        </w:tblCellMar>
      </w:tblPr>
      <w:tblGrid>
        <w:gridCol w:w="1364"/>
        <w:gridCol w:w="594"/>
        <w:gridCol w:w="297"/>
        <w:gridCol w:w="782"/>
        <w:gridCol w:w="1680"/>
        <w:gridCol w:w="586"/>
        <w:gridCol w:w="323"/>
        <w:gridCol w:w="523"/>
        <w:gridCol w:w="646"/>
        <w:gridCol w:w="552"/>
        <w:gridCol w:w="249"/>
        <w:gridCol w:w="734"/>
      </w:tblGrid>
      <w:tr>
        <w:tblPrEx>
          <w:tblCellMar>
            <w:top w:w="0" w:type="dxa"/>
            <w:left w:w="10" w:type="dxa"/>
            <w:bottom w:w="0" w:type="dxa"/>
            <w:right w:w="10" w:type="dxa"/>
          </w:tblCellMar>
        </w:tblPrEx>
        <w:trPr>
          <w:trHeight w:val="152" w:hRule="atLeast"/>
        </w:trPr>
        <w:tc>
          <w:tcPr>
            <w:tcW w:w="8827" w:type="dxa"/>
            <w:gridSpan w:val="1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center"/>
            </w:pPr>
            <w:r>
              <w:rPr>
                <w:rFonts w:ascii="黑体" w:hAnsi="黑体" w:eastAsia="黑体" w:cs="黑体"/>
                <w:color w:val="000000"/>
                <w:sz w:val="40"/>
              </w:rPr>
              <w:t>财政拨款收入支出决算总表</w:t>
            </w:r>
          </w:p>
        </w:tc>
      </w:tr>
      <w:tr>
        <w:tblPrEx>
          <w:tblCellMar>
            <w:top w:w="0" w:type="dxa"/>
            <w:left w:w="10" w:type="dxa"/>
            <w:bottom w:w="0" w:type="dxa"/>
            <w:right w:w="10" w:type="dxa"/>
          </w:tblCellMar>
        </w:tblPrEx>
        <w:trPr>
          <w:trHeight w:val="90" w:hRule="atLeast"/>
        </w:trPr>
        <w:tc>
          <w:tcPr>
            <w:tcW w:w="146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638"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305"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2604"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966"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56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256"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034"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20"/>
              </w:rPr>
              <w:t>公开04表</w:t>
            </w:r>
          </w:p>
        </w:tc>
      </w:tr>
      <w:tr>
        <w:tblPrEx>
          <w:tblCellMar>
            <w:top w:w="0" w:type="dxa"/>
            <w:left w:w="10" w:type="dxa"/>
            <w:bottom w:w="0" w:type="dxa"/>
            <w:right w:w="10" w:type="dxa"/>
          </w:tblCellMar>
        </w:tblPrEx>
        <w:trPr>
          <w:trHeight w:val="152" w:hRule="atLeast"/>
        </w:trPr>
        <w:tc>
          <w:tcPr>
            <w:tcW w:w="5975" w:type="dxa"/>
            <w:gridSpan w:val="7"/>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20"/>
              </w:rPr>
              <w:t>部门：</w:t>
            </w:r>
            <w:r>
              <w:rPr>
                <w:rFonts w:ascii="宋体" w:hAnsi="宋体" w:eastAsia="宋体" w:cs="宋体"/>
                <w:sz w:val="20"/>
              </w:rPr>
              <w:t>中国人民政治协商会议河北省遵化市委员会</w:t>
            </w:r>
          </w:p>
        </w:tc>
        <w:tc>
          <w:tcPr>
            <w:tcW w:w="56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2290" w:type="dxa"/>
            <w:gridSpan w:val="4"/>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20"/>
              </w:rPr>
              <w:t>金额单位：万元</w:t>
            </w:r>
          </w:p>
        </w:tc>
      </w:tr>
      <w:tr>
        <w:tblPrEx>
          <w:tblCellMar>
            <w:top w:w="0" w:type="dxa"/>
            <w:left w:w="10" w:type="dxa"/>
            <w:bottom w:w="0" w:type="dxa"/>
            <w:right w:w="10" w:type="dxa"/>
          </w:tblCellMar>
        </w:tblPrEx>
        <w:trPr>
          <w:trHeight w:val="90" w:hRule="atLeast"/>
        </w:trPr>
        <w:tc>
          <w:tcPr>
            <w:tcW w:w="2405" w:type="dxa"/>
            <w:gridSpan w:val="3"/>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收     入</w:t>
            </w:r>
          </w:p>
        </w:tc>
        <w:tc>
          <w:tcPr>
            <w:tcW w:w="6422" w:type="dxa"/>
            <w:gridSpan w:val="9"/>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20"/>
              </w:rPr>
              <w:t>支     出</w:t>
            </w:r>
          </w:p>
        </w:tc>
      </w:tr>
      <w:tr>
        <w:tblPrEx>
          <w:tblCellMar>
            <w:top w:w="0" w:type="dxa"/>
            <w:left w:w="10" w:type="dxa"/>
            <w:bottom w:w="0" w:type="dxa"/>
            <w:right w:w="10" w:type="dxa"/>
          </w:tblCellMar>
        </w:tblPrEx>
        <w:trPr>
          <w:trHeight w:val="17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项目</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行次</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金额</w:t>
            </w: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项目</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行次</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合计</w:t>
            </w: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一般公共预算财政拨款</w:t>
            </w: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政府性基金预算财政拨款</w:t>
            </w: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栏次</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w:t>
            </w: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栏次</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w:t>
            </w: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w:t>
            </w: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w:t>
            </w:r>
          </w:p>
        </w:tc>
      </w:tr>
      <w:tr>
        <w:tblPrEx>
          <w:tblCellMar>
            <w:top w:w="0" w:type="dxa"/>
            <w:left w:w="10" w:type="dxa"/>
            <w:bottom w:w="0" w:type="dxa"/>
            <w:right w:w="10" w:type="dxa"/>
          </w:tblCellMar>
        </w:tblPrEx>
        <w:trPr>
          <w:trHeight w:val="12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一、一般公共预算财政拨款</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522.07</w:t>
            </w: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一、一般公共服务支出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29</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435.63</w:t>
            </w: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12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二、政府性基金预算财政拨款</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二、外交支出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30</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三、国防支出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31</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四、公共安全支出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32</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五、教育支出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33</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6</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六、科学技术支出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34</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7</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七、文化体育与传媒支出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35</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8</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八、社会保障和就业支出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36</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32.70</w:t>
            </w: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9</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九、医疗卫生与计划生育支出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37</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34.09</w:t>
            </w: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10</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十、节能环保支出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38</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11</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十一、城乡社区支出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39</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12</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十二、农林水支出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40</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13</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十三、交通运输支出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41</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14</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十四、资源勘探信息等支出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42</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15</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十五、商业服务业等支出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43</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16</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十六、金融支出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44</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17</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十七、援助其他地区支出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45</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18</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十八、国土海洋气象等支出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46</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19</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十九、住房保障支出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47</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19.65</w:t>
            </w: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20</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二十、粮油物资储备支出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48</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21</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二十一、其他支出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49</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22</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二十二、债务还本支出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50</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23</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二十三、债务付息支出</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51</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b/>
                <w:color w:val="000000"/>
                <w:sz w:val="18"/>
              </w:rPr>
              <w:t>本年收入合计</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24</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522.07</w:t>
            </w: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b/>
                <w:color w:val="000000"/>
                <w:sz w:val="18"/>
              </w:rPr>
              <w:t>本年支出合计</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52</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522.07</w:t>
            </w: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12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年初财政拨款结转和结余</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25</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年末财政拨款结转和结余</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53</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12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 xml:space="preserve">  一般公共预算财政拨款</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26</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54</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12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 xml:space="preserve">  政府性基金预算财政拨款</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27</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55</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90" w:hRule="atLeast"/>
        </w:trPr>
        <w:tc>
          <w:tcPr>
            <w:tcW w:w="2100"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b/>
                <w:color w:val="000000"/>
                <w:sz w:val="18"/>
              </w:rPr>
              <w:t>总计</w:t>
            </w:r>
          </w:p>
        </w:tc>
        <w:tc>
          <w:tcPr>
            <w:tcW w:w="30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28</w:t>
            </w:r>
          </w:p>
        </w:tc>
        <w:tc>
          <w:tcPr>
            <w:tcW w:w="801"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522.07</w:t>
            </w:r>
          </w:p>
        </w:tc>
        <w:tc>
          <w:tcPr>
            <w:tcW w:w="243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b/>
                <w:color w:val="000000"/>
                <w:sz w:val="18"/>
              </w:rPr>
              <w:t>总计</w:t>
            </w:r>
          </w:p>
        </w:tc>
        <w:tc>
          <w:tcPr>
            <w:tcW w:w="333"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8"/>
              </w:rPr>
              <w:t>56</w:t>
            </w:r>
          </w:p>
        </w:tc>
        <w:tc>
          <w:tcPr>
            <w:tcW w:w="1256"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8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8"/>
              </w:rPr>
              <w:t>522.07</w:t>
            </w:r>
          </w:p>
        </w:tc>
        <w:tc>
          <w:tcPr>
            <w:tcW w:w="77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155" w:hRule="atLeast"/>
        </w:trPr>
        <w:tc>
          <w:tcPr>
            <w:tcW w:w="8827" w:type="dxa"/>
            <w:gridSpan w:val="1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8"/>
              </w:rPr>
              <w:t>注：本表反映部门本年度一般公共预算财政拨款和政府性基金预算财政拨款的总收支和年末结转结余情况。</w:t>
            </w:r>
          </w:p>
        </w:tc>
      </w:tr>
    </w:tbl>
    <w:p>
      <w:pPr>
        <w:spacing w:line="560" w:lineRule="auto"/>
        <w:jc w:val="left"/>
        <w:rPr>
          <w:rFonts w:ascii="仿宋_GB2312" w:hAnsi="仿宋_GB2312" w:eastAsia="仿宋_GB2312" w:cs="仿宋_GB2312"/>
          <w:b/>
          <w:sz w:val="28"/>
          <w:shd w:val="clear" w:color="auto" w:fill="FFFF00"/>
        </w:rPr>
      </w:pPr>
    </w:p>
    <w:tbl>
      <w:tblPr>
        <w:tblStyle w:val="4"/>
        <w:tblW w:w="0" w:type="auto"/>
        <w:tblInd w:w="4" w:type="dxa"/>
        <w:tblLayout w:type="autofit"/>
        <w:tblCellMar>
          <w:top w:w="0" w:type="dxa"/>
          <w:left w:w="10" w:type="dxa"/>
          <w:bottom w:w="0" w:type="dxa"/>
          <w:right w:w="10" w:type="dxa"/>
        </w:tblCellMar>
      </w:tblPr>
      <w:tblGrid>
        <w:gridCol w:w="311"/>
        <w:gridCol w:w="313"/>
        <w:gridCol w:w="349"/>
        <w:gridCol w:w="1940"/>
        <w:gridCol w:w="702"/>
        <w:gridCol w:w="1103"/>
        <w:gridCol w:w="676"/>
        <w:gridCol w:w="1129"/>
        <w:gridCol w:w="1807"/>
      </w:tblGrid>
      <w:tr>
        <w:tblPrEx>
          <w:tblCellMar>
            <w:top w:w="0" w:type="dxa"/>
            <w:left w:w="10" w:type="dxa"/>
            <w:bottom w:w="0" w:type="dxa"/>
            <w:right w:w="10" w:type="dxa"/>
          </w:tblCellMar>
        </w:tblPrEx>
        <w:trPr>
          <w:trHeight w:val="600" w:hRule="atLeast"/>
        </w:trPr>
        <w:tc>
          <w:tcPr>
            <w:tcW w:w="8330" w:type="dxa"/>
            <w:gridSpan w:val="9"/>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bottom"/>
          </w:tcPr>
          <w:p>
            <w:pPr>
              <w:jc w:val="center"/>
            </w:pPr>
            <w:r>
              <w:rPr>
                <w:rFonts w:ascii="黑体" w:hAnsi="黑体" w:eastAsia="黑体" w:cs="黑体"/>
                <w:color w:val="000000"/>
                <w:sz w:val="40"/>
              </w:rPr>
              <w:t>一般公共预算财政拨款支出决算表</w:t>
            </w:r>
          </w:p>
        </w:tc>
      </w:tr>
      <w:tr>
        <w:tblPrEx>
          <w:tblCellMar>
            <w:top w:w="0" w:type="dxa"/>
            <w:left w:w="10" w:type="dxa"/>
            <w:bottom w:w="0" w:type="dxa"/>
            <w:right w:w="10" w:type="dxa"/>
          </w:tblCellMar>
        </w:tblPrEx>
        <w:trPr>
          <w:trHeight w:val="334" w:hRule="atLeast"/>
        </w:trPr>
        <w:tc>
          <w:tcPr>
            <w:tcW w:w="311"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313"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349"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940"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70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779"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2936"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公开05表</w:t>
            </w:r>
          </w:p>
        </w:tc>
      </w:tr>
      <w:tr>
        <w:tblPrEx>
          <w:tblCellMar>
            <w:top w:w="0" w:type="dxa"/>
            <w:left w:w="10" w:type="dxa"/>
            <w:bottom w:w="0" w:type="dxa"/>
            <w:right w:w="10" w:type="dxa"/>
          </w:tblCellMar>
        </w:tblPrEx>
        <w:trPr>
          <w:trHeight w:val="334" w:hRule="atLeast"/>
        </w:trPr>
        <w:tc>
          <w:tcPr>
            <w:tcW w:w="5394" w:type="dxa"/>
            <w:gridSpan w:val="7"/>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rPr>
            </w:pPr>
            <w:r>
              <w:rPr>
                <w:rFonts w:ascii="宋体" w:hAnsi="宋体" w:eastAsia="宋体" w:cs="宋体"/>
                <w:color w:val="000000"/>
              </w:rPr>
              <w:t>部门：</w:t>
            </w:r>
            <w:r>
              <w:rPr>
                <w:rFonts w:ascii="宋体" w:hAnsi="宋体" w:eastAsia="宋体" w:cs="宋体"/>
                <w:sz w:val="20"/>
              </w:rPr>
              <w:t>中国人民政治协商会议河北省遵化市委员会</w:t>
            </w:r>
          </w:p>
        </w:tc>
        <w:tc>
          <w:tcPr>
            <w:tcW w:w="2936"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金额单位：万元</w:t>
            </w:r>
          </w:p>
        </w:tc>
      </w:tr>
      <w:tr>
        <w:tblPrEx>
          <w:tblCellMar>
            <w:top w:w="0" w:type="dxa"/>
            <w:left w:w="10" w:type="dxa"/>
            <w:bottom w:w="0" w:type="dxa"/>
            <w:right w:w="10" w:type="dxa"/>
          </w:tblCellMar>
        </w:tblPrEx>
        <w:trPr>
          <w:trHeight w:val="351" w:hRule="atLeast"/>
        </w:trPr>
        <w:tc>
          <w:tcPr>
            <w:tcW w:w="2913" w:type="dxa"/>
            <w:gridSpan w:val="4"/>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项目</w:t>
            </w:r>
          </w:p>
        </w:tc>
        <w:tc>
          <w:tcPr>
            <w:tcW w:w="5417" w:type="dxa"/>
            <w:gridSpan w:val="5"/>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本年支出</w:t>
            </w:r>
          </w:p>
        </w:tc>
      </w:tr>
      <w:tr>
        <w:tblPrEx>
          <w:tblCellMar>
            <w:top w:w="0" w:type="dxa"/>
            <w:left w:w="10" w:type="dxa"/>
            <w:bottom w:w="0" w:type="dxa"/>
            <w:right w:w="10" w:type="dxa"/>
          </w:tblCellMar>
        </w:tblPrEx>
        <w:trPr>
          <w:trHeight w:val="334" w:hRule="atLeast"/>
        </w:trPr>
        <w:tc>
          <w:tcPr>
            <w:tcW w:w="973" w:type="dxa"/>
            <w:gridSpan w:val="3"/>
            <w:vMerge w:val="restart"/>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功能分类科目编码</w:t>
            </w:r>
          </w:p>
        </w:tc>
        <w:tc>
          <w:tcPr>
            <w:tcW w:w="1940"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科目名称</w:t>
            </w:r>
          </w:p>
        </w:tc>
        <w:tc>
          <w:tcPr>
            <w:tcW w:w="1805" w:type="dxa"/>
            <w:gridSpan w:val="2"/>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小计</w:t>
            </w:r>
          </w:p>
        </w:tc>
        <w:tc>
          <w:tcPr>
            <w:tcW w:w="1805" w:type="dxa"/>
            <w:gridSpan w:val="2"/>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基本支出</w:t>
            </w:r>
          </w:p>
        </w:tc>
        <w:tc>
          <w:tcPr>
            <w:tcW w:w="1807"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项目支出</w:t>
            </w:r>
          </w:p>
        </w:tc>
      </w:tr>
      <w:tr>
        <w:tblPrEx>
          <w:tblCellMar>
            <w:top w:w="0" w:type="dxa"/>
            <w:left w:w="10" w:type="dxa"/>
            <w:bottom w:w="0" w:type="dxa"/>
            <w:right w:w="10" w:type="dxa"/>
          </w:tblCellMar>
        </w:tblPrEx>
        <w:trPr>
          <w:trHeight w:val="528" w:hRule="atLeast"/>
        </w:trPr>
        <w:tc>
          <w:tcPr>
            <w:tcW w:w="973" w:type="dxa"/>
            <w:gridSpan w:val="3"/>
            <w:vMerge w:val="continue"/>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940"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805"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805"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80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528" w:hRule="atLeast"/>
        </w:trPr>
        <w:tc>
          <w:tcPr>
            <w:tcW w:w="973" w:type="dxa"/>
            <w:gridSpan w:val="3"/>
            <w:vMerge w:val="continue"/>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940"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805"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805"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80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2913"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栏次</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2</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3</w:t>
            </w:r>
          </w:p>
        </w:tc>
      </w:tr>
      <w:tr>
        <w:tblPrEx>
          <w:tblCellMar>
            <w:top w:w="0" w:type="dxa"/>
            <w:left w:w="10" w:type="dxa"/>
            <w:bottom w:w="0" w:type="dxa"/>
            <w:right w:w="10" w:type="dxa"/>
          </w:tblCellMar>
        </w:tblPrEx>
        <w:trPr>
          <w:trHeight w:val="368" w:hRule="atLeast"/>
        </w:trPr>
        <w:tc>
          <w:tcPr>
            <w:tcW w:w="2913"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合计</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b/>
                <w:color w:val="000000"/>
              </w:rPr>
              <w:t>522.07</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b/>
                <w:color w:val="000000"/>
              </w:rPr>
              <w:t>380.86</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b/>
                <w:color w:val="000000"/>
              </w:rPr>
              <w:t>141.22</w:t>
            </w: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一般公共服务支出</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435.63</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141.22</w:t>
            </w: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政协事务</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435.63</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141.22</w:t>
            </w: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2010201</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行政运行</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294.42</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2010202</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一般行政管理事务</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36.67</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36.67</w:t>
            </w: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2010204</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政协会议</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45.63</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45.63</w:t>
            </w: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2010205</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政协视察</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36.00</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36.00</w:t>
            </w: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2010206</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参政议政</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22.93</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22.93</w:t>
            </w: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社会保障和就业支出</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20805</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行政事业单位离退休</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2080505</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行政事业单位基本养老保险缴费支出</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32.70</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医疗卫生与计划生育</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21011</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行政事业单位医疗</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2101101</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行政单位医疗</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34.09</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住房保障支出</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22102</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住房改革支出</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973"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2210201</w:t>
            </w:r>
          </w:p>
        </w:tc>
        <w:tc>
          <w:tcPr>
            <w:tcW w:w="194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住房公积金</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80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19.65</w:t>
            </w:r>
          </w:p>
        </w:tc>
        <w:tc>
          <w:tcPr>
            <w:tcW w:w="180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p>
        </w:tc>
      </w:tr>
      <w:tr>
        <w:tblPrEx>
          <w:tblCellMar>
            <w:top w:w="0" w:type="dxa"/>
            <w:left w:w="10" w:type="dxa"/>
            <w:bottom w:w="0" w:type="dxa"/>
            <w:right w:w="10" w:type="dxa"/>
          </w:tblCellMar>
        </w:tblPrEx>
        <w:trPr>
          <w:trHeight w:val="368" w:hRule="atLeast"/>
        </w:trPr>
        <w:tc>
          <w:tcPr>
            <w:tcW w:w="8330" w:type="dxa"/>
            <w:gridSpan w:val="9"/>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 xml:space="preserve">注：本表反映部门本年度一般公共预算财政拨款收入及支出情况。      </w:t>
            </w:r>
          </w:p>
        </w:tc>
      </w:tr>
    </w:tbl>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tbl>
      <w:tblPr>
        <w:tblStyle w:val="4"/>
        <w:tblW w:w="0" w:type="auto"/>
        <w:jc w:val="center"/>
        <w:tblLayout w:type="autofit"/>
        <w:tblCellMar>
          <w:top w:w="0" w:type="dxa"/>
          <w:left w:w="10" w:type="dxa"/>
          <w:bottom w:w="0" w:type="dxa"/>
          <w:right w:w="10" w:type="dxa"/>
        </w:tblCellMar>
      </w:tblPr>
      <w:tblGrid>
        <w:gridCol w:w="537"/>
        <w:gridCol w:w="1426"/>
        <w:gridCol w:w="788"/>
        <w:gridCol w:w="469"/>
        <w:gridCol w:w="1566"/>
        <w:gridCol w:w="704"/>
        <w:gridCol w:w="539"/>
        <w:gridCol w:w="1545"/>
        <w:gridCol w:w="760"/>
      </w:tblGrid>
      <w:tr>
        <w:tblPrEx>
          <w:tblCellMar>
            <w:top w:w="0" w:type="dxa"/>
            <w:left w:w="10" w:type="dxa"/>
            <w:bottom w:w="0" w:type="dxa"/>
            <w:right w:w="10" w:type="dxa"/>
          </w:tblCellMar>
        </w:tblPrEx>
        <w:trPr>
          <w:trHeight w:val="526" w:hRule="atLeast"/>
          <w:jc w:val="center"/>
        </w:trPr>
        <w:tc>
          <w:tcPr>
            <w:tcW w:w="8334" w:type="dxa"/>
            <w:gridSpan w:val="9"/>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center"/>
            </w:pPr>
            <w:r>
              <w:rPr>
                <w:rFonts w:ascii="黑体" w:hAnsi="黑体" w:eastAsia="黑体" w:cs="黑体"/>
                <w:color w:val="000000"/>
                <w:sz w:val="40"/>
              </w:rPr>
              <w:t>一般公共预算财政拨款基本支出决算表</w:t>
            </w:r>
          </w:p>
        </w:tc>
      </w:tr>
      <w:tr>
        <w:tblPrEx>
          <w:tblCellMar>
            <w:top w:w="0" w:type="dxa"/>
            <w:left w:w="10" w:type="dxa"/>
            <w:bottom w:w="0" w:type="dxa"/>
            <w:right w:w="10" w:type="dxa"/>
          </w:tblCellMar>
        </w:tblPrEx>
        <w:trPr>
          <w:trHeight w:val="269" w:hRule="atLeast"/>
          <w:jc w:val="center"/>
        </w:trPr>
        <w:tc>
          <w:tcPr>
            <w:tcW w:w="53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426"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788"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469"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566"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704"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539"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2305"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sz w:val="22"/>
              </w:rPr>
            </w:pPr>
            <w:r>
              <w:rPr>
                <w:rFonts w:ascii="宋体" w:hAnsi="宋体" w:eastAsia="宋体" w:cs="宋体"/>
                <w:color w:val="000000"/>
                <w:sz w:val="22"/>
              </w:rPr>
              <w:t>公开06表</w:t>
            </w:r>
          </w:p>
        </w:tc>
      </w:tr>
      <w:tr>
        <w:tblPrEx>
          <w:tblCellMar>
            <w:top w:w="0" w:type="dxa"/>
            <w:left w:w="10" w:type="dxa"/>
            <w:bottom w:w="0" w:type="dxa"/>
            <w:right w:w="10" w:type="dxa"/>
          </w:tblCellMar>
        </w:tblPrEx>
        <w:trPr>
          <w:trHeight w:val="269" w:hRule="atLeast"/>
          <w:jc w:val="center"/>
        </w:trPr>
        <w:tc>
          <w:tcPr>
            <w:tcW w:w="6029" w:type="dxa"/>
            <w:gridSpan w:val="7"/>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rPr>
            </w:pPr>
            <w:r>
              <w:rPr>
                <w:rFonts w:ascii="宋体" w:hAnsi="宋体" w:eastAsia="宋体" w:cs="宋体"/>
                <w:color w:val="000000"/>
                <w:sz w:val="22"/>
              </w:rPr>
              <w:t>部门：</w:t>
            </w:r>
            <w:r>
              <w:rPr>
                <w:rFonts w:ascii="宋体" w:hAnsi="宋体" w:eastAsia="宋体" w:cs="宋体"/>
                <w:sz w:val="20"/>
              </w:rPr>
              <w:t>中国人民政治协商会议河北省遵化市委员会</w:t>
            </w:r>
          </w:p>
        </w:tc>
        <w:tc>
          <w:tcPr>
            <w:tcW w:w="2305"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sz w:val="22"/>
              </w:rPr>
            </w:pPr>
            <w:r>
              <w:rPr>
                <w:rFonts w:ascii="宋体" w:hAnsi="宋体" w:eastAsia="宋体" w:cs="宋体"/>
                <w:color w:val="000000"/>
                <w:sz w:val="22"/>
              </w:rPr>
              <w:t>金额单位：万元</w:t>
            </w:r>
          </w:p>
        </w:tc>
      </w:tr>
      <w:tr>
        <w:tblPrEx>
          <w:tblCellMar>
            <w:top w:w="0" w:type="dxa"/>
            <w:left w:w="10" w:type="dxa"/>
            <w:bottom w:w="0" w:type="dxa"/>
            <w:right w:w="10" w:type="dxa"/>
          </w:tblCellMar>
        </w:tblPrEx>
        <w:trPr>
          <w:trHeight w:val="277" w:hRule="atLeast"/>
          <w:jc w:val="center"/>
        </w:trPr>
        <w:tc>
          <w:tcPr>
            <w:tcW w:w="2751" w:type="dxa"/>
            <w:gridSpan w:val="3"/>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人员经费</w:t>
            </w:r>
          </w:p>
        </w:tc>
        <w:tc>
          <w:tcPr>
            <w:tcW w:w="5583" w:type="dxa"/>
            <w:gridSpan w:val="6"/>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公用经费</w:t>
            </w:r>
          </w:p>
        </w:tc>
      </w:tr>
      <w:tr>
        <w:tblPrEx>
          <w:tblCellMar>
            <w:top w:w="0" w:type="dxa"/>
            <w:left w:w="10" w:type="dxa"/>
            <w:bottom w:w="0" w:type="dxa"/>
            <w:right w:w="10" w:type="dxa"/>
          </w:tblCellMar>
        </w:tblPrEx>
        <w:trPr>
          <w:trHeight w:val="312" w:hRule="atLeast"/>
          <w:jc w:val="center"/>
        </w:trPr>
        <w:tc>
          <w:tcPr>
            <w:tcW w:w="537" w:type="dxa"/>
            <w:vMerge w:val="restart"/>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科目编码</w:t>
            </w:r>
          </w:p>
        </w:tc>
        <w:tc>
          <w:tcPr>
            <w:tcW w:w="1426"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科目名称</w:t>
            </w:r>
          </w:p>
        </w:tc>
        <w:tc>
          <w:tcPr>
            <w:tcW w:w="788"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决算数</w:t>
            </w:r>
          </w:p>
        </w:tc>
        <w:tc>
          <w:tcPr>
            <w:tcW w:w="469"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科目编码</w:t>
            </w:r>
          </w:p>
        </w:tc>
        <w:tc>
          <w:tcPr>
            <w:tcW w:w="1566"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科目名称</w:t>
            </w:r>
          </w:p>
        </w:tc>
        <w:tc>
          <w:tcPr>
            <w:tcW w:w="704"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决算数</w:t>
            </w:r>
          </w:p>
        </w:tc>
        <w:tc>
          <w:tcPr>
            <w:tcW w:w="539"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科目编码</w:t>
            </w:r>
          </w:p>
        </w:tc>
        <w:tc>
          <w:tcPr>
            <w:tcW w:w="1545"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科目名称</w:t>
            </w:r>
          </w:p>
        </w:tc>
        <w:tc>
          <w:tcPr>
            <w:tcW w:w="760"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决算数</w:t>
            </w:r>
          </w:p>
        </w:tc>
      </w:tr>
      <w:tr>
        <w:tblPrEx>
          <w:tblCellMar>
            <w:top w:w="0" w:type="dxa"/>
            <w:left w:w="10" w:type="dxa"/>
            <w:bottom w:w="0" w:type="dxa"/>
            <w:right w:w="10" w:type="dxa"/>
          </w:tblCellMar>
        </w:tblPrEx>
        <w:trPr>
          <w:trHeight w:val="528" w:hRule="atLeast"/>
          <w:jc w:val="center"/>
        </w:trPr>
        <w:tc>
          <w:tcPr>
            <w:tcW w:w="537" w:type="dxa"/>
            <w:vMerge w:val="continue"/>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426"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88"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469"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566"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04"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539"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545"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60"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工资福利支出</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265.18</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商品和服务支出</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115.30</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307</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债务利息及费用支出</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30101</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基本工资</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89.84</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30201</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办公费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76.13</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30701</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国内债务付息</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30102</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津贴补贴</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81.12</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30202</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印刷费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30702</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国外债务付息</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30103</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奖金</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6.56</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30203</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咨询费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资本性支出</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30106</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伙食补助费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30204</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手续费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31001</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房屋建筑物购建</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30107</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绩效工资</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30205</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水费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31002</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办公设备购置</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25"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30108</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机关事业单位基本养老保险缴费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32.70</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30206</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电费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31003</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专用设备购置</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30109</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职业年金缴费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30207</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邮电费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4.78</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31005</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基础设施建设</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25"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30110</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职工基本医疗保险缴费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34.09</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30208</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取暖费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31006</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大型修缮</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25"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30111</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公务员医疗补助缴费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30209</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物业管理费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31007</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信息网络及软件购置更新</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30112</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其他社会保障缴费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1.23</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30211</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差旅费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31008</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物资储备</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30113</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住房公积金</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19.65</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30212</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因公出国（境）费用</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31009</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土地补偿</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30114</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医疗费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30213</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维修（护）费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31010</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安置补助</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25"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30199</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其他工资福利支出</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30214</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租赁费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31011</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地上附着物和青苗补偿</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对个人和家庭的补助</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0.38</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30215</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会议费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31012</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拆迁补偿</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30301</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离休费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30216</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培训费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31013</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公务用车购置</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30302</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退休费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30217</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公务接待费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2.4</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31019</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其他交通工具购置</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30303</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退职（役）费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30218</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专用材料费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31021</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文物和陈列品购置</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30304</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抚恤金</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0.32</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30224</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被装购置费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31022</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无形资产购置</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30305</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生活补助</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30225</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专用燃料费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31099</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其他资本性支出</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30306</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救济费</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30226</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劳务费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399</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其他支出</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30307</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医疗费补助</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30227</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委托业务费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39906</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赠与</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30308</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助学金</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30228</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工会经费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1.86</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39907</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国家赔偿费用支出</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20"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30309</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奖励金</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0.06</w:t>
            </w: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30229</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福利费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2.00</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39908</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对民间非营利组织和群众性自治组织补贴</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25"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30310</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个人农业生产补贴</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30231</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公务用车运行维护费</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11.28</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39999</w:t>
            </w: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其他支出</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25"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30399</w:t>
            </w: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其他对个人和家庭的补助支出</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30239</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其他交通费用</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15.93</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38"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30240</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税金及附加费用</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425" w:hRule="atLeast"/>
          <w:jc w:val="center"/>
        </w:trPr>
        <w:tc>
          <w:tcPr>
            <w:tcW w:w="537"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42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46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30299</w:t>
            </w:r>
          </w:p>
        </w:tc>
        <w:tc>
          <w:tcPr>
            <w:tcW w:w="156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16"/>
              </w:rPr>
              <w:t xml:space="preserve">  其他商品和服务支出</w:t>
            </w:r>
          </w:p>
        </w:tc>
        <w:tc>
          <w:tcPr>
            <w:tcW w:w="704"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0.92</w:t>
            </w:r>
          </w:p>
        </w:tc>
        <w:tc>
          <w:tcPr>
            <w:tcW w:w="53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54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17" w:hRule="atLeast"/>
          <w:jc w:val="center"/>
        </w:trPr>
        <w:tc>
          <w:tcPr>
            <w:tcW w:w="1963" w:type="dxa"/>
            <w:gridSpan w:val="2"/>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6"/>
              </w:rPr>
              <w:t>人员经费合计</w:t>
            </w:r>
          </w:p>
        </w:tc>
        <w:tc>
          <w:tcPr>
            <w:tcW w:w="78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16"/>
              </w:rPr>
              <w:t>265.56</w:t>
            </w:r>
          </w:p>
        </w:tc>
        <w:tc>
          <w:tcPr>
            <w:tcW w:w="4823" w:type="dxa"/>
            <w:gridSpan w:val="5"/>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sz w:val="16"/>
              </w:rPr>
              <w:t>公用经费合计115.30</w:t>
            </w:r>
          </w:p>
        </w:tc>
        <w:tc>
          <w:tcPr>
            <w:tcW w:w="760"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277" w:hRule="atLeast"/>
          <w:jc w:val="center"/>
        </w:trPr>
        <w:tc>
          <w:tcPr>
            <w:tcW w:w="8334" w:type="dxa"/>
            <w:gridSpan w:val="9"/>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20"/>
              </w:rPr>
              <w:t xml:space="preserve">注：本表反映部门本年度一般公共预算财政拨款基本支出明细情况。        </w:t>
            </w:r>
          </w:p>
        </w:tc>
      </w:tr>
    </w:tbl>
    <w:p>
      <w:pPr>
        <w:spacing w:line="560" w:lineRule="auto"/>
        <w:jc w:val="left"/>
        <w:rPr>
          <w:rFonts w:ascii="仿宋_GB2312" w:hAnsi="仿宋_GB2312" w:eastAsia="仿宋_GB2312" w:cs="仿宋_GB2312"/>
          <w:b/>
          <w:sz w:val="28"/>
          <w:shd w:val="clear" w:color="auto" w:fill="FFFF00"/>
        </w:rPr>
      </w:pPr>
    </w:p>
    <w:tbl>
      <w:tblPr>
        <w:tblStyle w:val="4"/>
        <w:tblW w:w="0" w:type="auto"/>
        <w:jc w:val="center"/>
        <w:tblLayout w:type="autofit"/>
        <w:tblCellMar>
          <w:top w:w="0" w:type="dxa"/>
          <w:left w:w="10" w:type="dxa"/>
          <w:bottom w:w="0" w:type="dxa"/>
          <w:right w:w="10" w:type="dxa"/>
        </w:tblCellMar>
      </w:tblPr>
      <w:tblGrid>
        <w:gridCol w:w="1107"/>
        <w:gridCol w:w="1455"/>
        <w:gridCol w:w="1447"/>
        <w:gridCol w:w="1440"/>
        <w:gridCol w:w="1449"/>
        <w:gridCol w:w="1436"/>
      </w:tblGrid>
      <w:tr>
        <w:tblPrEx>
          <w:tblCellMar>
            <w:top w:w="0" w:type="dxa"/>
            <w:left w:w="10" w:type="dxa"/>
            <w:bottom w:w="0" w:type="dxa"/>
            <w:right w:w="10" w:type="dxa"/>
          </w:tblCellMar>
        </w:tblPrEx>
        <w:trPr>
          <w:trHeight w:val="584" w:hRule="atLeast"/>
          <w:jc w:val="center"/>
        </w:trPr>
        <w:tc>
          <w:tcPr>
            <w:tcW w:w="8334" w:type="dxa"/>
            <w:gridSpan w:val="6"/>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center"/>
            </w:pPr>
            <w:r>
              <w:rPr>
                <w:rFonts w:ascii="黑体" w:hAnsi="黑体" w:eastAsia="黑体" w:cs="黑体"/>
                <w:color w:val="000000"/>
                <w:sz w:val="40"/>
              </w:rPr>
              <w:t>一般公共预算财政拨款“三公”经费支出决算表</w:t>
            </w:r>
          </w:p>
        </w:tc>
      </w:tr>
      <w:tr>
        <w:tblPrEx>
          <w:tblCellMar>
            <w:top w:w="0" w:type="dxa"/>
            <w:left w:w="10" w:type="dxa"/>
            <w:bottom w:w="0" w:type="dxa"/>
            <w:right w:w="10" w:type="dxa"/>
          </w:tblCellMar>
        </w:tblPrEx>
        <w:trPr>
          <w:trHeight w:val="347" w:hRule="atLeast"/>
          <w:jc w:val="center"/>
        </w:trPr>
        <w:tc>
          <w:tcPr>
            <w:tcW w:w="110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455"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44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440"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449"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436"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20"/>
              </w:rPr>
              <w:t>公开07表</w:t>
            </w:r>
          </w:p>
        </w:tc>
      </w:tr>
      <w:tr>
        <w:tblPrEx>
          <w:tblCellMar>
            <w:top w:w="0" w:type="dxa"/>
            <w:left w:w="10" w:type="dxa"/>
            <w:bottom w:w="0" w:type="dxa"/>
            <w:right w:w="10" w:type="dxa"/>
          </w:tblCellMar>
        </w:tblPrEx>
        <w:trPr>
          <w:trHeight w:val="347" w:hRule="atLeast"/>
          <w:jc w:val="center"/>
        </w:trPr>
        <w:tc>
          <w:tcPr>
            <w:tcW w:w="6898" w:type="dxa"/>
            <w:gridSpan w:val="5"/>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20"/>
              </w:rPr>
              <w:t>部门：</w:t>
            </w:r>
            <w:r>
              <w:rPr>
                <w:rFonts w:ascii="宋体" w:hAnsi="宋体" w:eastAsia="宋体" w:cs="宋体"/>
                <w:sz w:val="20"/>
              </w:rPr>
              <w:t>中国人民政治协商会议河北省遵化市委员会</w:t>
            </w:r>
          </w:p>
        </w:tc>
        <w:tc>
          <w:tcPr>
            <w:tcW w:w="1436"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sz w:val="20"/>
              </w:rPr>
              <w:t>金额单位：万元</w:t>
            </w:r>
          </w:p>
        </w:tc>
      </w:tr>
      <w:tr>
        <w:tblPrEx>
          <w:tblCellMar>
            <w:top w:w="0" w:type="dxa"/>
            <w:left w:w="10" w:type="dxa"/>
            <w:bottom w:w="0" w:type="dxa"/>
            <w:right w:w="10" w:type="dxa"/>
          </w:tblCellMar>
        </w:tblPrEx>
        <w:trPr>
          <w:trHeight w:val="482" w:hRule="atLeast"/>
          <w:jc w:val="center"/>
        </w:trPr>
        <w:tc>
          <w:tcPr>
            <w:tcW w:w="8334" w:type="dxa"/>
            <w:gridSpan w:val="6"/>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预算数</w:t>
            </w:r>
          </w:p>
        </w:tc>
      </w:tr>
      <w:tr>
        <w:tblPrEx>
          <w:tblCellMar>
            <w:top w:w="0" w:type="dxa"/>
            <w:left w:w="10" w:type="dxa"/>
            <w:bottom w:w="0" w:type="dxa"/>
            <w:right w:w="10" w:type="dxa"/>
          </w:tblCellMar>
        </w:tblPrEx>
        <w:trPr>
          <w:trHeight w:val="435" w:hRule="atLeast"/>
          <w:jc w:val="center"/>
        </w:trPr>
        <w:tc>
          <w:tcPr>
            <w:tcW w:w="110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合计</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因公出国（境）费</w:t>
            </w:r>
          </w:p>
        </w:tc>
        <w:tc>
          <w:tcPr>
            <w:tcW w:w="4336" w:type="dxa"/>
            <w:gridSpan w:val="3"/>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公务用车购置及运行费</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公务接待费</w:t>
            </w:r>
          </w:p>
        </w:tc>
      </w:tr>
      <w:tr>
        <w:tblPrEx>
          <w:tblCellMar>
            <w:top w:w="0" w:type="dxa"/>
            <w:left w:w="10" w:type="dxa"/>
            <w:bottom w:w="0" w:type="dxa"/>
            <w:right w:w="10" w:type="dxa"/>
          </w:tblCellMar>
        </w:tblPrEx>
        <w:trPr>
          <w:trHeight w:val="686" w:hRule="atLeast"/>
          <w:jc w:val="center"/>
        </w:trPr>
        <w:tc>
          <w:tcPr>
            <w:tcW w:w="110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44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小计</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公务用车购置费</w:t>
            </w:r>
          </w:p>
        </w:tc>
        <w:tc>
          <w:tcPr>
            <w:tcW w:w="144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公务用车运行费</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435" w:hRule="atLeast"/>
          <w:jc w:val="center"/>
        </w:trPr>
        <w:tc>
          <w:tcPr>
            <w:tcW w:w="110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w:t>
            </w:r>
          </w:p>
        </w:tc>
        <w:tc>
          <w:tcPr>
            <w:tcW w:w="145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2</w:t>
            </w:r>
          </w:p>
        </w:tc>
        <w:tc>
          <w:tcPr>
            <w:tcW w:w="144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3</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4</w:t>
            </w:r>
          </w:p>
        </w:tc>
        <w:tc>
          <w:tcPr>
            <w:tcW w:w="144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5</w:t>
            </w:r>
          </w:p>
        </w:tc>
        <w:tc>
          <w:tcPr>
            <w:tcW w:w="143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6</w:t>
            </w:r>
          </w:p>
        </w:tc>
      </w:tr>
      <w:tr>
        <w:tblPrEx>
          <w:tblCellMar>
            <w:top w:w="0" w:type="dxa"/>
            <w:left w:w="10" w:type="dxa"/>
            <w:bottom w:w="0" w:type="dxa"/>
            <w:right w:w="10" w:type="dxa"/>
          </w:tblCellMar>
        </w:tblPrEx>
        <w:trPr>
          <w:trHeight w:val="435" w:hRule="atLeast"/>
          <w:jc w:val="center"/>
        </w:trPr>
        <w:tc>
          <w:tcPr>
            <w:tcW w:w="110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14.7</w:t>
            </w:r>
          </w:p>
        </w:tc>
        <w:tc>
          <w:tcPr>
            <w:tcW w:w="145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p>
        </w:tc>
        <w:tc>
          <w:tcPr>
            <w:tcW w:w="144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12.3</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p>
        </w:tc>
        <w:tc>
          <w:tcPr>
            <w:tcW w:w="144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12.3</w:t>
            </w:r>
          </w:p>
        </w:tc>
        <w:tc>
          <w:tcPr>
            <w:tcW w:w="143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2.4</w:t>
            </w:r>
          </w:p>
        </w:tc>
      </w:tr>
      <w:tr>
        <w:tblPrEx>
          <w:tblCellMar>
            <w:top w:w="0" w:type="dxa"/>
            <w:left w:w="10" w:type="dxa"/>
            <w:bottom w:w="0" w:type="dxa"/>
            <w:right w:w="10" w:type="dxa"/>
          </w:tblCellMar>
        </w:tblPrEx>
        <w:trPr>
          <w:trHeight w:val="498" w:hRule="atLeast"/>
          <w:jc w:val="center"/>
        </w:trPr>
        <w:tc>
          <w:tcPr>
            <w:tcW w:w="8334" w:type="dxa"/>
            <w:gridSpan w:val="6"/>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决算数</w:t>
            </w:r>
          </w:p>
        </w:tc>
      </w:tr>
      <w:tr>
        <w:tblPrEx>
          <w:tblCellMar>
            <w:top w:w="0" w:type="dxa"/>
            <w:left w:w="10" w:type="dxa"/>
            <w:bottom w:w="0" w:type="dxa"/>
            <w:right w:w="10" w:type="dxa"/>
          </w:tblCellMar>
        </w:tblPrEx>
        <w:trPr>
          <w:trHeight w:val="435" w:hRule="atLeast"/>
          <w:jc w:val="center"/>
        </w:trPr>
        <w:tc>
          <w:tcPr>
            <w:tcW w:w="110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合计</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因公出国（境）费</w:t>
            </w:r>
          </w:p>
        </w:tc>
        <w:tc>
          <w:tcPr>
            <w:tcW w:w="4336" w:type="dxa"/>
            <w:gridSpan w:val="3"/>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公务用车购置及运行费</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公务接待费</w:t>
            </w:r>
          </w:p>
        </w:tc>
      </w:tr>
      <w:tr>
        <w:tblPrEx>
          <w:tblCellMar>
            <w:top w:w="0" w:type="dxa"/>
            <w:left w:w="10" w:type="dxa"/>
            <w:bottom w:w="0" w:type="dxa"/>
            <w:right w:w="10" w:type="dxa"/>
          </w:tblCellMar>
        </w:tblPrEx>
        <w:trPr>
          <w:trHeight w:val="672" w:hRule="atLeast"/>
          <w:jc w:val="center"/>
        </w:trPr>
        <w:tc>
          <w:tcPr>
            <w:tcW w:w="110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44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小计</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公务用车购置费</w:t>
            </w:r>
          </w:p>
        </w:tc>
        <w:tc>
          <w:tcPr>
            <w:tcW w:w="144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公务用车运行费</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435" w:hRule="atLeast"/>
          <w:jc w:val="center"/>
        </w:trPr>
        <w:tc>
          <w:tcPr>
            <w:tcW w:w="110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7</w:t>
            </w:r>
          </w:p>
        </w:tc>
        <w:tc>
          <w:tcPr>
            <w:tcW w:w="145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8</w:t>
            </w:r>
          </w:p>
        </w:tc>
        <w:tc>
          <w:tcPr>
            <w:tcW w:w="144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9</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10</w:t>
            </w:r>
          </w:p>
        </w:tc>
        <w:tc>
          <w:tcPr>
            <w:tcW w:w="144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11</w:t>
            </w:r>
          </w:p>
        </w:tc>
        <w:tc>
          <w:tcPr>
            <w:tcW w:w="143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12</w:t>
            </w:r>
          </w:p>
        </w:tc>
      </w:tr>
      <w:tr>
        <w:tblPrEx>
          <w:tblCellMar>
            <w:top w:w="0" w:type="dxa"/>
            <w:left w:w="10" w:type="dxa"/>
            <w:bottom w:w="0" w:type="dxa"/>
            <w:right w:w="10" w:type="dxa"/>
          </w:tblCellMar>
        </w:tblPrEx>
        <w:trPr>
          <w:trHeight w:val="435" w:hRule="atLeast"/>
          <w:jc w:val="center"/>
        </w:trPr>
        <w:tc>
          <w:tcPr>
            <w:tcW w:w="110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13.68</w:t>
            </w:r>
          </w:p>
        </w:tc>
        <w:tc>
          <w:tcPr>
            <w:tcW w:w="1455"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0.00</w:t>
            </w:r>
          </w:p>
        </w:tc>
        <w:tc>
          <w:tcPr>
            <w:tcW w:w="1447"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11.28</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p>
        </w:tc>
        <w:tc>
          <w:tcPr>
            <w:tcW w:w="1449"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11.28</w:t>
            </w:r>
          </w:p>
        </w:tc>
        <w:tc>
          <w:tcPr>
            <w:tcW w:w="1436" w:type="dxa"/>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2.4</w:t>
            </w:r>
          </w:p>
        </w:tc>
      </w:tr>
      <w:tr>
        <w:tblPrEx>
          <w:tblCellMar>
            <w:top w:w="0" w:type="dxa"/>
            <w:left w:w="10" w:type="dxa"/>
            <w:bottom w:w="0" w:type="dxa"/>
            <w:right w:w="10" w:type="dxa"/>
          </w:tblCellMar>
        </w:tblPrEx>
        <w:trPr>
          <w:trHeight w:val="782" w:hRule="atLeast"/>
          <w:jc w:val="center"/>
        </w:trPr>
        <w:tc>
          <w:tcPr>
            <w:tcW w:w="8334" w:type="dxa"/>
            <w:gridSpan w:val="6"/>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 xml:space="preserve">注：本表反映部门本年度“三公”经费支出预决算情况。其中：预算数为“三公”经费年初预算数，决算数是包括当年一般公共预算财政拨款和以前年度结转资金安排的实际支出。           </w:t>
            </w:r>
          </w:p>
        </w:tc>
      </w:tr>
    </w:tbl>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tbl>
      <w:tblPr>
        <w:tblStyle w:val="4"/>
        <w:tblW w:w="0" w:type="auto"/>
        <w:tblInd w:w="4" w:type="dxa"/>
        <w:tblLayout w:type="autofit"/>
        <w:tblCellMar>
          <w:top w:w="0" w:type="dxa"/>
          <w:left w:w="10" w:type="dxa"/>
          <w:bottom w:w="0" w:type="dxa"/>
          <w:right w:w="10" w:type="dxa"/>
        </w:tblCellMar>
      </w:tblPr>
      <w:tblGrid>
        <w:gridCol w:w="261"/>
        <w:gridCol w:w="697"/>
        <w:gridCol w:w="418"/>
        <w:gridCol w:w="592"/>
        <w:gridCol w:w="330"/>
        <w:gridCol w:w="1025"/>
        <w:gridCol w:w="748"/>
        <w:gridCol w:w="1046"/>
        <w:gridCol w:w="1047"/>
        <w:gridCol w:w="1047"/>
        <w:gridCol w:w="1119"/>
      </w:tblGrid>
      <w:tr>
        <w:tblPrEx>
          <w:tblCellMar>
            <w:top w:w="0" w:type="dxa"/>
            <w:left w:w="10" w:type="dxa"/>
            <w:bottom w:w="0" w:type="dxa"/>
            <w:right w:w="10" w:type="dxa"/>
          </w:tblCellMar>
        </w:tblPrEx>
        <w:trPr>
          <w:trHeight w:val="707" w:hRule="atLeast"/>
        </w:trPr>
        <w:tc>
          <w:tcPr>
            <w:tcW w:w="8330" w:type="dxa"/>
            <w:gridSpan w:val="11"/>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center"/>
            </w:pPr>
            <w:r>
              <w:rPr>
                <w:rFonts w:ascii="黑体" w:hAnsi="黑体" w:eastAsia="黑体" w:cs="黑体"/>
                <w:color w:val="000000"/>
                <w:sz w:val="36"/>
              </w:rPr>
              <w:t>政府性基金预算财政拨款收入支出决算表</w:t>
            </w:r>
          </w:p>
        </w:tc>
      </w:tr>
      <w:tr>
        <w:tblPrEx>
          <w:tblCellMar>
            <w:top w:w="0" w:type="dxa"/>
            <w:left w:w="10" w:type="dxa"/>
            <w:bottom w:w="0" w:type="dxa"/>
            <w:right w:w="10" w:type="dxa"/>
          </w:tblCellMar>
        </w:tblPrEx>
        <w:trPr>
          <w:trHeight w:val="315" w:hRule="atLeast"/>
        </w:trPr>
        <w:tc>
          <w:tcPr>
            <w:tcW w:w="261"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69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418"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59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355"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748"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046"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04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04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119"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公开08表</w:t>
            </w:r>
          </w:p>
        </w:tc>
      </w:tr>
      <w:tr>
        <w:tblPrEx>
          <w:tblCellMar>
            <w:top w:w="0" w:type="dxa"/>
            <w:left w:w="10" w:type="dxa"/>
            <w:bottom w:w="0" w:type="dxa"/>
            <w:right w:w="10" w:type="dxa"/>
          </w:tblCellMar>
        </w:tblPrEx>
        <w:trPr>
          <w:trHeight w:val="411" w:hRule="atLeast"/>
        </w:trPr>
        <w:tc>
          <w:tcPr>
            <w:tcW w:w="6164" w:type="dxa"/>
            <w:gridSpan w:val="9"/>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rPr>
            </w:pPr>
            <w:r>
              <w:rPr>
                <w:rFonts w:ascii="宋体" w:hAnsi="宋体" w:eastAsia="宋体" w:cs="宋体"/>
                <w:color w:val="000000"/>
              </w:rPr>
              <w:t>部门：</w:t>
            </w:r>
            <w:r>
              <w:rPr>
                <w:rFonts w:ascii="宋体" w:hAnsi="宋体" w:eastAsia="宋体" w:cs="宋体"/>
                <w:sz w:val="20"/>
              </w:rPr>
              <w:t>中国人民政治协商会议河北省遵化市委员会</w:t>
            </w:r>
          </w:p>
        </w:tc>
        <w:tc>
          <w:tcPr>
            <w:tcW w:w="2166"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金额单位：万元</w:t>
            </w:r>
          </w:p>
        </w:tc>
      </w:tr>
      <w:tr>
        <w:tblPrEx>
          <w:tblCellMar>
            <w:top w:w="0" w:type="dxa"/>
            <w:left w:w="10" w:type="dxa"/>
            <w:bottom w:w="0" w:type="dxa"/>
            <w:right w:w="10" w:type="dxa"/>
          </w:tblCellMar>
        </w:tblPrEx>
        <w:trPr>
          <w:trHeight w:val="324" w:hRule="atLeast"/>
        </w:trPr>
        <w:tc>
          <w:tcPr>
            <w:tcW w:w="2298" w:type="dxa"/>
            <w:gridSpan w:val="5"/>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项目</w:t>
            </w:r>
          </w:p>
        </w:tc>
        <w:tc>
          <w:tcPr>
            <w:tcW w:w="1025" w:type="dxa"/>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年初结转和结余</w:t>
            </w:r>
          </w:p>
        </w:tc>
        <w:tc>
          <w:tcPr>
            <w:tcW w:w="748" w:type="dxa"/>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本年收入</w:t>
            </w:r>
          </w:p>
        </w:tc>
        <w:tc>
          <w:tcPr>
            <w:tcW w:w="3140" w:type="dxa"/>
            <w:gridSpan w:val="3"/>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本年支出</w:t>
            </w:r>
          </w:p>
        </w:tc>
        <w:tc>
          <w:tcPr>
            <w:tcW w:w="1119" w:type="dxa"/>
            <w:vMerge w:val="restart"/>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年末结转和结余</w:t>
            </w:r>
          </w:p>
        </w:tc>
      </w:tr>
      <w:tr>
        <w:tblPrEx>
          <w:tblCellMar>
            <w:top w:w="0" w:type="dxa"/>
            <w:left w:w="10" w:type="dxa"/>
            <w:bottom w:w="0" w:type="dxa"/>
            <w:right w:w="10" w:type="dxa"/>
          </w:tblCellMar>
        </w:tblPrEx>
        <w:trPr>
          <w:trHeight w:val="324" w:hRule="atLeast"/>
        </w:trPr>
        <w:tc>
          <w:tcPr>
            <w:tcW w:w="1376" w:type="dxa"/>
            <w:gridSpan w:val="3"/>
            <w:vMerge w:val="restart"/>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功能分类科目编码</w:t>
            </w:r>
          </w:p>
        </w:tc>
        <w:tc>
          <w:tcPr>
            <w:tcW w:w="922" w:type="dxa"/>
            <w:gridSpan w:val="2"/>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科目名称</w:t>
            </w:r>
          </w:p>
        </w:tc>
        <w:tc>
          <w:tcPr>
            <w:tcW w:w="1025"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48"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46"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小计</w:t>
            </w:r>
          </w:p>
        </w:tc>
        <w:tc>
          <w:tcPr>
            <w:tcW w:w="1047"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基本支出</w:t>
            </w:r>
          </w:p>
        </w:tc>
        <w:tc>
          <w:tcPr>
            <w:tcW w:w="1047"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项目支出</w:t>
            </w:r>
          </w:p>
        </w:tc>
        <w:tc>
          <w:tcPr>
            <w:tcW w:w="1119"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528" w:hRule="atLeast"/>
        </w:trPr>
        <w:tc>
          <w:tcPr>
            <w:tcW w:w="1376" w:type="dxa"/>
            <w:gridSpan w:val="3"/>
            <w:vMerge w:val="continue"/>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922"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25"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48"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46"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4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4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119"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528" w:hRule="atLeast"/>
        </w:trPr>
        <w:tc>
          <w:tcPr>
            <w:tcW w:w="1376" w:type="dxa"/>
            <w:gridSpan w:val="3"/>
            <w:vMerge w:val="continue"/>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922" w:type="dxa"/>
            <w:gridSpan w:val="2"/>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25"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748"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46"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4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4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119" w:type="dxa"/>
            <w:vMerge w:val="continue"/>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2298" w:type="dxa"/>
            <w:gridSpan w:val="5"/>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栏次</w:t>
            </w: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w:t>
            </w: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2</w:t>
            </w: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3</w:t>
            </w: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4</w:t>
            </w: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5</w:t>
            </w: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6</w:t>
            </w:r>
          </w:p>
        </w:tc>
      </w:tr>
      <w:tr>
        <w:tblPrEx>
          <w:tblCellMar>
            <w:top w:w="0" w:type="dxa"/>
            <w:left w:w="10" w:type="dxa"/>
            <w:bottom w:w="0" w:type="dxa"/>
            <w:right w:w="10" w:type="dxa"/>
          </w:tblCellMar>
        </w:tblPrEx>
        <w:trPr>
          <w:trHeight w:val="324" w:hRule="atLeast"/>
        </w:trPr>
        <w:tc>
          <w:tcPr>
            <w:tcW w:w="2298" w:type="dxa"/>
            <w:gridSpan w:val="5"/>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合计</w:t>
            </w: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1376" w:type="dxa"/>
            <w:gridSpan w:val="3"/>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922"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025"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74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4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119"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24" w:hRule="atLeast"/>
        </w:trPr>
        <w:tc>
          <w:tcPr>
            <w:tcW w:w="8330" w:type="dxa"/>
            <w:gridSpan w:val="11"/>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注：本表本年度无政府性基金预算财政拨款收入、支出及结转和结余情况，按要求空表列示。</w:t>
            </w:r>
          </w:p>
        </w:tc>
      </w:tr>
    </w:tbl>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tbl>
      <w:tblPr>
        <w:tblStyle w:val="4"/>
        <w:tblW w:w="0" w:type="auto"/>
        <w:tblInd w:w="4" w:type="dxa"/>
        <w:tblLayout w:type="autofit"/>
        <w:tblCellMar>
          <w:top w:w="0" w:type="dxa"/>
          <w:left w:w="10" w:type="dxa"/>
          <w:bottom w:w="0" w:type="dxa"/>
          <w:right w:w="10" w:type="dxa"/>
        </w:tblCellMar>
      </w:tblPr>
      <w:tblGrid>
        <w:gridCol w:w="392"/>
        <w:gridCol w:w="705"/>
        <w:gridCol w:w="447"/>
        <w:gridCol w:w="241"/>
        <w:gridCol w:w="793"/>
        <w:gridCol w:w="695"/>
        <w:gridCol w:w="224"/>
        <w:gridCol w:w="1456"/>
        <w:gridCol w:w="318"/>
        <w:gridCol w:w="1363"/>
        <w:gridCol w:w="1696"/>
      </w:tblGrid>
      <w:tr>
        <w:tblPrEx>
          <w:tblCellMar>
            <w:top w:w="0" w:type="dxa"/>
            <w:left w:w="10" w:type="dxa"/>
            <w:bottom w:w="0" w:type="dxa"/>
            <w:right w:w="10" w:type="dxa"/>
          </w:tblCellMar>
        </w:tblPrEx>
        <w:trPr>
          <w:trHeight w:val="656" w:hRule="atLeast"/>
        </w:trPr>
        <w:tc>
          <w:tcPr>
            <w:tcW w:w="8330" w:type="dxa"/>
            <w:gridSpan w:val="11"/>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center"/>
            </w:pPr>
            <w:r>
              <w:rPr>
                <w:rFonts w:ascii="黑体" w:hAnsi="黑体" w:eastAsia="黑体" w:cs="黑体"/>
                <w:color w:val="000000"/>
                <w:sz w:val="40"/>
              </w:rPr>
              <w:t>国有资本经营预算财政拨款支出决算表</w:t>
            </w:r>
          </w:p>
        </w:tc>
      </w:tr>
      <w:tr>
        <w:tblPrEx>
          <w:tblCellMar>
            <w:top w:w="0" w:type="dxa"/>
            <w:left w:w="10" w:type="dxa"/>
            <w:bottom w:w="0" w:type="dxa"/>
            <w:right w:w="10" w:type="dxa"/>
          </w:tblCellMar>
        </w:tblPrEx>
        <w:trPr>
          <w:trHeight w:val="335" w:hRule="atLeast"/>
        </w:trPr>
        <w:tc>
          <w:tcPr>
            <w:tcW w:w="392"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705"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44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034"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919"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774"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3059"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sz w:val="22"/>
              </w:rPr>
            </w:pPr>
            <w:r>
              <w:rPr>
                <w:rFonts w:ascii="宋体" w:hAnsi="宋体" w:eastAsia="宋体" w:cs="宋体"/>
                <w:color w:val="000000"/>
                <w:sz w:val="22"/>
              </w:rPr>
              <w:t>公开09表</w:t>
            </w:r>
          </w:p>
        </w:tc>
      </w:tr>
      <w:tr>
        <w:tblPrEx>
          <w:tblCellMar>
            <w:top w:w="0" w:type="dxa"/>
            <w:left w:w="10" w:type="dxa"/>
            <w:bottom w:w="0" w:type="dxa"/>
            <w:right w:w="10" w:type="dxa"/>
          </w:tblCellMar>
        </w:tblPrEx>
        <w:trPr>
          <w:trHeight w:val="335" w:hRule="atLeast"/>
        </w:trPr>
        <w:tc>
          <w:tcPr>
            <w:tcW w:w="5271" w:type="dxa"/>
            <w:gridSpan w:val="9"/>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rPr>
            </w:pPr>
            <w:r>
              <w:rPr>
                <w:rFonts w:ascii="宋体" w:hAnsi="宋体" w:eastAsia="宋体" w:cs="宋体"/>
                <w:color w:val="000000"/>
                <w:sz w:val="22"/>
              </w:rPr>
              <w:t>编制单位：</w:t>
            </w:r>
            <w:r>
              <w:rPr>
                <w:rFonts w:ascii="宋体" w:hAnsi="宋体" w:eastAsia="宋体" w:cs="宋体"/>
                <w:sz w:val="20"/>
              </w:rPr>
              <w:t>中国人民政治协商会议河北省遵化市委员会</w:t>
            </w:r>
          </w:p>
        </w:tc>
        <w:tc>
          <w:tcPr>
            <w:tcW w:w="3059"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sz w:val="22"/>
              </w:rPr>
            </w:pPr>
            <w:r>
              <w:rPr>
                <w:rFonts w:ascii="宋体" w:hAnsi="宋体" w:eastAsia="宋体" w:cs="宋体"/>
                <w:color w:val="000000"/>
                <w:sz w:val="22"/>
              </w:rPr>
              <w:t>金额单位：万元</w:t>
            </w:r>
          </w:p>
        </w:tc>
      </w:tr>
      <w:tr>
        <w:tblPrEx>
          <w:tblCellMar>
            <w:top w:w="0" w:type="dxa"/>
            <w:left w:w="10" w:type="dxa"/>
            <w:bottom w:w="0" w:type="dxa"/>
            <w:right w:w="10" w:type="dxa"/>
          </w:tblCellMar>
        </w:tblPrEx>
        <w:trPr>
          <w:trHeight w:val="358" w:hRule="atLeast"/>
        </w:trPr>
        <w:tc>
          <w:tcPr>
            <w:tcW w:w="3273" w:type="dxa"/>
            <w:gridSpan w:val="6"/>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科目</w:t>
            </w:r>
          </w:p>
        </w:tc>
        <w:tc>
          <w:tcPr>
            <w:tcW w:w="5057" w:type="dxa"/>
            <w:gridSpan w:val="5"/>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本年支出</w:t>
            </w:r>
          </w:p>
        </w:tc>
      </w:tr>
      <w:tr>
        <w:tblPrEx>
          <w:tblCellMar>
            <w:top w:w="0" w:type="dxa"/>
            <w:left w:w="10" w:type="dxa"/>
            <w:bottom w:w="0" w:type="dxa"/>
            <w:right w:w="10" w:type="dxa"/>
          </w:tblCellMar>
        </w:tblPrEx>
        <w:trPr>
          <w:trHeight w:val="826" w:hRule="atLeast"/>
        </w:trPr>
        <w:tc>
          <w:tcPr>
            <w:tcW w:w="1785"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功能分类科目编码</w:t>
            </w:r>
          </w:p>
        </w:tc>
        <w:tc>
          <w:tcPr>
            <w:tcW w:w="148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科目名称</w:t>
            </w: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小计</w:t>
            </w: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基本支出</w:t>
            </w: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项目支出</w:t>
            </w:r>
          </w:p>
        </w:tc>
      </w:tr>
      <w:tr>
        <w:tblPrEx>
          <w:tblCellMar>
            <w:top w:w="0" w:type="dxa"/>
            <w:left w:w="10" w:type="dxa"/>
            <w:bottom w:w="0" w:type="dxa"/>
            <w:right w:w="10" w:type="dxa"/>
          </w:tblCellMar>
        </w:tblPrEx>
        <w:trPr>
          <w:trHeight w:val="358" w:hRule="atLeast"/>
        </w:trPr>
        <w:tc>
          <w:tcPr>
            <w:tcW w:w="3273" w:type="dxa"/>
            <w:gridSpan w:val="6"/>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栏次</w:t>
            </w: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1</w:t>
            </w: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2</w:t>
            </w: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3</w:t>
            </w:r>
          </w:p>
        </w:tc>
      </w:tr>
      <w:tr>
        <w:tblPrEx>
          <w:tblCellMar>
            <w:top w:w="0" w:type="dxa"/>
            <w:left w:w="10" w:type="dxa"/>
            <w:bottom w:w="0" w:type="dxa"/>
            <w:right w:w="10" w:type="dxa"/>
          </w:tblCellMar>
        </w:tblPrEx>
        <w:trPr>
          <w:trHeight w:val="358" w:hRule="atLeast"/>
        </w:trPr>
        <w:tc>
          <w:tcPr>
            <w:tcW w:w="3273" w:type="dxa"/>
            <w:gridSpan w:val="6"/>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sz w:val="22"/>
              </w:rPr>
            </w:pPr>
            <w:r>
              <w:rPr>
                <w:rFonts w:ascii="宋体" w:hAnsi="宋体" w:eastAsia="宋体" w:cs="宋体"/>
                <w:color w:val="000000"/>
                <w:sz w:val="22"/>
              </w:rPr>
              <w:t>合计</w:t>
            </w: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46" w:hRule="atLeast"/>
        </w:trPr>
        <w:tc>
          <w:tcPr>
            <w:tcW w:w="1785"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48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46" w:hRule="atLeast"/>
        </w:trPr>
        <w:tc>
          <w:tcPr>
            <w:tcW w:w="1785"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48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46" w:hRule="atLeast"/>
        </w:trPr>
        <w:tc>
          <w:tcPr>
            <w:tcW w:w="1785"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48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46" w:hRule="atLeast"/>
        </w:trPr>
        <w:tc>
          <w:tcPr>
            <w:tcW w:w="1785"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48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46" w:hRule="atLeast"/>
        </w:trPr>
        <w:tc>
          <w:tcPr>
            <w:tcW w:w="1785"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48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46" w:hRule="atLeast"/>
        </w:trPr>
        <w:tc>
          <w:tcPr>
            <w:tcW w:w="1785" w:type="dxa"/>
            <w:gridSpan w:val="4"/>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488"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left"/>
              <w:rPr>
                <w:rFonts w:ascii="宋体" w:hAnsi="宋体" w:eastAsia="宋体" w:cs="宋体"/>
                <w:sz w:val="22"/>
              </w:rPr>
            </w:pPr>
          </w:p>
        </w:tc>
        <w:tc>
          <w:tcPr>
            <w:tcW w:w="1680"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81"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9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58" w:hRule="atLeast"/>
        </w:trPr>
        <w:tc>
          <w:tcPr>
            <w:tcW w:w="8330" w:type="dxa"/>
            <w:gridSpan w:val="11"/>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sz w:val="22"/>
              </w:rPr>
              <w:t>注：本表本年度无国有资本经营预算财政拨款支出情况，</w:t>
            </w:r>
            <w:r>
              <w:rPr>
                <w:rFonts w:ascii="宋体" w:hAnsi="宋体" w:eastAsia="宋体" w:cs="宋体"/>
                <w:color w:val="000000"/>
              </w:rPr>
              <w:t>按要求空表列示。</w:t>
            </w:r>
          </w:p>
        </w:tc>
      </w:tr>
    </w:tbl>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p>
      <w:pPr>
        <w:spacing w:line="560" w:lineRule="auto"/>
        <w:jc w:val="left"/>
        <w:rPr>
          <w:rFonts w:ascii="仿宋_GB2312" w:hAnsi="仿宋_GB2312" w:eastAsia="仿宋_GB2312" w:cs="仿宋_GB2312"/>
          <w:b/>
          <w:sz w:val="28"/>
          <w:shd w:val="clear" w:color="auto" w:fill="FFFF00"/>
        </w:rPr>
      </w:pPr>
    </w:p>
    <w:tbl>
      <w:tblPr>
        <w:tblStyle w:val="4"/>
        <w:tblW w:w="0" w:type="auto"/>
        <w:tblInd w:w="4" w:type="dxa"/>
        <w:tblLayout w:type="autofit"/>
        <w:tblCellMar>
          <w:top w:w="0" w:type="dxa"/>
          <w:left w:w="10" w:type="dxa"/>
          <w:bottom w:w="0" w:type="dxa"/>
          <w:right w:w="10" w:type="dxa"/>
        </w:tblCellMar>
      </w:tblPr>
      <w:tblGrid>
        <w:gridCol w:w="1496"/>
        <w:gridCol w:w="968"/>
        <w:gridCol w:w="640"/>
        <w:gridCol w:w="290"/>
        <w:gridCol w:w="730"/>
        <w:gridCol w:w="770"/>
        <w:gridCol w:w="816"/>
        <w:gridCol w:w="699"/>
        <w:gridCol w:w="935"/>
        <w:gridCol w:w="986"/>
      </w:tblGrid>
      <w:tr>
        <w:tblPrEx>
          <w:tblCellMar>
            <w:top w:w="0" w:type="dxa"/>
            <w:left w:w="10" w:type="dxa"/>
            <w:bottom w:w="0" w:type="dxa"/>
            <w:right w:w="10" w:type="dxa"/>
          </w:tblCellMar>
        </w:tblPrEx>
        <w:trPr>
          <w:trHeight w:val="635" w:hRule="atLeast"/>
        </w:trPr>
        <w:tc>
          <w:tcPr>
            <w:tcW w:w="8955" w:type="dxa"/>
            <w:gridSpan w:val="10"/>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center"/>
            </w:pPr>
            <w:r>
              <w:rPr>
                <w:rFonts w:ascii="黑体" w:hAnsi="黑体" w:eastAsia="黑体" w:cs="黑体"/>
                <w:color w:val="000000"/>
                <w:sz w:val="40"/>
              </w:rPr>
              <w:t>政府采购情况表</w:t>
            </w:r>
          </w:p>
        </w:tc>
      </w:tr>
      <w:tr>
        <w:tblPrEx>
          <w:tblCellMar>
            <w:top w:w="0" w:type="dxa"/>
            <w:left w:w="10" w:type="dxa"/>
            <w:bottom w:w="0" w:type="dxa"/>
            <w:right w:w="10" w:type="dxa"/>
          </w:tblCellMar>
        </w:tblPrEx>
        <w:trPr>
          <w:trHeight w:val="326" w:hRule="atLeast"/>
        </w:trPr>
        <w:tc>
          <w:tcPr>
            <w:tcW w:w="1615"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037"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683" w:type="dxa"/>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098"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1711" w:type="dxa"/>
            <w:gridSpan w:val="2"/>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rPr>
                <w:rFonts w:ascii="宋体" w:hAnsi="宋体" w:eastAsia="宋体" w:cs="宋体"/>
                <w:sz w:val="22"/>
              </w:rPr>
            </w:pPr>
          </w:p>
        </w:tc>
        <w:tc>
          <w:tcPr>
            <w:tcW w:w="2811" w:type="dxa"/>
            <w:gridSpan w:val="3"/>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公开10表</w:t>
            </w:r>
          </w:p>
        </w:tc>
      </w:tr>
      <w:tr>
        <w:tblPrEx>
          <w:tblCellMar>
            <w:top w:w="0" w:type="dxa"/>
            <w:left w:w="10" w:type="dxa"/>
            <w:bottom w:w="0" w:type="dxa"/>
            <w:right w:w="10" w:type="dxa"/>
          </w:tblCellMar>
        </w:tblPrEx>
        <w:trPr>
          <w:trHeight w:val="360" w:hRule="atLeast"/>
        </w:trPr>
        <w:tc>
          <w:tcPr>
            <w:tcW w:w="6144" w:type="dxa"/>
            <w:gridSpan w:val="7"/>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编制单位：</w:t>
            </w:r>
            <w:r>
              <w:rPr>
                <w:rFonts w:ascii="宋体" w:hAnsi="宋体" w:eastAsia="宋体" w:cs="宋体"/>
                <w:sz w:val="20"/>
              </w:rPr>
              <w:t>中国人民政治协商会议河北省遵化市委员会</w:t>
            </w:r>
          </w:p>
        </w:tc>
        <w:tc>
          <w:tcPr>
            <w:tcW w:w="2811" w:type="dxa"/>
            <w:gridSpan w:val="3"/>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right"/>
              <w:rPr>
                <w:rFonts w:ascii="宋体" w:hAnsi="宋体" w:eastAsia="宋体" w:cs="宋体"/>
              </w:rPr>
            </w:pPr>
            <w:r>
              <w:rPr>
                <w:rFonts w:ascii="宋体" w:hAnsi="宋体" w:eastAsia="宋体" w:cs="宋体"/>
                <w:color w:val="000000"/>
              </w:rPr>
              <w:t>金额单位：万元</w:t>
            </w:r>
          </w:p>
        </w:tc>
      </w:tr>
      <w:tr>
        <w:tblPrEx>
          <w:tblCellMar>
            <w:top w:w="0" w:type="dxa"/>
            <w:left w:w="10" w:type="dxa"/>
            <w:bottom w:w="0" w:type="dxa"/>
            <w:right w:w="10" w:type="dxa"/>
          </w:tblCellMar>
        </w:tblPrEx>
        <w:trPr>
          <w:trHeight w:val="309" w:hRule="atLeast"/>
        </w:trPr>
        <w:tc>
          <w:tcPr>
            <w:tcW w:w="161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项目</w:t>
            </w:r>
          </w:p>
        </w:tc>
        <w:tc>
          <w:tcPr>
            <w:tcW w:w="7340" w:type="dxa"/>
            <w:gridSpan w:val="9"/>
            <w:tcBorders>
              <w:top w:val="single" w:color="000000" w:sz="4"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采购计划金额</w:t>
            </w:r>
          </w:p>
        </w:tc>
      </w:tr>
      <w:tr>
        <w:tblPrEx>
          <w:tblCellMar>
            <w:top w:w="0" w:type="dxa"/>
            <w:left w:w="10" w:type="dxa"/>
            <w:bottom w:w="0" w:type="dxa"/>
            <w:right w:w="10" w:type="dxa"/>
          </w:tblCellMar>
        </w:tblPrEx>
        <w:trPr>
          <w:trHeight w:val="398" w:hRule="atLeast"/>
        </w:trPr>
        <w:tc>
          <w:tcPr>
            <w:tcW w:w="161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37"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总计</w:t>
            </w:r>
          </w:p>
        </w:tc>
        <w:tc>
          <w:tcPr>
            <w:tcW w:w="5247" w:type="dxa"/>
            <w:gridSpan w:val="7"/>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采购预算（财政性资金）</w:t>
            </w:r>
          </w:p>
        </w:tc>
        <w:tc>
          <w:tcPr>
            <w:tcW w:w="1056"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非财政性资金</w:t>
            </w:r>
          </w:p>
        </w:tc>
      </w:tr>
      <w:tr>
        <w:tblPrEx>
          <w:tblCellMar>
            <w:top w:w="0" w:type="dxa"/>
            <w:left w:w="10" w:type="dxa"/>
            <w:bottom w:w="0" w:type="dxa"/>
            <w:right w:w="10" w:type="dxa"/>
          </w:tblCellMar>
        </w:tblPrEx>
        <w:trPr>
          <w:trHeight w:val="473" w:hRule="atLeast"/>
        </w:trPr>
        <w:tc>
          <w:tcPr>
            <w:tcW w:w="161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3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合计</w:t>
            </w: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一般公共预算</w:t>
            </w: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政府性基金预算</w:t>
            </w: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其他资金</w:t>
            </w:r>
          </w:p>
        </w:tc>
        <w:tc>
          <w:tcPr>
            <w:tcW w:w="1056"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335"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栏次</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w:t>
            </w: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2</w:t>
            </w: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3</w:t>
            </w: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4</w:t>
            </w: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5</w:t>
            </w: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6</w:t>
            </w:r>
          </w:p>
        </w:tc>
      </w:tr>
      <w:tr>
        <w:tblPrEx>
          <w:tblCellMar>
            <w:top w:w="0" w:type="dxa"/>
            <w:left w:w="10" w:type="dxa"/>
            <w:bottom w:w="0" w:type="dxa"/>
            <w:right w:w="10" w:type="dxa"/>
          </w:tblCellMar>
        </w:tblPrEx>
        <w:trPr>
          <w:trHeight w:val="350"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       计</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50"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货物</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50"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工程</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50"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服务</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09" w:hRule="atLeast"/>
        </w:trPr>
        <w:tc>
          <w:tcPr>
            <w:tcW w:w="1615" w:type="dxa"/>
            <w:vMerge w:val="restart"/>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项目</w:t>
            </w:r>
          </w:p>
        </w:tc>
        <w:tc>
          <w:tcPr>
            <w:tcW w:w="7340" w:type="dxa"/>
            <w:gridSpan w:val="9"/>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实际采购金额</w:t>
            </w:r>
          </w:p>
        </w:tc>
      </w:tr>
      <w:tr>
        <w:tblPrEx>
          <w:tblCellMar>
            <w:top w:w="0" w:type="dxa"/>
            <w:left w:w="10" w:type="dxa"/>
            <w:bottom w:w="0" w:type="dxa"/>
            <w:right w:w="10" w:type="dxa"/>
          </w:tblCellMar>
        </w:tblPrEx>
        <w:trPr>
          <w:trHeight w:val="350" w:hRule="atLeast"/>
        </w:trPr>
        <w:tc>
          <w:tcPr>
            <w:tcW w:w="1615" w:type="dxa"/>
            <w:vMerge w:val="continue"/>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37"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总计</w:t>
            </w:r>
          </w:p>
        </w:tc>
        <w:tc>
          <w:tcPr>
            <w:tcW w:w="5247" w:type="dxa"/>
            <w:gridSpan w:val="7"/>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采购预算（财政性资金）</w:t>
            </w:r>
          </w:p>
        </w:tc>
        <w:tc>
          <w:tcPr>
            <w:tcW w:w="1056" w:type="dxa"/>
            <w:vMerge w:val="restart"/>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非财政性资金</w:t>
            </w:r>
          </w:p>
        </w:tc>
      </w:tr>
      <w:tr>
        <w:tblPrEx>
          <w:tblCellMar>
            <w:top w:w="0" w:type="dxa"/>
            <w:left w:w="10" w:type="dxa"/>
            <w:bottom w:w="0" w:type="dxa"/>
            <w:right w:w="10" w:type="dxa"/>
          </w:tblCellMar>
        </w:tblPrEx>
        <w:trPr>
          <w:trHeight w:val="543" w:hRule="atLeast"/>
        </w:trPr>
        <w:tc>
          <w:tcPr>
            <w:tcW w:w="1615" w:type="dxa"/>
            <w:vMerge w:val="continue"/>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1037"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合计</w:t>
            </w: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一般公共预算</w:t>
            </w: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政府性基金预算</w:t>
            </w: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其他资金</w:t>
            </w:r>
          </w:p>
        </w:tc>
        <w:tc>
          <w:tcPr>
            <w:tcW w:w="1056" w:type="dxa"/>
            <w:vMerge w:val="continue"/>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spacing w:after="200" w:line="276" w:lineRule="auto"/>
              <w:jc w:val="left"/>
              <w:rPr>
                <w:rFonts w:ascii="宋体" w:hAnsi="宋体" w:eastAsia="宋体" w:cs="宋体"/>
                <w:sz w:val="22"/>
              </w:rPr>
            </w:pPr>
          </w:p>
        </w:tc>
      </w:tr>
      <w:tr>
        <w:tblPrEx>
          <w:tblCellMar>
            <w:top w:w="0" w:type="dxa"/>
            <w:left w:w="10" w:type="dxa"/>
            <w:bottom w:w="0" w:type="dxa"/>
            <w:right w:w="10" w:type="dxa"/>
          </w:tblCellMar>
        </w:tblPrEx>
        <w:trPr>
          <w:trHeight w:val="309"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栏次</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1</w:t>
            </w: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2</w:t>
            </w: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3</w:t>
            </w: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4</w:t>
            </w: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5</w:t>
            </w: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6</w:t>
            </w:r>
          </w:p>
        </w:tc>
      </w:tr>
      <w:tr>
        <w:tblPrEx>
          <w:tblCellMar>
            <w:top w:w="0" w:type="dxa"/>
            <w:left w:w="10" w:type="dxa"/>
            <w:bottom w:w="0" w:type="dxa"/>
            <w:right w:w="10" w:type="dxa"/>
          </w:tblCellMar>
        </w:tblPrEx>
        <w:trPr>
          <w:trHeight w:val="335"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合       计</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5"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货物</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5"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工程</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35" w:hRule="atLeast"/>
        </w:trPr>
        <w:tc>
          <w:tcPr>
            <w:tcW w:w="1615" w:type="dxa"/>
            <w:tcBorders>
              <w:top w:val="single" w:color="000000" w:sz="6" w:space="0"/>
              <w:left w:val="single" w:color="000000" w:sz="4" w:space="0"/>
              <w:bottom w:val="single" w:color="000000" w:sz="4" w:space="0"/>
              <w:right w:val="single" w:color="000000" w:sz="4" w:space="0"/>
            </w:tcBorders>
            <w:shd w:val="clear" w:color="000000" w:fill="FFFFFF"/>
            <w:tcMar>
              <w:left w:w="14" w:type="dxa"/>
              <w:right w:w="14" w:type="dxa"/>
            </w:tcMar>
            <w:vAlign w:val="center"/>
          </w:tcPr>
          <w:p>
            <w:pPr>
              <w:jc w:val="center"/>
              <w:rPr>
                <w:rFonts w:ascii="宋体" w:hAnsi="宋体" w:eastAsia="宋体" w:cs="宋体"/>
              </w:rPr>
            </w:pPr>
            <w:r>
              <w:rPr>
                <w:rFonts w:ascii="宋体" w:hAnsi="宋体" w:eastAsia="宋体" w:cs="宋体"/>
                <w:color w:val="000000"/>
              </w:rPr>
              <w:t>服务</w:t>
            </w:r>
          </w:p>
        </w:tc>
        <w:tc>
          <w:tcPr>
            <w:tcW w:w="1037"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19"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635" w:type="dxa"/>
            <w:gridSpan w:val="2"/>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998"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c>
          <w:tcPr>
            <w:tcW w:w="1056" w:type="dxa"/>
            <w:tcBorders>
              <w:top w:val="single" w:color="000000" w:sz="6" w:space="0"/>
              <w:left w:val="single" w:color="000000" w:sz="6" w:space="0"/>
              <w:bottom w:val="single" w:color="000000" w:sz="4" w:space="0"/>
              <w:right w:val="single" w:color="000000" w:sz="4" w:space="0"/>
            </w:tcBorders>
            <w:shd w:val="clear" w:color="000000" w:fill="FFFFFF"/>
            <w:tcMar>
              <w:left w:w="14" w:type="dxa"/>
              <w:right w:w="14" w:type="dxa"/>
            </w:tcMar>
            <w:vAlign w:val="center"/>
          </w:tcPr>
          <w:p>
            <w:pPr>
              <w:jc w:val="right"/>
              <w:rPr>
                <w:rFonts w:ascii="宋体" w:hAnsi="宋体" w:eastAsia="宋体" w:cs="宋体"/>
                <w:sz w:val="22"/>
              </w:rPr>
            </w:pPr>
          </w:p>
        </w:tc>
      </w:tr>
      <w:tr>
        <w:tblPrEx>
          <w:tblCellMar>
            <w:top w:w="0" w:type="dxa"/>
            <w:left w:w="10" w:type="dxa"/>
            <w:bottom w:w="0" w:type="dxa"/>
            <w:right w:w="10" w:type="dxa"/>
          </w:tblCellMar>
        </w:tblPrEx>
        <w:trPr>
          <w:trHeight w:val="398" w:hRule="atLeast"/>
        </w:trPr>
        <w:tc>
          <w:tcPr>
            <w:tcW w:w="8955" w:type="dxa"/>
            <w:gridSpan w:val="10"/>
            <w:tcBorders>
              <w:top w:val="single" w:color="000000" w:sz="6" w:space="0"/>
              <w:left w:val="single" w:color="000000" w:sz="6" w:space="0"/>
              <w:bottom w:val="single" w:color="000000" w:sz="6" w:space="0"/>
              <w:right w:val="single" w:color="000000" w:sz="6" w:space="0"/>
            </w:tcBorders>
            <w:shd w:val="clear" w:color="000000" w:fill="FFFFFF"/>
            <w:tcMar>
              <w:left w:w="14" w:type="dxa"/>
              <w:right w:w="14" w:type="dxa"/>
            </w:tcMar>
            <w:vAlign w:val="center"/>
          </w:tcPr>
          <w:p>
            <w:pPr>
              <w:jc w:val="left"/>
              <w:rPr>
                <w:rFonts w:ascii="宋体" w:hAnsi="宋体" w:eastAsia="宋体" w:cs="宋体"/>
              </w:rPr>
            </w:pPr>
            <w:r>
              <w:rPr>
                <w:rFonts w:ascii="宋体" w:hAnsi="宋体" w:eastAsia="宋体" w:cs="宋体"/>
                <w:color w:val="000000"/>
              </w:rPr>
              <w:t>注：本表本年度无纳入部门预算范围的政府采购预算及支出情况，按要求空表列示。</w:t>
            </w:r>
          </w:p>
        </w:tc>
      </w:tr>
    </w:tbl>
    <w:p>
      <w:pPr>
        <w:spacing w:line="560" w:lineRule="auto"/>
        <w:jc w:val="left"/>
        <w:rPr>
          <w:rFonts w:ascii="仿宋_GB2312" w:hAnsi="仿宋_GB2312" w:eastAsia="仿宋_GB2312" w:cs="仿宋_GB2312"/>
          <w:b/>
          <w:sz w:val="28"/>
          <w:shd w:val="clear" w:color="auto" w:fill="FFFF00"/>
        </w:rPr>
      </w:pPr>
    </w:p>
    <w:p>
      <w:pPr>
        <w:spacing w:after="160" w:line="480" w:lineRule="auto"/>
        <w:rPr>
          <w:rFonts w:ascii="Times New Roman" w:hAnsi="Times New Roman" w:eastAsia="Times New Roman" w:cs="Times New Roman"/>
        </w:rPr>
      </w:pPr>
    </w:p>
    <w:p>
      <w:pPr>
        <w:spacing w:after="160" w:line="480" w:lineRule="auto"/>
        <w:rPr>
          <w:rFonts w:ascii="Times New Roman" w:hAnsi="Times New Roman" w:eastAsia="Times New Roman" w:cs="Times New Roman"/>
        </w:rPr>
      </w:pPr>
    </w:p>
    <w:p>
      <w:pPr>
        <w:spacing w:after="160" w:line="480" w:lineRule="auto"/>
        <w:rPr>
          <w:rFonts w:ascii="Times New Roman" w:hAnsi="Times New Roman" w:eastAsia="Times New Roman" w:cs="Times New Roman"/>
        </w:rPr>
      </w:pPr>
    </w:p>
    <w:p>
      <w:pPr>
        <w:spacing w:after="160" w:line="480" w:lineRule="auto"/>
        <w:rPr>
          <w:rFonts w:ascii="Times New Roman" w:hAnsi="Times New Roman" w:eastAsia="Times New Roman" w:cs="Times New Roman"/>
        </w:rPr>
      </w:pPr>
    </w:p>
    <w:p>
      <w:pPr>
        <w:tabs>
          <w:tab w:val="left" w:pos="1086"/>
        </w:tabs>
        <w:spacing w:after="160" w:line="480" w:lineRule="auto"/>
        <w:jc w:val="left"/>
        <w:rPr>
          <w:rFonts w:ascii="仿宋_GB2312" w:hAnsi="仿宋_GB2312" w:eastAsia="仿宋_GB2312" w:cs="仿宋_GB2312"/>
          <w:b/>
          <w:sz w:val="28"/>
          <w:shd w:val="clear" w:color="auto" w:fill="FFFF00"/>
        </w:rPr>
      </w:pPr>
      <w:r>
        <w:rPr>
          <w:rFonts w:ascii="Times New Roman" w:hAnsi="Times New Roman" w:eastAsia="Times New Roman" w:cs="Times New Roman"/>
        </w:rPr>
        <w:tab/>
      </w:r>
    </w:p>
    <w:p>
      <w:pPr>
        <w:spacing w:after="160" w:line="1200" w:lineRule="auto"/>
        <w:jc w:val="center"/>
        <w:rPr>
          <w:rFonts w:ascii="黑体" w:hAnsi="黑体" w:eastAsia="黑体" w:cs="黑体"/>
          <w:color w:val="FDEFBE"/>
          <w:sz w:val="96"/>
        </w:rPr>
      </w:pPr>
      <w:r>
        <w:pict>
          <v:shape id="_x0000_s1032" o:spid="_x0000_s1032" o:spt="75" type="#_x0000_t75" style="position:absolute;left:0pt;margin-left:-97.85pt;margin-top:-55.05pt;height:839pt;width:595.15pt;z-index:-251655168;mso-width-relative:page;mso-height-relative:page;" o:ole="t" filled="f" o:preferrelative="t" stroked="f" coordsize="21600,21600">
            <v:path/>
            <v:fill on="f" focussize="0,0"/>
            <v:stroke on="f"/>
            <v:imagedata r:id="rId10" o:title=""/>
            <o:lock v:ext="edit" aspectratio="t"/>
          </v:shape>
          <o:OLEObject Type="Embed" ProgID="StaticMetafile" ShapeID="_x0000_s1032" DrawAspect="Content" ObjectID="_1468075729" r:id="rId13">
            <o:LockedField>false</o:LockedField>
          </o:OLEObject>
        </w:pict>
      </w:r>
    </w:p>
    <w:p>
      <w:pPr>
        <w:spacing w:after="160" w:line="1200" w:lineRule="auto"/>
        <w:jc w:val="center"/>
        <w:rPr>
          <w:rFonts w:ascii="黑体" w:hAnsi="黑体" w:eastAsia="黑体" w:cs="黑体"/>
          <w:color w:val="FDEFBE"/>
          <w:sz w:val="96"/>
        </w:rPr>
      </w:pPr>
    </w:p>
    <w:p>
      <w:pPr>
        <w:spacing w:after="160" w:line="1200" w:lineRule="auto"/>
        <w:jc w:val="center"/>
        <w:rPr>
          <w:rFonts w:ascii="黑体" w:hAnsi="黑体" w:eastAsia="黑体" w:cs="黑体"/>
          <w:color w:val="FDEFBE"/>
          <w:sz w:val="96"/>
        </w:rPr>
      </w:pPr>
    </w:p>
    <w:p>
      <w:pPr>
        <w:spacing w:after="160" w:line="1200" w:lineRule="auto"/>
        <w:jc w:val="center"/>
        <w:rPr>
          <w:rFonts w:ascii="黑体" w:hAnsi="黑体" w:eastAsia="黑体" w:cs="黑体"/>
          <w:color w:val="FDEFBE"/>
          <w:sz w:val="96"/>
        </w:rPr>
      </w:pPr>
      <w:r>
        <w:rPr>
          <w:rFonts w:ascii="黑体" w:hAnsi="黑体" w:eastAsia="黑体" w:cs="黑体"/>
          <w:color w:val="FDEFBE"/>
          <w:sz w:val="96"/>
        </w:rPr>
        <w:t>第三部分</w:t>
      </w:r>
    </w:p>
    <w:p>
      <w:pPr>
        <w:spacing w:after="160" w:line="1200" w:lineRule="auto"/>
        <w:jc w:val="center"/>
        <w:rPr>
          <w:rFonts w:ascii="黑体" w:hAnsi="黑体" w:eastAsia="黑体" w:cs="黑体"/>
          <w:color w:val="FDEFBE"/>
          <w:sz w:val="96"/>
        </w:rPr>
      </w:pPr>
      <w:r>
        <w:rPr>
          <w:rFonts w:ascii="黑体" w:hAnsi="黑体" w:eastAsia="黑体" w:cs="黑体"/>
          <w:color w:val="FDEFBE"/>
          <w:sz w:val="96"/>
        </w:rPr>
        <w:t>部门决算情况说明</w:t>
      </w:r>
    </w:p>
    <w:p>
      <w:pPr>
        <w:spacing w:after="160" w:line="1200" w:lineRule="auto"/>
        <w:jc w:val="center"/>
        <w:rPr>
          <w:rFonts w:ascii="黑体" w:hAnsi="黑体" w:eastAsia="黑体" w:cs="黑体"/>
          <w:color w:val="FDEFBE"/>
          <w:sz w:val="96"/>
        </w:rPr>
      </w:pPr>
    </w:p>
    <w:p>
      <w:pPr>
        <w:spacing w:after="160" w:line="1200" w:lineRule="auto"/>
        <w:jc w:val="center"/>
        <w:rPr>
          <w:rFonts w:ascii="黑体" w:hAnsi="黑体" w:eastAsia="黑体" w:cs="黑体"/>
          <w:color w:val="FDEFBE"/>
          <w:sz w:val="96"/>
        </w:rPr>
      </w:pPr>
    </w:p>
    <w:p>
      <w:pPr>
        <w:spacing w:after="160" w:line="1200" w:lineRule="auto"/>
        <w:jc w:val="center"/>
        <w:rPr>
          <w:rFonts w:ascii="黑体" w:hAnsi="黑体" w:eastAsia="黑体" w:cs="黑体"/>
          <w:color w:val="FDEFBE"/>
          <w:sz w:val="96"/>
        </w:rPr>
      </w:pPr>
    </w:p>
    <w:p>
      <w:pPr>
        <w:keepNext/>
        <w:keepLines/>
        <w:spacing w:line="580" w:lineRule="auto"/>
        <w:ind w:firstLine="640"/>
        <w:rPr>
          <w:rFonts w:ascii="黑体" w:hAnsi="黑体" w:eastAsia="黑体" w:cs="黑体"/>
          <w:sz w:val="32"/>
        </w:rPr>
      </w:pPr>
      <w:r>
        <w:rPr>
          <w:rFonts w:ascii="黑体" w:hAnsi="黑体" w:eastAsia="黑体" w:cs="黑体"/>
          <w:sz w:val="32"/>
        </w:rPr>
        <w:t>一、收入支出决算总体情况说明</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本部门2018年度收支总计（含结转和结余）522.07万元。与2017年度决算相比，收支各减少38.34万元，下降7%，主要原因是减少压缩项目支出.</w:t>
      </w:r>
    </w:p>
    <w:p>
      <w:pPr>
        <w:keepNext/>
        <w:keepLines/>
        <w:spacing w:line="580" w:lineRule="auto"/>
        <w:ind w:firstLine="640"/>
        <w:rPr>
          <w:rFonts w:ascii="黑体" w:hAnsi="黑体" w:eastAsia="黑体" w:cs="黑体"/>
          <w:sz w:val="32"/>
        </w:rPr>
      </w:pPr>
      <w:r>
        <w:rPr>
          <w:rFonts w:ascii="黑体" w:hAnsi="黑体" w:eastAsia="黑体" w:cs="黑体"/>
          <w:sz w:val="32"/>
        </w:rPr>
        <w:t>二、收入决算情况说明</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本部门2018年度本年收入合计522.07万元，其中：财政拨款收入522.07万元，占100%；事业收入0万元，占0%；经营收入0万元，占0%；其他收入0万元，占0%。</w:t>
      </w:r>
    </w:p>
    <w:p>
      <w:pPr>
        <w:keepNext/>
        <w:keepLines/>
        <w:spacing w:line="580" w:lineRule="auto"/>
        <w:ind w:firstLine="640"/>
        <w:rPr>
          <w:rFonts w:ascii="黑体" w:hAnsi="黑体" w:eastAsia="黑体" w:cs="黑体"/>
          <w:sz w:val="32"/>
        </w:rPr>
      </w:pPr>
      <w:r>
        <w:rPr>
          <w:rFonts w:ascii="黑体" w:hAnsi="黑体" w:eastAsia="黑体" w:cs="黑体"/>
          <w:sz w:val="32"/>
        </w:rPr>
        <w:t>三、支出决算情况说明</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本部门2018年度本年支出合计522.07万元，其中：基本支出380.86万元，占72.95%；项目支出141.22万元，占27.05%；经营支出0万元，占0%。</w:t>
      </w:r>
    </w:p>
    <w:p>
      <w:pPr>
        <w:keepNext/>
        <w:keepLines/>
        <w:spacing w:line="580" w:lineRule="auto"/>
        <w:ind w:firstLine="640"/>
        <w:rPr>
          <w:rFonts w:ascii="黑体" w:hAnsi="黑体" w:eastAsia="黑体" w:cs="黑体"/>
          <w:sz w:val="32"/>
        </w:rPr>
      </w:pPr>
      <w:r>
        <w:rPr>
          <w:rFonts w:ascii="黑体" w:hAnsi="黑体" w:eastAsia="黑体" w:cs="黑体"/>
          <w:sz w:val="32"/>
        </w:rPr>
        <w:t>四、财政拨款收入支出决算总体情况说明</w:t>
      </w:r>
    </w:p>
    <w:p>
      <w:pPr>
        <w:spacing w:line="580" w:lineRule="auto"/>
        <w:ind w:firstLine="643"/>
        <w:rPr>
          <w:rFonts w:ascii="楷体_GB2312" w:hAnsi="楷体_GB2312" w:eastAsia="楷体_GB2312" w:cs="楷体_GB2312"/>
          <w:b/>
          <w:sz w:val="32"/>
        </w:rPr>
      </w:pPr>
      <w:r>
        <w:rPr>
          <w:rFonts w:ascii="楷体_GB2312" w:hAnsi="楷体_GB2312" w:eastAsia="楷体_GB2312" w:cs="楷体_GB2312"/>
          <w:b/>
          <w:sz w:val="32"/>
        </w:rPr>
        <w:t>（一）财政拨款收支与2017 年度决算对比情况</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本部门2018年度形成的财政拨款收支均为一般公共预算财政拨款，其中一般公共预算财政拨款本年收入522.07万元,比2017年度减38.34万元，降低7%，主要是减少压缩项目支出.</w:t>
      </w:r>
    </w:p>
    <w:p>
      <w:pPr>
        <w:spacing w:line="580" w:lineRule="auto"/>
        <w:ind w:firstLine="640"/>
        <w:rPr>
          <w:rFonts w:ascii="仿宋_GB2312" w:hAnsi="仿宋_GB2312" w:eastAsia="仿宋_GB2312" w:cs="仿宋_GB2312"/>
          <w:sz w:val="32"/>
          <w:shd w:val="clear" w:color="auto" w:fill="FFFF00"/>
        </w:rPr>
      </w:pPr>
      <w:r>
        <w:rPr>
          <w:rFonts w:ascii="仿宋_GB2312" w:hAnsi="仿宋_GB2312" w:eastAsia="仿宋_GB2312" w:cs="仿宋_GB2312"/>
          <w:sz w:val="32"/>
        </w:rPr>
        <w:t>本年支出522.07万元，减少38.34万元，降低7%，主要是减少压缩项目支出。</w:t>
      </w:r>
    </w:p>
    <w:p>
      <w:pPr>
        <w:spacing w:line="580" w:lineRule="auto"/>
        <w:ind w:firstLine="643"/>
        <w:rPr>
          <w:rFonts w:ascii="仿宋_GB2312" w:hAnsi="仿宋_GB2312" w:eastAsia="仿宋_GB2312" w:cs="仿宋_GB2312"/>
          <w:b/>
          <w:sz w:val="32"/>
        </w:rPr>
      </w:pPr>
      <w:r>
        <w:rPr>
          <w:rFonts w:ascii="楷体_GB2312" w:hAnsi="楷体_GB2312" w:eastAsia="楷体_GB2312" w:cs="楷体_GB2312"/>
          <w:b/>
          <w:sz w:val="32"/>
        </w:rPr>
        <w:t>（二）财政拨款收支与年初预算数对比情况</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本部门2018年度一般公共预算财政拨款收入522.07万元，完成年初预算的95%,比年初预算减少25.89万元，决算数小于预算数,主要原因是减少压缩项目支出.</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本年支出522.07万元，完成年初预算的95%,比年初预算减少25.89万元，决算数小于预算数主要原因主要是减少压缩项目支出。</w:t>
      </w:r>
    </w:p>
    <w:p>
      <w:pPr>
        <w:keepNext w:val="0"/>
        <w:keepLines w:val="0"/>
        <w:pageBreakBefore w:val="0"/>
        <w:widowControl w:val="0"/>
        <w:numPr>
          <w:ilvl w:val="0"/>
          <w:numId w:val="0"/>
        </w:numPr>
        <w:kinsoku/>
        <w:wordWrap/>
        <w:overflowPunct/>
        <w:topLinePunct w:val="0"/>
        <w:autoSpaceDE/>
        <w:autoSpaceDN/>
        <w:bidi w:val="0"/>
        <w:adjustRightInd/>
        <w:snapToGrid/>
        <w:spacing w:line="581" w:lineRule="auto"/>
        <w:ind w:firstLine="643" w:firstLineChars="200"/>
        <w:textAlignment w:val="auto"/>
        <w:rPr>
          <w:rFonts w:ascii="楷体_GB2312" w:hAnsi="楷体_GB2312" w:eastAsia="楷体_GB2312" w:cs="楷体_GB2312"/>
          <w:b/>
          <w:sz w:val="32"/>
        </w:rPr>
      </w:pPr>
      <w:r>
        <w:rPr>
          <w:rFonts w:hint="eastAsia" w:ascii="楷体_GB2312" w:hAnsi="楷体_GB2312" w:eastAsia="楷体_GB2312" w:cs="楷体_GB2312"/>
          <w:b/>
          <w:sz w:val="32"/>
          <w:lang w:eastAsia="zh-CN"/>
        </w:rPr>
        <w:t>（</w:t>
      </w:r>
      <w:r>
        <w:rPr>
          <w:rFonts w:hint="eastAsia" w:ascii="楷体_GB2312" w:hAnsi="楷体_GB2312" w:eastAsia="楷体_GB2312" w:cs="楷体_GB2312"/>
          <w:b/>
          <w:sz w:val="32"/>
          <w:lang w:val="en-US" w:eastAsia="zh-CN"/>
        </w:rPr>
        <w:t>三</w:t>
      </w:r>
      <w:r>
        <w:rPr>
          <w:rFonts w:hint="eastAsia" w:ascii="楷体_GB2312" w:hAnsi="楷体_GB2312" w:eastAsia="楷体_GB2312" w:cs="楷体_GB2312"/>
          <w:b/>
          <w:sz w:val="32"/>
          <w:lang w:eastAsia="zh-CN"/>
        </w:rPr>
        <w:t>）</w:t>
      </w:r>
      <w:r>
        <w:rPr>
          <w:rFonts w:ascii="楷体_GB2312" w:hAnsi="楷体_GB2312" w:eastAsia="楷体_GB2312" w:cs="楷体_GB2312"/>
          <w:b/>
          <w:sz w:val="32"/>
        </w:rPr>
        <w:t>财政拨款支出决算结构情况。</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2018 年度财政拨款支出522.07万元，主要用于以下方面一般公共服务（类）支出435.63万元，占83%；社会保障和就业（类）支出32.7万元，占6%；医疗保障与计划生育（类）支出</w:t>
      </w:r>
      <w:r>
        <w:rPr>
          <w:rFonts w:hint="eastAsia" w:ascii="宋体" w:hAnsi="宋体" w:eastAsia="宋体" w:cs="宋体"/>
          <w:sz w:val="32"/>
        </w:rPr>
        <w:t>34.09</w:t>
      </w:r>
      <w:r>
        <w:rPr>
          <w:rFonts w:ascii="仿宋_GB2312" w:hAnsi="仿宋_GB2312" w:eastAsia="仿宋_GB2312" w:cs="仿宋_GB2312"/>
          <w:sz w:val="32"/>
        </w:rPr>
        <w:t>万元，占7%；住房保障（类）支出</w:t>
      </w:r>
      <w:r>
        <w:rPr>
          <w:rFonts w:hint="eastAsia" w:ascii="宋体" w:hAnsi="宋体" w:eastAsia="宋体" w:cs="宋体"/>
          <w:sz w:val="32"/>
        </w:rPr>
        <w:t>19.65</w:t>
      </w:r>
      <w:r>
        <w:rPr>
          <w:rFonts w:ascii="仿宋_GB2312" w:hAnsi="仿宋_GB2312" w:eastAsia="仿宋_GB2312" w:cs="仿宋_GB2312"/>
          <w:sz w:val="32"/>
        </w:rPr>
        <w:t>万元，占 4%</w:t>
      </w:r>
    </w:p>
    <w:p>
      <w:pPr>
        <w:spacing w:line="580" w:lineRule="auto"/>
        <w:ind w:left="420"/>
        <w:rPr>
          <w:rFonts w:ascii="楷体_GB2312" w:hAnsi="楷体_GB2312" w:eastAsia="楷体_GB2312" w:cs="楷体_GB2312"/>
          <w:b/>
          <w:sz w:val="32"/>
        </w:rPr>
      </w:pPr>
      <w:r>
        <w:rPr>
          <w:rFonts w:ascii="楷体_GB2312" w:hAnsi="楷体_GB2312" w:eastAsia="楷体_GB2312" w:cs="楷体_GB2312"/>
          <w:b/>
          <w:sz w:val="32"/>
        </w:rPr>
        <w:t>（四）一般公共预算基本支出决算情况说明</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2018 年度财政拨款基本支出380.48万元，其中：人员经费 265.18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115.30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pacing w:line="580" w:lineRule="auto"/>
        <w:ind w:firstLine="640"/>
        <w:rPr>
          <w:rFonts w:ascii="仿宋_GB2312" w:hAnsi="仿宋_GB2312" w:eastAsia="仿宋_GB2312" w:cs="仿宋_GB2312"/>
          <w:sz w:val="32"/>
          <w:shd w:val="clear" w:color="auto" w:fill="FFFF00"/>
        </w:rPr>
      </w:pPr>
      <w:r>
        <w:rPr>
          <w:rFonts w:ascii="黑体" w:hAnsi="黑体" w:eastAsia="黑体" w:cs="黑体"/>
          <w:sz w:val="32"/>
        </w:rPr>
        <w:t>五、一般公共预算“三公” 经费支出决算情况说明</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本部门2018年度“三公”经费支出共计13.68万元，</w:t>
      </w:r>
      <w:r>
        <w:rPr>
          <w:rFonts w:ascii="仿宋_GB2312" w:hAnsi="仿宋_GB2312" w:eastAsia="仿宋_GB2312" w:cs="仿宋_GB2312"/>
          <w:b/>
          <w:sz w:val="32"/>
        </w:rPr>
        <w:t>较年初预算减少1.02万元，降低8%，</w:t>
      </w:r>
      <w:r>
        <w:rPr>
          <w:rFonts w:ascii="仿宋_GB2312" w:hAnsi="仿宋_GB2312" w:eastAsia="仿宋_GB2312" w:cs="仿宋_GB2312"/>
          <w:sz w:val="32"/>
        </w:rPr>
        <w:t>主要是减少压缩公务用车运行维护费,较2017年减少6.4万元，降低32%，主要是减少压缩公务用车运行维护费。</w:t>
      </w:r>
    </w:p>
    <w:p>
      <w:pPr>
        <w:spacing w:line="580" w:lineRule="auto"/>
        <w:ind w:firstLine="643"/>
        <w:rPr>
          <w:rFonts w:ascii="仿宋_GB2312" w:hAnsi="仿宋_GB2312" w:eastAsia="仿宋_GB2312" w:cs="仿宋_GB2312"/>
          <w:sz w:val="32"/>
        </w:rPr>
      </w:pPr>
      <w:r>
        <w:rPr>
          <w:rFonts w:ascii="楷体_GB2312" w:hAnsi="楷体_GB2312" w:eastAsia="楷体_GB2312" w:cs="楷体_GB2312"/>
          <w:b/>
          <w:sz w:val="32"/>
        </w:rPr>
        <w:t>（一）因公出国（境）费支出0万元。</w:t>
      </w:r>
      <w:r>
        <w:rPr>
          <w:rFonts w:ascii="仿宋_GB2312" w:hAnsi="仿宋_GB2312" w:eastAsia="仿宋_GB2312" w:cs="仿宋_GB2312"/>
          <w:sz w:val="32"/>
        </w:rPr>
        <w:t>本部门2018年度参加其他单位组织的因公出国（境）团组0个、共0人/无本单位组织的出国（境）团组。因公出国（境）费支出较年初预算增加0万元，增长0%,主要是无因公出国（境）；较上年增加0万元，增长0%,主要是无因公出国（境）。</w:t>
      </w:r>
    </w:p>
    <w:p>
      <w:pPr>
        <w:spacing w:line="580" w:lineRule="auto"/>
        <w:ind w:firstLine="643"/>
        <w:rPr>
          <w:rFonts w:ascii="仿宋_GB2312" w:hAnsi="仿宋_GB2312" w:eastAsia="仿宋_GB2312" w:cs="仿宋_GB2312"/>
          <w:b/>
          <w:sz w:val="32"/>
        </w:rPr>
      </w:pPr>
      <w:r>
        <w:rPr>
          <w:rFonts w:ascii="楷体_GB2312" w:hAnsi="楷体_GB2312" w:eastAsia="楷体_GB2312" w:cs="楷体_GB2312"/>
          <w:b/>
          <w:sz w:val="32"/>
        </w:rPr>
        <w:t>（二）公务用车购置及运行维护费支出11.28万元。</w:t>
      </w:r>
      <w:r>
        <w:rPr>
          <w:rFonts w:ascii="仿宋_GB2312" w:hAnsi="仿宋_GB2312" w:eastAsia="仿宋_GB2312" w:cs="仿宋_GB2312"/>
          <w:sz w:val="32"/>
        </w:rPr>
        <w:t>本部门2018年度公务用车购置及运行维护费较年初预算减少1.02万元，降低8%,主要是无公车购置且公车运行维护费减少；较上年减少6.4万元，降低32%,主要是减少压缩公务用车运行维护费。</w:t>
      </w:r>
      <w:r>
        <w:rPr>
          <w:rFonts w:ascii="仿宋_GB2312" w:hAnsi="仿宋_GB2312" w:eastAsia="仿宋_GB2312" w:cs="仿宋_GB2312"/>
          <w:b/>
          <w:sz w:val="32"/>
        </w:rPr>
        <w:t>其中：</w:t>
      </w:r>
    </w:p>
    <w:p>
      <w:pPr>
        <w:spacing w:line="580" w:lineRule="auto"/>
        <w:ind w:firstLine="643"/>
        <w:rPr>
          <w:rFonts w:ascii="仿宋_GB2312" w:hAnsi="仿宋_GB2312" w:eastAsia="仿宋_GB2312" w:cs="仿宋_GB2312"/>
          <w:color w:val="000000"/>
          <w:sz w:val="32"/>
        </w:rPr>
      </w:pPr>
      <w:r>
        <w:rPr>
          <w:rFonts w:ascii="仿宋_GB2312" w:hAnsi="仿宋_GB2312" w:eastAsia="仿宋_GB2312" w:cs="仿宋_GB2312"/>
          <w:b/>
          <w:sz w:val="32"/>
        </w:rPr>
        <w:t>公务用车购置费：</w:t>
      </w:r>
      <w:r>
        <w:rPr>
          <w:rFonts w:ascii="仿宋_GB2312" w:hAnsi="仿宋_GB2312" w:eastAsia="仿宋_GB2312" w:cs="仿宋_GB2312"/>
          <w:sz w:val="32"/>
        </w:rPr>
        <w:t>本部门2018年度公务用车购置0辆。未发生公务用车购置经费支出，；较2017年决算无增减变化。</w:t>
      </w:r>
    </w:p>
    <w:p>
      <w:pPr>
        <w:spacing w:line="580" w:lineRule="auto"/>
        <w:ind w:firstLine="643"/>
        <w:rPr>
          <w:rFonts w:ascii="仿宋_GB2312" w:hAnsi="仿宋_GB2312" w:eastAsia="仿宋_GB2312" w:cs="仿宋_GB2312"/>
          <w:b/>
          <w:sz w:val="32"/>
        </w:rPr>
      </w:pPr>
      <w:r>
        <w:rPr>
          <w:rFonts w:ascii="仿宋_GB2312" w:hAnsi="仿宋_GB2312" w:eastAsia="仿宋_GB2312" w:cs="仿宋_GB2312"/>
          <w:b/>
          <w:sz w:val="32"/>
        </w:rPr>
        <w:t>公务用车运行维护费：</w:t>
      </w:r>
      <w:r>
        <w:rPr>
          <w:rFonts w:ascii="仿宋_GB2312" w:hAnsi="仿宋_GB2312" w:eastAsia="仿宋_GB2312" w:cs="仿宋_GB2312"/>
          <w:sz w:val="32"/>
        </w:rPr>
        <w:t>本部门2018年度单位公务用车保有量6辆。公车运行维护费支出较年初预算减少1.02万元，降低8%,主要是减少压缩公务用车运行维护费；较上年减少6.4万元，降低32%，主要是减少压缩公务用车运行维护费。</w:t>
      </w:r>
    </w:p>
    <w:p>
      <w:pPr>
        <w:spacing w:line="580" w:lineRule="auto"/>
        <w:ind w:firstLine="643"/>
        <w:rPr>
          <w:rFonts w:ascii="仿宋_GB2312" w:hAnsi="仿宋_GB2312" w:eastAsia="仿宋_GB2312" w:cs="仿宋_GB2312"/>
          <w:sz w:val="32"/>
          <w:shd w:val="clear" w:color="auto" w:fill="FFFF00"/>
        </w:rPr>
      </w:pPr>
      <w:r>
        <w:rPr>
          <w:rFonts w:ascii="楷体_GB2312" w:hAnsi="楷体_GB2312" w:eastAsia="楷体_GB2312" w:cs="楷体_GB2312"/>
          <w:b/>
          <w:sz w:val="32"/>
        </w:rPr>
        <w:t>（三）公务接待费支出2.4万元。</w:t>
      </w:r>
      <w:r>
        <w:rPr>
          <w:rFonts w:ascii="仿宋_GB2312" w:hAnsi="仿宋_GB2312" w:eastAsia="仿宋_GB2312" w:cs="仿宋_GB2312"/>
          <w:sz w:val="32"/>
        </w:rPr>
        <w:t>本部门2018年度公务接待共16批次、110人次。公务接待费支出较年初预算无增减变化；较上年度持平无增减变化。</w:t>
      </w:r>
    </w:p>
    <w:p>
      <w:pPr>
        <w:spacing w:line="580" w:lineRule="auto"/>
        <w:ind w:firstLine="640"/>
        <w:rPr>
          <w:rFonts w:ascii="黑体" w:hAnsi="黑体" w:eastAsia="黑体" w:cs="黑体"/>
          <w:sz w:val="32"/>
        </w:rPr>
      </w:pPr>
      <w:r>
        <w:rPr>
          <w:rFonts w:ascii="黑体" w:hAnsi="黑体" w:eastAsia="黑体" w:cs="黑体"/>
          <w:sz w:val="32"/>
        </w:rPr>
        <w:t>六、预算绩效情况说明</w:t>
      </w:r>
    </w:p>
    <w:p>
      <w:pPr>
        <w:spacing w:line="440" w:lineRule="auto"/>
        <w:ind w:firstLine="614"/>
        <w:rPr>
          <w:rFonts w:ascii="仿宋_GB2312" w:hAnsi="仿宋_GB2312" w:eastAsia="仿宋_GB2312" w:cs="仿宋_GB2312"/>
          <w:sz w:val="32"/>
        </w:rPr>
      </w:pPr>
      <w:r>
        <w:rPr>
          <w:rFonts w:ascii="仿宋_GB2312" w:hAnsi="仿宋_GB2312" w:eastAsia="仿宋_GB2312" w:cs="仿宋_GB2312"/>
          <w:sz w:val="32"/>
        </w:rPr>
        <w:t>（一）绩效管理工作开展情况</w:t>
      </w:r>
    </w:p>
    <w:p>
      <w:pPr>
        <w:spacing w:line="440" w:lineRule="auto"/>
        <w:ind w:firstLine="614"/>
        <w:rPr>
          <w:rFonts w:ascii="仿宋_GB2312" w:hAnsi="仿宋_GB2312" w:eastAsia="仿宋_GB2312" w:cs="仿宋_GB2312"/>
          <w:sz w:val="32"/>
        </w:rPr>
      </w:pPr>
      <w:r>
        <w:rPr>
          <w:rFonts w:ascii="方正仿宋简体" w:hAnsi="方正仿宋简体" w:eastAsia="方正仿宋简体" w:cs="方正仿宋简体"/>
          <w:sz w:val="32"/>
        </w:rPr>
        <w:t>我部门预算绩效项目6个，包括政协七届二次会议费、政协委员调研视察活动费、政协委员培训学习议政活动费、政协文史资料整理编印费、招商资金、慰问老干部费用，用资金额151万元，该经费有效的促进了我部门各项工作的开展，为履行政协职能，发挥政协职能作用，推动我市各项事业发展提供了强有力的体制机制保障。</w:t>
      </w:r>
    </w:p>
    <w:p>
      <w:pPr>
        <w:spacing w:line="440" w:lineRule="auto"/>
        <w:ind w:firstLine="614"/>
        <w:rPr>
          <w:rFonts w:ascii="仿宋_GB2312" w:hAnsi="仿宋_GB2312" w:eastAsia="仿宋_GB2312" w:cs="仿宋_GB2312"/>
          <w:sz w:val="32"/>
        </w:rPr>
      </w:pPr>
      <w:r>
        <w:rPr>
          <w:rFonts w:ascii="仿宋_GB2312" w:hAnsi="仿宋_GB2312" w:eastAsia="仿宋_GB2312" w:cs="仿宋_GB2312"/>
          <w:sz w:val="32"/>
        </w:rPr>
        <w:t>（二）预算项目绩效评价开展情况</w:t>
      </w:r>
    </w:p>
    <w:p>
      <w:pPr>
        <w:spacing w:line="480" w:lineRule="auto"/>
        <w:ind w:firstLine="420"/>
        <w:rPr>
          <w:rFonts w:ascii="Times New Roman" w:hAnsi="Times New Roman" w:eastAsia="Times New Roman" w:cs="Times New Roman"/>
          <w:sz w:val="32"/>
        </w:rPr>
      </w:pPr>
      <w:r>
        <w:rPr>
          <w:rFonts w:ascii="仿宋" w:hAnsi="仿宋" w:eastAsia="仿宋" w:cs="仿宋"/>
          <w:sz w:val="32"/>
        </w:rPr>
        <w:t>发挥文史工作“存史、资政、团结、育人”作用，加大文史资料征编力度，抓住征集、研究、编纂三个关键环节，打造精品，提高文史资料征编出版质量。</w:t>
      </w:r>
    </w:p>
    <w:p>
      <w:pPr>
        <w:spacing w:line="500" w:lineRule="auto"/>
        <w:ind w:firstLine="560"/>
        <w:rPr>
          <w:rFonts w:ascii="仿宋_GB2312" w:hAnsi="仿宋_GB2312" w:eastAsia="仿宋_GB2312" w:cs="仿宋_GB2312"/>
          <w:sz w:val="32"/>
        </w:rPr>
      </w:pPr>
      <w:r>
        <w:rPr>
          <w:rFonts w:ascii="仿宋_GB2312" w:hAnsi="仿宋_GB2312" w:eastAsia="仿宋_GB2312" w:cs="仿宋_GB2312"/>
          <w:sz w:val="32"/>
        </w:rPr>
        <w:t>经财政局审核，2018年拨付文史资料整理编印费费20万元。</w:t>
      </w:r>
    </w:p>
    <w:p>
      <w:pPr>
        <w:spacing w:line="440" w:lineRule="auto"/>
        <w:ind w:firstLine="614"/>
        <w:rPr>
          <w:rFonts w:ascii="仿宋_GB2312" w:hAnsi="仿宋_GB2312" w:eastAsia="仿宋_GB2312" w:cs="仿宋_GB2312"/>
          <w:sz w:val="32"/>
        </w:rPr>
      </w:pPr>
      <w:r>
        <w:rPr>
          <w:rFonts w:ascii="仿宋_GB2312" w:hAnsi="仿宋_GB2312" w:eastAsia="仿宋_GB2312" w:cs="仿宋_GB2312"/>
          <w:sz w:val="32"/>
        </w:rPr>
        <w:t>1.项目基本情况</w:t>
      </w:r>
    </w:p>
    <w:p>
      <w:pPr>
        <w:spacing w:line="480" w:lineRule="auto"/>
        <w:rPr>
          <w:rFonts w:ascii="Times New Roman" w:hAnsi="Times New Roman" w:eastAsia="Times New Roman" w:cs="Times New Roman"/>
          <w:sz w:val="32"/>
        </w:rPr>
      </w:pPr>
      <w:r>
        <w:rPr>
          <w:rFonts w:ascii="仿宋_GB2312" w:hAnsi="仿宋_GB2312" w:eastAsia="仿宋_GB2312" w:cs="仿宋_GB2312"/>
          <w:sz w:val="32"/>
        </w:rPr>
        <w:t>根据年初主席会议工作安排</w:t>
      </w:r>
      <w:r>
        <w:rPr>
          <w:rFonts w:ascii="仿宋" w:hAnsi="仿宋" w:eastAsia="仿宋" w:cs="仿宋"/>
          <w:sz w:val="32"/>
        </w:rPr>
        <w:t>1、完成《甲山-不朽的丰碑》一书的编辑出版发行工作</w:t>
      </w:r>
    </w:p>
    <w:p>
      <w:pPr>
        <w:spacing w:line="480" w:lineRule="auto"/>
        <w:ind w:firstLine="420"/>
        <w:rPr>
          <w:rFonts w:ascii="Times New Roman" w:hAnsi="Times New Roman" w:eastAsia="Times New Roman" w:cs="Times New Roman"/>
          <w:sz w:val="32"/>
        </w:rPr>
      </w:pPr>
      <w:r>
        <w:rPr>
          <w:rFonts w:ascii="仿宋" w:hAnsi="仿宋" w:eastAsia="仿宋" w:cs="仿宋"/>
          <w:sz w:val="32"/>
        </w:rPr>
        <w:t>初拟书名：《甲山-不朽的丰碑》</w:t>
      </w:r>
    </w:p>
    <w:p>
      <w:pPr>
        <w:spacing w:line="480" w:lineRule="auto"/>
        <w:ind w:firstLine="420"/>
        <w:rPr>
          <w:rFonts w:ascii="Times New Roman" w:hAnsi="Times New Roman" w:eastAsia="Times New Roman" w:cs="Times New Roman"/>
          <w:sz w:val="32"/>
        </w:rPr>
      </w:pPr>
      <w:r>
        <w:rPr>
          <w:rFonts w:ascii="仿宋" w:hAnsi="仿宋" w:eastAsia="仿宋" w:cs="仿宋"/>
          <w:sz w:val="32"/>
        </w:rPr>
        <w:t>该书相关资料13万多字，预计2018年</w:t>
      </w:r>
      <w:r>
        <w:rPr>
          <w:rFonts w:hint="eastAsia" w:ascii="仿宋" w:hAnsi="仿宋" w:eastAsia="仿宋" w:cs="仿宋"/>
          <w:sz w:val="32"/>
        </w:rPr>
        <w:t>12</w:t>
      </w:r>
      <w:r>
        <w:rPr>
          <w:rFonts w:ascii="仿宋" w:hAnsi="仿宋" w:eastAsia="仿宋" w:cs="仿宋"/>
          <w:sz w:val="32"/>
        </w:rPr>
        <w:t>月底印刷出版。</w:t>
      </w:r>
    </w:p>
    <w:p>
      <w:pPr>
        <w:spacing w:line="480" w:lineRule="auto"/>
        <w:ind w:firstLine="420"/>
        <w:rPr>
          <w:rFonts w:ascii="Times New Roman" w:hAnsi="Times New Roman" w:eastAsia="Times New Roman" w:cs="Times New Roman"/>
          <w:sz w:val="32"/>
        </w:rPr>
      </w:pPr>
      <w:r>
        <w:rPr>
          <w:rFonts w:ascii="仿宋" w:hAnsi="仿宋" w:eastAsia="仿宋" w:cs="仿宋"/>
          <w:sz w:val="32"/>
        </w:rPr>
        <w:t>2.征集整理《鲁家峪》相关资料</w:t>
      </w:r>
    </w:p>
    <w:p>
      <w:pPr>
        <w:spacing w:line="480" w:lineRule="auto"/>
        <w:ind w:firstLine="420"/>
        <w:rPr>
          <w:rFonts w:ascii="Times New Roman" w:hAnsi="Times New Roman" w:eastAsia="Times New Roman" w:cs="Times New Roman"/>
          <w:sz w:val="32"/>
        </w:rPr>
      </w:pPr>
      <w:r>
        <w:rPr>
          <w:rFonts w:ascii="仿宋" w:hAnsi="仿宋" w:eastAsia="仿宋" w:cs="仿宋"/>
          <w:sz w:val="32"/>
        </w:rPr>
        <w:t>近年来，遵化旅游项目得到快速发展，为配合全域旅游示范区的创建活动，我们将通过实地采风、走访等形式，多渠道搜集整理鲁家峪相关资料，编辑出版一本图文并茂、反映红色</w:t>
      </w:r>
      <w:r>
        <w:rPr>
          <w:rFonts w:hint="eastAsia" w:ascii="仿宋" w:hAnsi="仿宋" w:eastAsia="仿宋" w:cs="仿宋"/>
          <w:sz w:val="32"/>
        </w:rPr>
        <w:t>教育、传承革命先烈英勇史诗</w:t>
      </w:r>
      <w:r>
        <w:rPr>
          <w:rFonts w:ascii="仿宋" w:hAnsi="仿宋" w:eastAsia="仿宋" w:cs="仿宋"/>
          <w:sz w:val="32"/>
        </w:rPr>
        <w:t>特点的图书，推进我市全域旅游发展。市政协编印的我市文史书籍的发行，对宣传遵化、发展遵化发挥了重要作用，特别是在我市全域旅游大发展的今天，更有着特殊的意义，需经费20.00万元。</w:t>
      </w:r>
    </w:p>
    <w:p>
      <w:pPr>
        <w:spacing w:line="440" w:lineRule="auto"/>
        <w:ind w:firstLine="771"/>
        <w:rPr>
          <w:rFonts w:ascii="楷体" w:hAnsi="楷体" w:eastAsia="楷体" w:cs="楷体"/>
          <w:b/>
          <w:sz w:val="32"/>
        </w:rPr>
      </w:pPr>
      <w:r>
        <w:rPr>
          <w:rFonts w:ascii="楷体" w:hAnsi="楷体" w:eastAsia="楷体" w:cs="楷体"/>
          <w:b/>
          <w:sz w:val="32"/>
        </w:rPr>
        <w:t>（三）预算项目绩效自评选例</w:t>
      </w:r>
    </w:p>
    <w:p>
      <w:pPr>
        <w:spacing w:line="570" w:lineRule="auto"/>
        <w:ind w:firstLine="640"/>
        <w:rPr>
          <w:rFonts w:ascii="仿宋" w:hAnsi="仿宋" w:eastAsia="仿宋" w:cs="仿宋"/>
          <w:sz w:val="32"/>
        </w:rPr>
      </w:pPr>
      <w:r>
        <w:rPr>
          <w:rFonts w:ascii="楷体" w:hAnsi="楷体" w:eastAsia="楷体" w:cs="楷体"/>
          <w:color w:val="333333"/>
          <w:sz w:val="32"/>
        </w:rPr>
        <w:t>管理绩效</w:t>
      </w:r>
      <w:r>
        <w:rPr>
          <w:rFonts w:hint="eastAsia" w:ascii="楷体" w:hAnsi="楷体" w:eastAsia="楷体" w:cs="楷体"/>
          <w:color w:val="333333"/>
          <w:sz w:val="32"/>
        </w:rPr>
        <w:t>100</w:t>
      </w:r>
      <w:r>
        <w:rPr>
          <w:rFonts w:ascii="楷体" w:hAnsi="楷体" w:eastAsia="楷体" w:cs="楷体"/>
          <w:color w:val="333333"/>
          <w:sz w:val="32"/>
        </w:rPr>
        <w:t>分，评价得</w:t>
      </w:r>
      <w:r>
        <w:rPr>
          <w:rFonts w:hint="eastAsia" w:ascii="楷体" w:hAnsi="楷体" w:eastAsia="楷体" w:cs="楷体"/>
          <w:color w:val="333333"/>
          <w:sz w:val="32"/>
        </w:rPr>
        <w:t>98</w:t>
      </w:r>
      <w:r>
        <w:rPr>
          <w:rFonts w:ascii="楷体" w:hAnsi="楷体" w:eastAsia="楷体" w:cs="楷体"/>
          <w:color w:val="333333"/>
          <w:sz w:val="32"/>
        </w:rPr>
        <w:t>分</w:t>
      </w:r>
      <w:r>
        <w:rPr>
          <w:rFonts w:ascii="仿宋" w:hAnsi="仿宋" w:eastAsia="仿宋" w:cs="仿宋"/>
          <w:color w:val="333333"/>
          <w:sz w:val="32"/>
        </w:rPr>
        <w:t>。</w:t>
      </w:r>
    </w:p>
    <w:p>
      <w:pPr>
        <w:spacing w:line="570" w:lineRule="auto"/>
        <w:ind w:firstLine="643"/>
        <w:rPr>
          <w:rFonts w:ascii="仿宋" w:hAnsi="仿宋" w:eastAsia="仿宋" w:cs="仿宋"/>
          <w:color w:val="333333"/>
          <w:sz w:val="32"/>
        </w:rPr>
      </w:pPr>
      <w:r>
        <w:rPr>
          <w:rFonts w:ascii="仿宋" w:hAnsi="仿宋" w:eastAsia="仿宋" w:cs="仿宋"/>
          <w:b/>
          <w:color w:val="333333"/>
          <w:sz w:val="32"/>
        </w:rPr>
        <w:t>1.“目标设定”</w:t>
      </w:r>
      <w:r>
        <w:rPr>
          <w:rFonts w:ascii="仿宋" w:hAnsi="仿宋" w:eastAsia="仿宋" w:cs="仿宋"/>
          <w:color w:val="333333"/>
          <w:sz w:val="32"/>
        </w:rPr>
        <w:t>指标20分。该项指标主要考核项目绩效目标设定是否详细具体，科学可行。经评价，该项目得分19分，得分率为95%，该项指标绩效等级为优良。从3个二级指标看，目标明确、目标细化、目标量化等指标得分率都是95%，说明该项目标内容设定达到细化、量化的编制要求。</w:t>
      </w:r>
    </w:p>
    <w:p>
      <w:pPr>
        <w:spacing w:line="570" w:lineRule="auto"/>
        <w:ind w:firstLine="643"/>
        <w:rPr>
          <w:rFonts w:ascii="仿宋" w:hAnsi="仿宋" w:eastAsia="仿宋" w:cs="仿宋"/>
          <w:color w:val="333333"/>
          <w:sz w:val="32"/>
        </w:rPr>
      </w:pPr>
      <w:r>
        <w:rPr>
          <w:rFonts w:ascii="仿宋" w:hAnsi="仿宋" w:eastAsia="仿宋" w:cs="仿宋"/>
          <w:b/>
          <w:color w:val="333333"/>
          <w:sz w:val="32"/>
        </w:rPr>
        <w:t>2.“组织管理”</w:t>
      </w:r>
      <w:r>
        <w:rPr>
          <w:rFonts w:ascii="仿宋" w:hAnsi="仿宋" w:eastAsia="仿宋" w:cs="仿宋"/>
          <w:color w:val="333333"/>
          <w:sz w:val="32"/>
        </w:rPr>
        <w:t>指标20分，评价得19分，得分率为95%，该项指标绩效等级为优良。从4个二级指标看，项目组织、项目验收指标得分率为95%，项目计划、项目实施指标得分率为95%。</w:t>
      </w:r>
    </w:p>
    <w:p>
      <w:pPr>
        <w:spacing w:line="570" w:lineRule="auto"/>
        <w:ind w:firstLine="643"/>
        <w:rPr>
          <w:rFonts w:ascii="仿宋" w:hAnsi="仿宋" w:eastAsia="仿宋" w:cs="仿宋"/>
          <w:color w:val="333333"/>
          <w:sz w:val="32"/>
        </w:rPr>
      </w:pPr>
      <w:r>
        <w:rPr>
          <w:rFonts w:ascii="仿宋" w:hAnsi="仿宋" w:eastAsia="仿宋" w:cs="仿宋"/>
          <w:b/>
          <w:color w:val="333333"/>
          <w:sz w:val="32"/>
        </w:rPr>
        <w:t>3.“资金落实”</w:t>
      </w:r>
      <w:r>
        <w:rPr>
          <w:rFonts w:ascii="仿宋" w:hAnsi="仿宋" w:eastAsia="仿宋" w:cs="仿宋"/>
          <w:color w:val="333333"/>
          <w:sz w:val="32"/>
        </w:rPr>
        <w:t>指标20分，评价得分20分，得分率为100%，该项指标绩效等级为优。项目资金到位指标得分率为100%。</w:t>
      </w:r>
    </w:p>
    <w:p>
      <w:pPr>
        <w:spacing w:line="570" w:lineRule="auto"/>
        <w:ind w:firstLine="643"/>
        <w:rPr>
          <w:rFonts w:ascii="仿宋" w:hAnsi="仿宋" w:eastAsia="仿宋" w:cs="仿宋"/>
          <w:color w:val="333333"/>
          <w:sz w:val="32"/>
        </w:rPr>
      </w:pPr>
      <w:r>
        <w:rPr>
          <w:rFonts w:ascii="仿宋" w:hAnsi="仿宋" w:eastAsia="仿宋" w:cs="仿宋"/>
          <w:b/>
          <w:color w:val="333333"/>
          <w:sz w:val="32"/>
        </w:rPr>
        <w:t>4. “实际支出”</w:t>
      </w:r>
      <w:r>
        <w:rPr>
          <w:rFonts w:ascii="仿宋" w:hAnsi="仿宋" w:eastAsia="仿宋" w:cs="仿宋"/>
          <w:color w:val="333333"/>
          <w:sz w:val="32"/>
        </w:rPr>
        <w:t>指标20分，评价得分20分，得分率为100%，该项指标绩效等级为优。从2个二级指标看，项目资金使用合规指标得分率为100%，资金支出进度指标得分率为100%。</w:t>
      </w:r>
    </w:p>
    <w:p>
      <w:pPr>
        <w:spacing w:line="570" w:lineRule="auto"/>
        <w:ind w:firstLine="643"/>
        <w:rPr>
          <w:rFonts w:ascii="仿宋" w:hAnsi="仿宋" w:eastAsia="仿宋" w:cs="仿宋"/>
          <w:color w:val="333333"/>
          <w:sz w:val="32"/>
        </w:rPr>
      </w:pPr>
      <w:r>
        <w:rPr>
          <w:rFonts w:ascii="仿宋" w:hAnsi="仿宋" w:eastAsia="仿宋" w:cs="仿宋"/>
          <w:b/>
          <w:color w:val="333333"/>
          <w:sz w:val="32"/>
        </w:rPr>
        <w:t>5. “财务管理”</w:t>
      </w:r>
      <w:r>
        <w:rPr>
          <w:rFonts w:ascii="仿宋" w:hAnsi="仿宋" w:eastAsia="仿宋" w:cs="仿宋"/>
          <w:color w:val="333333"/>
          <w:sz w:val="32"/>
        </w:rPr>
        <w:t>指标20分，评价得分20分，得分率为100%，该项指标绩效等级为优。从2个二级指标看，资金管理指标得分率100%，会计核算指标得分率100%。</w:t>
      </w:r>
    </w:p>
    <w:p>
      <w:pPr>
        <w:spacing w:line="440" w:lineRule="auto"/>
        <w:rPr>
          <w:rFonts w:ascii="楷体" w:hAnsi="楷体" w:eastAsia="楷体" w:cs="楷体"/>
          <w:b/>
          <w:sz w:val="32"/>
        </w:rPr>
      </w:pPr>
      <w:r>
        <w:rPr>
          <w:rFonts w:ascii="楷体" w:hAnsi="楷体" w:eastAsia="楷体" w:cs="楷体"/>
          <w:b/>
          <w:sz w:val="32"/>
        </w:rPr>
        <w:t xml:space="preserve">    结果绩效自评情况</w:t>
      </w:r>
    </w:p>
    <w:p>
      <w:pPr>
        <w:spacing w:line="570" w:lineRule="auto"/>
        <w:ind w:firstLine="643"/>
        <w:rPr>
          <w:rFonts w:ascii="仿宋" w:hAnsi="仿宋" w:eastAsia="仿宋" w:cs="仿宋"/>
          <w:b/>
          <w:color w:val="333333"/>
          <w:sz w:val="32"/>
        </w:rPr>
      </w:pPr>
      <w:r>
        <w:rPr>
          <w:rFonts w:ascii="楷体" w:hAnsi="楷体" w:eastAsia="楷体" w:cs="楷体"/>
          <w:b/>
          <w:color w:val="333333"/>
          <w:sz w:val="32"/>
        </w:rPr>
        <w:t>结果绩效100分，评价得分98分</w:t>
      </w:r>
    </w:p>
    <w:p>
      <w:pPr>
        <w:spacing w:line="570" w:lineRule="auto"/>
        <w:ind w:firstLine="643"/>
        <w:rPr>
          <w:rFonts w:ascii="仿宋" w:hAnsi="仿宋" w:eastAsia="仿宋" w:cs="仿宋"/>
          <w:color w:val="333333"/>
          <w:sz w:val="32"/>
        </w:rPr>
      </w:pPr>
      <w:r>
        <w:rPr>
          <w:rFonts w:ascii="仿宋" w:hAnsi="仿宋" w:eastAsia="仿宋" w:cs="仿宋"/>
          <w:b/>
          <w:color w:val="333333"/>
          <w:sz w:val="32"/>
        </w:rPr>
        <w:t>1.“产出指标”</w:t>
      </w:r>
      <w:r>
        <w:rPr>
          <w:rFonts w:ascii="仿宋" w:hAnsi="仿宋" w:eastAsia="仿宋" w:cs="仿宋"/>
          <w:color w:val="333333"/>
          <w:sz w:val="32"/>
        </w:rPr>
        <w:t>60分，评价得分59分，得分率为98%，该项指标绩效等级为优。</w:t>
      </w:r>
    </w:p>
    <w:p>
      <w:pPr>
        <w:spacing w:line="570" w:lineRule="auto"/>
        <w:ind w:firstLine="643"/>
        <w:rPr>
          <w:rFonts w:ascii="仿宋" w:hAnsi="仿宋" w:eastAsia="仿宋" w:cs="仿宋"/>
          <w:b/>
          <w:color w:val="333333"/>
          <w:sz w:val="32"/>
        </w:rPr>
      </w:pPr>
      <w:r>
        <w:rPr>
          <w:rFonts w:ascii="仿宋" w:hAnsi="仿宋" w:eastAsia="仿宋" w:cs="仿宋"/>
          <w:b/>
          <w:color w:val="333333"/>
          <w:sz w:val="32"/>
        </w:rPr>
        <w:t>2.“效果指标”</w:t>
      </w:r>
      <w:r>
        <w:rPr>
          <w:rFonts w:ascii="仿宋" w:hAnsi="仿宋" w:eastAsia="仿宋" w:cs="仿宋"/>
          <w:color w:val="333333"/>
          <w:sz w:val="32"/>
        </w:rPr>
        <w:t>40分，评价得分39分，得分率为9</w:t>
      </w:r>
      <w:r>
        <w:rPr>
          <w:rFonts w:hint="eastAsia" w:ascii="仿宋" w:hAnsi="仿宋" w:eastAsia="仿宋" w:cs="仿宋"/>
          <w:color w:val="333333"/>
          <w:sz w:val="32"/>
        </w:rPr>
        <w:t>8</w:t>
      </w:r>
      <w:r>
        <w:rPr>
          <w:rFonts w:ascii="仿宋" w:hAnsi="仿宋" w:eastAsia="仿宋" w:cs="仿宋"/>
          <w:color w:val="333333"/>
          <w:sz w:val="32"/>
        </w:rPr>
        <w:t>%，该项指标绩效等级优良。</w:t>
      </w:r>
    </w:p>
    <w:p>
      <w:pPr>
        <w:spacing w:line="570" w:lineRule="auto"/>
        <w:ind w:firstLine="640"/>
        <w:rPr>
          <w:rFonts w:ascii="仿宋" w:hAnsi="仿宋" w:eastAsia="仿宋" w:cs="仿宋"/>
          <w:color w:val="333333"/>
          <w:sz w:val="32"/>
        </w:rPr>
      </w:pPr>
      <w:r>
        <w:rPr>
          <w:rFonts w:ascii="仿宋" w:hAnsi="仿宋" w:eastAsia="仿宋" w:cs="仿宋"/>
          <w:color w:val="333333"/>
          <w:sz w:val="32"/>
        </w:rPr>
        <w:t>扣分因素：人民群众对项目实施效果满意度98%，按照评价标准共扣减2分。</w:t>
      </w:r>
    </w:p>
    <w:p>
      <w:pPr>
        <w:spacing w:line="580" w:lineRule="auto"/>
        <w:ind w:firstLine="720"/>
        <w:rPr>
          <w:rFonts w:ascii="黑体" w:hAnsi="黑体" w:eastAsia="黑体" w:cs="黑体"/>
          <w:b/>
          <w:sz w:val="36"/>
        </w:rPr>
      </w:pPr>
      <w:r>
        <w:rPr>
          <w:rFonts w:ascii="黑体" w:hAnsi="黑体" w:eastAsia="黑体" w:cs="黑体"/>
          <w:sz w:val="36"/>
        </w:rPr>
        <w:t>七、其他重要事项的说明</w:t>
      </w:r>
    </w:p>
    <w:p>
      <w:pPr>
        <w:keepNext/>
        <w:keepLines/>
        <w:spacing w:line="580" w:lineRule="auto"/>
        <w:ind w:firstLine="643"/>
        <w:rPr>
          <w:rFonts w:ascii="楷体_GB2312" w:hAnsi="楷体_GB2312" w:eastAsia="楷体_GB2312" w:cs="楷体_GB2312"/>
          <w:b/>
          <w:sz w:val="32"/>
        </w:rPr>
      </w:pPr>
      <w:r>
        <w:rPr>
          <w:rFonts w:ascii="楷体_GB2312" w:hAnsi="楷体_GB2312" w:eastAsia="楷体_GB2312" w:cs="楷体_GB2312"/>
          <w:b/>
          <w:sz w:val="32"/>
        </w:rPr>
        <w:t>（一）机关运行经费情况</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本部门2018年度机关运行经费支出115.3万元，与</w:t>
      </w:r>
      <w:r>
        <w:rPr>
          <w:rFonts w:hint="eastAsia" w:ascii="仿宋_GB2312" w:hAnsi="仿宋_GB2312" w:eastAsia="仿宋_GB2312" w:cs="仿宋_GB2312"/>
          <w:sz w:val="32"/>
        </w:rPr>
        <w:t>2018年年初预算减少34.35万元，</w:t>
      </w:r>
      <w:r>
        <w:rPr>
          <w:rFonts w:ascii="仿宋_GB2312" w:hAnsi="仿宋_GB2312" w:eastAsia="仿宋_GB2312" w:cs="仿宋_GB2312"/>
          <w:sz w:val="32"/>
        </w:rPr>
        <w:t>降低2</w:t>
      </w:r>
      <w:r>
        <w:rPr>
          <w:rFonts w:hint="eastAsia" w:ascii="仿宋_GB2312" w:hAnsi="仿宋_GB2312" w:eastAsia="仿宋_GB2312" w:cs="仿宋_GB2312"/>
          <w:sz w:val="32"/>
        </w:rPr>
        <w:t>3</w:t>
      </w:r>
      <w:r>
        <w:rPr>
          <w:rFonts w:ascii="仿宋_GB2312" w:hAnsi="仿宋_GB2312" w:eastAsia="仿宋_GB2312" w:cs="仿宋_GB2312"/>
          <w:sz w:val="32"/>
        </w:rPr>
        <w:t>%。比2017年度减少42.6万元，降低26%。主要原因是减少压缩日常各项经费支出。</w:t>
      </w:r>
    </w:p>
    <w:p>
      <w:pPr>
        <w:keepNext/>
        <w:keepLines/>
        <w:spacing w:line="580" w:lineRule="auto"/>
        <w:ind w:firstLine="643"/>
        <w:rPr>
          <w:rFonts w:ascii="楷体_GB2312" w:hAnsi="楷体_GB2312" w:eastAsia="楷体_GB2312" w:cs="楷体_GB2312"/>
          <w:b/>
          <w:sz w:val="32"/>
        </w:rPr>
      </w:pPr>
      <w:r>
        <w:rPr>
          <w:rFonts w:ascii="楷体_GB2312" w:hAnsi="楷体_GB2312" w:eastAsia="楷体_GB2312" w:cs="楷体_GB2312"/>
          <w:b/>
          <w:sz w:val="32"/>
        </w:rPr>
        <w:t>（二）政府采购情况</w:t>
      </w:r>
    </w:p>
    <w:p>
      <w:pPr>
        <w:spacing w:line="580" w:lineRule="auto"/>
        <w:ind w:firstLine="640"/>
        <w:jc w:val="left"/>
        <w:rPr>
          <w:rFonts w:ascii="仿宋_GB2312" w:hAnsi="仿宋_GB2312" w:eastAsia="仿宋_GB2312" w:cs="仿宋_GB2312"/>
          <w:sz w:val="32"/>
        </w:rPr>
      </w:pPr>
      <w:r>
        <w:rPr>
          <w:rFonts w:ascii="仿宋_GB2312" w:hAnsi="仿宋_GB2312" w:eastAsia="仿宋_GB2312" w:cs="仿宋_GB2312"/>
          <w:sz w:val="32"/>
        </w:rPr>
        <w:t>本部门2018年度政府采购支出总额0万元，从采购类型来看，政府采购货物0万元、政府采购工程支出0万元、政府采购服务支出0万元。授予中小企业合同金0万，占政府采购支出总额的0%，其中授予小微企业合同金额0万元，占政府采购支出总额的0%。</w:t>
      </w:r>
    </w:p>
    <w:p>
      <w:pPr>
        <w:keepNext/>
        <w:keepLines/>
        <w:spacing w:line="580" w:lineRule="auto"/>
        <w:ind w:firstLine="643"/>
        <w:rPr>
          <w:rFonts w:ascii="楷体_GB2312" w:hAnsi="楷体_GB2312" w:eastAsia="楷体_GB2312" w:cs="楷体_GB2312"/>
          <w:b/>
          <w:sz w:val="32"/>
        </w:rPr>
      </w:pPr>
      <w:r>
        <w:rPr>
          <w:rFonts w:ascii="楷体_GB2312" w:hAnsi="楷体_GB2312" w:eastAsia="楷体_GB2312" w:cs="楷体_GB2312"/>
          <w:b/>
          <w:sz w:val="32"/>
        </w:rPr>
        <w:t>（三）国有资产占用情况</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截至2018年12月31日，本部门共有车辆6辆，比上年无增减变化。其中，副部（省）级及以上领导用车0辆，主要领导干部用车0辆，机要通信用车0辆，应急保障用车5辆，执法执勤用车0辆，特种专业技术用车0辆，离退休干部用车1辆；</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单位价值50万元以上通用设备0台（套），比上年无增减变化，单位价值100万元以上专用设备0台（套）比上年无增减变化。</w:t>
      </w:r>
    </w:p>
    <w:p>
      <w:pPr>
        <w:spacing w:line="580" w:lineRule="auto"/>
        <w:ind w:firstLine="640"/>
        <w:rPr>
          <w:rFonts w:ascii="仿宋_GB2312" w:hAnsi="仿宋_GB2312" w:eastAsia="仿宋_GB2312" w:cs="仿宋_GB2312"/>
          <w:sz w:val="32"/>
        </w:rPr>
      </w:pPr>
      <w:r>
        <w:rPr>
          <w:rFonts w:ascii="仿宋_GB2312" w:hAnsi="仿宋_GB2312" w:eastAsia="仿宋_GB2312" w:cs="仿宋_GB2312"/>
          <w:sz w:val="32"/>
        </w:rPr>
        <w:t>单位价值50万元以上通用设备0台（套），比上年无增减变化，单位价值100万元以上专用设备0台（套）比上年无增减变化。</w:t>
      </w:r>
    </w:p>
    <w:p>
      <w:pPr>
        <w:keepNext/>
        <w:keepLines/>
        <w:spacing w:line="580" w:lineRule="auto"/>
        <w:ind w:firstLine="643"/>
        <w:rPr>
          <w:rFonts w:ascii="楷体_GB2312" w:hAnsi="楷体_GB2312" w:eastAsia="楷体_GB2312" w:cs="楷体_GB2312"/>
          <w:b/>
          <w:sz w:val="32"/>
        </w:rPr>
      </w:pPr>
      <w:r>
        <w:rPr>
          <w:rFonts w:ascii="楷体_GB2312" w:hAnsi="楷体_GB2312" w:eastAsia="楷体_GB2312" w:cs="楷体_GB2312"/>
          <w:b/>
          <w:sz w:val="32"/>
        </w:rPr>
        <w:t>（四）其他需要说明的情况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仿宋_GB2312" w:eastAsia="仿宋_GB2312" w:cs="仿宋_GB2312"/>
          <w:sz w:val="32"/>
        </w:rPr>
        <w:t>1</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201</w:t>
      </w:r>
      <w:r>
        <w:rPr>
          <w:rFonts w:hint="eastAsia" w:ascii="仿宋_GB2312" w:hAnsi="Times New Roman" w:eastAsia="仿宋_GB2312" w:cs="仿宋_GB2312"/>
          <w:sz w:val="32"/>
          <w:szCs w:val="32"/>
        </w:rPr>
        <w:t>8年度无政府性基金预算财政拨款收入、支出及结转结余情况，故以空表列示。</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2</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201</w:t>
      </w:r>
      <w:r>
        <w:rPr>
          <w:rFonts w:hint="eastAsia" w:ascii="仿宋_GB2312" w:hAnsi="Times New Roman" w:eastAsia="仿宋_GB2312" w:cs="仿宋_GB2312"/>
          <w:sz w:val="32"/>
          <w:szCs w:val="32"/>
        </w:rPr>
        <w:t>8年度无国有资本经营预算财政拨款支出情况，故以空表列示。</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3</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201</w:t>
      </w:r>
      <w:r>
        <w:rPr>
          <w:rFonts w:hint="eastAsia" w:ascii="仿宋_GB2312" w:hAnsi="Times New Roman" w:eastAsia="仿宋_GB2312" w:cs="仿宋_GB2312"/>
          <w:sz w:val="32"/>
          <w:szCs w:val="32"/>
        </w:rPr>
        <w:t>8年度无纳入部门预算范围的政府采购预算及支出情况，故以空表列示。</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4</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rPr>
        <w:t>由于决算公开表格中金额数值应当保留两位小数，公开数据为四舍五入计算结果，个别数据合计项与分项之和存在小数点后差额，特此说明</w:t>
      </w:r>
      <w:r>
        <w:rPr>
          <w:rFonts w:ascii="仿宋_GB2312" w:hAnsi="仿宋_GB2312" w:eastAsia="仿宋_GB2312" w:cs="仿宋_GB2312"/>
          <w:sz w:val="32"/>
        </w:rPr>
        <w:t>。</w:t>
      </w:r>
    </w:p>
    <w:p>
      <w:pPr>
        <w:spacing w:after="160" w:line="1200" w:lineRule="auto"/>
        <w:jc w:val="center"/>
        <w:rPr>
          <w:rFonts w:ascii="黑体" w:hAnsi="黑体" w:eastAsia="黑体" w:cs="黑体"/>
          <w:color w:val="FDEFBE"/>
          <w:sz w:val="96"/>
        </w:rPr>
      </w:pPr>
    </w:p>
    <w:p>
      <w:pPr>
        <w:spacing w:after="160" w:line="1200" w:lineRule="auto"/>
        <w:jc w:val="center"/>
        <w:rPr>
          <w:rFonts w:ascii="黑体" w:hAnsi="黑体" w:eastAsia="黑体" w:cs="黑体"/>
          <w:color w:val="FDEFBE"/>
          <w:sz w:val="96"/>
        </w:rPr>
      </w:pPr>
      <w:r>
        <w:pict>
          <v:shape id="_x0000_s1034" o:spid="_x0000_s1034" o:spt="75" type="#_x0000_t75" style="position:absolute;left:0pt;margin-left:-88.5pt;margin-top:-73.1pt;height:841.4pt;width:590.25pt;z-index:-251652096;mso-width-relative:page;mso-height-relative:page;" o:ole="t" filled="f" o:preferrelative="t" stroked="f" coordsize="21600,21600">
            <v:path/>
            <v:fill on="f" focussize="0,0"/>
            <v:stroke on="f"/>
            <v:imagedata r:id="rId10" o:title=""/>
            <o:lock v:ext="edit" aspectratio="t"/>
          </v:shape>
          <o:OLEObject Type="Embed" ProgID="StaticMetafile" ShapeID="_x0000_s1034" DrawAspect="Content" ObjectID="_1468075730" r:id="rId14">
            <o:LockedField>false</o:LockedField>
          </o:OLEObject>
        </w:pict>
      </w:r>
    </w:p>
    <w:p>
      <w:pPr>
        <w:spacing w:after="160" w:line="1200" w:lineRule="auto"/>
        <w:jc w:val="center"/>
        <w:rPr>
          <w:rFonts w:ascii="黑体" w:hAnsi="黑体" w:eastAsia="黑体" w:cs="黑体"/>
          <w:color w:val="FDEFBE"/>
          <w:sz w:val="96"/>
        </w:rPr>
      </w:pPr>
    </w:p>
    <w:p>
      <w:pPr>
        <w:spacing w:after="160" w:line="1200" w:lineRule="auto"/>
        <w:jc w:val="center"/>
        <w:rPr>
          <w:rFonts w:ascii="黑体" w:hAnsi="黑体" w:eastAsia="黑体" w:cs="黑体"/>
          <w:color w:val="FDEFBE"/>
          <w:sz w:val="96"/>
        </w:rPr>
      </w:pPr>
    </w:p>
    <w:p>
      <w:pPr>
        <w:spacing w:after="160" w:line="1200" w:lineRule="auto"/>
        <w:jc w:val="center"/>
        <w:rPr>
          <w:rFonts w:ascii="黑体" w:hAnsi="黑体" w:eastAsia="黑体" w:cs="黑体"/>
          <w:color w:val="FDEFBE"/>
          <w:sz w:val="96"/>
        </w:rPr>
      </w:pPr>
      <w:r>
        <w:rPr>
          <w:rFonts w:ascii="黑体" w:hAnsi="黑体" w:eastAsia="黑体" w:cs="黑体"/>
          <w:color w:val="FDEFBE"/>
          <w:sz w:val="96"/>
        </w:rPr>
        <w:t>第四部分</w:t>
      </w:r>
    </w:p>
    <w:p>
      <w:pPr>
        <w:spacing w:after="160" w:line="1200" w:lineRule="auto"/>
        <w:jc w:val="center"/>
        <w:rPr>
          <w:rFonts w:ascii="Times New Roman" w:hAnsi="Times New Roman" w:eastAsia="Times New Roman" w:cs="Times New Roman"/>
          <w:color w:val="FDEFBE"/>
          <w:sz w:val="96"/>
        </w:rPr>
      </w:pPr>
      <w:r>
        <w:rPr>
          <w:rFonts w:ascii="黑体" w:hAnsi="黑体" w:eastAsia="黑体" w:cs="黑体"/>
          <w:color w:val="FDEFBE"/>
          <w:sz w:val="96"/>
        </w:rPr>
        <w:t>相关名词解释</w:t>
      </w:r>
    </w:p>
    <w:p>
      <w:pPr>
        <w:spacing w:after="160" w:line="480" w:lineRule="auto"/>
        <w:rPr>
          <w:rFonts w:ascii="宋体" w:hAnsi="宋体" w:eastAsia="宋体" w:cs="宋体"/>
          <w:color w:val="000000"/>
        </w:rPr>
      </w:pPr>
    </w:p>
    <w:p>
      <w:pPr>
        <w:spacing w:line="560" w:lineRule="auto"/>
        <w:ind w:firstLine="643"/>
        <w:rPr>
          <w:rFonts w:ascii="仿宋_GB2312" w:hAnsi="仿宋_GB2312" w:eastAsia="仿宋_GB2312" w:cs="仿宋_GB2312"/>
          <w:b/>
          <w:color w:val="000000"/>
          <w:sz w:val="32"/>
        </w:rPr>
      </w:pPr>
    </w:p>
    <w:p>
      <w:pPr>
        <w:spacing w:line="560" w:lineRule="auto"/>
        <w:ind w:firstLine="643"/>
        <w:rPr>
          <w:rFonts w:ascii="仿宋_GB2312" w:hAnsi="仿宋_GB2312" w:eastAsia="仿宋_GB2312" w:cs="仿宋_GB2312"/>
          <w:b/>
          <w:color w:val="000000"/>
          <w:sz w:val="32"/>
        </w:rPr>
      </w:pPr>
    </w:p>
    <w:p>
      <w:pPr>
        <w:spacing w:line="560" w:lineRule="auto"/>
        <w:ind w:firstLine="643"/>
        <w:rPr>
          <w:rFonts w:ascii="仿宋_GB2312" w:hAnsi="仿宋_GB2312" w:eastAsia="仿宋_GB2312" w:cs="仿宋_GB2312"/>
          <w:b/>
          <w:color w:val="000000"/>
          <w:sz w:val="32"/>
        </w:rPr>
      </w:pPr>
    </w:p>
    <w:p>
      <w:pPr>
        <w:spacing w:line="560" w:lineRule="auto"/>
        <w:ind w:firstLine="643"/>
        <w:rPr>
          <w:rFonts w:ascii="仿宋_GB2312" w:hAnsi="仿宋_GB2312" w:eastAsia="仿宋_GB2312" w:cs="仿宋_GB2312"/>
          <w:b/>
          <w:color w:val="000000"/>
          <w:sz w:val="32"/>
        </w:rPr>
      </w:pPr>
    </w:p>
    <w:p>
      <w:pPr>
        <w:spacing w:line="560" w:lineRule="auto"/>
        <w:ind w:firstLine="643"/>
        <w:rPr>
          <w:rFonts w:ascii="仿宋_GB2312" w:hAnsi="仿宋_GB2312" w:eastAsia="仿宋_GB2312" w:cs="仿宋_GB2312"/>
          <w:b/>
          <w:color w:val="000000"/>
          <w:sz w:val="32"/>
        </w:rPr>
      </w:pPr>
    </w:p>
    <w:p>
      <w:pPr>
        <w:spacing w:line="560" w:lineRule="auto"/>
        <w:rPr>
          <w:rFonts w:ascii="仿宋_GB2312" w:hAnsi="仿宋_GB2312" w:eastAsia="仿宋_GB2312" w:cs="仿宋_GB2312"/>
          <w:b/>
          <w:color w:val="000000"/>
          <w:sz w:val="32"/>
        </w:rPr>
      </w:pP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（一）财政拨款收入：</w:t>
      </w:r>
      <w:r>
        <w:rPr>
          <w:rFonts w:ascii="仿宋_GB2312" w:hAnsi="仿宋_GB2312" w:eastAsia="仿宋_GB2312" w:cs="仿宋_GB2312"/>
          <w:color w:val="000000"/>
          <w:sz w:val="32"/>
        </w:rPr>
        <w:t>本年度从本级财政部门取得的财政拨款，包括一般公共预算财政拨款和政府性基金预算财政拨款。</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（二）事业收入：</w:t>
      </w:r>
      <w:r>
        <w:rPr>
          <w:rFonts w:ascii="仿宋_GB2312" w:hAnsi="仿宋_GB2312" w:eastAsia="仿宋_GB2312" w:cs="仿宋_GB2312"/>
          <w:color w:val="000000"/>
          <w:sz w:val="32"/>
        </w:rPr>
        <w:t>指事业单位开展专业业务活动及辅助活动所取得的收入。</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（三）其他收入：</w:t>
      </w:r>
      <w:r>
        <w:rPr>
          <w:rFonts w:ascii="仿宋_GB2312" w:hAnsi="仿宋_GB2312" w:eastAsia="仿宋_GB2312" w:cs="仿宋_GB2312"/>
          <w:color w:val="000000"/>
          <w:sz w:val="32"/>
        </w:rPr>
        <w:t>指除上述“财政拨款收入”、“事业收入”、“经营收入”等以外的收入。</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（四）用事业基金弥补收支差额：</w:t>
      </w:r>
      <w:r>
        <w:rPr>
          <w:rFonts w:ascii="仿宋_GB2312" w:hAnsi="仿宋_GB2312" w:eastAsia="仿宋_GB2312" w:cs="仿宋_GB2312"/>
          <w:color w:val="000000"/>
          <w:sz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（五）年初结转和结余：</w:t>
      </w:r>
      <w:r>
        <w:rPr>
          <w:rFonts w:ascii="仿宋_GB2312" w:hAnsi="仿宋_GB2312" w:eastAsia="仿宋_GB2312" w:cs="仿宋_GB2312"/>
          <w:color w:val="000000"/>
          <w:sz w:val="32"/>
        </w:rPr>
        <w:t>指以前年度尚未完成、结转到本年仍按原规定用途继续使用的资金，或项目已完成等产生的结余资金。</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（六）结余分配：</w:t>
      </w:r>
      <w:r>
        <w:rPr>
          <w:rFonts w:ascii="仿宋_GB2312" w:hAnsi="仿宋_GB2312" w:eastAsia="仿宋_GB2312" w:cs="仿宋_GB2312"/>
          <w:color w:val="000000"/>
          <w:sz w:val="32"/>
        </w:rPr>
        <w:t>指事业单位按照事业单位会计制度的规定从非财政补助结余中分配的事业基金和职工福利基金等。</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（七）年末结转和结余：</w:t>
      </w:r>
      <w:r>
        <w:rPr>
          <w:rFonts w:ascii="仿宋_GB2312" w:hAnsi="仿宋_GB2312" w:eastAsia="仿宋_GB2312" w:cs="仿宋_GB2312"/>
          <w:color w:val="000000"/>
          <w:sz w:val="32"/>
        </w:rPr>
        <w:t>指单位按有关规定结转到下年或以后年度继续使用的资金，或项目已完成等产生的结余资金。</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（八）基本支出：</w:t>
      </w:r>
      <w:r>
        <w:rPr>
          <w:rFonts w:ascii="仿宋_GB2312" w:hAnsi="仿宋_GB2312" w:eastAsia="仿宋_GB2312" w:cs="仿宋_GB2312"/>
          <w:color w:val="000000"/>
          <w:sz w:val="32"/>
        </w:rPr>
        <w:t>填列单位为保障机构正常运转、完成日常工作任务而发生的各项支出。</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（九）项目支出：</w:t>
      </w:r>
      <w:r>
        <w:rPr>
          <w:rFonts w:ascii="仿宋_GB2312" w:hAnsi="仿宋_GB2312" w:eastAsia="仿宋_GB2312" w:cs="仿宋_GB2312"/>
          <w:color w:val="000000"/>
          <w:sz w:val="32"/>
        </w:rPr>
        <w:t>填列单位为完成特定的行政工作任务或事业发展目标，在基本支出之外发生的各项支出</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（十）基本建设支出：</w:t>
      </w:r>
      <w:r>
        <w:rPr>
          <w:rFonts w:ascii="仿宋_GB2312" w:hAnsi="仿宋_GB2312" w:eastAsia="仿宋_GB2312" w:cs="仿宋_GB2312"/>
          <w:color w:val="000000"/>
          <w:sz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（十一）其他资本性支出：</w:t>
      </w:r>
      <w:r>
        <w:rPr>
          <w:rFonts w:ascii="仿宋_GB2312" w:hAnsi="仿宋_GB2312" w:eastAsia="仿宋_GB2312" w:cs="仿宋_GB2312"/>
          <w:color w:val="000000"/>
          <w:sz w:val="32"/>
        </w:rPr>
        <w:t>填列由各级非发展与改革部门集中安排的用于购置固定资产、战备性和应急性储备、土地和无形资产，以及购建基础设施、大型修缮和财政支持企业更新改造所发生的支出。</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（十二）“三公”经费：</w:t>
      </w:r>
      <w:r>
        <w:rPr>
          <w:rFonts w:ascii="仿宋_GB2312" w:hAnsi="仿宋_GB2312" w:eastAsia="仿宋_GB2312" w:cs="仿宋_GB2312"/>
          <w:color w:val="000000"/>
          <w:sz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（十三）其他交通费用：</w:t>
      </w:r>
      <w:r>
        <w:rPr>
          <w:rFonts w:ascii="仿宋_GB2312" w:hAnsi="仿宋_GB2312" w:eastAsia="仿宋_GB2312" w:cs="仿宋_GB2312"/>
          <w:color w:val="000000"/>
          <w:sz w:val="32"/>
        </w:rPr>
        <w:t>填列单位除公务用车运行维护费以外的其他交通费用。如飞机、船舶等的燃料费、维修费、过桥过路费、保险费、出租车费用、公务交通补贴等。</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（十四）公务用车购置：</w:t>
      </w:r>
      <w:r>
        <w:rPr>
          <w:rFonts w:ascii="仿宋_GB2312" w:hAnsi="仿宋_GB2312" w:eastAsia="仿宋_GB2312" w:cs="仿宋_GB2312"/>
          <w:color w:val="000000"/>
          <w:sz w:val="32"/>
        </w:rPr>
        <w:t>填列单位公务用车车辆购置支出（含车辆购置税）。</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（十五）其他交通工具购置：</w:t>
      </w:r>
      <w:r>
        <w:rPr>
          <w:rFonts w:ascii="仿宋_GB2312" w:hAnsi="仿宋_GB2312" w:eastAsia="仿宋_GB2312" w:cs="仿宋_GB2312"/>
          <w:color w:val="000000"/>
          <w:sz w:val="32"/>
        </w:rPr>
        <w:t>填列单位除公务用车外的其他各类交通工具（如船舶、飞机）购置支出（含车辆购置税）。</w:t>
      </w:r>
    </w:p>
    <w:p>
      <w:pPr>
        <w:spacing w:line="560" w:lineRule="auto"/>
        <w:ind w:firstLine="643"/>
        <w:rPr>
          <w:rFonts w:ascii="仿宋_GB2312" w:hAnsi="仿宋_GB2312" w:eastAsia="仿宋_GB2312" w:cs="仿宋_GB2312"/>
          <w:color w:val="000000"/>
          <w:sz w:val="32"/>
        </w:rPr>
      </w:pPr>
      <w:r>
        <w:rPr>
          <w:rFonts w:ascii="仿宋_GB2312" w:hAnsi="仿宋_GB2312" w:eastAsia="仿宋_GB2312" w:cs="仿宋_GB2312"/>
          <w:b/>
          <w:color w:val="000000"/>
          <w:sz w:val="32"/>
        </w:rPr>
        <w:t>（十六）机关运行经费：</w:t>
      </w:r>
      <w:r>
        <w:rPr>
          <w:rFonts w:ascii="仿宋_GB2312" w:hAnsi="仿宋_GB2312" w:eastAsia="仿宋_GB2312" w:cs="仿宋_GB2312"/>
          <w:color w:val="000000"/>
          <w:sz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spacing w:line="560" w:lineRule="auto"/>
        <w:ind w:firstLine="643"/>
        <w:rPr>
          <w:rFonts w:ascii="仿宋_GB2312" w:hAnsi="仿宋_GB2312" w:eastAsia="仿宋_GB2312" w:cs="仿宋_GB2312"/>
          <w:sz w:val="32"/>
        </w:rPr>
      </w:pPr>
      <w:r>
        <w:rPr>
          <w:rFonts w:ascii="仿宋_GB2312" w:hAnsi="仿宋_GB2312" w:eastAsia="仿宋_GB2312" w:cs="仿宋_GB2312"/>
          <w:b/>
          <w:color w:val="000000"/>
          <w:sz w:val="32"/>
        </w:rPr>
        <w:t>（十七）经费形式:</w:t>
      </w:r>
      <w:r>
        <w:rPr>
          <w:rFonts w:ascii="仿宋_GB2312" w:hAnsi="仿宋_GB2312" w:eastAsia="仿宋_GB2312" w:cs="仿宋_GB2312"/>
          <w:color w:val="000000"/>
          <w:sz w:val="32"/>
        </w:rPr>
        <w:t>按照经费来源，</w:t>
      </w:r>
      <w:r>
        <w:rPr>
          <w:rFonts w:ascii="仿宋_GB2312" w:hAnsi="仿宋_GB2312" w:eastAsia="仿宋_GB2312" w:cs="仿宋_GB2312"/>
          <w:sz w:val="32"/>
        </w:rPr>
        <w:t>可分为财政拨款、财政性资金基本保证、财政性资金定额或定项补助、财政性资金零补助四类。</w:t>
      </w:r>
    </w:p>
    <w:p>
      <w:pPr>
        <w:ind w:firstLine="640"/>
        <w:rPr>
          <w:rFonts w:ascii="仿宋_GB2312" w:hAnsi="仿宋_GB2312" w:eastAsia="仿宋_GB2312" w:cs="仿宋_GB2312"/>
          <w:sz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方正仿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41199D"/>
    <w:multiLevelType w:val="multilevel"/>
    <w:tmpl w:val="2741199D"/>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docVars>
    <w:docVar w:name="commondata" w:val="eyJoZGlkIjoiMzNlN2Q2NDFlZDk3ODdkNzJiNDlmOTZkMGE1MDBkZWQifQ=="/>
  </w:docVars>
  <w:rsids>
    <w:rsidRoot w:val="00326BAE"/>
    <w:rsid w:val="00223D5F"/>
    <w:rsid w:val="0030402A"/>
    <w:rsid w:val="00326BAE"/>
    <w:rsid w:val="00350E4F"/>
    <w:rsid w:val="004544FA"/>
    <w:rsid w:val="004914E6"/>
    <w:rsid w:val="004B4E6A"/>
    <w:rsid w:val="005F7A13"/>
    <w:rsid w:val="007D5E93"/>
    <w:rsid w:val="00937548"/>
    <w:rsid w:val="00A67523"/>
    <w:rsid w:val="00B56599"/>
    <w:rsid w:val="00BC583B"/>
    <w:rsid w:val="00C32748"/>
    <w:rsid w:val="00C62D06"/>
    <w:rsid w:val="00DF5217"/>
    <w:rsid w:val="00F0221E"/>
    <w:rsid w:val="00F74063"/>
    <w:rsid w:val="151D1CD8"/>
    <w:rsid w:val="1B8E1B28"/>
    <w:rsid w:val="1B9A702B"/>
    <w:rsid w:val="1D890B5B"/>
    <w:rsid w:val="2A485A41"/>
    <w:rsid w:val="479076E2"/>
    <w:rsid w:val="67DD2F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semiHidden/>
    <w:unhideWhenUsed/>
    <w:qFormat/>
    <w:uiPriority w:val="99"/>
    <w:pPr>
      <w:tabs>
        <w:tab w:val="center" w:pos="4153"/>
        <w:tab w:val="right" w:pos="8306"/>
      </w:tabs>
      <w:snapToGrid w:val="0"/>
      <w:jc w:val="left"/>
    </w:pPr>
    <w:rPr>
      <w:sz w:val="18"/>
      <w:szCs w:val="18"/>
    </w:rPr>
  </w:style>
  <w:style w:type="paragraph" w:styleId="3">
    <w:name w:val="header"/>
    <w:basedOn w:val="1"/>
    <w:link w:val="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semiHidden/>
    <w:qFormat/>
    <w:uiPriority w:val="99"/>
    <w:rPr>
      <w:sz w:val="18"/>
      <w:szCs w:val="18"/>
    </w:rPr>
  </w:style>
  <w:style w:type="character" w:customStyle="1" w:styleId="7">
    <w:name w:val="页脚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png"/><Relationship Id="rId7" Type="http://schemas.openxmlformats.org/officeDocument/2006/relationships/oleObject" Target="embeddings/oleObject2.bin"/><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oleObject" Target="embeddings/oleObject6.bin"/><Relationship Id="rId13" Type="http://schemas.openxmlformats.org/officeDocument/2006/relationships/oleObject" Target="embeddings/oleObject5.bin"/><Relationship Id="rId12" Type="http://schemas.openxmlformats.org/officeDocument/2006/relationships/image" Target="media/image5.wmf"/><Relationship Id="rId11" Type="http://schemas.openxmlformats.org/officeDocument/2006/relationships/oleObject" Target="embeddings/oleObject4.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Info spid="_x0000_s1030"/>
    <customShpInfo spid="_x0000_s1032"/>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8310</Words>
  <Characters>4097</Characters>
  <Lines>34</Lines>
  <Paragraphs>24</Paragraphs>
  <TotalTime>5</TotalTime>
  <ScaleCrop>false</ScaleCrop>
  <LinksUpToDate>false</LinksUpToDate>
  <CharactersWithSpaces>12383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2021-05-17T07:47:00Z</dcterms:created>
  <dc:creator>Lenovo</dc:creator>
  <cp:lastModifiedBy>甘惠</cp:lastModifiedBy>
  <cp:lastPrinted>2021-05-17T08:07:00Z</cp:lastPrinted>
  <dcterms:modified xsi:type="dcterms:W3CDTF">2024-03-18T08:38:51Z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C0AE0E60DD91453981E13D6BC08B224C</vt:lpwstr>
  </property>
</Properties>
</file>