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r>
        <w:rPr>
          <w:rFonts w:hint="eastAsia"/>
          <w:sz w:val="48"/>
          <w:szCs w:val="48"/>
        </w:rPr>
        <w:t>遵化市安全生产监督管理局2019年部门预算信息公开说明</w:t>
      </w:r>
    </w:p>
    <w:p>
      <w:pPr>
        <w:jc w:val="center"/>
        <w:rPr>
          <w:sz w:val="48"/>
          <w:szCs w:val="48"/>
        </w:rPr>
      </w:pPr>
    </w:p>
    <w:p>
      <w:pPr>
        <w:ind w:firstLine="640" w:firstLineChars="200"/>
        <w:rPr>
          <w:rFonts w:ascii="仿宋_GB2312" w:eastAsia="仿宋_GB2312"/>
          <w:sz w:val="32"/>
          <w:szCs w:val="32"/>
        </w:rPr>
      </w:pPr>
      <w:r>
        <w:rPr>
          <w:rFonts w:hint="eastAsia" w:ascii="仿宋_GB2312" w:eastAsia="仿宋_GB2312"/>
          <w:sz w:val="32"/>
          <w:szCs w:val="32"/>
        </w:rPr>
        <w:t>按照《中华人民共和国预算法》、《地方预决算公开操作规程》规定，现将2019年部门预算公开如下：</w:t>
      </w:r>
    </w:p>
    <w:p>
      <w:pPr>
        <w:ind w:firstLine="640"/>
        <w:rPr>
          <w:rFonts w:ascii="仿宋_GB2312" w:hAnsi="黑体" w:eastAsia="仿宋_GB2312"/>
          <w:sz w:val="32"/>
          <w:szCs w:val="32"/>
        </w:rPr>
      </w:pPr>
      <w:r>
        <w:rPr>
          <w:rFonts w:hint="eastAsia" w:ascii="仿宋_GB2312" w:hAnsi="黑体" w:eastAsia="仿宋_GB2312"/>
          <w:sz w:val="32"/>
          <w:szCs w:val="32"/>
        </w:rPr>
        <w:t>一、部门职责及机构设置情况</w:t>
      </w:r>
    </w:p>
    <w:p>
      <w:pPr>
        <w:ind w:firstLine="703" w:firstLineChars="250"/>
        <w:rPr>
          <w:rFonts w:ascii="仿宋_GB2312" w:eastAsia="仿宋_GB2312"/>
          <w:b/>
          <w:sz w:val="28"/>
          <w:szCs w:val="28"/>
        </w:rPr>
      </w:pPr>
      <w:r>
        <w:rPr>
          <w:rFonts w:hint="eastAsia" w:ascii="仿宋_GB2312" w:eastAsia="仿宋_GB2312"/>
          <w:b/>
          <w:sz w:val="28"/>
          <w:szCs w:val="28"/>
        </w:rPr>
        <w:t>部门职责：</w:t>
      </w:r>
    </w:p>
    <w:p>
      <w:pPr>
        <w:ind w:firstLine="640" w:firstLineChars="200"/>
        <w:rPr>
          <w:rFonts w:ascii="仿宋_GB2312" w:eastAsia="仿宋_GB2312"/>
          <w:sz w:val="32"/>
          <w:szCs w:val="32"/>
        </w:rPr>
      </w:pPr>
      <w:r>
        <w:rPr>
          <w:rFonts w:hint="eastAsia" w:ascii="仿宋_GB2312" w:eastAsia="仿宋_GB2312"/>
          <w:sz w:val="32"/>
          <w:szCs w:val="32"/>
        </w:rPr>
        <w:t>（一）指导协调全市安全生产工作，分析和预测全市安全生产形势，发布全市安全生产信息，研究、协调和解决安全生产中的重大问题。</w:t>
      </w:r>
    </w:p>
    <w:p>
      <w:pPr>
        <w:ind w:firstLine="640" w:firstLineChars="200"/>
        <w:rPr>
          <w:rFonts w:ascii="仿宋_GB2312" w:eastAsia="仿宋_GB2312"/>
          <w:sz w:val="32"/>
          <w:szCs w:val="32"/>
        </w:rPr>
      </w:pPr>
      <w:r>
        <w:rPr>
          <w:rFonts w:hint="eastAsia" w:ascii="仿宋_GB2312" w:eastAsia="仿宋_GB2312"/>
          <w:sz w:val="32"/>
          <w:szCs w:val="32"/>
        </w:rPr>
        <w:t>（二）承担全市安全生产综合监督管理责任，依法行使综合监督管理职权，指导协调、监督检查市有关部门的安全生工作，监督考核安全生产控制指标执行情况，综合管理全市生产安全伤亡事故和安全生产行政执法统计分析工作。</w:t>
      </w:r>
    </w:p>
    <w:p>
      <w:pPr>
        <w:ind w:firstLine="640" w:firstLineChars="200"/>
        <w:rPr>
          <w:rFonts w:ascii="仿宋_GB2312" w:eastAsia="仿宋_GB2312"/>
          <w:sz w:val="32"/>
          <w:szCs w:val="32"/>
        </w:rPr>
      </w:pPr>
      <w:r>
        <w:rPr>
          <w:rFonts w:hint="eastAsia" w:ascii="仿宋_GB2312" w:eastAsia="仿宋_GB2312"/>
          <w:sz w:val="32"/>
          <w:szCs w:val="32"/>
        </w:rPr>
        <w:t>（三）承担工矿商贸行业安全生产监督管理责任，按照分级、属地原则，依法监督检查工矿商贸生产经营单位贯彻执行安全生产法律法规情况及其安全生产条件和有关设备（适用《特种设备安全监察条例》的特种设备除外）、材料、劳动防护用品的安全管理工作；负责监督管理市管理的工矿商贸企业安全生产工作。</w:t>
      </w:r>
    </w:p>
    <w:p>
      <w:pPr>
        <w:ind w:firstLine="640" w:firstLineChars="200"/>
        <w:rPr>
          <w:rFonts w:ascii="仿宋_GB2312" w:eastAsia="仿宋_GB2312"/>
          <w:sz w:val="32"/>
          <w:szCs w:val="32"/>
        </w:rPr>
      </w:pPr>
      <w:r>
        <w:rPr>
          <w:rFonts w:hint="eastAsia" w:ascii="仿宋_GB2312" w:eastAsia="仿宋_GB2312"/>
          <w:sz w:val="32"/>
          <w:szCs w:val="32"/>
        </w:rPr>
        <w:t>（四）承担非煤矿矿山企业（含地质勘探）、石油（炼化、成品油管道除外）行业和危险化学品、烟花爆竹生产企业安全生产准入管理责任，依法组织实施安全生产准入制度；负责危险化学品安全监督管理综合工作和烟花爆竹安全生产监督管理工作。</w:t>
      </w:r>
    </w:p>
    <w:p>
      <w:pPr>
        <w:ind w:firstLine="640" w:firstLineChars="200"/>
        <w:rPr>
          <w:rFonts w:ascii="仿宋_GB2312" w:eastAsia="仿宋_GB2312"/>
          <w:sz w:val="32"/>
          <w:szCs w:val="32"/>
        </w:rPr>
      </w:pPr>
      <w:r>
        <w:rPr>
          <w:rFonts w:hint="eastAsia" w:ascii="仿宋_GB2312" w:eastAsia="仿宋_GB2312"/>
          <w:sz w:val="32"/>
          <w:szCs w:val="32"/>
        </w:rPr>
        <w:t>（五）承担工矿商贸作业场所（煤矿作业场所除外）职业卫生监督检查责任，依法承担职业卫生安全许可证的颁发管理工作，组织调查处理职业危害事故和违法违规行为。</w:t>
      </w:r>
    </w:p>
    <w:p>
      <w:pPr>
        <w:ind w:firstLine="640" w:firstLineChars="200"/>
        <w:rPr>
          <w:rFonts w:ascii="仿宋_GB2312" w:eastAsia="仿宋_GB2312"/>
          <w:sz w:val="32"/>
          <w:szCs w:val="32"/>
        </w:rPr>
      </w:pPr>
      <w:r>
        <w:rPr>
          <w:rFonts w:hint="eastAsia" w:ascii="仿宋_GB2312" w:eastAsia="仿宋_GB2312"/>
          <w:sz w:val="32"/>
          <w:szCs w:val="32"/>
        </w:rPr>
        <w:t>（六）组织实施工矿商贸行业安全生产规章、标准和规程，依法监督检查重大危险监控和重大事故隐患排查工作，依法查处不具备安全生产条件的工矿商贸生产经营单位。</w:t>
      </w:r>
    </w:p>
    <w:p>
      <w:pPr>
        <w:ind w:firstLine="640" w:firstLineChars="200"/>
        <w:rPr>
          <w:rFonts w:ascii="仿宋_GB2312" w:eastAsia="仿宋_GB2312"/>
          <w:sz w:val="32"/>
          <w:szCs w:val="32"/>
        </w:rPr>
      </w:pPr>
      <w:r>
        <w:rPr>
          <w:rFonts w:hint="eastAsia" w:ascii="仿宋_GB2312" w:eastAsia="仿宋_GB2312"/>
          <w:sz w:val="32"/>
          <w:szCs w:val="32"/>
        </w:rPr>
        <w:t>（七）负责组织全市安全生产大检查和专项督查；负责组织全市安全生产应急救援工作并监督应急救援工作各项制度的落实。</w:t>
      </w:r>
    </w:p>
    <w:p>
      <w:pPr>
        <w:ind w:firstLine="640" w:firstLineChars="200"/>
        <w:rPr>
          <w:rFonts w:ascii="仿宋_GB2312" w:eastAsia="仿宋_GB2312"/>
          <w:sz w:val="32"/>
          <w:szCs w:val="32"/>
        </w:rPr>
      </w:pPr>
      <w:r>
        <w:rPr>
          <w:rFonts w:hint="eastAsia" w:ascii="仿宋_GB2312" w:eastAsia="仿宋_GB2312"/>
          <w:sz w:val="32"/>
          <w:szCs w:val="32"/>
        </w:rPr>
        <w:t>（八）组织指导协调和监督全市安全生产行政执法工作。</w:t>
      </w:r>
    </w:p>
    <w:p>
      <w:pPr>
        <w:ind w:firstLine="640" w:firstLineChars="200"/>
        <w:rPr>
          <w:rFonts w:ascii="仿宋_GB2312" w:eastAsia="仿宋_GB2312"/>
          <w:sz w:val="32"/>
          <w:szCs w:val="32"/>
        </w:rPr>
      </w:pPr>
      <w:r>
        <w:rPr>
          <w:rFonts w:hint="eastAsia" w:ascii="仿宋_GB2312" w:eastAsia="仿宋_GB2312"/>
          <w:sz w:val="32"/>
          <w:szCs w:val="32"/>
        </w:rPr>
        <w:t>（九）依法组织事故调查处理和办理结案工作，监督事故查处和责任追究落实情况；参与较大以上事故的调查处理工作。</w:t>
      </w:r>
    </w:p>
    <w:p>
      <w:pPr>
        <w:ind w:firstLine="640" w:firstLineChars="200"/>
        <w:rPr>
          <w:rFonts w:ascii="仿宋_GB2312" w:eastAsia="仿宋_GB2312"/>
          <w:sz w:val="32"/>
          <w:szCs w:val="32"/>
        </w:rPr>
      </w:pPr>
      <w:r>
        <w:rPr>
          <w:rFonts w:hint="eastAsia" w:ascii="仿宋_GB2312" w:eastAsia="仿宋_GB2312"/>
          <w:sz w:val="32"/>
          <w:szCs w:val="32"/>
        </w:rPr>
        <w:t>（十）负责监督检查职责范围内新建、改建、扩建工程项目的安全设施与主体工程同时设计、同时施工、同时投入使用情况 。</w:t>
      </w:r>
    </w:p>
    <w:p>
      <w:pPr>
        <w:ind w:firstLine="640" w:firstLineChars="200"/>
        <w:rPr>
          <w:rFonts w:ascii="仿宋_GB2312" w:eastAsia="仿宋_GB2312"/>
          <w:sz w:val="32"/>
          <w:szCs w:val="32"/>
        </w:rPr>
      </w:pPr>
      <w:r>
        <w:rPr>
          <w:rFonts w:hint="eastAsia" w:ascii="仿宋_GB2312" w:eastAsia="仿宋_GB2312"/>
          <w:sz w:val="32"/>
          <w:szCs w:val="32"/>
        </w:rPr>
        <w:t>（十一）组织指导全市安全生产宣传教育工作。负责管理特种作业人员（适用《特种设备安全监察条例》的特种设备作业人员除外）的考核发证和工矿商贸生产经营单位主要负责人、安全生产管理人员的安全资格考核发证工作；监督检查工矿商贸生产经营单位安全生产和职业安全培训工作。</w:t>
      </w:r>
    </w:p>
    <w:p>
      <w:pPr>
        <w:ind w:firstLine="640" w:firstLineChars="200"/>
        <w:rPr>
          <w:rFonts w:ascii="仿宋_GB2312" w:eastAsia="仿宋_GB2312"/>
          <w:sz w:val="32"/>
          <w:szCs w:val="32"/>
        </w:rPr>
      </w:pPr>
      <w:r>
        <w:rPr>
          <w:rFonts w:hint="eastAsia" w:ascii="仿宋_GB2312" w:eastAsia="仿宋_GB2312"/>
          <w:sz w:val="32"/>
          <w:szCs w:val="32"/>
        </w:rPr>
        <w:t>（十二）指导协调全市安全生产检测检验工作，监督管理安全生产社会中介机构和安全评价工作，组织实施注册安全工程师执业资格制度。指导注册安全工程师执业资格考试和注册工作。</w:t>
      </w:r>
    </w:p>
    <w:p>
      <w:pPr>
        <w:ind w:firstLine="640" w:firstLineChars="200"/>
        <w:rPr>
          <w:rFonts w:ascii="仿宋_GB2312" w:eastAsia="仿宋_GB2312"/>
          <w:sz w:val="32"/>
          <w:szCs w:val="32"/>
        </w:rPr>
      </w:pPr>
      <w:r>
        <w:rPr>
          <w:rFonts w:hint="eastAsia" w:ascii="仿宋_GB2312" w:eastAsia="仿宋_GB2312"/>
          <w:sz w:val="32"/>
          <w:szCs w:val="32"/>
        </w:rPr>
        <w:t>（十三）组织拟订安全生产科技规划，组织协调安全生产科学技术研究和推广工作。组织开展安全生产方面的国际交流与合作。</w:t>
      </w:r>
    </w:p>
    <w:p>
      <w:pPr>
        <w:ind w:firstLine="640" w:firstLineChars="200"/>
        <w:rPr>
          <w:rFonts w:ascii="仿宋_GB2312" w:eastAsia="仿宋_GB2312"/>
          <w:sz w:val="32"/>
          <w:szCs w:val="32"/>
        </w:rPr>
      </w:pPr>
      <w:r>
        <w:rPr>
          <w:rFonts w:hint="eastAsia" w:ascii="仿宋_GB2312" w:eastAsia="仿宋_GB2312"/>
          <w:sz w:val="32"/>
          <w:szCs w:val="32"/>
        </w:rPr>
        <w:t>（十四）承担遵化市安全生产委员会的具体工作。</w:t>
      </w:r>
    </w:p>
    <w:p>
      <w:pPr>
        <w:ind w:firstLine="640" w:firstLineChars="200"/>
        <w:rPr>
          <w:rFonts w:ascii="仿宋_GB2312" w:eastAsia="仿宋_GB2312"/>
          <w:sz w:val="32"/>
          <w:szCs w:val="32"/>
        </w:rPr>
      </w:pPr>
      <w:r>
        <w:rPr>
          <w:rFonts w:hint="eastAsia" w:ascii="仿宋_GB2312" w:eastAsia="仿宋_GB2312"/>
          <w:sz w:val="32"/>
          <w:szCs w:val="32"/>
        </w:rPr>
        <w:t>（十五）承办市政府交办的其他事项。</w:t>
      </w:r>
    </w:p>
    <w:p>
      <w:pPr>
        <w:ind w:firstLine="643" w:firstLineChars="200"/>
        <w:rPr>
          <w:rFonts w:ascii="仿宋_GB2312" w:eastAsia="仿宋_GB2312"/>
          <w:color w:val="FF0000"/>
          <w:sz w:val="32"/>
          <w:szCs w:val="32"/>
        </w:rPr>
      </w:pPr>
      <w:r>
        <w:rPr>
          <w:rFonts w:hint="eastAsia" w:ascii="仿宋_GB2312" w:eastAsia="仿宋_GB2312"/>
          <w:b/>
          <w:sz w:val="32"/>
          <w:szCs w:val="32"/>
        </w:rPr>
        <w:t>机构设置：</w:t>
      </w:r>
      <w:r>
        <w:rPr>
          <w:rFonts w:hint="eastAsia" w:ascii="仿宋_GB2312" w:eastAsia="仿宋_GB2312"/>
          <w:sz w:val="32"/>
          <w:szCs w:val="32"/>
        </w:rPr>
        <w:t>遵化市安全生产监督管理局</w:t>
      </w:r>
      <w:r>
        <w:rPr>
          <w:rFonts w:hint="eastAsia" w:ascii="仿宋_GB2312" w:hAnsi="Calibri" w:eastAsia="仿宋_GB2312" w:cs="方正仿宋简体"/>
          <w:kern w:val="0"/>
          <w:sz w:val="32"/>
          <w:szCs w:val="32"/>
          <w:lang w:val="zh-CN"/>
        </w:rPr>
        <w:t>核定行政编制15名，全额事业编制30名，自收自支事业编制30名。局机关设5个内设机构，具体是：</w:t>
      </w:r>
      <w:r>
        <w:rPr>
          <w:rFonts w:hint="eastAsia" w:eastAsia="仿宋_GB2312"/>
          <w:kern w:val="0"/>
          <w:sz w:val="32"/>
          <w:szCs w:val="32"/>
        </w:rPr>
        <w:t> </w:t>
      </w:r>
      <w:r>
        <w:rPr>
          <w:rFonts w:hint="eastAsia" w:ascii="仿宋_GB2312" w:eastAsia="仿宋_GB2312"/>
          <w:sz w:val="32"/>
          <w:szCs w:val="32"/>
        </w:rPr>
        <w:t>办公室、</w:t>
      </w:r>
      <w:r>
        <w:rPr>
          <w:rFonts w:hint="eastAsia" w:eastAsia="仿宋_GB2312"/>
          <w:sz w:val="32"/>
          <w:szCs w:val="32"/>
        </w:rPr>
        <w:t>  </w:t>
      </w:r>
      <w:r>
        <w:rPr>
          <w:rFonts w:hint="eastAsia" w:ascii="仿宋_GB2312" w:eastAsia="仿宋_GB2312"/>
          <w:sz w:val="32"/>
          <w:szCs w:val="32"/>
        </w:rPr>
        <w:t>安全生产综合协调科、安全生产监督管理科、矿山安全监察科、</w:t>
      </w:r>
      <w:r>
        <w:rPr>
          <w:rFonts w:hint="eastAsia" w:eastAsia="仿宋_GB2312"/>
          <w:sz w:val="32"/>
          <w:szCs w:val="32"/>
        </w:rPr>
        <w:t>  </w:t>
      </w:r>
      <w:r>
        <w:rPr>
          <w:rFonts w:hint="eastAsia" w:ascii="仿宋_GB2312" w:eastAsia="仿宋_GB2312"/>
          <w:sz w:val="32"/>
          <w:szCs w:val="32"/>
        </w:rPr>
        <w:t>安全生产行政审批服务科。6个下属事业单位：安全生产监察大队、安全生产宣教培训中心、铁路道口管理办公室、</w:t>
      </w:r>
      <w:r>
        <w:rPr>
          <w:rFonts w:hint="eastAsia" w:eastAsia="仿宋_GB2312"/>
          <w:sz w:val="32"/>
          <w:szCs w:val="32"/>
        </w:rPr>
        <w:t> </w:t>
      </w:r>
      <w:r>
        <w:rPr>
          <w:rFonts w:hint="eastAsia" w:ascii="仿宋_GB2312" w:eastAsia="仿宋_GB2312"/>
          <w:sz w:val="32"/>
          <w:szCs w:val="32"/>
        </w:rPr>
        <w:t>安全生产应急救援指挥中心、</w:t>
      </w:r>
      <w:r>
        <w:rPr>
          <w:rFonts w:hint="eastAsia" w:eastAsia="仿宋_GB2312"/>
          <w:sz w:val="32"/>
          <w:szCs w:val="32"/>
        </w:rPr>
        <w:t> </w:t>
      </w:r>
      <w:r>
        <w:rPr>
          <w:rFonts w:hint="eastAsia" w:ascii="仿宋_GB2312" w:eastAsia="仿宋_GB2312"/>
          <w:sz w:val="32"/>
          <w:szCs w:val="32"/>
        </w:rPr>
        <w:t>职业安全健康监督管理办公室、非煤矿山技术服务中心。</w:t>
      </w:r>
    </w:p>
    <w:tbl>
      <w:tblPr>
        <w:tblStyle w:val="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53"/>
        <w:gridCol w:w="2100"/>
        <w:gridCol w:w="2625"/>
        <w:gridCol w:w="29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exact"/>
          <w:tblHeader/>
        </w:trPr>
        <w:tc>
          <w:tcPr>
            <w:tcW w:w="5253" w:type="dxa"/>
            <w:vMerge w:val="restart"/>
            <w:vAlign w:val="center"/>
          </w:tcPr>
          <w:p>
            <w:pPr>
              <w:spacing w:line="560" w:lineRule="exact"/>
              <w:jc w:val="center"/>
              <w:rPr>
                <w:rFonts w:ascii="仿宋" w:hAnsi="仿宋" w:eastAsia="仿宋"/>
                <w:b/>
                <w:sz w:val="32"/>
                <w:szCs w:val="32"/>
              </w:rPr>
            </w:pPr>
            <w:r>
              <w:rPr>
                <w:rFonts w:ascii="仿宋" w:hAnsi="仿宋" w:eastAsia="仿宋"/>
                <w:b/>
                <w:sz w:val="32"/>
                <w:szCs w:val="32"/>
              </w:rPr>
              <w:t>单位名称</w:t>
            </w:r>
          </w:p>
        </w:tc>
        <w:tc>
          <w:tcPr>
            <w:tcW w:w="2100" w:type="dxa"/>
            <w:vMerge w:val="restart"/>
            <w:vAlign w:val="center"/>
          </w:tcPr>
          <w:p>
            <w:pPr>
              <w:spacing w:line="560" w:lineRule="exact"/>
              <w:jc w:val="center"/>
              <w:rPr>
                <w:rFonts w:ascii="仿宋" w:hAnsi="仿宋" w:eastAsia="仿宋"/>
                <w:b/>
                <w:sz w:val="32"/>
                <w:szCs w:val="32"/>
              </w:rPr>
            </w:pPr>
            <w:r>
              <w:rPr>
                <w:rFonts w:ascii="仿宋" w:hAnsi="仿宋" w:eastAsia="仿宋"/>
                <w:b/>
                <w:sz w:val="32"/>
                <w:szCs w:val="32"/>
              </w:rPr>
              <w:t>单位性质</w:t>
            </w:r>
          </w:p>
        </w:tc>
        <w:tc>
          <w:tcPr>
            <w:tcW w:w="2625" w:type="dxa"/>
            <w:vMerge w:val="restart"/>
            <w:vAlign w:val="center"/>
          </w:tcPr>
          <w:p>
            <w:pPr>
              <w:spacing w:line="560" w:lineRule="exact"/>
              <w:jc w:val="center"/>
              <w:rPr>
                <w:rFonts w:ascii="仿宋" w:hAnsi="仿宋" w:eastAsia="仿宋"/>
                <w:b/>
                <w:sz w:val="32"/>
                <w:szCs w:val="32"/>
              </w:rPr>
            </w:pPr>
            <w:r>
              <w:rPr>
                <w:rFonts w:ascii="仿宋" w:hAnsi="仿宋" w:eastAsia="仿宋"/>
                <w:b/>
                <w:sz w:val="32"/>
                <w:szCs w:val="32"/>
              </w:rPr>
              <w:t>单位规格</w:t>
            </w:r>
          </w:p>
        </w:tc>
        <w:tc>
          <w:tcPr>
            <w:tcW w:w="2940" w:type="dxa"/>
            <w:vMerge w:val="restart"/>
            <w:vAlign w:val="center"/>
          </w:tcPr>
          <w:p>
            <w:pPr>
              <w:spacing w:line="560" w:lineRule="exact"/>
              <w:jc w:val="center"/>
              <w:rPr>
                <w:rFonts w:ascii="仿宋" w:hAnsi="仿宋" w:eastAsia="仿宋"/>
                <w:b/>
                <w:sz w:val="32"/>
                <w:szCs w:val="32"/>
              </w:rPr>
            </w:pPr>
            <w:r>
              <w:rPr>
                <w:rFonts w:ascii="仿宋" w:hAnsi="仿宋" w:eastAsia="仿宋"/>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blHeader/>
        </w:trPr>
        <w:tc>
          <w:tcPr>
            <w:tcW w:w="5253" w:type="dxa"/>
            <w:vMerge w:val="continue"/>
            <w:vAlign w:val="center"/>
          </w:tcPr>
          <w:p>
            <w:pPr>
              <w:spacing w:line="560" w:lineRule="exact"/>
              <w:ind w:firstLine="640" w:firstLineChars="200"/>
              <w:jc w:val="center"/>
              <w:rPr>
                <w:rFonts w:ascii="仿宋" w:hAnsi="仿宋" w:eastAsia="仿宋"/>
                <w:sz w:val="32"/>
                <w:szCs w:val="32"/>
              </w:rPr>
            </w:pPr>
          </w:p>
        </w:tc>
        <w:tc>
          <w:tcPr>
            <w:tcW w:w="2100" w:type="dxa"/>
            <w:vMerge w:val="continue"/>
            <w:vAlign w:val="center"/>
          </w:tcPr>
          <w:p>
            <w:pPr>
              <w:spacing w:line="560" w:lineRule="exact"/>
              <w:ind w:firstLine="640" w:firstLineChars="200"/>
              <w:jc w:val="center"/>
              <w:rPr>
                <w:rFonts w:ascii="仿宋" w:hAnsi="仿宋" w:eastAsia="仿宋"/>
                <w:sz w:val="32"/>
                <w:szCs w:val="32"/>
              </w:rPr>
            </w:pPr>
          </w:p>
        </w:tc>
        <w:tc>
          <w:tcPr>
            <w:tcW w:w="2625" w:type="dxa"/>
            <w:vMerge w:val="continue"/>
            <w:vAlign w:val="center"/>
          </w:tcPr>
          <w:p>
            <w:pPr>
              <w:spacing w:line="560" w:lineRule="exact"/>
              <w:ind w:firstLine="640" w:firstLineChars="200"/>
              <w:jc w:val="center"/>
              <w:rPr>
                <w:rFonts w:ascii="仿宋" w:hAnsi="仿宋" w:eastAsia="仿宋"/>
                <w:sz w:val="32"/>
                <w:szCs w:val="32"/>
              </w:rPr>
            </w:pPr>
          </w:p>
        </w:tc>
        <w:tc>
          <w:tcPr>
            <w:tcW w:w="2940" w:type="dxa"/>
            <w:vMerge w:val="continue"/>
            <w:vAlign w:val="center"/>
          </w:tcPr>
          <w:p>
            <w:pPr>
              <w:spacing w:line="560" w:lineRule="exact"/>
              <w:ind w:firstLine="640" w:firstLineChars="200"/>
              <w:jc w:val="center"/>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5253" w:type="dxa"/>
            <w:vAlign w:val="center"/>
          </w:tcPr>
          <w:p>
            <w:pPr>
              <w:spacing w:line="560" w:lineRule="exact"/>
              <w:jc w:val="center"/>
              <w:rPr>
                <w:rFonts w:ascii="仿宋" w:hAnsi="仿宋" w:eastAsia="仿宋"/>
                <w:sz w:val="28"/>
                <w:szCs w:val="28"/>
              </w:rPr>
            </w:pPr>
            <w:r>
              <w:rPr>
                <w:rFonts w:hint="eastAsia" w:ascii="仿宋_GB2312" w:eastAsia="仿宋_GB2312"/>
                <w:sz w:val="28"/>
                <w:szCs w:val="28"/>
              </w:rPr>
              <w:t>遵化市安全生产监督管理局</w:t>
            </w:r>
          </w:p>
        </w:tc>
        <w:tc>
          <w:tcPr>
            <w:tcW w:w="2100"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行政</w:t>
            </w:r>
          </w:p>
        </w:tc>
        <w:tc>
          <w:tcPr>
            <w:tcW w:w="2625"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正科级</w:t>
            </w:r>
          </w:p>
        </w:tc>
        <w:tc>
          <w:tcPr>
            <w:tcW w:w="2940"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5253" w:type="dxa"/>
            <w:vAlign w:val="center"/>
          </w:tcPr>
          <w:p>
            <w:pPr>
              <w:spacing w:line="560" w:lineRule="exact"/>
              <w:jc w:val="center"/>
              <w:rPr>
                <w:rFonts w:ascii="仿宋" w:hAnsi="仿宋" w:eastAsia="仿宋"/>
                <w:sz w:val="28"/>
                <w:szCs w:val="28"/>
              </w:rPr>
            </w:pPr>
            <w:r>
              <w:rPr>
                <w:rFonts w:hint="eastAsia" w:ascii="仿宋_GB2312" w:eastAsia="仿宋_GB2312"/>
                <w:sz w:val="28"/>
                <w:szCs w:val="28"/>
              </w:rPr>
              <w:t>遵化市安全生产监督管理局办公室</w:t>
            </w:r>
          </w:p>
        </w:tc>
        <w:tc>
          <w:tcPr>
            <w:tcW w:w="2100"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行政</w:t>
            </w:r>
          </w:p>
        </w:tc>
        <w:tc>
          <w:tcPr>
            <w:tcW w:w="2625"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正股级</w:t>
            </w:r>
          </w:p>
        </w:tc>
        <w:tc>
          <w:tcPr>
            <w:tcW w:w="2940"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5253" w:type="dxa"/>
            <w:vAlign w:val="center"/>
          </w:tcPr>
          <w:p>
            <w:pPr>
              <w:ind w:firstLine="64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安全生产综合协调科</w:t>
            </w:r>
          </w:p>
        </w:tc>
        <w:tc>
          <w:tcPr>
            <w:tcW w:w="2100" w:type="dxa"/>
            <w:vAlign w:val="center"/>
          </w:tcPr>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行政</w:t>
            </w:r>
          </w:p>
        </w:tc>
        <w:tc>
          <w:tcPr>
            <w:tcW w:w="2625" w:type="dxa"/>
            <w:vAlign w:val="center"/>
          </w:tcPr>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正股级</w:t>
            </w:r>
          </w:p>
        </w:tc>
        <w:tc>
          <w:tcPr>
            <w:tcW w:w="2940" w:type="dxa"/>
            <w:vAlign w:val="center"/>
          </w:tcPr>
          <w:p>
            <w:pPr>
              <w:ind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5253" w:type="dxa"/>
            <w:vAlign w:val="center"/>
          </w:tcPr>
          <w:p>
            <w:pPr>
              <w:ind w:firstLine="64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安全生产监督管理科</w:t>
            </w:r>
          </w:p>
        </w:tc>
        <w:tc>
          <w:tcPr>
            <w:tcW w:w="2100" w:type="dxa"/>
            <w:vAlign w:val="center"/>
          </w:tcPr>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行政</w:t>
            </w:r>
          </w:p>
        </w:tc>
        <w:tc>
          <w:tcPr>
            <w:tcW w:w="2625" w:type="dxa"/>
            <w:vAlign w:val="center"/>
          </w:tcPr>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正股级</w:t>
            </w:r>
          </w:p>
        </w:tc>
        <w:tc>
          <w:tcPr>
            <w:tcW w:w="2940" w:type="dxa"/>
            <w:vAlign w:val="center"/>
          </w:tcPr>
          <w:p>
            <w:pPr>
              <w:ind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5253" w:type="dxa"/>
            <w:vAlign w:val="center"/>
          </w:tcPr>
          <w:p>
            <w:pPr>
              <w:ind w:firstLine="64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矿山安全监察科</w:t>
            </w:r>
          </w:p>
        </w:tc>
        <w:tc>
          <w:tcPr>
            <w:tcW w:w="2100" w:type="dxa"/>
            <w:vAlign w:val="center"/>
          </w:tcPr>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行政</w:t>
            </w:r>
          </w:p>
        </w:tc>
        <w:tc>
          <w:tcPr>
            <w:tcW w:w="2625" w:type="dxa"/>
            <w:vAlign w:val="center"/>
          </w:tcPr>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正股级</w:t>
            </w:r>
          </w:p>
        </w:tc>
        <w:tc>
          <w:tcPr>
            <w:tcW w:w="2940" w:type="dxa"/>
            <w:vAlign w:val="center"/>
          </w:tcPr>
          <w:p>
            <w:pPr>
              <w:ind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5253" w:type="dxa"/>
            <w:vAlign w:val="center"/>
          </w:tcPr>
          <w:p>
            <w:pPr>
              <w:ind w:firstLine="64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安全生产行政审批服务科</w:t>
            </w:r>
          </w:p>
        </w:tc>
        <w:tc>
          <w:tcPr>
            <w:tcW w:w="2100" w:type="dxa"/>
            <w:vAlign w:val="center"/>
          </w:tcPr>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行政</w:t>
            </w:r>
          </w:p>
        </w:tc>
        <w:tc>
          <w:tcPr>
            <w:tcW w:w="2625" w:type="dxa"/>
            <w:vAlign w:val="center"/>
          </w:tcPr>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正股级</w:t>
            </w:r>
          </w:p>
        </w:tc>
        <w:tc>
          <w:tcPr>
            <w:tcW w:w="2940" w:type="dxa"/>
            <w:vAlign w:val="center"/>
          </w:tcPr>
          <w:p>
            <w:pPr>
              <w:ind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5253" w:type="dxa"/>
            <w:vAlign w:val="center"/>
          </w:tcPr>
          <w:p>
            <w:pPr>
              <w:ind w:firstLine="64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安全生产监察大队</w:t>
            </w:r>
          </w:p>
        </w:tc>
        <w:tc>
          <w:tcPr>
            <w:tcW w:w="2100" w:type="dxa"/>
            <w:vAlign w:val="center"/>
          </w:tcPr>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行政</w:t>
            </w:r>
          </w:p>
        </w:tc>
        <w:tc>
          <w:tcPr>
            <w:tcW w:w="2625" w:type="dxa"/>
            <w:vAlign w:val="center"/>
          </w:tcPr>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副科级</w:t>
            </w:r>
          </w:p>
        </w:tc>
        <w:tc>
          <w:tcPr>
            <w:tcW w:w="2940" w:type="dxa"/>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5253" w:type="dxa"/>
            <w:vAlign w:val="center"/>
          </w:tcPr>
          <w:p>
            <w:pPr>
              <w:ind w:firstLine="64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安全生产宣教培训中心</w:t>
            </w:r>
          </w:p>
        </w:tc>
        <w:tc>
          <w:tcPr>
            <w:tcW w:w="2100" w:type="dxa"/>
            <w:vAlign w:val="center"/>
          </w:tcPr>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行政</w:t>
            </w:r>
          </w:p>
        </w:tc>
        <w:tc>
          <w:tcPr>
            <w:tcW w:w="2625" w:type="dxa"/>
            <w:vAlign w:val="center"/>
          </w:tcPr>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正股级</w:t>
            </w:r>
          </w:p>
        </w:tc>
        <w:tc>
          <w:tcPr>
            <w:tcW w:w="2940" w:type="dxa"/>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5253" w:type="dxa"/>
            <w:vAlign w:val="center"/>
          </w:tcPr>
          <w:p>
            <w:pPr>
              <w:ind w:firstLine="64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铁路道口管理办公室</w:t>
            </w:r>
          </w:p>
        </w:tc>
        <w:tc>
          <w:tcPr>
            <w:tcW w:w="2100" w:type="dxa"/>
            <w:vAlign w:val="center"/>
          </w:tcPr>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行政</w:t>
            </w:r>
          </w:p>
        </w:tc>
        <w:tc>
          <w:tcPr>
            <w:tcW w:w="2625" w:type="dxa"/>
            <w:vAlign w:val="center"/>
          </w:tcPr>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正股级</w:t>
            </w:r>
          </w:p>
        </w:tc>
        <w:tc>
          <w:tcPr>
            <w:tcW w:w="2940" w:type="dxa"/>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5253" w:type="dxa"/>
            <w:vAlign w:val="center"/>
          </w:tcPr>
          <w:p>
            <w:pPr>
              <w:ind w:firstLine="64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安全生产应急救援指挥中心</w:t>
            </w:r>
          </w:p>
        </w:tc>
        <w:tc>
          <w:tcPr>
            <w:tcW w:w="2100" w:type="dxa"/>
            <w:vAlign w:val="center"/>
          </w:tcPr>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行政</w:t>
            </w:r>
          </w:p>
        </w:tc>
        <w:tc>
          <w:tcPr>
            <w:tcW w:w="2625" w:type="dxa"/>
            <w:vAlign w:val="center"/>
          </w:tcPr>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正股级</w:t>
            </w:r>
          </w:p>
        </w:tc>
        <w:tc>
          <w:tcPr>
            <w:tcW w:w="2940" w:type="dxa"/>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5253" w:type="dxa"/>
            <w:vAlign w:val="center"/>
          </w:tcPr>
          <w:p>
            <w:pPr>
              <w:ind w:firstLine="64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职业安全健康监督管理办公室</w:t>
            </w:r>
          </w:p>
        </w:tc>
        <w:tc>
          <w:tcPr>
            <w:tcW w:w="2100" w:type="dxa"/>
            <w:vAlign w:val="center"/>
          </w:tcPr>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行政</w:t>
            </w:r>
          </w:p>
        </w:tc>
        <w:tc>
          <w:tcPr>
            <w:tcW w:w="2625" w:type="dxa"/>
            <w:vAlign w:val="center"/>
          </w:tcPr>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正股级</w:t>
            </w:r>
          </w:p>
        </w:tc>
        <w:tc>
          <w:tcPr>
            <w:tcW w:w="2940" w:type="dxa"/>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5253" w:type="dxa"/>
            <w:vAlign w:val="center"/>
          </w:tcPr>
          <w:p>
            <w:pPr>
              <w:ind w:firstLine="64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非煤矿山技术服务中心</w:t>
            </w:r>
          </w:p>
        </w:tc>
        <w:tc>
          <w:tcPr>
            <w:tcW w:w="2100" w:type="dxa"/>
            <w:vAlign w:val="center"/>
          </w:tcPr>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行政</w:t>
            </w:r>
          </w:p>
        </w:tc>
        <w:tc>
          <w:tcPr>
            <w:tcW w:w="2625" w:type="dxa"/>
            <w:vAlign w:val="center"/>
          </w:tcPr>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正股级</w:t>
            </w:r>
          </w:p>
        </w:tc>
        <w:tc>
          <w:tcPr>
            <w:tcW w:w="2940" w:type="dxa"/>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财政性资金零补助</w:t>
            </w:r>
          </w:p>
        </w:tc>
      </w:tr>
    </w:tbl>
    <w:p>
      <w:pPr>
        <w:ind w:firstLine="640"/>
        <w:rPr>
          <w:rFonts w:ascii="黑体" w:hAnsi="黑体" w:eastAsia="黑体"/>
          <w:sz w:val="32"/>
          <w:szCs w:val="32"/>
        </w:rPr>
      </w:pPr>
      <w:r>
        <w:rPr>
          <w:rFonts w:hint="eastAsia" w:ascii="黑体" w:hAnsi="黑体" w:eastAsia="黑体"/>
          <w:sz w:val="32"/>
          <w:szCs w:val="32"/>
        </w:rPr>
        <w:t>二、部门预算安排的总体情况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按照预算管理有关规定，目前我市部门预算的编制实行综合预算制度，即全部收入和支出都反映的预算中。遵化市及所属事业单位的收支包含在部门预算中。</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、收入说明</w:t>
      </w:r>
    </w:p>
    <w:p>
      <w:pPr>
        <w:spacing w:line="560" w:lineRule="exact"/>
        <w:ind w:left="281" w:leftChars="134" w:firstLine="320" w:firstLineChars="100"/>
        <w:rPr>
          <w:rFonts w:ascii="仿宋_GB2312" w:eastAsia="仿宋_GB2312"/>
          <w:sz w:val="32"/>
          <w:szCs w:val="32"/>
        </w:rPr>
      </w:pPr>
      <w:r>
        <w:rPr>
          <w:rFonts w:hint="eastAsia" w:ascii="仿宋_GB2312" w:hAnsi="仿宋_GB2312" w:eastAsia="仿宋_GB2312" w:cs="仿宋_GB2312"/>
          <w:sz w:val="32"/>
          <w:szCs w:val="32"/>
        </w:rPr>
        <w:t xml:space="preserve"> </w:t>
      </w:r>
      <w:r>
        <w:rPr>
          <w:rFonts w:ascii="仿宋_GB2312" w:eastAsia="仿宋_GB2312"/>
          <w:sz w:val="32"/>
          <w:szCs w:val="32"/>
        </w:rPr>
        <w:t>201</w:t>
      </w:r>
      <w:r>
        <w:rPr>
          <w:rFonts w:hint="eastAsia" w:ascii="仿宋_GB2312" w:eastAsia="仿宋_GB2312"/>
          <w:sz w:val="32"/>
          <w:szCs w:val="32"/>
        </w:rPr>
        <w:t>9</w:t>
      </w:r>
      <w:r>
        <w:rPr>
          <w:rFonts w:ascii="仿宋_GB2312" w:eastAsia="仿宋_GB2312"/>
          <w:sz w:val="32"/>
          <w:szCs w:val="32"/>
        </w:rPr>
        <w:t>年预算收入</w:t>
      </w:r>
      <w:r>
        <w:rPr>
          <w:rFonts w:hint="eastAsia" w:ascii="仿宋_GB2312" w:eastAsia="仿宋_GB2312"/>
          <w:sz w:val="32"/>
          <w:szCs w:val="32"/>
        </w:rPr>
        <w:t>2681.96</w:t>
      </w:r>
      <w:r>
        <w:rPr>
          <w:rFonts w:ascii="仿宋_GB2312" w:eastAsia="仿宋_GB2312"/>
          <w:sz w:val="32"/>
          <w:szCs w:val="32"/>
        </w:rPr>
        <w:t>万元，其中：一般公共预算收入</w:t>
      </w:r>
      <w:r>
        <w:rPr>
          <w:rFonts w:hint="eastAsia" w:ascii="仿宋_GB2312" w:eastAsia="仿宋_GB2312"/>
          <w:sz w:val="32"/>
          <w:szCs w:val="32"/>
        </w:rPr>
        <w:t>2681.96</w:t>
      </w:r>
      <w:r>
        <w:rPr>
          <w:rFonts w:ascii="仿宋_GB2312" w:eastAsia="仿宋_GB2312"/>
          <w:sz w:val="32"/>
          <w:szCs w:val="32"/>
        </w:rPr>
        <w:t>万元</w:t>
      </w:r>
      <w:r>
        <w:rPr>
          <w:rFonts w:hint="eastAsia" w:ascii="仿宋_GB2312" w:eastAsia="仿宋_GB2312"/>
          <w:sz w:val="32"/>
          <w:szCs w:val="32"/>
        </w:rPr>
        <w:t>，基金预算收入</w:t>
      </w:r>
      <w:r>
        <w:rPr>
          <w:rFonts w:ascii="仿宋_GB2312" w:eastAsia="仿宋_GB2312"/>
          <w:sz w:val="32"/>
          <w:szCs w:val="32"/>
        </w:rPr>
        <w:t>0</w:t>
      </w:r>
      <w:r>
        <w:rPr>
          <w:rFonts w:hint="eastAsia" w:ascii="仿宋_GB2312" w:eastAsia="仿宋_GB2312"/>
          <w:sz w:val="32"/>
          <w:szCs w:val="32"/>
        </w:rPr>
        <w:t>万元，财政专户核拨收入</w:t>
      </w:r>
      <w:r>
        <w:rPr>
          <w:rFonts w:ascii="仿宋_GB2312" w:eastAsia="仿宋_GB2312"/>
          <w:sz w:val="32"/>
          <w:szCs w:val="32"/>
        </w:rPr>
        <w:t>0</w:t>
      </w:r>
      <w:r>
        <w:rPr>
          <w:rFonts w:hint="eastAsia" w:ascii="仿宋_GB2312" w:eastAsia="仿宋_GB2312"/>
          <w:sz w:val="32"/>
          <w:szCs w:val="32"/>
        </w:rPr>
        <w:t>万元，其他来源收入0万元。</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、支出说明</w:t>
      </w:r>
    </w:p>
    <w:p>
      <w:pPr>
        <w:spacing w:line="560" w:lineRule="exact"/>
        <w:ind w:firstLine="800" w:firstLineChars="25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9年支出预算共计2681.96万元。基本支出预算2279.96万元，其中人员经费支出预算2226.08万元，日常公用经费支出预算53.88万元。项目支出402万元。</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、比上年增减情况</w:t>
      </w:r>
    </w:p>
    <w:p>
      <w:pPr>
        <w:autoSpaceDE w:val="0"/>
        <w:autoSpaceDN w:val="0"/>
        <w:adjustRightInd w:val="0"/>
        <w:ind w:firstLine="640" w:firstLineChars="200"/>
        <w:jc w:val="left"/>
        <w:rPr>
          <w:rFonts w:ascii="黑体" w:hAnsi="黑体" w:eastAsia="黑体"/>
          <w:sz w:val="32"/>
          <w:szCs w:val="32"/>
        </w:rPr>
      </w:pPr>
      <w:r>
        <w:rPr>
          <w:rFonts w:hint="eastAsia" w:ascii="仿宋_GB2312" w:eastAsia="仿宋_GB2312"/>
          <w:sz w:val="32"/>
          <w:szCs w:val="32"/>
        </w:rPr>
        <w:t>经过对比测算，</w:t>
      </w:r>
      <w:r>
        <w:rPr>
          <w:rFonts w:ascii="仿宋_GB2312" w:eastAsia="仿宋_GB2312"/>
          <w:sz w:val="32"/>
          <w:szCs w:val="32"/>
        </w:rPr>
        <w:t>201</w:t>
      </w:r>
      <w:r>
        <w:rPr>
          <w:rFonts w:hint="eastAsia" w:ascii="仿宋_GB2312" w:eastAsia="仿宋_GB2312"/>
          <w:sz w:val="32"/>
          <w:szCs w:val="32"/>
        </w:rPr>
        <w:t>9年财政拨款预算比</w:t>
      </w:r>
      <w:r>
        <w:rPr>
          <w:rFonts w:ascii="仿宋_GB2312" w:eastAsia="仿宋_GB2312"/>
          <w:sz w:val="32"/>
          <w:szCs w:val="32"/>
        </w:rPr>
        <w:t>201</w:t>
      </w:r>
      <w:r>
        <w:rPr>
          <w:rFonts w:hint="eastAsia" w:ascii="仿宋_GB2312" w:eastAsia="仿宋_GB2312"/>
          <w:sz w:val="32"/>
          <w:szCs w:val="32"/>
        </w:rPr>
        <w:t>8年增加205.34万元，主要是：人员经费增加313.50万元（人员经费增长的主要因素为补发补缴以前年度工资、社保）。日常公用经费减少0.86万元、项目经费减少107.30万元。</w:t>
      </w:r>
    </w:p>
    <w:p>
      <w:pPr>
        <w:ind w:firstLine="480" w:firstLineChars="150"/>
        <w:rPr>
          <w:rFonts w:ascii="黑体" w:hAnsi="黑体" w:eastAsia="黑体"/>
          <w:sz w:val="32"/>
          <w:szCs w:val="32"/>
        </w:rPr>
      </w:pPr>
      <w:r>
        <w:rPr>
          <w:rFonts w:hint="eastAsia" w:ascii="黑体" w:hAnsi="黑体" w:eastAsia="黑体"/>
          <w:sz w:val="32"/>
          <w:szCs w:val="32"/>
        </w:rPr>
        <w:t>三、机关运行经费安排情况</w:t>
      </w:r>
    </w:p>
    <w:p>
      <w:pPr>
        <w:ind w:firstLine="800" w:firstLineChars="250"/>
        <w:rPr>
          <w:rFonts w:ascii="仿宋_GB2312" w:eastAsia="仿宋_GB2312"/>
          <w:sz w:val="32"/>
          <w:szCs w:val="32"/>
        </w:rPr>
      </w:pPr>
      <w:r>
        <w:rPr>
          <w:rFonts w:hint="eastAsia" w:ascii="仿宋_GB2312" w:eastAsia="仿宋_GB2312"/>
          <w:sz w:val="32"/>
          <w:szCs w:val="32"/>
        </w:rPr>
        <w:t>机关运行经费共计安排53.88万元，主要用于保证正常办公的基本需要和维持单位日常业务运转，包括：办公费1.23万元，水电费0.82万元，邮电费0.91万元，取暖费30万元，差旅费0.82万元，会议费0.21万元，培训费0.21万元，公务用车运行维护费2.05万元，离退休干部经费0.51万元，公务交通补贴8.34万元，公务接待费0.75万元，工会经费3.72万元，福利费3.90万元，其他业务费0.41万元。</w:t>
      </w: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四、财政拨款“三公”经费预算情况及增减变化原因</w:t>
      </w:r>
    </w:p>
    <w:p>
      <w:pPr>
        <w:autoSpaceDE w:val="0"/>
        <w:autoSpaceDN w:val="0"/>
        <w:adjustRightInd w:val="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2019年我单位“三公”经费预算安排2.8万元，与上年预算持平。具体安排情况为：</w:t>
      </w:r>
    </w:p>
    <w:p>
      <w:pPr>
        <w:autoSpaceDE w:val="0"/>
        <w:autoSpaceDN w:val="0"/>
        <w:adjustRightInd w:val="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(一）公务用车购置及运行费。共计安排2.05万元，与2018年持平，无增减变化。</w:t>
      </w:r>
    </w:p>
    <w:p>
      <w:pPr>
        <w:autoSpaceDE w:val="0"/>
        <w:autoSpaceDN w:val="0"/>
        <w:adjustRightInd w:val="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公务用车购置安排0万元，与2018年持平，无增减变化。</w:t>
      </w:r>
    </w:p>
    <w:p>
      <w:pPr>
        <w:autoSpaceDE w:val="0"/>
        <w:autoSpaceDN w:val="0"/>
        <w:adjustRightInd w:val="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公务运行维护经费2.05万元，与2018年持平，无增减变化。</w:t>
      </w:r>
    </w:p>
    <w:p>
      <w:pPr>
        <w:autoSpaceDE w:val="0"/>
        <w:autoSpaceDN w:val="0"/>
        <w:adjustRightInd w:val="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（二）公务接待费安排0.75万元，与2018年持平，无增减变化。</w:t>
      </w:r>
    </w:p>
    <w:p>
      <w:pPr>
        <w:autoSpaceDE w:val="0"/>
        <w:autoSpaceDN w:val="0"/>
        <w:adjustRightInd w:val="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（三）因公出国（境）费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万元，与2018年持平，无增减变化。</w:t>
      </w: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五、绩效预算信息</w:t>
      </w:r>
    </w:p>
    <w:p>
      <w:pPr>
        <w:pStyle w:val="8"/>
        <w:ind w:firstLine="640" w:firstLineChars="200"/>
        <w:rPr>
          <w:rFonts w:ascii="仿宋_GB2312" w:eastAsia="仿宋_GB2312"/>
          <w:sz w:val="32"/>
          <w:szCs w:val="32"/>
        </w:rPr>
      </w:pPr>
      <w:r>
        <w:rPr>
          <w:rFonts w:hint="eastAsia" w:ascii="仿宋_GB2312" w:eastAsia="仿宋_GB2312"/>
          <w:sz w:val="32"/>
          <w:szCs w:val="32"/>
        </w:rPr>
        <w:t>（一）定期组织在全市开展安全生产督导检查活动，对重点行业和作业场所职业卫生安全生产加强行政执法监察，依法对违法行为实施行政处罚；不断加强安全生产监管能力建设，改善执法检测、监察检查等能力。加强重大危险源的监测、监控、辨识与评估及登记建档、备案与核销等安全管理。承担工矿商贸作业场所（煤矿作业场所除外）职业卫生监督检查责任，依法颁发和管理职业卫生安全许可证，组织调查处理职业危害事故和违法违规行为；完成国家和省、市确定的水泥、石材加工行业以及重点行业的专项治理，组织查处用人单位职业病危害事故。</w:t>
      </w:r>
    </w:p>
    <w:p>
      <w:pPr>
        <w:pStyle w:val="8"/>
        <w:ind w:firstLine="640" w:firstLineChars="200"/>
        <w:rPr>
          <w:rFonts w:ascii="仿宋_GB2312" w:eastAsia="仿宋_GB2312"/>
          <w:sz w:val="32"/>
          <w:szCs w:val="32"/>
        </w:rPr>
      </w:pPr>
      <w:r>
        <w:rPr>
          <w:rFonts w:hint="eastAsia" w:ascii="仿宋_GB2312" w:eastAsia="仿宋_GB2312"/>
          <w:sz w:val="32"/>
          <w:szCs w:val="32"/>
        </w:rPr>
        <w:t>（二）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开展金属和非金属矿山的整顿关闭、尾矿库治理等工作；加强高危行业建设项目安全条件、安全设施设计、职业病防</w:t>
      </w:r>
      <w:r>
        <w:rPr>
          <w:rFonts w:hint="eastAsia" w:ascii="仿宋_GB2312" w:hAnsi="宋体" w:eastAsia="仿宋_GB2312"/>
          <w:sz w:val="32"/>
          <w:szCs w:val="32"/>
        </w:rPr>
        <w:t>护设施设计审查和竣工验收管理。</w:t>
      </w:r>
      <w:r>
        <w:rPr>
          <w:rFonts w:hint="eastAsia" w:ascii="仿宋_GB2312" w:eastAsia="仿宋_GB2312"/>
          <w:sz w:val="32"/>
          <w:szCs w:val="32"/>
        </w:rPr>
        <w:t>加强非煤矿山隐患排查，提高安全生产监管能力，严格治理各类安全隐患，严防各类安全事故；为铁路道口监护提供必要的设备、劳保等条件，修缮铁路道口平改立箱涵，对道口列车接近报警装置及视频监控设备的更新及维护。</w:t>
      </w:r>
    </w:p>
    <w:p>
      <w:pPr>
        <w:pStyle w:val="8"/>
        <w:ind w:firstLine="640" w:firstLineChars="200"/>
        <w:rPr>
          <w:rFonts w:ascii="仿宋_GB2312" w:eastAsia="仿宋_GB2312"/>
          <w:sz w:val="32"/>
          <w:szCs w:val="32"/>
        </w:rPr>
      </w:pPr>
      <w:r>
        <w:rPr>
          <w:rFonts w:hint="eastAsia" w:ascii="仿宋_GB2312" w:eastAsia="仿宋_GB2312"/>
          <w:sz w:val="32"/>
          <w:szCs w:val="32"/>
        </w:rPr>
        <w:t>（三）组织指导全市安全生产应急救援预案编制和备案管理，结合事故多发、易发，应急管理基础薄弱的地区、领域、时段、岗位等重点，组织开展实战化应急演练。加强应急救援队伍、装备和信息系统建设，完善安全生产应急平台，提高全市应急救援协调指挥能力和应急处置能力；实施市救援指挥中心能力建设，加强指挥机构管理和专业应急救援队伍训练，统一规划安全生产应急平台信息化建设和救援通信、信息网络运行保障，及时进行重大危险源预警、技术监控工作，发布预警信息。启动应急预案，组织协调救援力量、装备、专家参与救援。</w:t>
      </w:r>
    </w:p>
    <w:p>
      <w:pPr>
        <w:pStyle w:val="8"/>
        <w:ind w:firstLine="720" w:firstLineChars="225"/>
        <w:rPr>
          <w:rFonts w:ascii="仿宋_GB2312" w:eastAsia="仿宋_GB2312"/>
          <w:sz w:val="32"/>
          <w:szCs w:val="32"/>
        </w:rPr>
      </w:pPr>
      <w:r>
        <w:rPr>
          <w:rFonts w:hint="eastAsia" w:ascii="仿宋_GB2312" w:eastAsia="仿宋_GB2312"/>
          <w:sz w:val="32"/>
          <w:szCs w:val="32"/>
        </w:rPr>
        <w:t>(四)制定全市安全生产发展战略和规划、指导系统业务活动；开展安全生产专项调查研究，制订相关政策、法规规章；加强专项资金监管；开展对外合作交流；加强安全生产审批管理；开展行政复议及行政应诉工作；信访接待、业务宣传、政务信息公开等工作；开展网上行政服务；依法行政等。做好会议组织管理、信息化建设与维护、机关财务和资产管理、标准化建设、基建及维修、大型设备购置、人事管理、党务管理、老干部工作等。负责直属企事业单位管理工作。</w:t>
      </w:r>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一、组织全市安全生产综合监督管理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280.00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全市安全生产综合监督管理责任，依法行使综合监督管理职权；根据《中华人民共和国安全生产法》、《安全生产违法行为行政处罚办法》等法律法规，依法开展执法检查工作，对发现的安全生产违法行为依法进行行政处罚，遏制重特大事故发生，确保全市安全生产形势稳定好转。</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防和减少事故的发生，确保全市安全生产形势持续稳定稳定好转，有效治理隐患，落实监管责任；基本建成全市安全生产隐患排查体系，提高生产经营单位建设标准，规范安全生产操作规程，提升特种作业人员安全操作能力和执法监察能力和水平，推进企业诚信和承诺制相关工作制度化、信息化，实现全市安全监管信息互联；完成科技成果奖励和推广应用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、加强安全生产执法监察检查</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280.00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定期组织在全市开展安全生产督导检查活动，对重点行业和作业场所职业卫生安全生产进行督导检查，加强行政执法监察，依法对违法行为实施行政处罚；不断加强安全生产监管能力建设，改善执法检测、监察检查等能力。</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检查覆盖率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实际对各乡镇安全生产督导</w:t>
            </w:r>
            <w:r>
              <w:rPr>
                <w:rFonts w:ascii="方正书宋_GBK" w:eastAsia="方正书宋_GBK"/>
              </w:rPr>
              <w:t>/</w:t>
            </w:r>
            <w:r>
              <w:rPr>
                <w:rFonts w:hint="eastAsia" w:ascii="方正书宋_GBK" w:eastAsia="方正书宋_GBK"/>
              </w:rPr>
              <w:t>全部乡镇</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二、组织全市安全生产综合监督管理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全市安全生产综合监督管理责任，依法行使综合监督管理职权；根据《中华人民共和国安全生产法》、《安全生产违法行为行政处罚办法》等法律法规，依法开展执法检查工作，对发现的安全生产违法行为依法进行行政处罚，遏制重特大事故发生，确保全市安全生产形势稳定好转。</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防和减少事故的发生，确保全市安全生产形势持续稳定稳定好转，有效治理隐患，落实监管责任；基本建成全市安全生产隐患排查体系，提高生产经营单位建设标准，规范安全生产操作规程，提升特种作业人员安全操作能力和执法监察能力和水平，推进企业诚信和承诺制相关工作制度化、信息化，实现全市安全监管信息互联；完成科技成果奖励和推广应用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、加强重大危险源安全管理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加强重大危险源的监测、监控、辨识与评估及登记建档、备案与核销等安全管理；开展重大危险源执法检查工作。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重大危险源备案率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开展重大危险源执法检查情况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监管市控重大危险源企业情况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三、组织全市安全生产综合监督管理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全市安全生产综合监督管理责任，依法行使综合监督管理职权；根据《中华人民共和国安全生产法》、《安全生产违法行为行政处罚办法》等法律法规，依法开展执法检查工作，对发现的安全生产违法行为依法进行行政处罚，遏制重特大事故发生，确保全市安全生产形势稳定好转。</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防和减少事故的发生，确保全市安全生产形势持续稳定稳定好转，有效治理隐患，落实监管责任；基本建成全市安全生产隐患排查体系，提高生产经营单位建设标准，规范安全生产操作规程，提升特种作业人员安全操作能力和执法监察能力和水平，推进企业诚信和承诺制相关工作制度化、信息化，实现全市安全监管信息互联；完成科技成果奖励和推广应用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、加强职业危害防治及专项治理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工矿商贸作业场所（煤矿作业场所除外）职业卫生监督检查责任，依法颁发和管理职业卫生安全许可证，组织调查处理职业危害事故和违法违规行为；完成国家和省、市确定的水泥、石材加工行业以及重点行业的专项治理，组织查处用人单位职业病危害事故。</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职业卫生标杆示范企业数量</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完成培育、树立职业卫生标杆示范企业数量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四、组织全市安全生产综合监督管理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全市安全生产综合监督管理责任，依法行使综合监督管理职权；根据《中华人民共和国安全生产法》、《安全生产违法行为行政处罚办法》等法律法规，依法开展执法检查工作，对发现的安全生产违法行为依法进行行政处罚，遏制重特大事故发生，确保全市安全生产形势稳定好转。</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防和减少事故的发生，确保全市安全生产形势持续稳定稳定好转，有效治理隐患，落实监管责任；基本建成全市安全生产隐患排查体系，提高生产经营单位建设标准，规范安全生产操作规程，提升特种作业人员安全操作能力和执法监察能力和水平，推进企业诚信和承诺制相关工作制度化、信息化，实现全市安全监管信息互联；完成科技成果奖励和推广应用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、构建和完善安全生产监管体系</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12.00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县级隐患排查治理信息系统平台；加强全县安全生产技术服务机构及注册安全工程师管理；组织开展安全生产事故专项调查；审核提出安全生产举报奖励意见；开展安全生产宣传教育活动，定期向社会公布安全生产重大事项情况；组织对安全生产责任人及监管监察人员进行执法资格培训考试发证工作；组织全县安全生产目标管理及考核工作；促进企业全面落实安全生产诚信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诚信等级评定覆盖率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市级安全生产隐患排查治理信息平台已实现功能</w:t>
            </w:r>
            <w:r>
              <w:rPr>
                <w:rFonts w:ascii="方正书宋_GBK" w:eastAsia="方正书宋_GBK"/>
              </w:rPr>
              <w:t>/</w:t>
            </w:r>
            <w:r>
              <w:rPr>
                <w:rFonts w:hint="eastAsia" w:ascii="方正书宋_GBK" w:eastAsia="方正书宋_GBK"/>
              </w:rPr>
              <w:t>全部功能</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冶金、建材、纺织安全生产标准化已达标的企业数</w:t>
            </w:r>
            <w:r>
              <w:rPr>
                <w:rFonts w:ascii="方正书宋_GBK" w:eastAsia="方正书宋_GBK"/>
              </w:rPr>
              <w:t>/</w:t>
            </w:r>
            <w:r>
              <w:rPr>
                <w:rFonts w:hint="eastAsia" w:ascii="方正书宋_GBK" w:eastAsia="方正书宋_GBK"/>
              </w:rPr>
              <w:t>全部冶金、建材、纺织企业数</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特种作业人员安全操作能力专项抽查数</w:t>
            </w:r>
            <w:r>
              <w:rPr>
                <w:rFonts w:ascii="方正书宋_GBK" w:eastAsia="方正书宋_GBK"/>
              </w:rPr>
              <w:t>/</w:t>
            </w:r>
            <w:r>
              <w:rPr>
                <w:rFonts w:hint="eastAsia" w:ascii="方正书宋_GBK" w:eastAsia="方正书宋_GBK"/>
              </w:rPr>
              <w:t>全部特种作业人员数</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已开展安全执法检查区域</w:t>
            </w:r>
            <w:r>
              <w:rPr>
                <w:rFonts w:ascii="方正书宋_GBK" w:eastAsia="方正书宋_GBK"/>
              </w:rPr>
              <w:t>/</w:t>
            </w:r>
            <w:r>
              <w:rPr>
                <w:rFonts w:hint="eastAsia" w:ascii="方正书宋_GBK" w:eastAsia="方正书宋_GBK"/>
              </w:rPr>
              <w:t>全部应开展安全执法检查区域</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事故处理和举报事项结案数</w:t>
            </w:r>
            <w:r>
              <w:rPr>
                <w:rFonts w:ascii="方正书宋_GBK" w:eastAsia="方正书宋_GBK"/>
              </w:rPr>
              <w:t>/</w:t>
            </w:r>
            <w:r>
              <w:rPr>
                <w:rFonts w:hint="eastAsia" w:ascii="方正书宋_GBK" w:eastAsia="方正书宋_GBK"/>
              </w:rPr>
              <w:t>全部案件数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已纳入诚信等级评定系统的企业数</w:t>
            </w:r>
            <w:r>
              <w:rPr>
                <w:rFonts w:ascii="方正书宋_GBK" w:eastAsia="方正书宋_GBK"/>
              </w:rPr>
              <w:t>/</w:t>
            </w:r>
            <w:r>
              <w:rPr>
                <w:rFonts w:hint="eastAsia" w:ascii="方正书宋_GBK" w:eastAsia="方正书宋_GBK"/>
              </w:rPr>
              <w:t>全部企业数</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五、重点行业安全生产监管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按照分级、属地原则，依法监督检查工矿商贸生产经营单位贯彻执行安全生产法律法规情况及其安全生产条件和有关设备</w:t>
            </w:r>
            <w:r>
              <w:rPr>
                <w:rFonts w:ascii="方正书宋_GBK" w:eastAsia="方正书宋_GBK"/>
              </w:rPr>
              <w:t>(</w:t>
            </w:r>
            <w:r>
              <w:rPr>
                <w:rFonts w:hint="eastAsia" w:ascii="方正书宋_GBK" w:eastAsia="方正书宋_GBK"/>
              </w:rPr>
              <w:t>适用《特种设备安全监察条例》的特种设备除外</w:t>
            </w:r>
            <w:r>
              <w:rPr>
                <w:rFonts w:ascii="方正书宋_GBK" w:eastAsia="方正书宋_GBK"/>
              </w:rPr>
              <w:t>)</w:t>
            </w:r>
            <w:r>
              <w:rPr>
                <w:rFonts w:hint="eastAsia" w:ascii="方正书宋_GBK" w:eastAsia="方正书宋_GBK"/>
              </w:rPr>
              <w:t>、材料、劳动防护用品的安全管理工作；承担非煤矿山企业和危险化学品、烟花爆竹生产企业安全生产准入管理责任，依法组织实施安全生产准入制度；负责危险化学品安全监督管理综合工作和烟花爆竹安全生产监督管理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高危行业安全生产事故排查和事故隐患治理力度；提高矿井安全质量标准、完成淘汰落后产能任务、消除灾害威胁危害；全市生产矿井安全质量标准化建设全部达标，力争实现动态达标；完成国家或市政府下达的关闭整顿、淘汰落后产能目标任务；完成国家或市政府下达的关闭整顿、淘汰落后产能目标任务；同时按设计要求实施煤矿建设项目联合试运转；消除危库、险库，完成市政府确定的尾矿库生态修复工作任务，完成石膏矿退出，实现非煤矿山事故起数和死亡人数双下降，坚决遏制较大以上事故。</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、加强高危重点行业、商贸及金属非金属矿山安全生产监管</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开展金属和非金属矿山的整顿关闭、尾矿库治理等工作；加强高危行业建设项目安全条件、安全设施设计、职业病防护设施设计审查和竣工验收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事故有效处理率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依法对危险化学品和烟花爆竹生产企业、非药品易制毒企业、箱包、制鞋企业实施许可管理</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高危行业安全事故发生数</w:t>
            </w:r>
            <w:r>
              <w:rPr>
                <w:rFonts w:ascii="方正书宋_GBK" w:eastAsia="方正书宋_GBK"/>
              </w:rPr>
              <w:t>,</w:t>
            </w:r>
            <w:r>
              <w:rPr>
                <w:rFonts w:hint="eastAsia" w:ascii="方正书宋_GBK" w:eastAsia="方正书宋_GBK"/>
              </w:rPr>
              <w:t>重大特大事故发生数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开展对企业的隐患排查情况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开展金属和非金属矿山的安全生产监管等工作</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处理的事故情况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六、重点行业安全生产监管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按照分级、属地原则，依法监督检查工矿商贸生产经营单位贯彻执行安全生产法律法规情况及其安全生产条件和有关设备</w:t>
            </w:r>
            <w:r>
              <w:rPr>
                <w:rFonts w:ascii="方正书宋_GBK" w:eastAsia="方正书宋_GBK"/>
              </w:rPr>
              <w:t>(</w:t>
            </w:r>
            <w:r>
              <w:rPr>
                <w:rFonts w:hint="eastAsia" w:ascii="方正书宋_GBK" w:eastAsia="方正书宋_GBK"/>
              </w:rPr>
              <w:t>适用《特种设备安全监察条例》的特种设备除外</w:t>
            </w:r>
            <w:r>
              <w:rPr>
                <w:rFonts w:ascii="方正书宋_GBK" w:eastAsia="方正书宋_GBK"/>
              </w:rPr>
              <w:t>)</w:t>
            </w:r>
            <w:r>
              <w:rPr>
                <w:rFonts w:hint="eastAsia" w:ascii="方正书宋_GBK" w:eastAsia="方正书宋_GBK"/>
              </w:rPr>
              <w:t>、材料、劳动防护用品的安全管理工作；承担非煤矿山企业和危险化学品、烟花爆竹生产企业安全生产准入管理责任，依法组织实施安全生产准入制度；负责危险化学品安全监督管理综合工作和烟花爆竹安全生产监督管理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按照分级、属地原则，依法监督检查工矿商贸生产经营单位贯彻执行安全生产法律法规情况及其安全生产条件和有关设备</w:t>
            </w:r>
            <w:r>
              <w:rPr>
                <w:rFonts w:ascii="方正书宋_GBK" w:eastAsia="方正书宋_GBK"/>
              </w:rPr>
              <w:t>(</w:t>
            </w:r>
            <w:r>
              <w:rPr>
                <w:rFonts w:hint="eastAsia" w:ascii="方正书宋_GBK" w:eastAsia="方正书宋_GBK"/>
              </w:rPr>
              <w:t>适用《特种设备安全监察条例》的特种设备除外</w:t>
            </w:r>
            <w:r>
              <w:rPr>
                <w:rFonts w:ascii="方正书宋_GBK" w:eastAsia="方正书宋_GBK"/>
              </w:rPr>
              <w:t>)</w:t>
            </w:r>
            <w:r>
              <w:rPr>
                <w:rFonts w:hint="eastAsia" w:ascii="方正书宋_GBK" w:eastAsia="方正书宋_GBK"/>
              </w:rPr>
              <w:t>、材料、劳动防护用品的安全管理工作；承担非煤矿山企业和危险化学品、烟花爆竹生产企业安全生产准入管理责任，依法组织实施安全生产准入制度；负责危险化学品安全监督管理综合工作和烟花爆竹安全生产监督管理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、加强非煤矿山安全生产专项整治</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组织对尾矿库的安全治理；落实市政府关于加快山水林田湖生态修复的实施意见，鼓励和支持尾砂胶结充填采空区和尾砂综合利用新技术应用；对已闭尾矿库，进行绿化或土地复垦。</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尾矿库生态修复任务完成率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鼓励和支持尾砂胶结充填采空区和尾砂综合利用新技术应用。</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七、重点行业安全生产监管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按照分级、属地原则，依法监督检查工矿商贸生产经营单位贯彻执行安全生产法律法规情况及其安全生产条件和有关设备</w:t>
            </w:r>
            <w:r>
              <w:rPr>
                <w:rFonts w:ascii="方正书宋_GBK" w:eastAsia="方正书宋_GBK"/>
              </w:rPr>
              <w:t>(</w:t>
            </w:r>
            <w:r>
              <w:rPr>
                <w:rFonts w:hint="eastAsia" w:ascii="方正书宋_GBK" w:eastAsia="方正书宋_GBK"/>
              </w:rPr>
              <w:t>适用《特种设备安全监察条例》的特种设备除外</w:t>
            </w:r>
            <w:r>
              <w:rPr>
                <w:rFonts w:ascii="方正书宋_GBK" w:eastAsia="方正书宋_GBK"/>
              </w:rPr>
              <w:t>)</w:t>
            </w:r>
            <w:r>
              <w:rPr>
                <w:rFonts w:hint="eastAsia" w:ascii="方正书宋_GBK" w:eastAsia="方正书宋_GBK"/>
              </w:rPr>
              <w:t>、材料、劳动防护用品的安全管理工作；承担非煤矿山企业和危险化学品、烟花爆竹生产企业安全生产准入管理责任，依法组织实施安全生产准入制度；负责危险化学品安全监督管理综合工作和烟花爆竹安全生产监督管理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高危行业安全生产事故排查和事故隐患治理力度；提高矿井安全质量标准、完成淘汰落后产能任务、消除灾害威胁危害；全市生产矿井安全质量标准化建设全部达标，力争实现动态达标；完成国家或市政府下达的关闭整顿、淘汰落后产能目标任务；完成国家或市政府下达的关闭整顿、淘汰落后产能目标任务；同时按设计要求实施煤矿建设项目联合试运转；消除危库、险库，完成市政府确定的尾矿库生态修复工作任务，完成石膏矿退出，实现非煤矿山事故起数和死亡人数双下降，坚决遏制较大以上事故。</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、铁路道口安全管理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为铁路道口监护提供必要的设备、劳保等条件，修缮铁路道口平改立箱涵，对道口列车接近报警装置及视频监控设备的更新及维护。</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铁路道口标准化创建情况</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铁路道口标准化创建工作</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八、组织指挥和协调全市安全生产应急救援</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安全生产指导预案编制和备案管理，组织应急救援演练，组织协调全市安全生产救援工作。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指导全市安全生产应急救援预案编制和备案管理，结合事故多发、易发，应急管理基础薄弱的地区、领域、时段、岗位等重点，组织开展实战化应急演练。加强应急救援队伍、装备和信息系统建设，完善安全生产应急平台，提高全市应急救援协调指挥能力和应急处置能力；实施市救援指挥中心能力建设，加强指挥机构管理和专业应急救援队伍训练，统一规划安全生产应急平台信息化建设和救援通信、信息网络运行保障，及时进行重大危险源预警、技术监控工作，发布预警信息。启动应急预案，组织协调救援力量、装备、专家参与救援，制定救援计划。</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、组织应急预案编制及应急演练</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组织指导全市安全生产应急救援预案编制和备案管理，结合事故多发、易发，应急管理基础薄弱的地区、领域、时段、岗位等重点，组织开展实战化应急演练。</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应急预案演练完成率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组织指导全市安全生产应急救援预案编制和备案管理，结合事故多发、易发，应急管理基础薄弱的地区、领域、时段、岗位等重点，组织开展实战化应急演练。</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九、组织指挥和协调全市安全生产应急救援</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安全生产指导预案编制和备案管理，组织应急救援演练，组织协调全市安全生产救援工作。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指导全市安全生产应急救援预案编制和备案管理，结合事故多发、易发，应急管理基础薄弱的地区、领域、时段、岗位等重点，组织开展实战化应急演练。加强应急救援队伍、装备和信息系统建设，完善安全生产应急平台，提高全市应急救援协调指挥能力和应急处置能力；实施市救援指挥中心能力建设，加强指挥机构管理和专业应急救援队伍训练，统一规划安全生产应急平台信息化建设和救援通信、信息网络运行保障，及时进行重大危险源预警、技术监控工作，发布预警信息。启动应急预案，组织协调救援力量、装备、专家参与救援，制定救援计划。</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、加强应急救援体系建设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应急救援队伍、装备和信息系统建设，完善安全生产应急平台，提高全市应急救援协调指挥能力和应急处置能力；加强指挥机构管理和专业应急救援队伍训练，统一规划安全生产应急平台信息化建设和救援通信、信息网络运行保障，及时进行重大危险源预警、技术监控工作，发布预警信息。</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应急基地演练完成次数</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加强应急救援队伍、装备和信息系统建设，完善安全生产应急平台，提高全市应急救援协调指挥能力和应急处置能力</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十、组织指挥和协调全市安全生产应急救援</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安全生产指导预案编制和备案管理，组织应急救援演练，组织协调全市安全生产救援工作。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指导全市安全生产应急救援预案编制和备案管理，结合事故多发、易发，应急管理基础薄弱的地区、领域、时段、岗位等重点，组织开展实战化应急演练。加强应急救援队伍、装备和信息系统建设，完善安全生产应急平台，提高全市应急救援协调指挥能力和应急处置能力；实施市救援指挥中心能力建设，加强指挥机构管理和专业应急救援队伍训练，统一规划安全生产应急平台信息化建设和救援通信、信息网络运行保障，及时进行重大危险源预警、技术监控工作，发布预警信息。启动应急预案，组织协调救援力量、装备、专家参与救援，制定救援计划。</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、组织实施应急处置与救援</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启动应急预案，组织协调救援力量、装备、专家参与救援，制定救援方案，科学施救，保障救援工作顺利进行</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应急救援任务完成率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启动应急预案，组织协调救援力量、装备、专家参与救援，制定救援方案，科学施救，保障救援工作顺利进行</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十一、安全生产政务管理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编制安全生产规划，开展安全生产调研和相关政策制订；开展对外合作交流；加强行政审批管理；开展行政复议及行政应诉工作等；为保障机关履行安全生产监管基本职责提供必要条件。</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全市安全生产发展战略和规划、指导系统业务活动；开展安全生产专项调查研究，制订相关政策、法规规章；加强专项资金监管；开展对外合作交流；加强安全生产审批管理；开展行政复议及行政应诉工作；信访接待、业务宣传、政务信息公开等工作；开展网上行政服务；依法行政等。做好会议组织管理、信息化建设与维护、机关财务和资产管理、标准化建设、基建及维修、大型设备购置、人事管理、党务管理、老干部工作等。负责直属企事业单位管理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加强专项资金监管；开展对外合作交流；加强安全生产审批管理；开展行政复议及行政应诉工作；信访接待、业务宣传、政务信息公开等工作；开展网上行政服务；依法行政等。</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综合业务保障率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综合业务按年度计划完成情况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bl>
    <w:p>
      <w:pPr>
        <w:spacing w:line="300" w:lineRule="exact"/>
        <w:jc w:val="left"/>
        <w:outlineLvl w:val="0"/>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六、政府采购预算情况</w:t>
      </w:r>
    </w:p>
    <w:p>
      <w:pPr>
        <w:ind w:firstLine="630"/>
        <w:outlineLvl w:val="0"/>
        <w:rPr>
          <w:rFonts w:ascii="仿宋_GB2312" w:eastAsia="仿宋_GB2312"/>
          <w:sz w:val="32"/>
          <w:szCs w:val="32"/>
        </w:rPr>
      </w:pPr>
      <w:r>
        <w:rPr>
          <w:rFonts w:hint="eastAsia" w:ascii="仿宋_GB2312" w:eastAsia="仿宋_GB2312"/>
          <w:sz w:val="32"/>
          <w:szCs w:val="32"/>
        </w:rPr>
        <w:t>遵化市安全生产监督管理局2019年车辆设备维修和保养服务费用1.35万元；计算机设备采购4.8万元；打印设备采购1.5万元，通用设备采购1.89万元，政府采购预算共计9.54万元。较2018年同比减少72.21万元。具体内容见下表</w:t>
      </w:r>
    </w:p>
    <w:tbl>
      <w:tblPr>
        <w:tblStyle w:val="4"/>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8"/>
        <w:gridCol w:w="1005"/>
        <w:gridCol w:w="884"/>
        <w:gridCol w:w="1349"/>
        <w:gridCol w:w="686"/>
        <w:gridCol w:w="686"/>
        <w:gridCol w:w="768"/>
        <w:gridCol w:w="876"/>
        <w:gridCol w:w="876"/>
        <w:gridCol w:w="876"/>
        <w:gridCol w:w="877"/>
        <w:gridCol w:w="879"/>
        <w:gridCol w:w="879"/>
        <w:gridCol w:w="8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2242" w:type="pct"/>
          <w:tblHeader/>
          <w:jc w:val="center"/>
        </w:trPr>
        <w:tc>
          <w:tcPr>
            <w:tcW w:w="2758"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00"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325"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445"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25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25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2242" w:type="pct"/>
            <w:gridSpan w:val="7"/>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69"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325" w:type="pct"/>
            <w:vMerge w:val="continue"/>
            <w:shd w:val="clear" w:color="auto" w:fill="auto"/>
            <w:vAlign w:val="center"/>
          </w:tcPr>
          <w:p>
            <w:pPr>
              <w:spacing w:line="300" w:lineRule="exact"/>
              <w:jc w:val="left"/>
              <w:outlineLvl w:val="0"/>
            </w:pPr>
          </w:p>
        </w:tc>
        <w:tc>
          <w:tcPr>
            <w:tcW w:w="445" w:type="pct"/>
            <w:vMerge w:val="continue"/>
            <w:shd w:val="clear" w:color="auto" w:fill="auto"/>
            <w:vAlign w:val="center"/>
          </w:tcPr>
          <w:p>
            <w:pPr>
              <w:spacing w:line="300" w:lineRule="exact"/>
              <w:jc w:val="left"/>
              <w:outlineLvl w:val="0"/>
            </w:pPr>
          </w:p>
        </w:tc>
        <w:tc>
          <w:tcPr>
            <w:tcW w:w="253" w:type="pct"/>
            <w:vMerge w:val="continue"/>
            <w:shd w:val="clear" w:color="auto" w:fill="auto"/>
            <w:vAlign w:val="center"/>
          </w:tcPr>
          <w:p>
            <w:pPr>
              <w:spacing w:line="300" w:lineRule="exact"/>
              <w:jc w:val="left"/>
              <w:outlineLvl w:val="0"/>
            </w:pPr>
          </w:p>
        </w:tc>
        <w:tc>
          <w:tcPr>
            <w:tcW w:w="253" w:type="pct"/>
            <w:vMerge w:val="continue"/>
            <w:shd w:val="clear" w:color="auto" w:fill="auto"/>
            <w:vAlign w:val="center"/>
          </w:tcPr>
          <w:p>
            <w:pPr>
              <w:spacing w:line="300" w:lineRule="exact"/>
              <w:jc w:val="left"/>
              <w:outlineLvl w:val="0"/>
            </w:pPr>
          </w:p>
        </w:tc>
        <w:tc>
          <w:tcPr>
            <w:tcW w:w="283" w:type="pct"/>
            <w:vMerge w:val="continue"/>
            <w:shd w:val="clear" w:color="auto" w:fill="auto"/>
            <w:vAlign w:val="center"/>
          </w:tcPr>
          <w:p>
            <w:pPr>
              <w:spacing w:line="300" w:lineRule="exact"/>
              <w:jc w:val="left"/>
              <w:outlineLvl w:val="0"/>
            </w:pPr>
          </w:p>
        </w:tc>
        <w:tc>
          <w:tcPr>
            <w:tcW w:w="32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1612"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30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2" w:type="pct"/>
            <w:vMerge w:val="continue"/>
            <w:shd w:val="clear" w:color="auto" w:fill="auto"/>
            <w:vAlign w:val="center"/>
          </w:tcPr>
          <w:p>
            <w:pPr>
              <w:spacing w:line="300" w:lineRule="exact"/>
              <w:jc w:val="left"/>
              <w:outlineLvl w:val="0"/>
            </w:pPr>
          </w:p>
        </w:tc>
        <w:tc>
          <w:tcPr>
            <w:tcW w:w="369" w:type="pct"/>
            <w:vMerge w:val="continue"/>
            <w:shd w:val="clear" w:color="auto" w:fill="auto"/>
            <w:vAlign w:val="center"/>
          </w:tcPr>
          <w:p>
            <w:pPr>
              <w:spacing w:line="300" w:lineRule="exact"/>
              <w:jc w:val="left"/>
              <w:outlineLvl w:val="0"/>
            </w:pPr>
          </w:p>
        </w:tc>
        <w:tc>
          <w:tcPr>
            <w:tcW w:w="325" w:type="pct"/>
            <w:vMerge w:val="continue"/>
            <w:shd w:val="clear" w:color="auto" w:fill="auto"/>
            <w:vAlign w:val="center"/>
          </w:tcPr>
          <w:p>
            <w:pPr>
              <w:spacing w:line="300" w:lineRule="exact"/>
              <w:jc w:val="left"/>
              <w:outlineLvl w:val="0"/>
            </w:pPr>
          </w:p>
        </w:tc>
        <w:tc>
          <w:tcPr>
            <w:tcW w:w="445" w:type="pct"/>
            <w:vMerge w:val="continue"/>
            <w:shd w:val="clear" w:color="auto" w:fill="auto"/>
            <w:vAlign w:val="center"/>
          </w:tcPr>
          <w:p>
            <w:pPr>
              <w:spacing w:line="300" w:lineRule="exact"/>
              <w:jc w:val="left"/>
              <w:outlineLvl w:val="0"/>
            </w:pPr>
          </w:p>
        </w:tc>
        <w:tc>
          <w:tcPr>
            <w:tcW w:w="253" w:type="pct"/>
            <w:vMerge w:val="continue"/>
            <w:shd w:val="clear" w:color="auto" w:fill="auto"/>
            <w:vAlign w:val="center"/>
          </w:tcPr>
          <w:p>
            <w:pPr>
              <w:spacing w:line="300" w:lineRule="exact"/>
              <w:jc w:val="left"/>
              <w:outlineLvl w:val="0"/>
            </w:pPr>
          </w:p>
        </w:tc>
        <w:tc>
          <w:tcPr>
            <w:tcW w:w="253" w:type="pct"/>
            <w:vMerge w:val="continue"/>
            <w:shd w:val="clear" w:color="auto" w:fill="auto"/>
            <w:vAlign w:val="center"/>
          </w:tcPr>
          <w:p>
            <w:pPr>
              <w:spacing w:line="300" w:lineRule="exact"/>
              <w:jc w:val="left"/>
              <w:outlineLvl w:val="0"/>
            </w:pPr>
          </w:p>
        </w:tc>
        <w:tc>
          <w:tcPr>
            <w:tcW w:w="283" w:type="pct"/>
            <w:vMerge w:val="continue"/>
            <w:shd w:val="clear" w:color="auto" w:fill="auto"/>
            <w:vAlign w:val="center"/>
          </w:tcPr>
          <w:p>
            <w:pPr>
              <w:spacing w:line="300" w:lineRule="exact"/>
              <w:jc w:val="left"/>
              <w:outlineLvl w:val="0"/>
            </w:pPr>
          </w:p>
        </w:tc>
        <w:tc>
          <w:tcPr>
            <w:tcW w:w="322" w:type="pct"/>
            <w:vMerge w:val="continue"/>
            <w:shd w:val="clear" w:color="auto" w:fill="auto"/>
            <w:vAlign w:val="center"/>
          </w:tcPr>
          <w:p>
            <w:pPr>
              <w:spacing w:line="300" w:lineRule="exact"/>
              <w:jc w:val="left"/>
              <w:outlineLvl w:val="0"/>
            </w:pPr>
          </w:p>
        </w:tc>
        <w:tc>
          <w:tcPr>
            <w:tcW w:w="32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32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32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32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32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308" w:type="pct"/>
            <w:vMerge w:val="continue"/>
            <w:shd w:val="clear" w:color="auto" w:fill="auto"/>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369" w:type="pct"/>
            <w:shd w:val="clear" w:color="auto" w:fill="auto"/>
            <w:vAlign w:val="center"/>
          </w:tcPr>
          <w:p>
            <w:pPr>
              <w:spacing w:line="300" w:lineRule="exact"/>
              <w:jc w:val="right"/>
              <w:rPr>
                <w:rFonts w:ascii="方正书宋_GBK" w:eastAsia="方正书宋_GBK"/>
                <w:b/>
              </w:rPr>
            </w:pPr>
          </w:p>
        </w:tc>
        <w:tc>
          <w:tcPr>
            <w:tcW w:w="325" w:type="pct"/>
            <w:shd w:val="clear" w:color="auto" w:fill="auto"/>
            <w:vAlign w:val="center"/>
          </w:tcPr>
          <w:p>
            <w:pPr>
              <w:spacing w:line="300" w:lineRule="exact"/>
              <w:jc w:val="left"/>
              <w:rPr>
                <w:rFonts w:ascii="方正书宋_GBK" w:eastAsia="方正书宋_GBK"/>
                <w:b/>
              </w:rPr>
            </w:pPr>
          </w:p>
        </w:tc>
        <w:tc>
          <w:tcPr>
            <w:tcW w:w="445" w:type="pct"/>
            <w:shd w:val="clear" w:color="auto" w:fill="auto"/>
            <w:vAlign w:val="center"/>
          </w:tcPr>
          <w:p>
            <w:pPr>
              <w:spacing w:line="300" w:lineRule="exact"/>
              <w:jc w:val="left"/>
              <w:rPr>
                <w:rFonts w:ascii="方正书宋_GBK" w:eastAsia="方正书宋_GBK"/>
                <w:b/>
              </w:rPr>
            </w:pPr>
          </w:p>
        </w:tc>
        <w:tc>
          <w:tcPr>
            <w:tcW w:w="253" w:type="pct"/>
            <w:shd w:val="clear" w:color="auto" w:fill="auto"/>
            <w:vAlign w:val="center"/>
          </w:tcPr>
          <w:p>
            <w:pPr>
              <w:spacing w:line="300" w:lineRule="exact"/>
              <w:jc w:val="left"/>
              <w:rPr>
                <w:rFonts w:ascii="方正书宋_GBK" w:eastAsia="方正书宋_GBK"/>
                <w:b/>
              </w:rPr>
            </w:pPr>
          </w:p>
        </w:tc>
        <w:tc>
          <w:tcPr>
            <w:tcW w:w="253" w:type="pct"/>
            <w:shd w:val="clear" w:color="auto" w:fill="auto"/>
            <w:vAlign w:val="center"/>
          </w:tcPr>
          <w:p>
            <w:pPr>
              <w:spacing w:line="300" w:lineRule="exact"/>
              <w:jc w:val="right"/>
              <w:rPr>
                <w:rFonts w:ascii="方正书宋_GBK" w:eastAsia="方正书宋_GBK"/>
                <w:b/>
              </w:rPr>
            </w:pPr>
          </w:p>
        </w:tc>
        <w:tc>
          <w:tcPr>
            <w:tcW w:w="283" w:type="pct"/>
            <w:shd w:val="clear" w:color="auto" w:fill="auto"/>
            <w:vAlign w:val="center"/>
          </w:tcPr>
          <w:p>
            <w:pPr>
              <w:spacing w:line="300" w:lineRule="exact"/>
              <w:jc w:val="right"/>
              <w:rPr>
                <w:rFonts w:ascii="方正书宋_GBK" w:eastAsia="方正书宋_GBK"/>
                <w:b/>
              </w:rPr>
            </w:pPr>
          </w:p>
        </w:tc>
        <w:tc>
          <w:tcPr>
            <w:tcW w:w="322" w:type="pct"/>
            <w:shd w:val="clear" w:color="auto" w:fill="auto"/>
            <w:vAlign w:val="center"/>
          </w:tcPr>
          <w:p>
            <w:pPr>
              <w:spacing w:line="300" w:lineRule="exact"/>
              <w:jc w:val="right"/>
              <w:rPr>
                <w:rFonts w:ascii="方正书宋_GBK" w:eastAsia="方正书宋_GBK"/>
                <w:b/>
              </w:rPr>
            </w:pPr>
            <w:r>
              <w:rPr>
                <w:rFonts w:ascii="方正书宋_GBK" w:eastAsia="方正书宋_GBK"/>
                <w:b/>
              </w:rPr>
              <w:t>9.54</w:t>
            </w:r>
          </w:p>
        </w:tc>
        <w:tc>
          <w:tcPr>
            <w:tcW w:w="322" w:type="pct"/>
            <w:shd w:val="clear" w:color="auto" w:fill="auto"/>
            <w:vAlign w:val="center"/>
          </w:tcPr>
          <w:p>
            <w:pPr>
              <w:spacing w:line="300" w:lineRule="exact"/>
              <w:jc w:val="right"/>
              <w:rPr>
                <w:rFonts w:ascii="方正书宋_GBK" w:eastAsia="方正书宋_GBK"/>
                <w:b/>
              </w:rPr>
            </w:pPr>
            <w:r>
              <w:rPr>
                <w:rFonts w:ascii="方正书宋_GBK" w:eastAsia="方正书宋_GBK"/>
                <w:b/>
              </w:rPr>
              <w:t>9.54</w:t>
            </w:r>
          </w:p>
        </w:tc>
        <w:tc>
          <w:tcPr>
            <w:tcW w:w="322" w:type="pct"/>
            <w:shd w:val="clear" w:color="auto" w:fill="auto"/>
            <w:vAlign w:val="center"/>
          </w:tcPr>
          <w:p>
            <w:pPr>
              <w:spacing w:line="300" w:lineRule="exact"/>
              <w:jc w:val="right"/>
              <w:rPr>
                <w:rFonts w:ascii="方正书宋_GBK" w:eastAsia="方正书宋_GBK"/>
                <w:b/>
              </w:rPr>
            </w:pPr>
            <w:r>
              <w:rPr>
                <w:rFonts w:ascii="方正书宋_GBK" w:eastAsia="方正书宋_GBK"/>
                <w:b/>
              </w:rPr>
              <w:t>9.54</w:t>
            </w:r>
          </w:p>
        </w:tc>
        <w:tc>
          <w:tcPr>
            <w:tcW w:w="322" w:type="pct"/>
            <w:shd w:val="clear" w:color="auto" w:fill="auto"/>
            <w:vAlign w:val="center"/>
          </w:tcPr>
          <w:p>
            <w:pPr>
              <w:spacing w:line="300" w:lineRule="exact"/>
              <w:jc w:val="right"/>
              <w:rPr>
                <w:rFonts w:ascii="方正书宋_GBK" w:eastAsia="方正书宋_GBK"/>
                <w:b/>
              </w:rPr>
            </w:pPr>
          </w:p>
        </w:tc>
        <w:tc>
          <w:tcPr>
            <w:tcW w:w="323" w:type="pct"/>
            <w:shd w:val="clear" w:color="auto" w:fill="auto"/>
            <w:vAlign w:val="center"/>
          </w:tcPr>
          <w:p>
            <w:pPr>
              <w:spacing w:line="300" w:lineRule="exact"/>
              <w:jc w:val="right"/>
              <w:rPr>
                <w:rFonts w:ascii="方正书宋_GBK" w:eastAsia="方正书宋_GBK"/>
                <w:b/>
              </w:rPr>
            </w:pPr>
          </w:p>
        </w:tc>
        <w:tc>
          <w:tcPr>
            <w:tcW w:w="323" w:type="pct"/>
            <w:shd w:val="clear" w:color="auto" w:fill="auto"/>
            <w:vAlign w:val="center"/>
          </w:tcPr>
          <w:p>
            <w:pPr>
              <w:spacing w:line="300" w:lineRule="exact"/>
              <w:jc w:val="right"/>
              <w:rPr>
                <w:rFonts w:ascii="方正书宋_GBK" w:eastAsia="方正书宋_GBK"/>
                <w:b/>
              </w:rPr>
            </w:pPr>
          </w:p>
        </w:tc>
        <w:tc>
          <w:tcPr>
            <w:tcW w:w="30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83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遵化市安全生产监督管理局小计</w:t>
            </w:r>
          </w:p>
        </w:tc>
        <w:tc>
          <w:tcPr>
            <w:tcW w:w="369" w:type="pct"/>
            <w:shd w:val="clear" w:color="auto" w:fill="auto"/>
            <w:vAlign w:val="center"/>
          </w:tcPr>
          <w:p>
            <w:pPr>
              <w:spacing w:line="300" w:lineRule="exact"/>
              <w:jc w:val="right"/>
              <w:rPr>
                <w:rFonts w:ascii="方正书宋_GBK" w:eastAsia="方正书宋_GBK"/>
                <w:b/>
              </w:rPr>
            </w:pPr>
          </w:p>
        </w:tc>
        <w:tc>
          <w:tcPr>
            <w:tcW w:w="325" w:type="pct"/>
            <w:shd w:val="clear" w:color="auto" w:fill="auto"/>
            <w:vAlign w:val="center"/>
          </w:tcPr>
          <w:p>
            <w:pPr>
              <w:spacing w:line="300" w:lineRule="exact"/>
              <w:jc w:val="left"/>
              <w:rPr>
                <w:rFonts w:ascii="方正书宋_GBK" w:eastAsia="方正书宋_GBK"/>
                <w:b/>
              </w:rPr>
            </w:pPr>
          </w:p>
        </w:tc>
        <w:tc>
          <w:tcPr>
            <w:tcW w:w="445" w:type="pct"/>
            <w:shd w:val="clear" w:color="auto" w:fill="auto"/>
            <w:vAlign w:val="center"/>
          </w:tcPr>
          <w:p>
            <w:pPr>
              <w:spacing w:line="300" w:lineRule="exact"/>
              <w:jc w:val="left"/>
              <w:rPr>
                <w:rFonts w:ascii="方正书宋_GBK" w:eastAsia="方正书宋_GBK"/>
                <w:b/>
              </w:rPr>
            </w:pPr>
          </w:p>
        </w:tc>
        <w:tc>
          <w:tcPr>
            <w:tcW w:w="253" w:type="pct"/>
            <w:shd w:val="clear" w:color="auto" w:fill="auto"/>
            <w:vAlign w:val="center"/>
          </w:tcPr>
          <w:p>
            <w:pPr>
              <w:spacing w:line="300" w:lineRule="exact"/>
              <w:jc w:val="left"/>
              <w:rPr>
                <w:rFonts w:ascii="方正书宋_GBK" w:eastAsia="方正书宋_GBK"/>
                <w:b/>
              </w:rPr>
            </w:pPr>
          </w:p>
        </w:tc>
        <w:tc>
          <w:tcPr>
            <w:tcW w:w="253" w:type="pct"/>
            <w:shd w:val="clear" w:color="auto" w:fill="auto"/>
            <w:vAlign w:val="center"/>
          </w:tcPr>
          <w:p>
            <w:pPr>
              <w:spacing w:line="300" w:lineRule="exact"/>
              <w:jc w:val="right"/>
              <w:rPr>
                <w:rFonts w:ascii="方正书宋_GBK" w:eastAsia="方正书宋_GBK"/>
                <w:b/>
              </w:rPr>
            </w:pPr>
          </w:p>
        </w:tc>
        <w:tc>
          <w:tcPr>
            <w:tcW w:w="283" w:type="pct"/>
            <w:shd w:val="clear" w:color="auto" w:fill="auto"/>
            <w:vAlign w:val="center"/>
          </w:tcPr>
          <w:p>
            <w:pPr>
              <w:spacing w:line="300" w:lineRule="exact"/>
              <w:jc w:val="right"/>
              <w:rPr>
                <w:rFonts w:ascii="方正书宋_GBK" w:eastAsia="方正书宋_GBK"/>
                <w:b/>
              </w:rPr>
            </w:pPr>
          </w:p>
        </w:tc>
        <w:tc>
          <w:tcPr>
            <w:tcW w:w="322" w:type="pct"/>
            <w:shd w:val="clear" w:color="auto" w:fill="auto"/>
            <w:vAlign w:val="center"/>
          </w:tcPr>
          <w:p>
            <w:pPr>
              <w:spacing w:line="300" w:lineRule="exact"/>
              <w:jc w:val="right"/>
              <w:rPr>
                <w:rFonts w:ascii="方正书宋_GBK" w:eastAsia="方正书宋_GBK"/>
                <w:b/>
              </w:rPr>
            </w:pPr>
            <w:r>
              <w:rPr>
                <w:rFonts w:ascii="方正书宋_GBK" w:eastAsia="方正书宋_GBK"/>
                <w:b/>
              </w:rPr>
              <w:t>9.54</w:t>
            </w:r>
          </w:p>
        </w:tc>
        <w:tc>
          <w:tcPr>
            <w:tcW w:w="322" w:type="pct"/>
            <w:shd w:val="clear" w:color="auto" w:fill="auto"/>
            <w:vAlign w:val="center"/>
          </w:tcPr>
          <w:p>
            <w:pPr>
              <w:spacing w:line="300" w:lineRule="exact"/>
              <w:jc w:val="right"/>
              <w:rPr>
                <w:rFonts w:ascii="方正书宋_GBK" w:eastAsia="方正书宋_GBK"/>
                <w:b/>
              </w:rPr>
            </w:pPr>
            <w:r>
              <w:rPr>
                <w:rFonts w:ascii="方正书宋_GBK" w:eastAsia="方正书宋_GBK"/>
                <w:b/>
              </w:rPr>
              <w:t>9.54</w:t>
            </w:r>
          </w:p>
        </w:tc>
        <w:tc>
          <w:tcPr>
            <w:tcW w:w="322" w:type="pct"/>
            <w:shd w:val="clear" w:color="auto" w:fill="auto"/>
            <w:vAlign w:val="center"/>
          </w:tcPr>
          <w:p>
            <w:pPr>
              <w:spacing w:line="300" w:lineRule="exact"/>
              <w:jc w:val="right"/>
              <w:rPr>
                <w:rFonts w:ascii="方正书宋_GBK" w:eastAsia="方正书宋_GBK"/>
                <w:b/>
              </w:rPr>
            </w:pPr>
            <w:r>
              <w:rPr>
                <w:rFonts w:ascii="方正书宋_GBK" w:eastAsia="方正书宋_GBK"/>
                <w:b/>
              </w:rPr>
              <w:t>9.54</w:t>
            </w:r>
          </w:p>
        </w:tc>
        <w:tc>
          <w:tcPr>
            <w:tcW w:w="322" w:type="pct"/>
            <w:shd w:val="clear" w:color="auto" w:fill="auto"/>
            <w:vAlign w:val="center"/>
          </w:tcPr>
          <w:p>
            <w:pPr>
              <w:spacing w:line="300" w:lineRule="exact"/>
              <w:jc w:val="right"/>
              <w:rPr>
                <w:rFonts w:ascii="方正书宋_GBK" w:eastAsia="方正书宋_GBK"/>
                <w:b/>
              </w:rPr>
            </w:pPr>
          </w:p>
        </w:tc>
        <w:tc>
          <w:tcPr>
            <w:tcW w:w="323" w:type="pct"/>
            <w:shd w:val="clear" w:color="auto" w:fill="auto"/>
            <w:vAlign w:val="center"/>
          </w:tcPr>
          <w:p>
            <w:pPr>
              <w:spacing w:line="300" w:lineRule="exact"/>
              <w:jc w:val="right"/>
              <w:rPr>
                <w:rFonts w:ascii="方正书宋_GBK" w:eastAsia="方正书宋_GBK"/>
                <w:b/>
              </w:rPr>
            </w:pPr>
          </w:p>
        </w:tc>
        <w:tc>
          <w:tcPr>
            <w:tcW w:w="323" w:type="pct"/>
            <w:shd w:val="clear" w:color="auto" w:fill="auto"/>
            <w:vAlign w:val="center"/>
          </w:tcPr>
          <w:p>
            <w:pPr>
              <w:spacing w:line="300" w:lineRule="exact"/>
              <w:jc w:val="right"/>
              <w:rPr>
                <w:rFonts w:ascii="方正书宋_GBK" w:eastAsia="方正书宋_GBK"/>
                <w:b/>
              </w:rPr>
            </w:pPr>
          </w:p>
        </w:tc>
        <w:tc>
          <w:tcPr>
            <w:tcW w:w="30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69" w:type="pct"/>
            <w:shd w:val="clear" w:color="auto" w:fill="auto"/>
            <w:vAlign w:val="center"/>
          </w:tcPr>
          <w:p>
            <w:pPr>
              <w:spacing w:line="300" w:lineRule="exact"/>
              <w:jc w:val="right"/>
              <w:rPr>
                <w:rFonts w:ascii="方正书宋_GBK" w:eastAsia="方正书宋_GBK"/>
              </w:rPr>
            </w:pPr>
            <w:r>
              <w:rPr>
                <w:rFonts w:ascii="方正书宋_GBK" w:eastAsia="方正书宋_GBK"/>
              </w:rPr>
              <w:t>53.88</w:t>
            </w:r>
          </w:p>
        </w:tc>
        <w:tc>
          <w:tcPr>
            <w:tcW w:w="32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货物</w:t>
            </w:r>
          </w:p>
        </w:tc>
        <w:tc>
          <w:tcPr>
            <w:tcW w:w="445" w:type="pct"/>
            <w:shd w:val="clear" w:color="auto" w:fill="auto"/>
            <w:vAlign w:val="center"/>
          </w:tcPr>
          <w:p>
            <w:pPr>
              <w:spacing w:line="300" w:lineRule="exact"/>
              <w:jc w:val="left"/>
              <w:rPr>
                <w:rFonts w:ascii="方正书宋_GBK" w:eastAsia="方正书宋_GBK"/>
              </w:rPr>
            </w:pPr>
            <w:r>
              <w:rPr>
                <w:rFonts w:ascii="方正书宋_GBK" w:eastAsia="方正书宋_GBK"/>
              </w:rPr>
              <w:t>A</w:t>
            </w:r>
          </w:p>
        </w:tc>
        <w:tc>
          <w:tcPr>
            <w:tcW w:w="25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万元</w:t>
            </w:r>
          </w:p>
        </w:tc>
        <w:tc>
          <w:tcPr>
            <w:tcW w:w="253"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283"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322"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322"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322"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322" w:type="pct"/>
            <w:shd w:val="clear" w:color="auto" w:fill="auto"/>
            <w:vAlign w:val="center"/>
          </w:tcPr>
          <w:p>
            <w:pPr>
              <w:spacing w:line="300" w:lineRule="exact"/>
              <w:jc w:val="right"/>
              <w:rPr>
                <w:rFonts w:ascii="方正书宋_GBK" w:eastAsia="方正书宋_GBK"/>
              </w:rPr>
            </w:pPr>
          </w:p>
        </w:tc>
        <w:tc>
          <w:tcPr>
            <w:tcW w:w="323" w:type="pct"/>
            <w:shd w:val="clear" w:color="auto" w:fill="auto"/>
            <w:vAlign w:val="center"/>
          </w:tcPr>
          <w:p>
            <w:pPr>
              <w:spacing w:line="300" w:lineRule="exact"/>
              <w:jc w:val="right"/>
              <w:rPr>
                <w:rFonts w:ascii="方正书宋_GBK" w:eastAsia="方正书宋_GBK"/>
              </w:rPr>
            </w:pPr>
          </w:p>
        </w:tc>
        <w:tc>
          <w:tcPr>
            <w:tcW w:w="323" w:type="pct"/>
            <w:shd w:val="clear" w:color="auto" w:fill="auto"/>
            <w:vAlign w:val="center"/>
          </w:tcPr>
          <w:p>
            <w:pPr>
              <w:spacing w:line="300" w:lineRule="exact"/>
              <w:jc w:val="right"/>
              <w:rPr>
                <w:rFonts w:ascii="方正书宋_GBK" w:eastAsia="方正书宋_GBK"/>
              </w:rPr>
            </w:pPr>
          </w:p>
        </w:tc>
        <w:tc>
          <w:tcPr>
            <w:tcW w:w="30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安全生产执法检查经费</w:t>
            </w:r>
          </w:p>
        </w:tc>
        <w:tc>
          <w:tcPr>
            <w:tcW w:w="369" w:type="pct"/>
            <w:shd w:val="clear" w:color="auto" w:fill="auto"/>
            <w:vAlign w:val="center"/>
          </w:tcPr>
          <w:p>
            <w:pPr>
              <w:spacing w:line="300" w:lineRule="exact"/>
              <w:jc w:val="right"/>
              <w:rPr>
                <w:rFonts w:ascii="方正书宋_GBK" w:eastAsia="方正书宋_GBK"/>
              </w:rPr>
            </w:pPr>
            <w:r>
              <w:rPr>
                <w:rFonts w:ascii="方正书宋_GBK" w:eastAsia="方正书宋_GBK"/>
              </w:rPr>
              <w:t>150.00</w:t>
            </w:r>
          </w:p>
        </w:tc>
        <w:tc>
          <w:tcPr>
            <w:tcW w:w="32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445" w:type="pct"/>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25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万元</w:t>
            </w:r>
          </w:p>
        </w:tc>
        <w:tc>
          <w:tcPr>
            <w:tcW w:w="253" w:type="pct"/>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283" w:type="pct"/>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322" w:type="pct"/>
            <w:shd w:val="clear" w:color="auto" w:fill="auto"/>
            <w:vAlign w:val="center"/>
          </w:tcPr>
          <w:p>
            <w:pPr>
              <w:spacing w:line="300" w:lineRule="exact"/>
              <w:jc w:val="right"/>
              <w:rPr>
                <w:rFonts w:ascii="方正书宋_GBK" w:eastAsia="方正书宋_GBK"/>
              </w:rPr>
            </w:pPr>
            <w:r>
              <w:rPr>
                <w:rFonts w:ascii="方正书宋_GBK" w:eastAsia="方正书宋_GBK"/>
              </w:rPr>
              <w:t>3.60</w:t>
            </w:r>
          </w:p>
        </w:tc>
        <w:tc>
          <w:tcPr>
            <w:tcW w:w="322" w:type="pct"/>
            <w:shd w:val="clear" w:color="auto" w:fill="auto"/>
            <w:vAlign w:val="center"/>
          </w:tcPr>
          <w:p>
            <w:pPr>
              <w:spacing w:line="300" w:lineRule="exact"/>
              <w:jc w:val="right"/>
              <w:rPr>
                <w:rFonts w:ascii="方正书宋_GBK" w:eastAsia="方正书宋_GBK"/>
              </w:rPr>
            </w:pPr>
            <w:r>
              <w:rPr>
                <w:rFonts w:ascii="方正书宋_GBK" w:eastAsia="方正书宋_GBK"/>
              </w:rPr>
              <w:t>3.60</w:t>
            </w:r>
          </w:p>
        </w:tc>
        <w:tc>
          <w:tcPr>
            <w:tcW w:w="322" w:type="pct"/>
            <w:shd w:val="clear" w:color="auto" w:fill="auto"/>
            <w:vAlign w:val="center"/>
          </w:tcPr>
          <w:p>
            <w:pPr>
              <w:spacing w:line="300" w:lineRule="exact"/>
              <w:jc w:val="right"/>
              <w:rPr>
                <w:rFonts w:ascii="方正书宋_GBK" w:eastAsia="方正书宋_GBK"/>
              </w:rPr>
            </w:pPr>
            <w:r>
              <w:rPr>
                <w:rFonts w:ascii="方正书宋_GBK" w:eastAsia="方正书宋_GBK"/>
              </w:rPr>
              <w:t>3.60</w:t>
            </w:r>
          </w:p>
        </w:tc>
        <w:tc>
          <w:tcPr>
            <w:tcW w:w="322" w:type="pct"/>
            <w:shd w:val="clear" w:color="auto" w:fill="auto"/>
            <w:vAlign w:val="center"/>
          </w:tcPr>
          <w:p>
            <w:pPr>
              <w:spacing w:line="300" w:lineRule="exact"/>
              <w:jc w:val="right"/>
              <w:rPr>
                <w:rFonts w:ascii="方正书宋_GBK" w:eastAsia="方正书宋_GBK"/>
              </w:rPr>
            </w:pPr>
          </w:p>
        </w:tc>
        <w:tc>
          <w:tcPr>
            <w:tcW w:w="323" w:type="pct"/>
            <w:shd w:val="clear" w:color="auto" w:fill="auto"/>
            <w:vAlign w:val="center"/>
          </w:tcPr>
          <w:p>
            <w:pPr>
              <w:spacing w:line="300" w:lineRule="exact"/>
              <w:jc w:val="right"/>
              <w:rPr>
                <w:rFonts w:ascii="方正书宋_GBK" w:eastAsia="方正书宋_GBK"/>
              </w:rPr>
            </w:pPr>
          </w:p>
        </w:tc>
        <w:tc>
          <w:tcPr>
            <w:tcW w:w="323" w:type="pct"/>
            <w:shd w:val="clear" w:color="auto" w:fill="auto"/>
            <w:vAlign w:val="center"/>
          </w:tcPr>
          <w:p>
            <w:pPr>
              <w:spacing w:line="300" w:lineRule="exact"/>
              <w:jc w:val="right"/>
              <w:rPr>
                <w:rFonts w:ascii="方正书宋_GBK" w:eastAsia="方正书宋_GBK"/>
              </w:rPr>
            </w:pPr>
          </w:p>
        </w:tc>
        <w:tc>
          <w:tcPr>
            <w:tcW w:w="30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69" w:type="pct"/>
            <w:shd w:val="clear" w:color="auto" w:fill="auto"/>
            <w:vAlign w:val="center"/>
          </w:tcPr>
          <w:p>
            <w:pPr>
              <w:spacing w:line="300" w:lineRule="exact"/>
              <w:jc w:val="right"/>
              <w:rPr>
                <w:rFonts w:ascii="方正书宋_GBK" w:eastAsia="方正书宋_GBK"/>
              </w:rPr>
            </w:pPr>
            <w:r>
              <w:rPr>
                <w:rFonts w:ascii="方正书宋_GBK" w:eastAsia="方正书宋_GBK"/>
              </w:rPr>
              <w:t>53.88</w:t>
            </w:r>
          </w:p>
        </w:tc>
        <w:tc>
          <w:tcPr>
            <w:tcW w:w="32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货物</w:t>
            </w:r>
          </w:p>
        </w:tc>
        <w:tc>
          <w:tcPr>
            <w:tcW w:w="445" w:type="pct"/>
            <w:shd w:val="clear" w:color="auto" w:fill="auto"/>
            <w:vAlign w:val="center"/>
          </w:tcPr>
          <w:p>
            <w:pPr>
              <w:spacing w:line="300" w:lineRule="exact"/>
              <w:jc w:val="left"/>
              <w:rPr>
                <w:rFonts w:ascii="方正书宋_GBK" w:eastAsia="方正书宋_GBK"/>
              </w:rPr>
            </w:pPr>
            <w:r>
              <w:rPr>
                <w:rFonts w:ascii="方正书宋_GBK" w:eastAsia="方正书宋_GBK"/>
              </w:rPr>
              <w:t>A</w:t>
            </w:r>
          </w:p>
        </w:tc>
        <w:tc>
          <w:tcPr>
            <w:tcW w:w="25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万元</w:t>
            </w:r>
          </w:p>
        </w:tc>
        <w:tc>
          <w:tcPr>
            <w:tcW w:w="253"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283" w:type="pct"/>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322" w:type="pct"/>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322" w:type="pct"/>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322" w:type="pct"/>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322" w:type="pct"/>
            <w:shd w:val="clear" w:color="auto" w:fill="auto"/>
            <w:vAlign w:val="center"/>
          </w:tcPr>
          <w:p>
            <w:pPr>
              <w:spacing w:line="300" w:lineRule="exact"/>
              <w:jc w:val="right"/>
              <w:rPr>
                <w:rFonts w:ascii="方正书宋_GBK" w:eastAsia="方正书宋_GBK"/>
              </w:rPr>
            </w:pPr>
          </w:p>
        </w:tc>
        <w:tc>
          <w:tcPr>
            <w:tcW w:w="323" w:type="pct"/>
            <w:shd w:val="clear" w:color="auto" w:fill="auto"/>
            <w:vAlign w:val="center"/>
          </w:tcPr>
          <w:p>
            <w:pPr>
              <w:spacing w:line="300" w:lineRule="exact"/>
              <w:jc w:val="right"/>
              <w:rPr>
                <w:rFonts w:ascii="方正书宋_GBK" w:eastAsia="方正书宋_GBK"/>
              </w:rPr>
            </w:pPr>
          </w:p>
        </w:tc>
        <w:tc>
          <w:tcPr>
            <w:tcW w:w="323" w:type="pct"/>
            <w:shd w:val="clear" w:color="auto" w:fill="auto"/>
            <w:vAlign w:val="center"/>
          </w:tcPr>
          <w:p>
            <w:pPr>
              <w:spacing w:line="300" w:lineRule="exact"/>
              <w:jc w:val="right"/>
              <w:rPr>
                <w:rFonts w:ascii="方正书宋_GBK" w:eastAsia="方正书宋_GBK"/>
              </w:rPr>
            </w:pPr>
          </w:p>
        </w:tc>
        <w:tc>
          <w:tcPr>
            <w:tcW w:w="30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安全生产执法检查经费</w:t>
            </w:r>
          </w:p>
        </w:tc>
        <w:tc>
          <w:tcPr>
            <w:tcW w:w="369" w:type="pct"/>
            <w:shd w:val="clear" w:color="auto" w:fill="auto"/>
            <w:vAlign w:val="center"/>
          </w:tcPr>
          <w:p>
            <w:pPr>
              <w:spacing w:line="300" w:lineRule="exact"/>
              <w:jc w:val="right"/>
              <w:rPr>
                <w:rFonts w:ascii="方正书宋_GBK" w:eastAsia="方正书宋_GBK"/>
              </w:rPr>
            </w:pPr>
            <w:r>
              <w:rPr>
                <w:rFonts w:ascii="方正书宋_GBK" w:eastAsia="方正书宋_GBK"/>
              </w:rPr>
              <w:t>150.00</w:t>
            </w:r>
          </w:p>
        </w:tc>
        <w:tc>
          <w:tcPr>
            <w:tcW w:w="32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445" w:type="pct"/>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25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万元</w:t>
            </w:r>
          </w:p>
        </w:tc>
        <w:tc>
          <w:tcPr>
            <w:tcW w:w="253"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283" w:type="pct"/>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322" w:type="pct"/>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322" w:type="pct"/>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322" w:type="pct"/>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322" w:type="pct"/>
            <w:shd w:val="clear" w:color="auto" w:fill="auto"/>
            <w:vAlign w:val="center"/>
          </w:tcPr>
          <w:p>
            <w:pPr>
              <w:spacing w:line="300" w:lineRule="exact"/>
              <w:jc w:val="right"/>
              <w:rPr>
                <w:rFonts w:ascii="方正书宋_GBK" w:eastAsia="方正书宋_GBK"/>
              </w:rPr>
            </w:pPr>
          </w:p>
        </w:tc>
        <w:tc>
          <w:tcPr>
            <w:tcW w:w="323" w:type="pct"/>
            <w:shd w:val="clear" w:color="auto" w:fill="auto"/>
            <w:vAlign w:val="center"/>
          </w:tcPr>
          <w:p>
            <w:pPr>
              <w:spacing w:line="300" w:lineRule="exact"/>
              <w:jc w:val="right"/>
              <w:rPr>
                <w:rFonts w:ascii="方正书宋_GBK" w:eastAsia="方正书宋_GBK"/>
              </w:rPr>
            </w:pPr>
          </w:p>
        </w:tc>
        <w:tc>
          <w:tcPr>
            <w:tcW w:w="323" w:type="pct"/>
            <w:shd w:val="clear" w:color="auto" w:fill="auto"/>
            <w:vAlign w:val="center"/>
          </w:tcPr>
          <w:p>
            <w:pPr>
              <w:spacing w:line="300" w:lineRule="exact"/>
              <w:jc w:val="right"/>
              <w:rPr>
                <w:rFonts w:ascii="方正书宋_GBK" w:eastAsia="方正书宋_GBK"/>
              </w:rPr>
            </w:pPr>
          </w:p>
        </w:tc>
        <w:tc>
          <w:tcPr>
            <w:tcW w:w="30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安全生产执法检查经费</w:t>
            </w:r>
          </w:p>
        </w:tc>
        <w:tc>
          <w:tcPr>
            <w:tcW w:w="369" w:type="pct"/>
            <w:shd w:val="clear" w:color="auto" w:fill="auto"/>
            <w:vAlign w:val="center"/>
          </w:tcPr>
          <w:p>
            <w:pPr>
              <w:spacing w:line="300" w:lineRule="exact"/>
              <w:jc w:val="right"/>
              <w:rPr>
                <w:rFonts w:ascii="方正书宋_GBK" w:eastAsia="方正书宋_GBK"/>
              </w:rPr>
            </w:pPr>
            <w:r>
              <w:rPr>
                <w:rFonts w:ascii="方正书宋_GBK" w:eastAsia="方正书宋_GBK"/>
              </w:rPr>
              <w:t>150.00</w:t>
            </w:r>
          </w:p>
        </w:tc>
        <w:tc>
          <w:tcPr>
            <w:tcW w:w="32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445" w:type="pct"/>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25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万元</w:t>
            </w:r>
          </w:p>
        </w:tc>
        <w:tc>
          <w:tcPr>
            <w:tcW w:w="253"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283" w:type="pct"/>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322" w:type="pct"/>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322" w:type="pct"/>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322" w:type="pct"/>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322" w:type="pct"/>
            <w:shd w:val="clear" w:color="auto" w:fill="auto"/>
            <w:vAlign w:val="center"/>
          </w:tcPr>
          <w:p>
            <w:pPr>
              <w:spacing w:line="300" w:lineRule="exact"/>
              <w:jc w:val="right"/>
              <w:rPr>
                <w:rFonts w:ascii="方正书宋_GBK" w:eastAsia="方正书宋_GBK"/>
              </w:rPr>
            </w:pPr>
          </w:p>
        </w:tc>
        <w:tc>
          <w:tcPr>
            <w:tcW w:w="323" w:type="pct"/>
            <w:shd w:val="clear" w:color="auto" w:fill="auto"/>
            <w:vAlign w:val="center"/>
          </w:tcPr>
          <w:p>
            <w:pPr>
              <w:spacing w:line="300" w:lineRule="exact"/>
              <w:jc w:val="right"/>
              <w:rPr>
                <w:rFonts w:ascii="方正书宋_GBK" w:eastAsia="方正书宋_GBK"/>
              </w:rPr>
            </w:pPr>
          </w:p>
        </w:tc>
        <w:tc>
          <w:tcPr>
            <w:tcW w:w="323" w:type="pct"/>
            <w:shd w:val="clear" w:color="auto" w:fill="auto"/>
            <w:vAlign w:val="center"/>
          </w:tcPr>
          <w:p>
            <w:pPr>
              <w:spacing w:line="300" w:lineRule="exact"/>
              <w:jc w:val="right"/>
              <w:rPr>
                <w:rFonts w:ascii="方正书宋_GBK" w:eastAsia="方正书宋_GBK"/>
              </w:rPr>
            </w:pPr>
          </w:p>
        </w:tc>
        <w:tc>
          <w:tcPr>
            <w:tcW w:w="30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安全生产执法检查经费</w:t>
            </w:r>
          </w:p>
        </w:tc>
        <w:tc>
          <w:tcPr>
            <w:tcW w:w="369" w:type="pct"/>
            <w:shd w:val="clear" w:color="auto" w:fill="auto"/>
            <w:vAlign w:val="center"/>
          </w:tcPr>
          <w:p>
            <w:pPr>
              <w:spacing w:line="300" w:lineRule="exact"/>
              <w:jc w:val="right"/>
              <w:rPr>
                <w:rFonts w:ascii="方正书宋_GBK" w:eastAsia="方正书宋_GBK"/>
              </w:rPr>
            </w:pPr>
            <w:r>
              <w:rPr>
                <w:rFonts w:ascii="方正书宋_GBK" w:eastAsia="方正书宋_GBK"/>
              </w:rPr>
              <w:t>150.00</w:t>
            </w:r>
          </w:p>
        </w:tc>
        <w:tc>
          <w:tcPr>
            <w:tcW w:w="32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445" w:type="pct"/>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25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万元</w:t>
            </w:r>
          </w:p>
        </w:tc>
        <w:tc>
          <w:tcPr>
            <w:tcW w:w="253"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283" w:type="pct"/>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322" w:type="pct"/>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322" w:type="pct"/>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322" w:type="pct"/>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322" w:type="pct"/>
            <w:shd w:val="clear" w:color="auto" w:fill="auto"/>
            <w:vAlign w:val="center"/>
          </w:tcPr>
          <w:p>
            <w:pPr>
              <w:spacing w:line="300" w:lineRule="exact"/>
              <w:jc w:val="right"/>
              <w:rPr>
                <w:rFonts w:ascii="方正书宋_GBK" w:eastAsia="方正书宋_GBK"/>
              </w:rPr>
            </w:pPr>
          </w:p>
        </w:tc>
        <w:tc>
          <w:tcPr>
            <w:tcW w:w="323" w:type="pct"/>
            <w:shd w:val="clear" w:color="auto" w:fill="auto"/>
            <w:vAlign w:val="center"/>
          </w:tcPr>
          <w:p>
            <w:pPr>
              <w:spacing w:line="300" w:lineRule="exact"/>
              <w:jc w:val="right"/>
              <w:rPr>
                <w:rFonts w:ascii="方正书宋_GBK" w:eastAsia="方正书宋_GBK"/>
              </w:rPr>
            </w:pPr>
          </w:p>
        </w:tc>
        <w:tc>
          <w:tcPr>
            <w:tcW w:w="323" w:type="pct"/>
            <w:shd w:val="clear" w:color="auto" w:fill="auto"/>
            <w:vAlign w:val="center"/>
          </w:tcPr>
          <w:p>
            <w:pPr>
              <w:spacing w:line="300" w:lineRule="exact"/>
              <w:jc w:val="right"/>
              <w:rPr>
                <w:rFonts w:ascii="方正书宋_GBK" w:eastAsia="方正书宋_GBK"/>
              </w:rPr>
            </w:pPr>
          </w:p>
        </w:tc>
        <w:tc>
          <w:tcPr>
            <w:tcW w:w="30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安全生产执法检查经费</w:t>
            </w:r>
          </w:p>
        </w:tc>
        <w:tc>
          <w:tcPr>
            <w:tcW w:w="369" w:type="pct"/>
            <w:shd w:val="clear" w:color="auto" w:fill="auto"/>
            <w:vAlign w:val="center"/>
          </w:tcPr>
          <w:p>
            <w:pPr>
              <w:spacing w:line="300" w:lineRule="exact"/>
              <w:jc w:val="right"/>
              <w:rPr>
                <w:rFonts w:ascii="方正书宋_GBK" w:eastAsia="方正书宋_GBK"/>
              </w:rPr>
            </w:pPr>
            <w:r>
              <w:rPr>
                <w:rFonts w:ascii="方正书宋_GBK" w:eastAsia="方正书宋_GBK"/>
              </w:rPr>
              <w:t>150.00</w:t>
            </w:r>
          </w:p>
        </w:tc>
        <w:tc>
          <w:tcPr>
            <w:tcW w:w="32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通用设备</w:t>
            </w:r>
          </w:p>
        </w:tc>
        <w:tc>
          <w:tcPr>
            <w:tcW w:w="445" w:type="pct"/>
            <w:shd w:val="clear" w:color="auto" w:fill="auto"/>
            <w:vAlign w:val="center"/>
          </w:tcPr>
          <w:p>
            <w:pPr>
              <w:spacing w:line="300" w:lineRule="exact"/>
              <w:jc w:val="left"/>
              <w:rPr>
                <w:rFonts w:ascii="方正书宋_GBK" w:eastAsia="方正书宋_GBK"/>
              </w:rPr>
            </w:pPr>
            <w:r>
              <w:rPr>
                <w:rFonts w:ascii="方正书宋_GBK" w:eastAsia="方正书宋_GBK"/>
              </w:rPr>
              <w:t>A02</w:t>
            </w:r>
          </w:p>
        </w:tc>
        <w:tc>
          <w:tcPr>
            <w:tcW w:w="25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万元</w:t>
            </w:r>
          </w:p>
        </w:tc>
        <w:tc>
          <w:tcPr>
            <w:tcW w:w="253"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283" w:type="pct"/>
            <w:shd w:val="clear" w:color="auto" w:fill="auto"/>
            <w:vAlign w:val="center"/>
          </w:tcPr>
          <w:p>
            <w:pPr>
              <w:spacing w:line="300" w:lineRule="exact"/>
              <w:jc w:val="right"/>
              <w:rPr>
                <w:rFonts w:ascii="方正书宋_GBK" w:eastAsia="方正书宋_GBK"/>
              </w:rPr>
            </w:pPr>
            <w:r>
              <w:rPr>
                <w:rFonts w:ascii="方正书宋_GBK" w:eastAsia="方正书宋_GBK"/>
              </w:rPr>
              <w:t>1.89</w:t>
            </w:r>
          </w:p>
        </w:tc>
        <w:tc>
          <w:tcPr>
            <w:tcW w:w="322" w:type="pct"/>
            <w:shd w:val="clear" w:color="auto" w:fill="auto"/>
            <w:vAlign w:val="center"/>
          </w:tcPr>
          <w:p>
            <w:pPr>
              <w:spacing w:line="300" w:lineRule="exact"/>
              <w:jc w:val="right"/>
              <w:rPr>
                <w:rFonts w:ascii="方正书宋_GBK" w:eastAsia="方正书宋_GBK"/>
              </w:rPr>
            </w:pPr>
            <w:r>
              <w:rPr>
                <w:rFonts w:ascii="方正书宋_GBK" w:eastAsia="方正书宋_GBK"/>
              </w:rPr>
              <w:t>1.89</w:t>
            </w:r>
          </w:p>
        </w:tc>
        <w:tc>
          <w:tcPr>
            <w:tcW w:w="322" w:type="pct"/>
            <w:shd w:val="clear" w:color="auto" w:fill="auto"/>
            <w:vAlign w:val="center"/>
          </w:tcPr>
          <w:p>
            <w:pPr>
              <w:spacing w:line="300" w:lineRule="exact"/>
              <w:jc w:val="right"/>
              <w:rPr>
                <w:rFonts w:ascii="方正书宋_GBK" w:eastAsia="方正书宋_GBK"/>
              </w:rPr>
            </w:pPr>
            <w:r>
              <w:rPr>
                <w:rFonts w:ascii="方正书宋_GBK" w:eastAsia="方正书宋_GBK"/>
              </w:rPr>
              <w:t>1.89</w:t>
            </w:r>
          </w:p>
        </w:tc>
        <w:tc>
          <w:tcPr>
            <w:tcW w:w="322" w:type="pct"/>
            <w:shd w:val="clear" w:color="auto" w:fill="auto"/>
            <w:vAlign w:val="center"/>
          </w:tcPr>
          <w:p>
            <w:pPr>
              <w:spacing w:line="300" w:lineRule="exact"/>
              <w:jc w:val="right"/>
              <w:rPr>
                <w:rFonts w:ascii="方正书宋_GBK" w:eastAsia="方正书宋_GBK"/>
              </w:rPr>
            </w:pPr>
            <w:r>
              <w:rPr>
                <w:rFonts w:ascii="方正书宋_GBK" w:eastAsia="方正书宋_GBK"/>
              </w:rPr>
              <w:t>1.89</w:t>
            </w:r>
          </w:p>
        </w:tc>
        <w:tc>
          <w:tcPr>
            <w:tcW w:w="322" w:type="pct"/>
            <w:shd w:val="clear" w:color="auto" w:fill="auto"/>
            <w:vAlign w:val="center"/>
          </w:tcPr>
          <w:p>
            <w:pPr>
              <w:spacing w:line="300" w:lineRule="exact"/>
              <w:jc w:val="right"/>
              <w:rPr>
                <w:rFonts w:ascii="方正书宋_GBK" w:eastAsia="方正书宋_GBK"/>
              </w:rPr>
            </w:pPr>
          </w:p>
        </w:tc>
        <w:tc>
          <w:tcPr>
            <w:tcW w:w="323" w:type="pct"/>
            <w:shd w:val="clear" w:color="auto" w:fill="auto"/>
            <w:vAlign w:val="center"/>
          </w:tcPr>
          <w:p>
            <w:pPr>
              <w:spacing w:line="300" w:lineRule="exact"/>
              <w:jc w:val="right"/>
              <w:rPr>
                <w:rFonts w:ascii="方正书宋_GBK" w:eastAsia="方正书宋_GBK"/>
              </w:rPr>
            </w:pPr>
          </w:p>
        </w:tc>
        <w:tc>
          <w:tcPr>
            <w:tcW w:w="323" w:type="pct"/>
            <w:shd w:val="clear" w:color="auto" w:fill="auto"/>
            <w:vAlign w:val="center"/>
          </w:tcPr>
          <w:p>
            <w:pPr>
              <w:spacing w:line="300" w:lineRule="exact"/>
              <w:jc w:val="right"/>
              <w:rPr>
                <w:rFonts w:ascii="方正书宋_GBK" w:eastAsia="方正书宋_GBK"/>
              </w:rPr>
            </w:pPr>
          </w:p>
        </w:tc>
        <w:tc>
          <w:tcPr>
            <w:tcW w:w="308" w:type="pct"/>
            <w:shd w:val="clear" w:color="auto" w:fill="auto"/>
            <w:vAlign w:val="center"/>
          </w:tcPr>
          <w:p>
            <w:pPr>
              <w:spacing w:line="300" w:lineRule="exact"/>
              <w:jc w:val="right"/>
              <w:rPr>
                <w:rFonts w:ascii="方正书宋_GBK" w:eastAsia="方正书宋_GBK"/>
              </w:rPr>
            </w:pPr>
          </w:p>
        </w:tc>
      </w:tr>
    </w:tbl>
    <w:p>
      <w:pPr>
        <w:autoSpaceDE w:val="0"/>
        <w:autoSpaceDN w:val="0"/>
        <w:adjustRightInd w:val="0"/>
        <w:jc w:val="left"/>
        <w:rPr>
          <w:rFonts w:ascii="黑体" w:hAnsi="黑体" w:eastAsia="黑体"/>
          <w:color w:val="000000" w:themeColor="text1"/>
          <w:sz w:val="32"/>
          <w:szCs w:val="32"/>
        </w:rPr>
      </w:pPr>
      <w:r>
        <w:rPr>
          <w:rFonts w:hint="eastAsia" w:ascii="黑体" w:hAnsi="黑体" w:eastAsia="黑体"/>
          <w:color w:val="000000" w:themeColor="text1"/>
          <w:sz w:val="32"/>
          <w:szCs w:val="32"/>
        </w:rPr>
        <w:t>七、国有资产信息</w:t>
      </w:r>
    </w:p>
    <w:p>
      <w:pPr>
        <w:autoSpaceDE w:val="0"/>
        <w:autoSpaceDN w:val="0"/>
        <w:adjustRightInd w:val="0"/>
        <w:ind w:firstLine="800" w:firstLineChars="250"/>
        <w:jc w:val="left"/>
        <w:rPr>
          <w:rFonts w:ascii="仿宋_GB2312" w:hAnsi="黑体" w:eastAsia="仿宋_GB2312"/>
          <w:color w:val="000000" w:themeColor="text1"/>
          <w:sz w:val="32"/>
          <w:szCs w:val="32"/>
        </w:rPr>
      </w:pPr>
      <w:r>
        <w:rPr>
          <w:rFonts w:hint="eastAsia" w:ascii="仿宋_GB2312" w:hAnsi="仿宋_GB2312" w:eastAsia="仿宋_GB2312" w:cs="仿宋_GB2312"/>
          <w:color w:val="000000" w:themeColor="text1"/>
          <w:sz w:val="32"/>
          <w:szCs w:val="32"/>
          <w:lang w:eastAsia="zh-CN"/>
        </w:rPr>
        <w:t>截至</w:t>
      </w:r>
      <w:bookmarkStart w:id="0" w:name="_GoBack"/>
      <w:bookmarkEnd w:id="0"/>
      <w:r>
        <w:rPr>
          <w:rFonts w:hint="eastAsia" w:ascii="仿宋_GB2312" w:hAnsi="仿宋_GB2312" w:eastAsia="仿宋_GB2312" w:cs="仿宋_GB2312"/>
          <w:color w:val="000000" w:themeColor="text1"/>
          <w:sz w:val="32"/>
          <w:szCs w:val="32"/>
        </w:rPr>
        <w:t>2018年12月31日，遵化市安全生产监督管理局固定资产总额为238.01万元，其中：房屋0平方米，0万元；汽车10辆，</w:t>
      </w:r>
      <w:r>
        <w:rPr>
          <w:rFonts w:hint="eastAsia" w:ascii="仿宋_GB2312" w:hAnsi="黑体" w:eastAsia="仿宋_GB2312"/>
          <w:color w:val="000000" w:themeColor="text1"/>
          <w:sz w:val="32"/>
          <w:szCs w:val="32"/>
        </w:rPr>
        <w:t>价值74.98万元；单价在20万元以上的设备1台，51.85万元；其他固定资产总额为111.18万元。本年度本单位拟购置固定资产总额为9.54万元，详见政府采购预算表，已列入政府采购预算。</w:t>
      </w:r>
    </w:p>
    <w:tbl>
      <w:tblPr>
        <w:tblStyle w:val="4"/>
        <w:tblW w:w="0" w:type="auto"/>
        <w:tblInd w:w="108" w:type="dxa"/>
        <w:tblLayout w:type="fixed"/>
        <w:tblCellMar>
          <w:top w:w="0" w:type="dxa"/>
          <w:left w:w="108" w:type="dxa"/>
          <w:bottom w:w="0" w:type="dxa"/>
          <w:right w:w="108" w:type="dxa"/>
        </w:tblCellMar>
      </w:tblPr>
      <w:tblGrid>
        <w:gridCol w:w="5280"/>
        <w:gridCol w:w="3099"/>
        <w:gridCol w:w="5103"/>
      </w:tblGrid>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spacing w:line="300" w:lineRule="exact"/>
              <w:jc w:val="left"/>
              <w:rPr>
                <w:rFonts w:ascii="方正书宋_GBK" w:eastAsia="方正书宋_GBK"/>
                <w:color w:val="000000" w:themeColor="text1"/>
              </w:rPr>
            </w:pPr>
            <w:r>
              <w:rPr>
                <w:rFonts w:hint="eastAsia" w:ascii="方正书宋_GBK" w:eastAsia="方正书宋_GBK"/>
                <w:color w:val="000000" w:themeColor="text1"/>
              </w:rPr>
              <w:t>编制部门：遵化市安全生产监督管理局</w:t>
            </w:r>
          </w:p>
        </w:tc>
        <w:tc>
          <w:tcPr>
            <w:tcW w:w="5103" w:type="dxa"/>
            <w:tcBorders>
              <w:top w:val="nil"/>
              <w:left w:val="nil"/>
              <w:bottom w:val="nil"/>
              <w:right w:val="nil"/>
            </w:tcBorders>
            <w:vAlign w:val="center"/>
          </w:tcPr>
          <w:p>
            <w:pPr>
              <w:spacing w:line="300" w:lineRule="exact"/>
              <w:jc w:val="left"/>
              <w:rPr>
                <w:rFonts w:ascii="方正书宋_GBK" w:eastAsia="方正书宋_GBK"/>
                <w:color w:val="000000" w:themeColor="text1"/>
              </w:rPr>
            </w:pPr>
            <w:r>
              <w:rPr>
                <w:rFonts w:hint="eastAsia" w:ascii="方正书宋_GBK" w:eastAsia="方正书宋_GBK"/>
                <w:color w:val="000000" w:themeColor="text1"/>
                <w:lang w:eastAsia="zh-CN"/>
              </w:rPr>
              <w:t>截至</w:t>
            </w:r>
            <w:r>
              <w:rPr>
                <w:rFonts w:hint="eastAsia" w:ascii="方正书宋_GBK" w:eastAsia="方正书宋_GBK"/>
                <w:color w:val="000000" w:themeColor="text1"/>
              </w:rPr>
              <w:t xml:space="preserve">时间：2018年12月31日  </w:t>
            </w:r>
          </w:p>
        </w:tc>
      </w:tr>
      <w:tr>
        <w:tblPrEx>
          <w:tblCellMar>
            <w:top w:w="0" w:type="dxa"/>
            <w:left w:w="108" w:type="dxa"/>
            <w:bottom w:w="0" w:type="dxa"/>
            <w:right w:w="108" w:type="dxa"/>
          </w:tblCellMar>
        </w:tblPrEx>
        <w:trPr>
          <w:trHeight w:val="567" w:hRule="exact"/>
        </w:trPr>
        <w:tc>
          <w:tcPr>
            <w:tcW w:w="5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项   目</w:t>
            </w:r>
          </w:p>
        </w:tc>
        <w:tc>
          <w:tcPr>
            <w:tcW w:w="3099" w:type="dxa"/>
            <w:tcBorders>
              <w:top w:val="single" w:color="auto" w:sz="4" w:space="0"/>
              <w:left w:val="nil"/>
              <w:bottom w:val="single" w:color="auto" w:sz="4" w:space="0"/>
              <w:right w:val="single" w:color="auto" w:sz="4" w:space="0"/>
            </w:tcBorders>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数  量</w:t>
            </w:r>
          </w:p>
        </w:tc>
        <w:tc>
          <w:tcPr>
            <w:tcW w:w="5103" w:type="dxa"/>
            <w:tcBorders>
              <w:top w:val="single" w:color="auto" w:sz="4" w:space="0"/>
              <w:left w:val="nil"/>
              <w:bottom w:val="single" w:color="auto" w:sz="4" w:space="0"/>
              <w:right w:val="single" w:color="auto" w:sz="4" w:space="0"/>
            </w:tcBorders>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价值（金额单位：万元）</w:t>
            </w:r>
          </w:p>
        </w:tc>
      </w:tr>
      <w:tr>
        <w:tblPrEx>
          <w:tblCellMar>
            <w:top w:w="0" w:type="dxa"/>
            <w:left w:w="108" w:type="dxa"/>
            <w:bottom w:w="0" w:type="dxa"/>
            <w:right w:w="108" w:type="dxa"/>
          </w:tblCellMar>
        </w:tblPrEx>
        <w:trPr>
          <w:trHeight w:val="567" w:hRule="exact"/>
        </w:trPr>
        <w:tc>
          <w:tcPr>
            <w:tcW w:w="5280" w:type="dxa"/>
            <w:tcBorders>
              <w:top w:val="nil"/>
              <w:left w:val="single" w:color="auto" w:sz="4" w:space="0"/>
              <w:bottom w:val="single" w:color="auto" w:sz="4" w:space="0"/>
              <w:right w:val="single" w:color="auto" w:sz="4" w:space="0"/>
            </w:tcBorders>
            <w:vAlign w:val="center"/>
          </w:tcPr>
          <w:p>
            <w:pPr>
              <w:spacing w:line="300" w:lineRule="exact"/>
              <w:jc w:val="left"/>
              <w:rPr>
                <w:rFonts w:ascii="方正书宋_GBK" w:eastAsia="方正书宋_GBK"/>
                <w:color w:val="000000" w:themeColor="text1"/>
              </w:rPr>
            </w:pPr>
            <w:r>
              <w:rPr>
                <w:rFonts w:hint="eastAsia" w:ascii="方正书宋_GBK" w:eastAsia="方正书宋_GBK"/>
                <w:color w:val="000000" w:themeColor="text1"/>
              </w:rPr>
              <w:t>资产总额</w:t>
            </w:r>
          </w:p>
        </w:tc>
        <w:tc>
          <w:tcPr>
            <w:tcW w:w="3099" w:type="dxa"/>
            <w:tcBorders>
              <w:top w:val="nil"/>
              <w:left w:val="nil"/>
              <w:bottom w:val="single" w:color="auto" w:sz="4" w:space="0"/>
              <w:right w:val="single" w:color="auto" w:sz="4" w:space="0"/>
            </w:tcBorders>
            <w:vAlign w:val="center"/>
          </w:tcPr>
          <w:p>
            <w:pPr>
              <w:spacing w:line="300" w:lineRule="exact"/>
              <w:jc w:val="left"/>
              <w:rPr>
                <w:rFonts w:ascii="方正书宋_GBK" w:eastAsia="方正书宋_GBK"/>
                <w:color w:val="000000" w:themeColor="text1"/>
              </w:rPr>
            </w:pPr>
          </w:p>
        </w:tc>
        <w:tc>
          <w:tcPr>
            <w:tcW w:w="5103" w:type="dxa"/>
            <w:tcBorders>
              <w:top w:val="nil"/>
              <w:left w:val="nil"/>
              <w:bottom w:val="single" w:color="auto" w:sz="4" w:space="0"/>
              <w:right w:val="single" w:color="auto" w:sz="4" w:space="0"/>
            </w:tcBorders>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238.01</w:t>
            </w:r>
          </w:p>
        </w:tc>
      </w:tr>
      <w:tr>
        <w:tblPrEx>
          <w:tblCellMar>
            <w:top w:w="0" w:type="dxa"/>
            <w:left w:w="108" w:type="dxa"/>
            <w:bottom w:w="0" w:type="dxa"/>
            <w:right w:w="108" w:type="dxa"/>
          </w:tblCellMar>
        </w:tblPrEx>
        <w:trPr>
          <w:trHeight w:val="567" w:hRule="exact"/>
        </w:trPr>
        <w:tc>
          <w:tcPr>
            <w:tcW w:w="5280" w:type="dxa"/>
            <w:tcBorders>
              <w:top w:val="nil"/>
              <w:left w:val="single" w:color="auto" w:sz="4" w:space="0"/>
              <w:bottom w:val="single" w:color="auto" w:sz="4" w:space="0"/>
              <w:right w:val="single" w:color="auto" w:sz="4" w:space="0"/>
            </w:tcBorders>
            <w:vAlign w:val="center"/>
          </w:tcPr>
          <w:p>
            <w:pPr>
              <w:spacing w:line="300" w:lineRule="exact"/>
              <w:jc w:val="left"/>
              <w:rPr>
                <w:rFonts w:ascii="方正书宋_GBK" w:eastAsia="方正书宋_GBK"/>
                <w:color w:val="000000" w:themeColor="text1"/>
              </w:rPr>
            </w:pPr>
            <w:r>
              <w:rPr>
                <w:rFonts w:hint="eastAsia" w:ascii="方正书宋_GBK" w:eastAsia="方正书宋_GBK"/>
                <w:color w:val="000000" w:themeColor="text1"/>
              </w:rPr>
              <w:t>1、房屋（平方米）</w:t>
            </w:r>
          </w:p>
        </w:tc>
        <w:tc>
          <w:tcPr>
            <w:tcW w:w="3099" w:type="dxa"/>
            <w:tcBorders>
              <w:top w:val="nil"/>
              <w:left w:val="nil"/>
              <w:bottom w:val="single" w:color="auto" w:sz="4" w:space="0"/>
              <w:right w:val="single" w:color="auto" w:sz="4" w:space="0"/>
            </w:tcBorders>
            <w:vAlign w:val="center"/>
          </w:tcPr>
          <w:p>
            <w:pPr>
              <w:spacing w:line="300" w:lineRule="exact"/>
              <w:jc w:val="left"/>
              <w:rPr>
                <w:rFonts w:ascii="方正书宋_GBK" w:eastAsia="方正书宋_GBK"/>
                <w:color w:val="000000" w:themeColor="text1"/>
              </w:rPr>
            </w:pPr>
          </w:p>
        </w:tc>
        <w:tc>
          <w:tcPr>
            <w:tcW w:w="5103" w:type="dxa"/>
            <w:tcBorders>
              <w:top w:val="nil"/>
              <w:left w:val="nil"/>
              <w:bottom w:val="single" w:color="auto" w:sz="4" w:space="0"/>
              <w:right w:val="single" w:color="auto" w:sz="4" w:space="0"/>
            </w:tcBorders>
            <w:vAlign w:val="center"/>
          </w:tcPr>
          <w:p>
            <w:pPr>
              <w:spacing w:line="300" w:lineRule="exact"/>
              <w:jc w:val="center"/>
              <w:rPr>
                <w:rFonts w:ascii="方正书宋_GBK" w:eastAsia="方正书宋_GBK"/>
                <w:color w:val="000000" w:themeColor="text1"/>
              </w:rPr>
            </w:pPr>
          </w:p>
        </w:tc>
      </w:tr>
      <w:tr>
        <w:tblPrEx>
          <w:tblCellMar>
            <w:top w:w="0" w:type="dxa"/>
            <w:left w:w="108" w:type="dxa"/>
            <w:bottom w:w="0" w:type="dxa"/>
            <w:right w:w="108" w:type="dxa"/>
          </w:tblCellMar>
        </w:tblPrEx>
        <w:trPr>
          <w:trHeight w:val="567" w:hRule="exact"/>
        </w:trPr>
        <w:tc>
          <w:tcPr>
            <w:tcW w:w="5280" w:type="dxa"/>
            <w:tcBorders>
              <w:top w:val="nil"/>
              <w:left w:val="single" w:color="auto" w:sz="4" w:space="0"/>
              <w:bottom w:val="single" w:color="auto" w:sz="4" w:space="0"/>
              <w:right w:val="single" w:color="auto" w:sz="4" w:space="0"/>
            </w:tcBorders>
            <w:vAlign w:val="center"/>
          </w:tcPr>
          <w:p>
            <w:pPr>
              <w:spacing w:line="300" w:lineRule="exact"/>
              <w:jc w:val="left"/>
              <w:rPr>
                <w:rFonts w:ascii="方正书宋_GBK" w:eastAsia="方正书宋_GBK"/>
                <w:color w:val="000000" w:themeColor="text1"/>
              </w:rPr>
            </w:pPr>
            <w:r>
              <w:rPr>
                <w:rFonts w:hint="eastAsia" w:ascii="方正书宋_GBK" w:eastAsia="方正书宋_GBK"/>
                <w:color w:val="000000" w:themeColor="text1"/>
              </w:rPr>
              <w:t xml:space="preserve">   其中：办公用房（平方米）</w:t>
            </w:r>
          </w:p>
        </w:tc>
        <w:tc>
          <w:tcPr>
            <w:tcW w:w="3099" w:type="dxa"/>
            <w:tcBorders>
              <w:top w:val="nil"/>
              <w:left w:val="nil"/>
              <w:bottom w:val="single" w:color="auto" w:sz="4" w:space="0"/>
              <w:right w:val="single" w:color="auto" w:sz="4" w:space="0"/>
            </w:tcBorders>
            <w:vAlign w:val="center"/>
          </w:tcPr>
          <w:p>
            <w:pPr>
              <w:spacing w:line="300" w:lineRule="exact"/>
              <w:jc w:val="left"/>
              <w:rPr>
                <w:rFonts w:ascii="方正书宋_GBK" w:eastAsia="方正书宋_GBK"/>
                <w:color w:val="000000" w:themeColor="text1"/>
              </w:rPr>
            </w:pPr>
          </w:p>
        </w:tc>
        <w:tc>
          <w:tcPr>
            <w:tcW w:w="5103" w:type="dxa"/>
            <w:tcBorders>
              <w:top w:val="nil"/>
              <w:left w:val="nil"/>
              <w:bottom w:val="single" w:color="auto" w:sz="4" w:space="0"/>
              <w:right w:val="single" w:color="auto" w:sz="4" w:space="0"/>
            </w:tcBorders>
            <w:vAlign w:val="center"/>
          </w:tcPr>
          <w:p>
            <w:pPr>
              <w:spacing w:line="300" w:lineRule="exact"/>
              <w:jc w:val="center"/>
              <w:rPr>
                <w:rFonts w:ascii="方正书宋_GBK" w:eastAsia="方正书宋_GBK"/>
                <w:color w:val="000000" w:themeColor="text1"/>
              </w:rPr>
            </w:pPr>
          </w:p>
        </w:tc>
      </w:tr>
      <w:tr>
        <w:tblPrEx>
          <w:tblCellMar>
            <w:top w:w="0" w:type="dxa"/>
            <w:left w:w="108" w:type="dxa"/>
            <w:bottom w:w="0" w:type="dxa"/>
            <w:right w:w="108" w:type="dxa"/>
          </w:tblCellMar>
        </w:tblPrEx>
        <w:trPr>
          <w:trHeight w:val="567" w:hRule="exact"/>
        </w:trPr>
        <w:tc>
          <w:tcPr>
            <w:tcW w:w="5280" w:type="dxa"/>
            <w:tcBorders>
              <w:top w:val="nil"/>
              <w:left w:val="single" w:color="auto" w:sz="4" w:space="0"/>
              <w:bottom w:val="single" w:color="auto" w:sz="4" w:space="0"/>
              <w:right w:val="single" w:color="auto" w:sz="4" w:space="0"/>
            </w:tcBorders>
            <w:vAlign w:val="center"/>
          </w:tcPr>
          <w:p>
            <w:pPr>
              <w:spacing w:line="300" w:lineRule="exact"/>
              <w:jc w:val="left"/>
              <w:rPr>
                <w:rFonts w:ascii="方正书宋_GBK" w:eastAsia="方正书宋_GBK"/>
                <w:color w:val="000000" w:themeColor="text1"/>
              </w:rPr>
            </w:pPr>
            <w:r>
              <w:rPr>
                <w:rFonts w:hint="eastAsia" w:ascii="方正书宋_GBK" w:eastAsia="方正书宋_GBK"/>
                <w:color w:val="000000" w:themeColor="text1"/>
              </w:rPr>
              <w:t>2、车辆（台、辆）</w:t>
            </w:r>
          </w:p>
        </w:tc>
        <w:tc>
          <w:tcPr>
            <w:tcW w:w="3099" w:type="dxa"/>
            <w:tcBorders>
              <w:top w:val="nil"/>
              <w:left w:val="nil"/>
              <w:bottom w:val="single" w:color="auto" w:sz="4" w:space="0"/>
              <w:right w:val="single" w:color="auto" w:sz="4" w:space="0"/>
            </w:tcBorders>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10</w:t>
            </w:r>
          </w:p>
        </w:tc>
        <w:tc>
          <w:tcPr>
            <w:tcW w:w="5103" w:type="dxa"/>
            <w:tcBorders>
              <w:top w:val="nil"/>
              <w:left w:val="nil"/>
              <w:bottom w:val="single" w:color="auto" w:sz="4" w:space="0"/>
              <w:right w:val="single" w:color="auto" w:sz="4" w:space="0"/>
            </w:tcBorders>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74.98</w:t>
            </w:r>
          </w:p>
        </w:tc>
      </w:tr>
      <w:tr>
        <w:tblPrEx>
          <w:tblCellMar>
            <w:top w:w="0" w:type="dxa"/>
            <w:left w:w="108" w:type="dxa"/>
            <w:bottom w:w="0" w:type="dxa"/>
            <w:right w:w="108" w:type="dxa"/>
          </w:tblCellMar>
        </w:tblPrEx>
        <w:trPr>
          <w:trHeight w:val="567" w:hRule="exact"/>
        </w:trPr>
        <w:tc>
          <w:tcPr>
            <w:tcW w:w="5280" w:type="dxa"/>
            <w:tcBorders>
              <w:top w:val="nil"/>
              <w:left w:val="single" w:color="auto" w:sz="4" w:space="0"/>
              <w:bottom w:val="single" w:color="auto" w:sz="4" w:space="0"/>
              <w:right w:val="single" w:color="auto" w:sz="4" w:space="0"/>
            </w:tcBorders>
            <w:vAlign w:val="center"/>
          </w:tcPr>
          <w:p>
            <w:pPr>
              <w:spacing w:line="300" w:lineRule="exact"/>
              <w:jc w:val="left"/>
              <w:rPr>
                <w:rFonts w:ascii="方正书宋_GBK" w:eastAsia="方正书宋_GBK"/>
                <w:color w:val="000000" w:themeColor="text1"/>
              </w:rPr>
            </w:pPr>
            <w:r>
              <w:rPr>
                <w:rFonts w:hint="eastAsia" w:ascii="方正书宋_GBK" w:eastAsia="方正书宋_GBK"/>
                <w:color w:val="000000" w:themeColor="text1"/>
              </w:rPr>
              <w:t>3、单价在20万元以上的设备</w:t>
            </w:r>
          </w:p>
        </w:tc>
        <w:tc>
          <w:tcPr>
            <w:tcW w:w="3099" w:type="dxa"/>
            <w:tcBorders>
              <w:top w:val="nil"/>
              <w:left w:val="nil"/>
              <w:bottom w:val="single" w:color="auto" w:sz="4" w:space="0"/>
              <w:right w:val="single" w:color="auto" w:sz="4" w:space="0"/>
            </w:tcBorders>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1</w:t>
            </w:r>
          </w:p>
        </w:tc>
        <w:tc>
          <w:tcPr>
            <w:tcW w:w="5103" w:type="dxa"/>
            <w:tcBorders>
              <w:top w:val="nil"/>
              <w:left w:val="nil"/>
              <w:bottom w:val="single" w:color="auto" w:sz="4" w:space="0"/>
              <w:right w:val="single" w:color="auto" w:sz="4" w:space="0"/>
            </w:tcBorders>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51.85</w:t>
            </w:r>
          </w:p>
        </w:tc>
      </w:tr>
      <w:tr>
        <w:tblPrEx>
          <w:tblCellMar>
            <w:top w:w="0" w:type="dxa"/>
            <w:left w:w="108" w:type="dxa"/>
            <w:bottom w:w="0" w:type="dxa"/>
            <w:right w:w="108" w:type="dxa"/>
          </w:tblCellMar>
        </w:tblPrEx>
        <w:trPr>
          <w:trHeight w:val="567" w:hRule="exact"/>
        </w:trPr>
        <w:tc>
          <w:tcPr>
            <w:tcW w:w="52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书宋_GBK" w:eastAsia="方正书宋_GBK"/>
                <w:color w:val="000000" w:themeColor="text1"/>
              </w:rPr>
            </w:pPr>
            <w:r>
              <w:rPr>
                <w:rFonts w:hint="eastAsia" w:ascii="方正书宋_GBK" w:eastAsia="方正书宋_GBK"/>
                <w:color w:val="000000" w:themeColor="text1"/>
              </w:rPr>
              <w:t>4、其他固定资产</w:t>
            </w:r>
          </w:p>
        </w:tc>
        <w:tc>
          <w:tcPr>
            <w:tcW w:w="3099" w:type="dxa"/>
            <w:tcBorders>
              <w:top w:val="single" w:color="auto" w:sz="4" w:space="0"/>
              <w:left w:val="nil"/>
              <w:bottom w:val="single" w:color="auto" w:sz="4" w:space="0"/>
              <w:right w:val="single" w:color="auto" w:sz="4" w:space="0"/>
            </w:tcBorders>
            <w:vAlign w:val="center"/>
          </w:tcPr>
          <w:p>
            <w:pPr>
              <w:spacing w:line="300" w:lineRule="exact"/>
              <w:jc w:val="left"/>
              <w:rPr>
                <w:rFonts w:ascii="方正书宋_GBK" w:eastAsia="方正书宋_GBK"/>
                <w:color w:val="000000" w:themeColor="text1"/>
              </w:rPr>
            </w:pPr>
            <w:r>
              <w:rPr>
                <w:rFonts w:hint="eastAsia" w:ascii="方正书宋_GBK" w:eastAsia="方正书宋_GBK"/>
                <w:color w:val="000000" w:themeColor="text1"/>
              </w:rPr>
              <w:t>　          129</w:t>
            </w:r>
          </w:p>
        </w:tc>
        <w:tc>
          <w:tcPr>
            <w:tcW w:w="5103" w:type="dxa"/>
            <w:tcBorders>
              <w:top w:val="single" w:color="auto" w:sz="4" w:space="0"/>
              <w:left w:val="nil"/>
              <w:bottom w:val="single" w:color="auto" w:sz="4" w:space="0"/>
              <w:right w:val="single" w:color="auto" w:sz="4" w:space="0"/>
            </w:tcBorders>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111.18</w:t>
            </w:r>
          </w:p>
        </w:tc>
      </w:tr>
    </w:tbl>
    <w:p>
      <w:pPr>
        <w:autoSpaceDE w:val="0"/>
        <w:autoSpaceDN w:val="0"/>
        <w:adjustRightInd w:val="0"/>
        <w:ind w:firstLine="640" w:firstLineChars="200"/>
        <w:jc w:val="left"/>
        <w:rPr>
          <w:rFonts w:ascii="黑体" w:hAnsi="黑体" w:eastAsia="黑体"/>
          <w:color w:val="000000" w:themeColor="text1"/>
          <w:sz w:val="32"/>
          <w:szCs w:val="32"/>
        </w:rPr>
      </w:pPr>
      <w:r>
        <w:rPr>
          <w:rFonts w:hint="eastAsia" w:ascii="黑体" w:hAnsi="黑体" w:eastAsia="黑体"/>
          <w:color w:val="000000" w:themeColor="text1"/>
          <w:sz w:val="32"/>
          <w:szCs w:val="32"/>
        </w:rPr>
        <w:t>八、名词解释</w:t>
      </w:r>
    </w:p>
    <w:p>
      <w:pPr>
        <w:spacing w:line="56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1</w:t>
      </w:r>
      <w:r>
        <w:rPr>
          <w:rFonts w:hint="eastAsia" w:ascii="仿宋_GB2312" w:eastAsia="仿宋_GB2312"/>
          <w:color w:val="000000" w:themeColor="text1"/>
          <w:sz w:val="32"/>
          <w:szCs w:val="32"/>
        </w:rPr>
        <w:t>、一般公共预算拨款收入：指省级财政当年拨付的资金。</w:t>
      </w:r>
    </w:p>
    <w:p>
      <w:pPr>
        <w:spacing w:line="56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2</w:t>
      </w:r>
      <w:r>
        <w:rPr>
          <w:rFonts w:hint="eastAsia" w:ascii="仿宋_GB2312" w:eastAsia="仿宋_GB2312"/>
          <w:color w:val="000000" w:themeColor="text1"/>
          <w:sz w:val="32"/>
          <w:szCs w:val="32"/>
        </w:rPr>
        <w:t>、事业收入：指事业单位开展专业业务活动及辅助活动所取得的收入。</w:t>
      </w:r>
    </w:p>
    <w:p>
      <w:pPr>
        <w:spacing w:line="56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3</w:t>
      </w:r>
      <w:r>
        <w:rPr>
          <w:rFonts w:hint="eastAsia" w:ascii="仿宋_GB2312" w:eastAsia="仿宋_GB2312"/>
          <w:color w:val="000000" w:themeColor="text1"/>
          <w:sz w:val="32"/>
          <w:szCs w:val="32"/>
        </w:rPr>
        <w:t>、其他收入：指除上述</w:t>
      </w:r>
      <w:r>
        <w:rPr>
          <w:rFonts w:ascii="仿宋_GB2312" w:eastAsia="仿宋_GB2312"/>
          <w:color w:val="000000" w:themeColor="text1"/>
          <w:sz w:val="32"/>
          <w:szCs w:val="32"/>
        </w:rPr>
        <w:t>“</w:t>
      </w:r>
      <w:r>
        <w:rPr>
          <w:rFonts w:hint="eastAsia" w:ascii="仿宋_GB2312" w:eastAsia="仿宋_GB2312"/>
          <w:color w:val="000000" w:themeColor="text1"/>
          <w:sz w:val="32"/>
          <w:szCs w:val="32"/>
        </w:rPr>
        <w:t>财政拨款收入</w:t>
      </w:r>
      <w:r>
        <w:rPr>
          <w:rFonts w:ascii="仿宋_GB2312" w:eastAsia="仿宋_GB2312"/>
          <w:color w:val="000000" w:themeColor="text1"/>
          <w:sz w:val="32"/>
          <w:szCs w:val="32"/>
        </w:rPr>
        <w:t>”</w:t>
      </w:r>
      <w:r>
        <w:rPr>
          <w:rFonts w:hint="eastAsia" w:ascii="仿宋_GB2312" w:eastAsia="仿宋_GB2312"/>
          <w:color w:val="000000" w:themeColor="text1"/>
          <w:sz w:val="32"/>
          <w:szCs w:val="32"/>
        </w:rPr>
        <w:t>、</w:t>
      </w:r>
      <w:r>
        <w:rPr>
          <w:rFonts w:ascii="仿宋_GB2312" w:eastAsia="仿宋_GB2312"/>
          <w:color w:val="000000" w:themeColor="text1"/>
          <w:sz w:val="32"/>
          <w:szCs w:val="32"/>
        </w:rPr>
        <w:t>“</w:t>
      </w:r>
      <w:r>
        <w:rPr>
          <w:rFonts w:hint="eastAsia" w:ascii="仿宋_GB2312" w:eastAsia="仿宋_GB2312"/>
          <w:color w:val="000000" w:themeColor="text1"/>
          <w:sz w:val="32"/>
          <w:szCs w:val="32"/>
        </w:rPr>
        <w:t>事业收入</w:t>
      </w:r>
      <w:r>
        <w:rPr>
          <w:rFonts w:ascii="仿宋_GB2312" w:eastAsia="仿宋_GB2312"/>
          <w:color w:val="000000" w:themeColor="text1"/>
          <w:sz w:val="32"/>
          <w:szCs w:val="32"/>
        </w:rPr>
        <w:t>”</w:t>
      </w:r>
      <w:r>
        <w:rPr>
          <w:rFonts w:hint="eastAsia" w:ascii="仿宋_GB2312" w:eastAsia="仿宋_GB2312"/>
          <w:color w:val="000000" w:themeColor="text1"/>
          <w:sz w:val="32"/>
          <w:szCs w:val="32"/>
        </w:rPr>
        <w:t>等以外的收入。主要是按规定动用的租房收入、存款利息收入等。</w:t>
      </w:r>
    </w:p>
    <w:p>
      <w:pPr>
        <w:spacing w:line="560" w:lineRule="exact"/>
        <w:ind w:firstLine="640" w:firstLineChars="200"/>
        <w:rPr>
          <w:rFonts w:ascii="仿宋_GB2312" w:eastAsia="仿宋_GB2312"/>
          <w:sz w:val="32"/>
          <w:szCs w:val="32"/>
        </w:rPr>
      </w:pPr>
      <w:r>
        <w:rPr>
          <w:rFonts w:ascii="仿宋_GB2312" w:eastAsia="仿宋_GB2312"/>
          <w:color w:val="000000" w:themeColor="text1"/>
          <w:sz w:val="32"/>
          <w:szCs w:val="32"/>
        </w:rPr>
        <w:t>4</w:t>
      </w:r>
      <w:r>
        <w:rPr>
          <w:rFonts w:hint="eastAsia" w:ascii="仿宋_GB2312" w:eastAsia="仿宋_GB2312"/>
          <w:color w:val="000000" w:themeColor="text1"/>
          <w:sz w:val="32"/>
          <w:szCs w:val="32"/>
        </w:rPr>
        <w:t>、基本支出：指为保障机构正常运转、完成日常工作任务而发生的人员</w:t>
      </w:r>
      <w:r>
        <w:rPr>
          <w:rFonts w:hint="eastAsia" w:ascii="仿宋_GB2312" w:eastAsia="仿宋_GB2312"/>
          <w:sz w:val="32"/>
          <w:szCs w:val="32"/>
        </w:rPr>
        <w:t>支出和公用支出。</w:t>
      </w:r>
    </w:p>
    <w:p>
      <w:pPr>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、项目支出：指在基本支出之外为完成特定行政任务和事业发展目标所发生的支出。</w:t>
      </w:r>
    </w:p>
    <w:p>
      <w:pPr>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、上缴上级支出：指所属单位上缴上级的支出。</w:t>
      </w:r>
    </w:p>
    <w:p>
      <w:pPr>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三公</w:t>
      </w:r>
      <w:r>
        <w:rPr>
          <w:rFonts w:ascii="仿宋_GB2312" w:eastAsia="仿宋_GB2312"/>
          <w:sz w:val="32"/>
          <w:szCs w:val="32"/>
        </w:rPr>
        <w:t>”</w:t>
      </w:r>
      <w:r>
        <w:rPr>
          <w:rFonts w:hint="eastAsia" w:ascii="仿宋_GB2312" w:eastAsia="仿宋_GB2312"/>
          <w:sz w:val="32"/>
          <w:szCs w:val="32"/>
        </w:rPr>
        <w:t>经费：纳入财政预算管理的</w:t>
      </w:r>
      <w:r>
        <w:rPr>
          <w:rFonts w:ascii="仿宋_GB2312" w:eastAsia="仿宋_GB2312"/>
          <w:sz w:val="32"/>
          <w:szCs w:val="32"/>
        </w:rPr>
        <w:t>“</w:t>
      </w:r>
      <w:r>
        <w:rPr>
          <w:rFonts w:hint="eastAsia" w:ascii="仿宋_GB2312" w:eastAsia="仿宋_GB2312"/>
          <w:sz w:val="32"/>
          <w:szCs w:val="32"/>
        </w:rPr>
        <w:t>三公</w:t>
      </w:r>
      <w:r>
        <w:rPr>
          <w:rFonts w:ascii="仿宋_GB2312" w:eastAsia="仿宋_GB2312"/>
          <w:sz w:val="32"/>
          <w:szCs w:val="32"/>
        </w:rPr>
        <w:t>”</w:t>
      </w:r>
      <w:r>
        <w:rPr>
          <w:rFonts w:hint="eastAsia" w:ascii="仿宋_GB2312" w:eastAsia="仿宋_GB2312"/>
          <w:sz w:val="32"/>
          <w:szCs w:val="32"/>
        </w:rPr>
        <w:t>经费，是指各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60" w:lineRule="exact"/>
        <w:rPr>
          <w:rFonts w:ascii="黑体" w:hAnsi="黑体" w:eastAsia="黑体"/>
          <w:sz w:val="32"/>
          <w:szCs w:val="32"/>
        </w:rPr>
      </w:pPr>
      <w:r>
        <w:rPr>
          <w:rFonts w:hint="eastAsia" w:ascii="黑体" w:hAnsi="黑体" w:eastAsia="黑体"/>
          <w:sz w:val="32"/>
          <w:szCs w:val="32"/>
        </w:rPr>
        <w:t xml:space="preserve">   九、其他重要事项的情况说明</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、遵化市安全生产监督管理局</w:t>
      </w:r>
      <w:r>
        <w:rPr>
          <w:rFonts w:ascii="仿宋_GB2312" w:eastAsia="仿宋_GB2312"/>
          <w:sz w:val="32"/>
          <w:szCs w:val="32"/>
        </w:rPr>
        <w:t>201</w:t>
      </w:r>
      <w:r>
        <w:rPr>
          <w:rFonts w:hint="eastAsia" w:ascii="仿宋_GB2312" w:eastAsia="仿宋_GB2312"/>
          <w:sz w:val="32"/>
          <w:szCs w:val="32"/>
        </w:rPr>
        <w:t>9年部门预算中未安排政府性基金预算，故政府性基金预算支出表为空。</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、遵化市安全生产监督管理局</w:t>
      </w:r>
      <w:r>
        <w:rPr>
          <w:rFonts w:ascii="仿宋_GB2312" w:eastAsia="仿宋_GB2312"/>
          <w:sz w:val="32"/>
          <w:szCs w:val="32"/>
        </w:rPr>
        <w:t>201</w:t>
      </w:r>
      <w:r>
        <w:rPr>
          <w:rFonts w:hint="eastAsia" w:ascii="仿宋_GB2312" w:eastAsia="仿宋_GB2312"/>
          <w:sz w:val="32"/>
          <w:szCs w:val="32"/>
        </w:rPr>
        <w:t>9年部门预算中未安排国有资本经营预算，故国有资本经营预算支出表为空。</w:t>
      </w:r>
    </w:p>
    <w:p>
      <w:pPr>
        <w:ind w:firstLine="640"/>
        <w:rPr>
          <w:rFonts w:ascii="仿宋_GB2312" w:hAnsi="黑体" w:eastAsia="仿宋_GB2312"/>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roma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Y0YzJmZTVjZTNkMTIwMjYxYjc5ZmViODdjMmRkZGUifQ=="/>
  </w:docVars>
  <w:rsids>
    <w:rsidRoot w:val="00C90A8F"/>
    <w:rsid w:val="000658D8"/>
    <w:rsid w:val="001B201F"/>
    <w:rsid w:val="001C0F57"/>
    <w:rsid w:val="00513FEE"/>
    <w:rsid w:val="005B1299"/>
    <w:rsid w:val="005D56DE"/>
    <w:rsid w:val="00705D91"/>
    <w:rsid w:val="008033DB"/>
    <w:rsid w:val="00851F5D"/>
    <w:rsid w:val="008B474A"/>
    <w:rsid w:val="00C134D4"/>
    <w:rsid w:val="00C90A8F"/>
    <w:rsid w:val="00FB6B73"/>
    <w:rsid w:val="00FD7AC0"/>
    <w:rsid w:val="00FE50A8"/>
    <w:rsid w:val="01A626A7"/>
    <w:rsid w:val="0DE47591"/>
    <w:rsid w:val="35931C7B"/>
    <w:rsid w:val="55597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customStyle="1" w:styleId="8">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25</Pages>
  <Words>1713</Words>
  <Characters>9767</Characters>
  <Lines>81</Lines>
  <Paragraphs>22</Paragraphs>
  <TotalTime>1</TotalTime>
  <ScaleCrop>false</ScaleCrop>
  <LinksUpToDate>false</LinksUpToDate>
  <CharactersWithSpaces>11458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2019-03-14T08:40:00Z</dcterms:created>
  <dc:creator>微软用户</dc:creator>
  <cp:lastModifiedBy>Administrator</cp:lastModifiedBy>
  <dcterms:modified xsi:type="dcterms:W3CDTF">2024-03-19T01:06:46Z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874E5262DF0644B8A000956A1EF24311_12</vt:lpwstr>
  </property>
</Properties>
</file>