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drawing>
          <wp:inline distT="0" distB="0" distL="114300" distR="114300">
            <wp:extent cx="5541645" cy="7621905"/>
            <wp:effectExtent l="0" t="0" r="5715" b="13335"/>
            <wp:docPr id="2" name="图片 2" descr="2019年整体预算自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年整体预算自评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762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</w:rPr>
        <w:t>1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       （加盖公章）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遵化</w:t>
      </w:r>
      <w:r>
        <w:rPr>
          <w:rFonts w:ascii="仿宋" w:hAnsi="仿宋" w:eastAsia="仿宋" w:cs="Times New Roman"/>
          <w:sz w:val="32"/>
          <w:szCs w:val="32"/>
        </w:rPr>
        <w:t>市财政局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年度申请预算资金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包括人员、经费、项目等共计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76928.45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66286.45</w:t>
      </w:r>
      <w:r>
        <w:rPr>
          <w:rFonts w:hint="eastAsia" w:ascii="仿宋" w:hAnsi="仿宋" w:eastAsia="仿宋" w:cs="仿宋"/>
          <w:sz w:val="32"/>
          <w:szCs w:val="32"/>
        </w:rPr>
        <w:t>万元，预算执行率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sz w:val="32"/>
          <w:szCs w:val="32"/>
        </w:rPr>
        <w:t>%。其中：专项项目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个，金额合计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74717.05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63975.05</w:t>
      </w:r>
      <w:r>
        <w:rPr>
          <w:rFonts w:hint="eastAsia" w:ascii="仿宋" w:hAnsi="仿宋" w:eastAsia="仿宋" w:cs="仿宋"/>
          <w:sz w:val="32"/>
          <w:szCs w:val="32"/>
        </w:rPr>
        <w:t>万元，执行率为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部门年度发展规划目标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（一）提高住房保障效率，改善城镇住房困难家庭居住条件。围绕京津冀协同发展工作要求，促进新型城镇化与城乡统筹示范区建设，完善城镇住房保障体系，提高全省保障性住房覆盖率。加大棚户区改造力度，发挥棚改综合性带动作用，提升我市多渠道解决居民住房困难问题的能力。房地产市场进一步优化，管理服务水平大幅提升。政府投资的公租房分配率达到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（二）完善基础设施建设，提高城市综合承载力。以京津冀协同发展为统领，以建设新型城镇化与城乡统筹示范区为抓手，加快我市市政公用方面供气、供热等基础设施建设，促进城市基础设施转型升级，加大管网建设配套力度，着力提升城市人居生态环境，完善城市综合功能。形成与京津冀协同发展、新型城镇化要求相适应的功能齐全、设施完备的基础设施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（三）增强建筑企业竞争力，保障建筑业以及房地产市场健康稳定发展。引导建筑企业良性竞争，激发企业创新热情。有效保障农民工合法权益。提高全省物业服务质量，大幅提升管理服务水平。满足居民多样化住房需求。进一步规范工程建设行为，创建结构优质工程，实现监管项目重大质量事故为零的目标，保障人民生命财产安全，促进建筑业健康发展。全面实施房屋建筑和市政工程农民工工资预储金制度。建筑工程施工现场达标率达到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（四）强化绿色发展理念，大力提升建筑能效。确保75%居住建筑节能标准在我市的全面实施，实现新建节能建筑健康发展。积极推进太阳能、工业余热、中水等可再生资源的综合利用，激发绿色建筑发展活力，提升公共建筑节能水平及建设科技水平。推广新型建造方式，推动增强企业新型墙材专业施工能力。积极推进装配式住宅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（五）加强人防工作，提升人防保障能力。研究拟订人民防空规范性文件和全市人民防空综合性政策文件。研究拟订全市人民防空发展规划，编制人民防空工作年度计划。组织指导行政规划区内编制人民防空工程规划，参与重要经济目标防护建设总体规划、城市地下空间开发利用规划编制组织工作，审核城市总体规划中人民防空内容。开展人民防空工程建设技术、质量、造价管理。开展指导监督人民防空工程维护与使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（六）强化消防管理，提升消防保障能力。研究落实国家、省市消防工程设计审查验收管理方面配套政策规章，拟定消防工程设计审查验收规章制度；做好辖区内消防工程设计、验收、备案和抽查工作；与消防救援机构建立信息共享平台，做好相关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（七）完善法规体系，推进依法行政。加快城乡管理、村镇建设以及房地产等重点领域立法步伐，形成完备的法规规范体系。行政执法行为进一步规范，执法水平进一步提高。违法行为得到及时查处，违法建设情况得到有效遏制。保障住房城乡建设各项事业在法治化轨道上良性健康发展。行政复议和行政应诉案件及时办结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（八）促进行业人才队伍建设，夯实人才支撑。通过建筑工程专业职称评审，发现行业优秀人才，为推动河北科学发展，实现富民强省提供有力的人才保证和智力支持，为我市的经济、科技、文化的全面发展奠定坚实的基础。充分发挥评审工作在职称工作中的导向作用，引导广大专业技术人员自觉提高业务理论水平，提高解决实际问题的能力，激励他们爱岗敬业、刻苦钻研、勇于实践的热情，争创一流工作业绩，推动全省经济建设工作的蓬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本次绩效评价项目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个，占部门项目总数的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%，涉及金额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63975.05</w:t>
      </w:r>
      <w:r>
        <w:rPr>
          <w:rFonts w:hint="eastAsia" w:ascii="仿宋" w:hAnsi="仿宋" w:eastAsia="仿宋" w:cs="仿宋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部门整体支出财政下拨资金管理规范、政策执行有力、有效发挥了财政资金的使用效率。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紧紧围绕“完善城市功能、提高城市发展质量、创造优良人居环境”的目标，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保民生、保重点、保稳定，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多措并举，</w:t>
      </w:r>
      <w:r>
        <w:rPr>
          <w:rFonts w:hint="eastAsia" w:ascii="仿宋" w:hAnsi="仿宋" w:eastAsia="仿宋" w:cs="仿宋"/>
          <w:sz w:val="32"/>
          <w:szCs w:val="32"/>
        </w:rPr>
        <w:t>城市综合承载能力显著增强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，保障性安居和棚改工程顺利实施，房地产、建管业、物业、人防工程精细化管理和</w:t>
      </w:r>
      <w:r>
        <w:rPr>
          <w:rFonts w:hint="eastAsia" w:ascii="仿宋" w:hAnsi="仿宋" w:eastAsia="仿宋" w:cs="仿宋"/>
          <w:sz w:val="32"/>
          <w:szCs w:val="32"/>
        </w:rPr>
        <w:t>城市形象明显提升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，推进了节能改造和</w:t>
      </w:r>
      <w:r>
        <w:rPr>
          <w:rFonts w:hint="eastAsia" w:ascii="仿宋" w:hAnsi="仿宋" w:eastAsia="仿宋" w:cs="仿宋"/>
          <w:sz w:val="32"/>
          <w:szCs w:val="32"/>
        </w:rPr>
        <w:t>绿色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建筑</w:t>
      </w:r>
      <w:r>
        <w:rPr>
          <w:rFonts w:hint="eastAsia" w:ascii="仿宋" w:hAnsi="仿宋" w:eastAsia="仿宋" w:cs="仿宋"/>
          <w:sz w:val="32"/>
          <w:szCs w:val="32"/>
        </w:rPr>
        <w:t>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实现了城乡建设事业向前发展。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u w:val="none"/>
          <w:lang w:val="en-US" w:eastAsia="zh-CN"/>
        </w:rPr>
        <w:t>常住人口城镇化率总量已达到60.40%；小康社会常住人口城镇化率目标检测标准值≥50%以上，我市已达到60.40%。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宋体" w:hAnsi="宋体" w:eastAsia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  <w:lang w:val="en-US" w:eastAsia="zh-CN"/>
        </w:rPr>
        <w:t>（1）稳步推进“一港双城”（城镇化）建设工作成绩显著。</w:t>
      </w:r>
      <w:r>
        <w:rPr>
          <w:rFonts w:hint="eastAsia" w:ascii="宋体" w:hAnsi="宋体" w:eastAsia="仿宋"/>
          <w:b w:val="0"/>
          <w:bCs/>
          <w:color w:val="auto"/>
          <w:sz w:val="32"/>
          <w:szCs w:val="32"/>
          <w:lang w:val="en-US" w:eastAsia="zh-CN"/>
        </w:rPr>
        <w:t>包括乡村规划、国土空间规划编制、三改双代一通、城市增绿工程、城市功能完善等四大类17项工作，全力推进城镇化工作开展，前三季度在19个县市区排名第7。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方正仿宋简体" w:hAnsi="仿宋_GB2312" w:eastAsia="方正仿宋简体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  <w:lang w:val="en-US" w:eastAsia="zh-CN"/>
        </w:rPr>
        <w:t>（2）扎实推进棚户区改造工作。</w:t>
      </w:r>
      <w:r>
        <w:rPr>
          <w:rFonts w:hint="eastAsia" w:ascii="宋体" w:hAnsi="宋体" w:eastAsia="方正仿宋简体"/>
          <w:color w:val="auto"/>
          <w:sz w:val="32"/>
          <w:szCs w:val="32"/>
          <w:lang w:val="en-US" w:eastAsia="zh-CN"/>
        </w:rPr>
        <w:t>在乔家洼、流水沟村（一、二期）、老庄子村、邢庄子村已开工建设的基础上，全力推进张家窑棚改项目，张家窑村棚改居民回迁项目已于12月19日由中交四局摘牌，力争12月底前开工建设。每个棚改回迁房项目均由5-7名村民代表成立了义务工程质量监督小组。</w:t>
      </w:r>
      <w:r>
        <w:rPr>
          <w:rFonts w:hint="eastAsia" w:ascii="方正仿宋简体" w:hAnsi="仿宋_GB2312" w:eastAsia="方正仿宋简体" w:cs="仿宋_GB2312"/>
          <w:b w:val="0"/>
          <w:bCs/>
          <w:color w:val="auto"/>
          <w:sz w:val="32"/>
          <w:szCs w:val="32"/>
          <w:lang w:val="en-US" w:eastAsia="zh-CN"/>
        </w:rPr>
        <w:t>今年我局共争取上级棚改专项债7.88亿，国开行贷款1亿，中央预算内补助资金2758万元。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方正仿宋简体" w:hAnsi="仿宋_GB2312" w:eastAsia="方正仿宋简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（3）双代工作圆满收官。</w:t>
      </w:r>
      <w:r>
        <w:rPr>
          <w:rFonts w:hint="eastAsia" w:ascii="方正仿宋简体" w:hAnsi="仿宋_GB2312" w:eastAsia="方正仿宋简体" w:cs="仿宋_GB2312"/>
          <w:b w:val="0"/>
          <w:bCs w:val="0"/>
          <w:color w:val="auto"/>
          <w:sz w:val="32"/>
          <w:szCs w:val="32"/>
          <w:lang w:val="en-US" w:eastAsia="zh-CN"/>
        </w:rPr>
        <w:t>2019年唐山市下达我市双代改造任务16454户，我局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/>
        </w:rPr>
        <w:t>精心安排部署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</w:rPr>
        <w:t>，强力推进，</w:t>
      </w:r>
      <w:r>
        <w:rPr>
          <w:rFonts w:hint="eastAsia" w:ascii="方正仿宋简体" w:hAnsi="仿宋_GB2312" w:eastAsia="方正仿宋简体" w:cs="仿宋_GB2312"/>
          <w:b w:val="0"/>
          <w:bCs w:val="0"/>
          <w:color w:val="auto"/>
          <w:sz w:val="32"/>
          <w:szCs w:val="32"/>
          <w:lang w:val="en-US" w:eastAsia="zh-CN"/>
        </w:rPr>
        <w:t>仅用一个多月的时间，双代工作超额完成唐山进度要求，月考核排名在全唐山始终名列第一位。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方正仿宋简体" w:hAnsi="仿宋_GB2312" w:eastAsia="方正仿宋简体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（4）农村危房改造工作。</w:t>
      </w:r>
      <w:r>
        <w:rPr>
          <w:rFonts w:hint="eastAsia" w:ascii="方正仿宋简体" w:hAnsi="仿宋_GB2312" w:eastAsia="方正仿宋简体" w:cs="仿宋_GB2312"/>
          <w:b w:val="0"/>
          <w:bCs/>
          <w:color w:val="auto"/>
          <w:sz w:val="32"/>
          <w:szCs w:val="32"/>
          <w:lang w:val="en-US" w:eastAsia="zh-CN"/>
        </w:rPr>
        <w:t>高标准完成了2018-2019年度危房改造任务170户，2019-2020年度4类重点对象危房改造任务231户，完成任务数在唐山市排名第一，任务完成情况在全唐山市19个县区中排名第二。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方正仿宋简体" w:hAnsi="仿宋_GB2312" w:eastAsia="方正仿宋简体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（5）老旧小区改造工作。</w:t>
      </w:r>
      <w:r>
        <w:rPr>
          <w:rFonts w:hint="eastAsia" w:ascii="方正仿宋简体" w:hAnsi="仿宋_GB2312" w:eastAsia="方正仿宋简体" w:cs="仿宋_GB2312"/>
          <w:b w:val="0"/>
          <w:bCs w:val="0"/>
          <w:color w:val="auto"/>
          <w:sz w:val="32"/>
          <w:szCs w:val="32"/>
          <w:lang w:val="en-US" w:eastAsia="zh-CN"/>
        </w:rPr>
        <w:t>扎实开展并圆满完成4个老旧小区、11.8万平方米老旧小区综合改造任务。有效改善了群众居住环境，提升了小区居民的获得感和幸福感。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（6）既有建筑节能改造工作。</w:t>
      </w:r>
      <w:r>
        <w:rPr>
          <w:rFonts w:hint="eastAsia" w:ascii="方正仿宋简体" w:hAnsi="仿宋_GB2312" w:eastAsia="方正仿宋简体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完成了8.17万平米城镇既有建筑节能改造工程和16万平方米农村既有建筑节能改造工程。有效改善了群众居住环境，实现既有建筑节能降耗。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（7）集中供暖工作。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我市今年首次采用热电联产集中供热，运行平稳，浩友桐凤世家6栋楼、锦绣花园102号楼、华远世纪城二期等供暖也都一并解决。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宋体" w:hAnsi="宋体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（8）建筑工程质量安全及招投标管理工作。</w:t>
      </w:r>
      <w:r>
        <w:rPr>
          <w:rFonts w:hint="eastAsia" w:ascii="宋体" w:hAnsi="宋体" w:eastAsia="仿宋"/>
          <w:color w:val="auto"/>
          <w:sz w:val="32"/>
          <w:szCs w:val="32"/>
        </w:rPr>
        <w:t>连续获得市安委会颁发的“安全生产先进集体”称号，唐山市安委办也授予我局“安全生产先进单位”称号</w:t>
      </w:r>
      <w:r>
        <w:rPr>
          <w:rFonts w:hint="eastAsia" w:ascii="宋体" w:hAnsi="宋体" w:eastAsia="仿宋"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</w:rPr>
        <w:t>棚改一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</w:rPr>
        <w:t>二标段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</w:rPr>
        <w:t>龙凤雅安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</w:rPr>
        <w:t>铂瑞华府四个项目创建了省优质工程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建筑工地和道路扬尘整治工作在唐山市综合排名第一。在国家和河北省的安全考核中，住建系统安全生产工作受到上级的充分肯定。建设工程招投标管理工作被唐山市招标办推荐为省级先进单位。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（9）人防系统综合治理工作。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u w:val="none"/>
        </w:rPr>
        <w:t>经过对十八大以来的人防工作全面摸排、梳理，确定需要整改的项目35个。现已整改完成3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u w:val="none"/>
        </w:rPr>
        <w:t>个，完成追缴易地建设费2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u w:val="none"/>
          <w:lang w:val="en-US" w:eastAsia="zh-CN"/>
        </w:rPr>
        <w:t>501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u w:val="none"/>
        </w:rPr>
        <w:t>万元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u w:val="none"/>
          <w:lang w:val="en-US" w:eastAsia="zh-CN"/>
        </w:rPr>
        <w:t>（10）物业管理工作。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</w:rPr>
        <w:t>以国家文明城市创建为契机，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  <w:lang w:val="en-US" w:eastAsia="zh-CN"/>
        </w:rPr>
        <w:t>全局动员，实行局领导包小区、科室负责人包小区的方式，将任务责任到人，创建标准逐一落实每一个小区，圆满完成今年的创建任务。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宋体" w:hAnsi="宋体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"/>
          <w:b w:val="0"/>
          <w:bCs w:val="0"/>
          <w:color w:val="auto"/>
          <w:sz w:val="32"/>
          <w:szCs w:val="32"/>
          <w:lang w:val="en-US" w:eastAsia="zh-CN"/>
        </w:rPr>
        <w:t>通过开展绩效自评工作，为进一步做预算资金使用工作，下步认真学习《中华人民共和国预算法》和绩效评价工作相关文件，进一步科学规范使用财政资金。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7FD265E"/>
    <w:rsid w:val="0CB14522"/>
    <w:rsid w:val="0E745247"/>
    <w:rsid w:val="14BF4AF9"/>
    <w:rsid w:val="16B42190"/>
    <w:rsid w:val="183F0D05"/>
    <w:rsid w:val="1CE84A4A"/>
    <w:rsid w:val="1D515655"/>
    <w:rsid w:val="2A572092"/>
    <w:rsid w:val="2FD22A04"/>
    <w:rsid w:val="3D187569"/>
    <w:rsid w:val="3D2E1997"/>
    <w:rsid w:val="3EF026DF"/>
    <w:rsid w:val="41065629"/>
    <w:rsid w:val="454F5EEC"/>
    <w:rsid w:val="526D1317"/>
    <w:rsid w:val="645771A6"/>
    <w:rsid w:val="69100CCC"/>
    <w:rsid w:val="692F281A"/>
    <w:rsid w:val="6D4D7D89"/>
    <w:rsid w:val="709254BB"/>
    <w:rsid w:val="77B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firstLine="420" w:firstLineChars="200"/>
    </w:pPr>
    <w:rPr>
      <w:color w:val="0000FF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10</TotalTime>
  <ScaleCrop>false</ScaleCrop>
  <LinksUpToDate>false</LinksUpToDate>
  <CharactersWithSpaces>471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Administrator</cp:lastModifiedBy>
  <cp:lastPrinted>2020-08-28T04:14:00Z</cp:lastPrinted>
  <dcterms:modified xsi:type="dcterms:W3CDTF">2024-03-18T10:16:46Z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