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遵化市住房和城乡建设局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遵化市住房和城乡建设局编制</w:t>
      </w:r>
    </w:p>
    <w:p>
      <w:pPr>
        <w:spacing w:before="0" w:after="0" w:line="240" w:lineRule="auto"/>
        <w:ind w:firstLine="0"/>
        <w:jc w:val="center"/>
        <w:outlineLvl w:val="9"/>
        <w:sectPr>
          <w:footerReference r:id="rId5" w:type="first"/>
          <w:footerReference r:id="rId3" w:type="default"/>
          <w:footerReference r:id="rId4" w:type="even"/>
          <w:pgSz w:w="11900" w:h="16840"/>
          <w:pgMar w:top="1984" w:right="1304" w:bottom="1134" w:left="1304" w:header="720" w:footer="720" w:gutter="0"/>
          <w:pgNumType w:fmt="decimal"/>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val="en-US" w:eastAsia="zh-CN"/>
        </w:rPr>
        <w:t>2</w:t>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3</w:t>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5</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rPr>
          <w:rFonts w:hint="eastAsia"/>
          <w:lang w:val="en-US" w:eastAsia="zh-CN"/>
        </w:rPr>
        <w:t>9</w:t>
      </w:r>
      <w:r>
        <w:fldChar w:fldCharType="end"/>
      </w:r>
    </w:p>
    <w:p>
      <w:pPr>
        <w:pStyle w:val="4"/>
        <w:tabs>
          <w:tab w:val="right" w:leader="dot" w:pos="9282"/>
        </w:tabs>
      </w:pPr>
      <w:r>
        <w:fldChar w:fldCharType="begin"/>
      </w:r>
      <w:r>
        <w:instrText xml:space="preserve"> HYPERLINK \l "_Toc_4_4_0000000005" </w:instrText>
      </w:r>
      <w:r>
        <w:fldChar w:fldCharType="separate"/>
      </w:r>
      <w:r>
        <w:t>2.公务车购置资金绩效目标表</w:t>
      </w:r>
      <w:r>
        <w:tab/>
      </w:r>
      <w:r>
        <w:fldChar w:fldCharType="begin"/>
      </w:r>
      <w:r>
        <w:instrText xml:space="preserve">PAGEREF _Toc_4_4_0000000005 \h</w:instrText>
      </w:r>
      <w:r>
        <w:fldChar w:fldCharType="separate"/>
      </w:r>
      <w:r>
        <w:t>1</w:t>
      </w:r>
      <w:r>
        <w:rPr>
          <w:rFonts w:hint="eastAsia"/>
          <w:lang w:val="en-US" w:eastAsia="zh-CN"/>
        </w:rPr>
        <w:t>1</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rPr>
          <w:rFonts w:hint="eastAsia"/>
          <w:lang w:val="en-US" w:eastAsia="zh-CN"/>
        </w:rPr>
        <w:t>3</w:t>
      </w:r>
      <w:r>
        <w:t>.老旧小区改造工程资金绩效目标表</w:t>
      </w:r>
      <w:r>
        <w:tab/>
      </w:r>
      <w:r>
        <w:fldChar w:fldCharType="begin"/>
      </w:r>
      <w:r>
        <w:instrText xml:space="preserve">PAGEREF _Toc_4_4_0000000011 \h</w:instrText>
      </w:r>
      <w:r>
        <w:fldChar w:fldCharType="separate"/>
      </w:r>
      <w:r>
        <w:t>1</w:t>
      </w:r>
      <w:r>
        <w:rPr>
          <w:rFonts w:hint="eastAsia"/>
          <w:lang w:val="en-US" w:eastAsia="zh-CN"/>
        </w:rPr>
        <w:t>3</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rPr>
          <w:rFonts w:hint="eastAsia"/>
          <w:lang w:val="en-US" w:eastAsia="zh-CN"/>
        </w:rPr>
        <w:t>4</w:t>
      </w:r>
      <w:r>
        <w:t>.农村双代煤改造清洁取暖工程资金绩效目标表</w:t>
      </w:r>
      <w:r>
        <w:tab/>
      </w:r>
      <w:r>
        <w:fldChar w:fldCharType="begin"/>
      </w:r>
      <w:r>
        <w:instrText xml:space="preserve">PAGEREF _Toc_4_4_0000000012 \h</w:instrText>
      </w:r>
      <w:r>
        <w:fldChar w:fldCharType="separate"/>
      </w:r>
      <w:r>
        <w:t>1</w:t>
      </w:r>
      <w:r>
        <w:rPr>
          <w:rFonts w:hint="eastAsia"/>
          <w:lang w:val="en-US" w:eastAsia="zh-CN"/>
        </w:rPr>
        <w:t>5</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rPr>
          <w:rFonts w:hint="eastAsia"/>
          <w:lang w:val="en-US" w:eastAsia="zh-CN"/>
        </w:rPr>
        <w:t>5</w:t>
      </w:r>
      <w:r>
        <w:t>.人防规划编制和设施维护等费用绩效目标表</w:t>
      </w:r>
      <w:r>
        <w:tab/>
      </w:r>
      <w:r>
        <w:fldChar w:fldCharType="begin"/>
      </w:r>
      <w:r>
        <w:instrText xml:space="preserve">PAGEREF _Toc_4_4_0000000013 \h</w:instrText>
      </w:r>
      <w:r>
        <w:fldChar w:fldCharType="separate"/>
      </w:r>
      <w:r>
        <w:t>1</w:t>
      </w:r>
      <w:r>
        <w:rPr>
          <w:rFonts w:hint="eastAsia"/>
          <w:lang w:val="en-US" w:eastAsia="zh-CN"/>
        </w:rPr>
        <w:t>7</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rPr>
          <w:rFonts w:hint="eastAsia"/>
          <w:lang w:val="en-US" w:eastAsia="zh-CN"/>
        </w:rPr>
        <w:t>6</w:t>
      </w:r>
      <w:r>
        <w:t>.业务培训费及建筑扬尘监控平台维护费绩效目标表</w:t>
      </w:r>
      <w:r>
        <w:tab/>
      </w:r>
      <w:r>
        <w:fldChar w:fldCharType="begin"/>
      </w:r>
      <w:r>
        <w:instrText xml:space="preserve">PAGEREF _Toc_4_4_0000000014 \h</w:instrText>
      </w:r>
      <w:r>
        <w:fldChar w:fldCharType="separate"/>
      </w:r>
      <w:r>
        <w:t>1</w:t>
      </w:r>
      <w:r>
        <w:rPr>
          <w:rFonts w:hint="eastAsia"/>
          <w:lang w:val="en-US" w:eastAsia="zh-CN"/>
        </w:rPr>
        <w:t>9</w:t>
      </w:r>
      <w:r>
        <w:fldChar w:fldCharType="end"/>
      </w:r>
      <w:r>
        <w:fldChar w:fldCharType="end"/>
      </w:r>
      <w:bookmarkStart w:id="9" w:name="_GoBack"/>
      <w:bookmarkEnd w:id="9"/>
    </w:p>
    <w:p>
      <w:r>
        <w:fldChar w:fldCharType="end"/>
      </w:r>
    </w:p>
    <w:p>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2023年，全力围绕加快建设“京津冀魅力中等城市”目标和要求，认真落实市委市政府工作安排和贯彻住建行业上级各项决策部署，发挥住建职能，多措并举，统筹推进各项工作。一是全力推进住房保障工程。确保张家窑村棚改项目年底具备交房条件；全力做好府前西街两侧区域城中村和2个老旧小区改造工作，加强施工管理，保障质量安全，确保改造按时保质完成，提升市民居住幸福指数；扎实推进全市农村危房改造动态监测，加强农村住房安全保障。二是继续加强燃气、供热行业监管力度，全面提升行业服务水平。全力做好城区燃气、供热保障工作，抓好双代改造后期各项保障工作和运行安全管理，保障农村冬季清洁取暖。三是牵头推进城市更新工作，确保府前西街两侧区域城市更新项目顺利实施，大力推进装配式住宅和被动式超低能耗建筑。四是继续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 </w:t>
      </w:r>
    </w:p>
    <w:p>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color w:val="000000"/>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（一）积极推进住房保障工作顺利开展，改善市民居住环境。</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绩效目标：完成城镇保障性安居工程年度建设任务，建立健全公平、公正、公开的分配机制和优质、高效管理服务机制，保障性住房及时分配到位。</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sz w:val="32"/>
          <w:szCs w:val="32"/>
        </w:rPr>
      </w:pPr>
      <w:r>
        <w:rPr>
          <w:rFonts w:hint="eastAsia" w:ascii="方正仿宋简体" w:hAnsi="方正仿宋简体" w:eastAsia="方正仿宋简体" w:cs="方正仿宋简体"/>
          <w:sz w:val="32"/>
          <w:szCs w:val="32"/>
        </w:rPr>
        <w:t>绩效指标：按照城镇棚户区规划确定的年度改造计划，科学确定年度棚户区改造目标，加强管理，保障科学实施。</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（二）全面加强供气供热管理，提升管理水平。</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绩效目标：加强村镇建设管理，改善农村人居环境，实现城乡统筹发展；完成对全市公共供气、供热监督检测工作。</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绩效指标：城区全部实现集中供气、供热，进一步理顺管理体制，提升供气、供热服务水平；村镇供气面逐步扩大。</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（三）加强建筑业房地产市场监管，推动健康发展。</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规范引导房地产业健康可持续发展，保证房价平稳；规范建筑市场各方主体行为，加大监督检查力度，规范农民工工资保证金制度，防止拖欠农民工工资；进一步提升房屋建筑工程勘察设计质量及住宅工程质量。</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房地产业平稳健康发展，城镇居民人均住房建筑面积进一步提高；新建住宅小区物业管理覆盖率达到98%以上；完善和规范旧住宅小区的物业管理，规范住宅专项维修资金管理；加快解决房地产历史遗留问题。</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（四）推进建筑节能工作，积极发展绿色建筑。</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绩效目标：住房城乡建设事业科技创新、产业化能力、先进适用技术集成化水平和工程应用水平得到提高；大力推进装配式住宅和被动式超低能耗建筑推广和发展。</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绩效指标：新建住宅小区配建装配式建筑达标，建设规模符合文件要求的新建项目均按照被动式超低能耗建筑的配建比例进行配建；绿色建筑、装配式建筑和被动式建筑得到大力推广应用。</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（五）推进人防工防，提升人防管理水平。</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绩效目标：制定完善全市人民防空规范性文件、人民防空发展规划、人民防空工作年度计划；加强人民防空工程建设管理与维护。</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绩效指标：研究拟订人民防空规范性文件，组织完善行政规划区内编制人民防空工程规划，审核城市规划中人民防空内容；加强人民防空应急演练。</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（六）推进消防管理工作，提升消防管理水平。</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绩效目标：制定和完善消防工程设计和验收工作制度，全面加强消防工程设计和验收管理，规范消防工程设计和验收工作，进一步提升管理水平。</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绩效指标：研究落实国家省市消防工程设计审查验收管理方面配套政策规章，拟定消防工程设计审查验收规章制度；做好辖区内消防工程设计、验收、备案和抽查工作。</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（七）提升住建政务管理水平，做好建设行业服务。</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绩效目标：完善行业信息系统建设相关标准规范编制和数据整理；优化完善健全数字规划、数字住保、数字建筑市场、机关办公系统。</w:t>
      </w:r>
    </w:p>
    <w:p>
      <w:pPr>
        <w:pStyle w:val="1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绩效指标：做好城市体检工作，科学构建实体建筑、房屋交易和城乡设施信息化管理体系，建成住房和城乡建设政务信息资源库。</w:t>
      </w:r>
    </w:p>
    <w:p>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坚持多措并举，抓好重点工作。</w:t>
      </w:r>
      <w:r>
        <w:rPr>
          <w:rFonts w:hint="eastAsia" w:ascii="方正仿宋简体" w:hAnsi="方正仿宋简体" w:eastAsia="方正仿宋简体" w:cs="方正仿宋简体"/>
          <w:sz w:val="32"/>
          <w:szCs w:val="32"/>
        </w:rPr>
        <w:t>认真贯彻上级各项决策部署，发挥住建职能，加强调度和指导，统筹协调，全力推进进各项工作。一是全力推进住房保障工程。扎实推进棚改项目、城市更新项目、老旧小区改造工作，加快工程建设进度，确保建设和改造按时保质完成。二是大力推进装配式住宅和被动式超低能耗建筑。结合实际，大力支持装配式建筑的推广和发展，建设规模符合文件要求的新建项目均按照被动式超低能耗建筑的配建比例进行配建，圆满完成年度任务目标。三是扎实做好燃气供热保障工作。加强燃气、供热行业监督管理力度，规范行业经营秩序和安全管理，提前谋划，提前准备，确保供气、供热行业稳步推进。四是做好双代改造运行保障工作。全力督导协调企业、属地做好双代改造安全用气用电、提升用气率工作。同时加大工程质量和安全监管力度，发挥两员作用，制定应急预案，加强联防联动和对群众的宣传指导，确保安全。</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（二）强化预算绩效管理，保障项目科学实施。</w:t>
      </w:r>
      <w:r>
        <w:rPr>
          <w:rFonts w:hint="eastAsia" w:ascii="方正仿宋简体" w:hAnsi="方正仿宋简体" w:eastAsia="方正仿宋简体" w:cs="方正仿宋简体"/>
          <w:sz w:val="32"/>
          <w:szCs w:val="32"/>
        </w:rPr>
        <w:t>全面组织加强《中华人民共和国预算法》、《中华人民共和国会计法》、《政府会计制度与准则》以及预算绩效管理法规等财经法规的学习，坚持学用结合，提升业务素质水平，强化预算绩效管理，对建设项目事前事中事后分析评价，保障项目科学实施和资金使用。一是完善制度建设。包括制定完善预算绩效管理制度、资金管理办法、工作保障制度等，为全年预算绩效目标的实现奠定制度基础。二是加强支出管理。通过优化支出结构、编细编实预算、加快履行政府采购手续、尽快启动项目、及时支付资金、年中细化转移支付项目预算、按规定及时下达资金等多种措施，确保支出进度达标。三是加强绩效运行监控。按要求开展绩效运行监控，发现问题及时采取措施，确保绩效目标如期保质实现。四是做好绩效自评。按要求开展上年度部门预算绩效自评和重点评价工作，对评价中发现的问题及时整改，调整优化支出结构，提高财政资金使用效益。五是规范财务资产管理。完善财务管理制度，严格审批程序，加强固定资产登记、使用和报废处置管理，做到支出合理，物尽其用。六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是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（三）统筹协调，提升管理水平。</w:t>
      </w:r>
      <w:r>
        <w:rPr>
          <w:rFonts w:hint="eastAsia" w:ascii="方正仿宋简体" w:hAnsi="方正仿宋简体" w:eastAsia="方正仿宋简体" w:cs="方正仿宋简体"/>
          <w:sz w:val="32"/>
          <w:szCs w:val="32"/>
        </w:rPr>
        <w:t xml:space="preserve">全面加强学习，充分发挥职能部门的作用，加大执法监管力度，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标准要求，加强工地文明施工管理，不断改善空气质量；积极推广新型节能建材应用，大力推广使用绿色建筑及装配式建筑项目；加大执法检查力度,规范建设秩序；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spacing w:before="0" w:after="0" w:line="240" w:lineRule="auto"/>
        <w:ind w:firstLine="0"/>
        <w:jc w:val="center"/>
        <w:outlineLvl w:val="9"/>
        <w:sectPr>
          <w:footerReference r:id="rId6" w:type="default"/>
          <w:footerReference r:id="rId7" w:type="even"/>
          <w:pgSz w:w="11900" w:h="16840"/>
          <w:pgMar w:top="1984" w:right="1304" w:bottom="1134" w:left="1304" w:header="720" w:footer="720" w:gutter="0"/>
          <w:pgNumType w:fmt="decimal"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footerReference r:id="rId8" w:type="default"/>
          <w:footerReference r:id="rId9" w:type="even"/>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13028123P00029010002D</w:t>
            </w:r>
          </w:p>
        </w:tc>
        <w:tc>
          <w:tcPr>
            <w:tcW w:w="1587" w:type="dxa"/>
            <w:vAlign w:val="center"/>
          </w:tcPr>
          <w:p>
            <w:pPr>
              <w:pStyle w:val="16"/>
            </w:pPr>
            <w:r>
              <w:t>项目名称</w:t>
            </w:r>
          </w:p>
        </w:tc>
        <w:tc>
          <w:tcPr>
            <w:tcW w:w="4422"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5.95</w:t>
            </w:r>
          </w:p>
        </w:tc>
        <w:tc>
          <w:tcPr>
            <w:tcW w:w="1587" w:type="dxa"/>
            <w:vAlign w:val="center"/>
          </w:tcPr>
          <w:p>
            <w:pPr>
              <w:pStyle w:val="16"/>
            </w:pPr>
            <w:r>
              <w:t>其中：财政    资金</w:t>
            </w:r>
          </w:p>
        </w:tc>
        <w:tc>
          <w:tcPr>
            <w:tcW w:w="1304" w:type="dxa"/>
            <w:vAlign w:val="center"/>
          </w:tcPr>
          <w:p>
            <w:pPr>
              <w:pStyle w:val="15"/>
            </w:pPr>
            <w:r>
              <w:t>5.95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预算资金5.95万元，其中财政资金5.95万元，其他资金0万元。用于办公自动化工作；保障城乡建设和行政执法各项工作的顺利开展，进一步提高办公效能，促进城乡建设科学有序发展。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1.通过该项目的顺利实施，保障机关运转，加强安全管理工作，做好办公自动化工作；保障城乡建设和行政执法各项工作的顺利开展，进一步提高办公效能，促进城乡建设科学有序发展。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购置数量</w:t>
            </w:r>
          </w:p>
        </w:tc>
        <w:tc>
          <w:tcPr>
            <w:tcW w:w="2891" w:type="dxa"/>
            <w:vAlign w:val="center"/>
          </w:tcPr>
          <w:p>
            <w:pPr>
              <w:pStyle w:val="15"/>
            </w:pPr>
            <w:r>
              <w:t>购置计算机数量</w:t>
            </w:r>
          </w:p>
        </w:tc>
        <w:tc>
          <w:tcPr>
            <w:tcW w:w="1276" w:type="dxa"/>
            <w:vAlign w:val="center"/>
          </w:tcPr>
          <w:p>
            <w:pPr>
              <w:pStyle w:val="15"/>
            </w:pPr>
            <w:r>
              <w:t>7台</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验收的数据量占总量的比率</w:t>
            </w:r>
          </w:p>
        </w:tc>
        <w:tc>
          <w:tcPr>
            <w:tcW w:w="1276" w:type="dxa"/>
            <w:vAlign w:val="center"/>
          </w:tcPr>
          <w:p>
            <w:pPr>
              <w:pStyle w:val="15"/>
            </w:pPr>
            <w:r>
              <w:t>≥98%百分比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按期交付使用</w:t>
            </w:r>
          </w:p>
        </w:tc>
        <w:tc>
          <w:tcPr>
            <w:tcW w:w="2891" w:type="dxa"/>
            <w:vAlign w:val="center"/>
          </w:tcPr>
          <w:p>
            <w:pPr>
              <w:pStyle w:val="15"/>
            </w:pPr>
            <w:r>
              <w:t>按合同約定交付</w:t>
            </w:r>
          </w:p>
        </w:tc>
        <w:tc>
          <w:tcPr>
            <w:tcW w:w="1276" w:type="dxa"/>
            <w:vAlign w:val="center"/>
          </w:tcPr>
          <w:p>
            <w:pPr>
              <w:pStyle w:val="15"/>
            </w:pPr>
            <w:r>
              <w:t>按合同約定交付</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助推经济增长率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保障机关工作顺利开展</w:t>
            </w:r>
          </w:p>
        </w:tc>
        <w:tc>
          <w:tcPr>
            <w:tcW w:w="1276" w:type="dxa"/>
            <w:vAlign w:val="center"/>
          </w:tcPr>
          <w:p>
            <w:pPr>
              <w:pStyle w:val="15"/>
            </w:pPr>
            <w:r>
              <w:t>保障机关工作顺利开展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提升机关执行力</w:t>
            </w:r>
          </w:p>
        </w:tc>
        <w:tc>
          <w:tcPr>
            <w:tcW w:w="2891" w:type="dxa"/>
            <w:vAlign w:val="center"/>
          </w:tcPr>
          <w:p>
            <w:pPr>
              <w:pStyle w:val="15"/>
            </w:pPr>
            <w:r>
              <w:t>提升机关执行力</w:t>
            </w:r>
          </w:p>
        </w:tc>
        <w:tc>
          <w:tcPr>
            <w:tcW w:w="1276" w:type="dxa"/>
            <w:vAlign w:val="center"/>
          </w:tcPr>
          <w:p>
            <w:pPr>
              <w:pStyle w:val="15"/>
            </w:pPr>
            <w:r>
              <w:t>提升机关执行力</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2.公务车购置资金绩效目标表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13028123P000288100037</w:t>
            </w:r>
          </w:p>
        </w:tc>
        <w:tc>
          <w:tcPr>
            <w:tcW w:w="1587" w:type="dxa"/>
            <w:vAlign w:val="center"/>
          </w:tcPr>
          <w:p>
            <w:pPr>
              <w:pStyle w:val="16"/>
            </w:pPr>
            <w:r>
              <w:t>项目名称</w:t>
            </w:r>
          </w:p>
        </w:tc>
        <w:tc>
          <w:tcPr>
            <w:tcW w:w="4422" w:type="dxa"/>
            <w:gridSpan w:val="3"/>
            <w:vAlign w:val="center"/>
          </w:tcPr>
          <w:p>
            <w:pPr>
              <w:pStyle w:val="15"/>
            </w:pPr>
            <w: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预算资金30万元，其中财政资金30万元，其他资金0万元。用于保障机关用车正常运转，提升工作效率，保障工作开展，干部职工满意度进一步提升。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1.通过更换公务用车，保障行车安全，保障机关用车正常运转，提升工作效率，保障工作开展，干部职工满意度进一步提升。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购置数量</w:t>
            </w:r>
          </w:p>
        </w:tc>
        <w:tc>
          <w:tcPr>
            <w:tcW w:w="2891" w:type="dxa"/>
            <w:vAlign w:val="center"/>
          </w:tcPr>
          <w:p>
            <w:pPr>
              <w:pStyle w:val="15"/>
            </w:pPr>
            <w:r>
              <w:t>购置数量</w:t>
            </w:r>
          </w:p>
        </w:tc>
        <w:tc>
          <w:tcPr>
            <w:tcW w:w="1276" w:type="dxa"/>
            <w:vAlign w:val="center"/>
          </w:tcPr>
          <w:p>
            <w:pPr>
              <w:pStyle w:val="15"/>
            </w:pPr>
            <w:r>
              <w:t>2辆</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验收的数据量占总量的比率</w:t>
            </w:r>
          </w:p>
        </w:tc>
        <w:tc>
          <w:tcPr>
            <w:tcW w:w="1276" w:type="dxa"/>
            <w:vAlign w:val="center"/>
          </w:tcPr>
          <w:p>
            <w:pPr>
              <w:pStyle w:val="15"/>
            </w:pPr>
            <w:r>
              <w:t>≥98%百分比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按期交付使用</w:t>
            </w:r>
          </w:p>
        </w:tc>
        <w:tc>
          <w:tcPr>
            <w:tcW w:w="2891" w:type="dxa"/>
            <w:vAlign w:val="center"/>
          </w:tcPr>
          <w:p>
            <w:pPr>
              <w:pStyle w:val="15"/>
            </w:pPr>
            <w:r>
              <w:t>按合同約定交付</w:t>
            </w:r>
          </w:p>
        </w:tc>
        <w:tc>
          <w:tcPr>
            <w:tcW w:w="1276" w:type="dxa"/>
            <w:vAlign w:val="center"/>
          </w:tcPr>
          <w:p>
            <w:pPr>
              <w:pStyle w:val="15"/>
            </w:pPr>
            <w:r>
              <w:t>按合同約定交付</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助推经济增长率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保障机关工作顺利开展</w:t>
            </w:r>
          </w:p>
        </w:tc>
        <w:tc>
          <w:tcPr>
            <w:tcW w:w="1276" w:type="dxa"/>
            <w:vAlign w:val="center"/>
          </w:tcPr>
          <w:p>
            <w:pPr>
              <w:pStyle w:val="15"/>
            </w:pPr>
            <w:r>
              <w:t>保障机关工作顺利开展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提升机关执行力</w:t>
            </w:r>
          </w:p>
        </w:tc>
        <w:tc>
          <w:tcPr>
            <w:tcW w:w="2891" w:type="dxa"/>
            <w:vAlign w:val="center"/>
          </w:tcPr>
          <w:p>
            <w:pPr>
              <w:pStyle w:val="15"/>
            </w:pPr>
            <w:r>
              <w:t>提升机关执行力</w:t>
            </w:r>
          </w:p>
        </w:tc>
        <w:tc>
          <w:tcPr>
            <w:tcW w:w="1276" w:type="dxa"/>
            <w:vAlign w:val="center"/>
          </w:tcPr>
          <w:p>
            <w:pPr>
              <w:pStyle w:val="15"/>
            </w:pPr>
            <w:r>
              <w:t>提升机关执行力</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ind w:firstLine="560"/>
        <w:jc w:val="left"/>
        <w:outlineLvl w:val="3"/>
      </w:pPr>
      <w:bookmarkStart w:id="5" w:name="_Toc_4_4_0000000011"/>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.老旧小区改造工程资金绩效目标表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13028123P000286100028</w:t>
            </w:r>
          </w:p>
        </w:tc>
        <w:tc>
          <w:tcPr>
            <w:tcW w:w="1587" w:type="dxa"/>
            <w:vAlign w:val="center"/>
          </w:tcPr>
          <w:p>
            <w:pPr>
              <w:pStyle w:val="16"/>
            </w:pPr>
            <w:r>
              <w:t>项目名称</w:t>
            </w:r>
          </w:p>
        </w:tc>
        <w:tc>
          <w:tcPr>
            <w:tcW w:w="4422" w:type="dxa"/>
            <w:gridSpan w:val="3"/>
            <w:vAlign w:val="center"/>
          </w:tcPr>
          <w:p>
            <w:pPr>
              <w:pStyle w:val="15"/>
            </w:pPr>
            <w: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3063.85</w:t>
            </w:r>
          </w:p>
        </w:tc>
        <w:tc>
          <w:tcPr>
            <w:tcW w:w="1587" w:type="dxa"/>
            <w:vAlign w:val="center"/>
          </w:tcPr>
          <w:p>
            <w:pPr>
              <w:pStyle w:val="16"/>
            </w:pPr>
            <w:r>
              <w:t>其中：财政    资金</w:t>
            </w:r>
          </w:p>
        </w:tc>
        <w:tc>
          <w:tcPr>
            <w:tcW w:w="1304" w:type="dxa"/>
            <w:vAlign w:val="center"/>
          </w:tcPr>
          <w:p>
            <w:pPr>
              <w:pStyle w:val="15"/>
            </w:pPr>
            <w:r>
              <w:t>3063.85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预算资金3063.85万元，其中财政资金3063.85万元，其他资金0万元。用于提升小区环境；改造建筑立面效果和实施保温节能改造，提升小区居民幸福指数。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1.通过对不符合要求的小区进一步实施改造，提升小区基础设施水平；加强管理，提升小区环境；改造建筑立面效果和实施保温节能改造，提升小区居民幸福指数。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改造完工的比率（%）</w:t>
            </w:r>
          </w:p>
        </w:tc>
        <w:tc>
          <w:tcPr>
            <w:tcW w:w="2891" w:type="dxa"/>
            <w:vAlign w:val="center"/>
          </w:tcPr>
          <w:p>
            <w:pPr>
              <w:pStyle w:val="15"/>
            </w:pPr>
            <w:r>
              <w:t>改造完工小区占计划改造小区的比率</w:t>
            </w:r>
          </w:p>
        </w:tc>
        <w:tc>
          <w:tcPr>
            <w:tcW w:w="1276" w:type="dxa"/>
            <w:vAlign w:val="center"/>
          </w:tcPr>
          <w:p>
            <w:pPr>
              <w:pStyle w:val="15"/>
            </w:pPr>
            <w:r>
              <w:t>≥95%百分比改造完工小区占计划改造小区的比率</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通过验收的工程量占建设总量的比率</w:t>
            </w:r>
          </w:p>
        </w:tc>
        <w:tc>
          <w:tcPr>
            <w:tcW w:w="1276" w:type="dxa"/>
            <w:vAlign w:val="center"/>
          </w:tcPr>
          <w:p>
            <w:pPr>
              <w:pStyle w:val="15"/>
            </w:pPr>
            <w:r>
              <w:t>≥90%百分比，通过验收的工程量占建设总量的比率</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工程按期完成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付款占预算的比率</w:t>
            </w:r>
          </w:p>
        </w:tc>
        <w:tc>
          <w:tcPr>
            <w:tcW w:w="2891" w:type="dxa"/>
            <w:vAlign w:val="center"/>
          </w:tcPr>
          <w:p>
            <w:pPr>
              <w:pStyle w:val="15"/>
            </w:pPr>
            <w:r>
              <w:t>付款占预算的比率</w:t>
            </w:r>
          </w:p>
        </w:tc>
        <w:tc>
          <w:tcPr>
            <w:tcW w:w="1276" w:type="dxa"/>
            <w:vAlign w:val="center"/>
          </w:tcPr>
          <w:p>
            <w:pPr>
              <w:pStyle w:val="15"/>
            </w:pPr>
            <w:r>
              <w:t>≥90%百分比</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保障相关建设业务顺利开展</w:t>
            </w:r>
          </w:p>
        </w:tc>
        <w:tc>
          <w:tcPr>
            <w:tcW w:w="1276" w:type="dxa"/>
            <w:vAlign w:val="center"/>
          </w:tcPr>
          <w:p>
            <w:pPr>
              <w:pStyle w:val="15"/>
            </w:pPr>
            <w:r>
              <w:t>保障相关建设业务顺利开展</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改善项目周边生态环境</w:t>
            </w:r>
          </w:p>
        </w:tc>
        <w:tc>
          <w:tcPr>
            <w:tcW w:w="2891" w:type="dxa"/>
            <w:vAlign w:val="center"/>
          </w:tcPr>
          <w:p>
            <w:pPr>
              <w:pStyle w:val="15"/>
            </w:pPr>
            <w:r>
              <w:t>改善项目周边生态环境</w:t>
            </w:r>
          </w:p>
        </w:tc>
        <w:tc>
          <w:tcPr>
            <w:tcW w:w="1276" w:type="dxa"/>
            <w:vAlign w:val="center"/>
          </w:tcPr>
          <w:p>
            <w:pPr>
              <w:pStyle w:val="15"/>
            </w:pPr>
            <w:r>
              <w:t>改善项目周边生态环境</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按照遵办字（2019）年34号文件职能配置和城市建设投资安排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按照遵办字（2019）年34号文件职能配置和城市建设投资安排</w:t>
            </w:r>
          </w:p>
        </w:tc>
      </w:tr>
    </w:tbl>
    <w:p>
      <w:pPr>
        <w:sectPr>
          <w:pgSz w:w="11900" w:h="16840"/>
          <w:pgMar w:top="1984" w:right="1304" w:bottom="1134" w:left="1304" w:header="720" w:footer="720" w:gutter="0"/>
          <w:pgNumType w:fmt="decimal"/>
          <w:cols w:space="720" w:num="1"/>
        </w:sectPr>
      </w:pPr>
    </w:p>
    <w:p>
      <w:pPr>
        <w:spacing w:before="0" w:after="0"/>
        <w:ind w:firstLine="560"/>
        <w:jc w:val="left"/>
        <w:outlineLvl w:val="3"/>
      </w:pPr>
      <w:bookmarkStart w:id="6" w:name="_Toc_4_4_0000000012"/>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.农村双代煤改造清洁取暖工程资金绩效目标表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13028123P00012410002R</w:t>
            </w:r>
          </w:p>
        </w:tc>
        <w:tc>
          <w:tcPr>
            <w:tcW w:w="1587" w:type="dxa"/>
            <w:vAlign w:val="center"/>
          </w:tcPr>
          <w:p>
            <w:pPr>
              <w:pStyle w:val="16"/>
            </w:pPr>
            <w:r>
              <w:t>项目名称</w:t>
            </w:r>
          </w:p>
        </w:tc>
        <w:tc>
          <w:tcPr>
            <w:tcW w:w="4422" w:type="dxa"/>
            <w:gridSpan w:val="3"/>
            <w:vAlign w:val="center"/>
          </w:tcPr>
          <w:p>
            <w:pPr>
              <w:pStyle w:val="15"/>
            </w:pPr>
            <w: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5000.00</w:t>
            </w:r>
          </w:p>
        </w:tc>
        <w:tc>
          <w:tcPr>
            <w:tcW w:w="1587" w:type="dxa"/>
            <w:vAlign w:val="center"/>
          </w:tcPr>
          <w:p>
            <w:pPr>
              <w:pStyle w:val="16"/>
            </w:pPr>
            <w:r>
              <w:t>其中：财政    资金</w:t>
            </w:r>
          </w:p>
        </w:tc>
        <w:tc>
          <w:tcPr>
            <w:tcW w:w="1304" w:type="dxa"/>
            <w:vAlign w:val="center"/>
          </w:tcPr>
          <w:p>
            <w:pPr>
              <w:pStyle w:val="15"/>
            </w:pPr>
            <w:r>
              <w:t>5000.00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预算资金5000万元，其中财政资金5000万，其他资金0万，主要用于减少污染物排放，改善大气环境质量。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1.通过科学组织实施，规范使用资金，专款专用；严格双代补助管理，确保发放到位；加强管理，良好运营，减少污染物排放，改善大气环境质量。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补贴户数比率（%）</w:t>
            </w:r>
          </w:p>
        </w:tc>
        <w:tc>
          <w:tcPr>
            <w:tcW w:w="2891" w:type="dxa"/>
            <w:vAlign w:val="center"/>
          </w:tcPr>
          <w:p>
            <w:pPr>
              <w:pStyle w:val="15"/>
            </w:pPr>
            <w:r>
              <w:t>实际补贴户数占计划补贴户的比率（%）</w:t>
            </w:r>
          </w:p>
        </w:tc>
        <w:tc>
          <w:tcPr>
            <w:tcW w:w="1276" w:type="dxa"/>
            <w:vAlign w:val="center"/>
          </w:tcPr>
          <w:p>
            <w:pPr>
              <w:pStyle w:val="15"/>
            </w:pPr>
            <w:r>
              <w:t>≥95%百分比，实际补贴户数占计划补贴户的比率（%）</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数据核查合格率（%）</w:t>
            </w:r>
          </w:p>
        </w:tc>
        <w:tc>
          <w:tcPr>
            <w:tcW w:w="2891" w:type="dxa"/>
            <w:vAlign w:val="center"/>
          </w:tcPr>
          <w:p>
            <w:pPr>
              <w:pStyle w:val="15"/>
            </w:pPr>
            <w:r>
              <w:t>通过核查的补贴占补贴总量的比率</w:t>
            </w:r>
          </w:p>
        </w:tc>
        <w:tc>
          <w:tcPr>
            <w:tcW w:w="1276" w:type="dxa"/>
            <w:vAlign w:val="center"/>
          </w:tcPr>
          <w:p>
            <w:pPr>
              <w:pStyle w:val="15"/>
            </w:pPr>
            <w:r>
              <w:t>≥90%百分比，通过核查的补贴占补贴总量的比率</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补贴按期发放</w:t>
            </w:r>
          </w:p>
        </w:tc>
        <w:tc>
          <w:tcPr>
            <w:tcW w:w="2891" w:type="dxa"/>
            <w:vAlign w:val="center"/>
          </w:tcPr>
          <w:p>
            <w:pPr>
              <w:pStyle w:val="15"/>
            </w:pPr>
            <w:r>
              <w:t>按約定发放</w:t>
            </w:r>
          </w:p>
        </w:tc>
        <w:tc>
          <w:tcPr>
            <w:tcW w:w="1276" w:type="dxa"/>
            <w:vAlign w:val="center"/>
          </w:tcPr>
          <w:p>
            <w:pPr>
              <w:pStyle w:val="15"/>
            </w:pPr>
            <w:r>
              <w:t>按約定时限发放</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补贴资金投资率（%）</w:t>
            </w:r>
          </w:p>
        </w:tc>
        <w:tc>
          <w:tcPr>
            <w:tcW w:w="2891" w:type="dxa"/>
            <w:vAlign w:val="center"/>
          </w:tcPr>
          <w:p>
            <w:pPr>
              <w:pStyle w:val="15"/>
            </w:pPr>
            <w:r>
              <w:t>实际补贴占计划补贴的比率</w:t>
            </w:r>
          </w:p>
        </w:tc>
        <w:tc>
          <w:tcPr>
            <w:tcW w:w="1276" w:type="dxa"/>
            <w:vAlign w:val="center"/>
          </w:tcPr>
          <w:p>
            <w:pPr>
              <w:pStyle w:val="15"/>
            </w:pPr>
            <w:r>
              <w:t>≥90%百分比，实际补贴占计划补贴的比率</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拉动周边区域经济增长</w:t>
            </w:r>
          </w:p>
        </w:tc>
        <w:tc>
          <w:tcPr>
            <w:tcW w:w="2891" w:type="dxa"/>
            <w:vAlign w:val="center"/>
          </w:tcPr>
          <w:p>
            <w:pPr>
              <w:pStyle w:val="15"/>
            </w:pPr>
            <w:r>
              <w:t>拉动周边区域经济增长</w:t>
            </w:r>
          </w:p>
        </w:tc>
        <w:tc>
          <w:tcPr>
            <w:tcW w:w="1276" w:type="dxa"/>
            <w:vAlign w:val="center"/>
          </w:tcPr>
          <w:p>
            <w:pPr>
              <w:pStyle w:val="15"/>
            </w:pPr>
            <w:r>
              <w:t>拉动周边区域经济增长</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保障供暖水平提升的情况</w:t>
            </w:r>
          </w:p>
        </w:tc>
        <w:tc>
          <w:tcPr>
            <w:tcW w:w="1276" w:type="dxa"/>
            <w:vAlign w:val="center"/>
          </w:tcPr>
          <w:p>
            <w:pPr>
              <w:pStyle w:val="15"/>
            </w:pPr>
            <w:r>
              <w:t>保障供暖水平提升的情况</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改善改造村庄周围生态环境</w:t>
            </w:r>
          </w:p>
        </w:tc>
        <w:tc>
          <w:tcPr>
            <w:tcW w:w="2891" w:type="dxa"/>
            <w:vAlign w:val="center"/>
          </w:tcPr>
          <w:p>
            <w:pPr>
              <w:pStyle w:val="15"/>
            </w:pPr>
            <w:r>
              <w:t>改善改造村庄周围生态环境</w:t>
            </w:r>
          </w:p>
        </w:tc>
        <w:tc>
          <w:tcPr>
            <w:tcW w:w="1276" w:type="dxa"/>
            <w:vAlign w:val="center"/>
          </w:tcPr>
          <w:p>
            <w:pPr>
              <w:pStyle w:val="15"/>
            </w:pPr>
            <w:r>
              <w:t>改善改造村庄周围生态环境</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改善市民居住条件</w:t>
            </w:r>
          </w:p>
        </w:tc>
        <w:tc>
          <w:tcPr>
            <w:tcW w:w="2891" w:type="dxa"/>
            <w:vAlign w:val="center"/>
          </w:tcPr>
          <w:p>
            <w:pPr>
              <w:pStyle w:val="15"/>
            </w:pPr>
            <w:r>
              <w:t>改善市民居住条件</w:t>
            </w:r>
          </w:p>
        </w:tc>
        <w:tc>
          <w:tcPr>
            <w:tcW w:w="1276" w:type="dxa"/>
            <w:vAlign w:val="center"/>
          </w:tcPr>
          <w:p>
            <w:pPr>
              <w:pStyle w:val="15"/>
            </w:pPr>
            <w:r>
              <w:t>改善市民居住条件</w:t>
            </w:r>
          </w:p>
        </w:tc>
        <w:tc>
          <w:tcPr>
            <w:tcW w:w="1843" w:type="dxa"/>
            <w:vAlign w:val="center"/>
          </w:tcPr>
          <w:p>
            <w:pPr>
              <w:pStyle w:val="15"/>
            </w:pPr>
            <w:r>
              <w:t>按照遵办字（2019）年34号文件职能配置和城市建设安排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受益群体调查中，满意和较满意的人数占全部调查人数的比率</w:t>
            </w:r>
          </w:p>
        </w:tc>
        <w:tc>
          <w:tcPr>
            <w:tcW w:w="1276" w:type="dxa"/>
            <w:vAlign w:val="center"/>
          </w:tcPr>
          <w:p>
            <w:pPr>
              <w:pStyle w:val="15"/>
            </w:pPr>
            <w:r>
              <w:t>≥90%百分比，受益群体调查中，满意和较满意的人数占全部调查人数的比率</w:t>
            </w:r>
          </w:p>
        </w:tc>
        <w:tc>
          <w:tcPr>
            <w:tcW w:w="1843" w:type="dxa"/>
            <w:vAlign w:val="center"/>
          </w:tcPr>
          <w:p>
            <w:pPr>
              <w:pStyle w:val="15"/>
            </w:pPr>
            <w:r>
              <w:t>按照遵办字（2019）年34号文件职能配置和城市建设安排</w:t>
            </w:r>
          </w:p>
        </w:tc>
      </w:tr>
    </w:tbl>
    <w:p>
      <w:pPr>
        <w:sectPr>
          <w:pgSz w:w="11900" w:h="16840"/>
          <w:pgMar w:top="1984" w:right="1304" w:bottom="1134" w:left="1304" w:header="720" w:footer="720" w:gutter="0"/>
          <w:pgNumType w:fmt="decimal"/>
          <w:cols w:space="720" w:num="1"/>
        </w:sectPr>
      </w:pPr>
    </w:p>
    <w:p>
      <w:pPr>
        <w:spacing w:before="0" w:after="0"/>
        <w:ind w:firstLine="560"/>
        <w:jc w:val="left"/>
        <w:outlineLvl w:val="3"/>
      </w:pPr>
      <w:bookmarkStart w:id="7" w:name="_Toc_4_4_0000000013"/>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.人防规划编制和设施维护等费用绩效目标表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13028123P000134100021</w:t>
            </w:r>
          </w:p>
        </w:tc>
        <w:tc>
          <w:tcPr>
            <w:tcW w:w="1587" w:type="dxa"/>
            <w:vAlign w:val="center"/>
          </w:tcPr>
          <w:p>
            <w:pPr>
              <w:pStyle w:val="16"/>
            </w:pPr>
            <w:r>
              <w:t>项目名称</w:t>
            </w:r>
          </w:p>
        </w:tc>
        <w:tc>
          <w:tcPr>
            <w:tcW w:w="4422" w:type="dxa"/>
            <w:gridSpan w:val="3"/>
            <w:vAlign w:val="center"/>
          </w:tcPr>
          <w:p>
            <w:pPr>
              <w:pStyle w:val="15"/>
            </w:pPr>
            <w:r>
              <w:t>人防规划编制和设施维护等费用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预算资金30万元，其中财政资金30万元，其他资金0万元，用于保障人防工作顺利运转；完善人防规划和防空方案，提升人防建设与管理水平。。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1.通过该项目的实施，进一步确保人防设施安全，提供良好的人防管理环境；保障人防工作顺利运转；完善人防规划和防空方案，提升人防建设与管理水平。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项目成果</w:t>
            </w:r>
          </w:p>
        </w:tc>
        <w:tc>
          <w:tcPr>
            <w:tcW w:w="2891" w:type="dxa"/>
            <w:vAlign w:val="center"/>
          </w:tcPr>
          <w:p>
            <w:pPr>
              <w:pStyle w:val="15"/>
            </w:pPr>
            <w:r>
              <w:t>项目成果數</w:t>
            </w:r>
          </w:p>
        </w:tc>
        <w:tc>
          <w:tcPr>
            <w:tcW w:w="1276" w:type="dxa"/>
            <w:vAlign w:val="center"/>
          </w:tcPr>
          <w:p>
            <w:pPr>
              <w:pStyle w:val="15"/>
            </w:pPr>
            <w:r>
              <w:t>5套數</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验收的数据量占检查总量的比率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人防设施维护按期完成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拉动周边区域经济增长率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保障城市建设业务顺利开展</w:t>
            </w:r>
          </w:p>
        </w:tc>
        <w:tc>
          <w:tcPr>
            <w:tcW w:w="1276" w:type="dxa"/>
            <w:vAlign w:val="center"/>
          </w:tcPr>
          <w:p>
            <w:pPr>
              <w:pStyle w:val="15"/>
            </w:pPr>
            <w:r>
              <w:t>保障城市建设业务顺利开展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不影响项目周围生态环境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改善城市项目实施条件</w:t>
            </w:r>
          </w:p>
        </w:tc>
        <w:tc>
          <w:tcPr>
            <w:tcW w:w="2891" w:type="dxa"/>
            <w:vAlign w:val="center"/>
          </w:tcPr>
          <w:p>
            <w:pPr>
              <w:pStyle w:val="15"/>
            </w:pPr>
            <w:r>
              <w:t>改善城市项目实施条件</w:t>
            </w:r>
          </w:p>
        </w:tc>
        <w:tc>
          <w:tcPr>
            <w:tcW w:w="1276" w:type="dxa"/>
            <w:vAlign w:val="center"/>
          </w:tcPr>
          <w:p>
            <w:pPr>
              <w:pStyle w:val="15"/>
            </w:pPr>
            <w:r>
              <w:t>助推城市建设项目科学实施</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pPr>
        <w:sectPr>
          <w:pgSz w:w="11900" w:h="16840"/>
          <w:pgMar w:top="1984" w:right="1304" w:bottom="1134" w:left="1304" w:header="720" w:footer="720" w:gutter="0"/>
          <w:pgNumType w:fmt="decimal"/>
          <w:cols w:space="720" w:num="1"/>
        </w:sectPr>
      </w:pPr>
    </w:p>
    <w:p>
      <w:pPr>
        <w:spacing w:before="0" w:after="0"/>
        <w:ind w:firstLine="560"/>
        <w:jc w:val="left"/>
        <w:outlineLvl w:val="3"/>
      </w:pPr>
      <w:bookmarkStart w:id="8" w:name="_Toc_4_4_0000000014"/>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.业务培训费及建筑扬尘监控平台维护费绩效目标表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333001遵化市住房和城乡建设局本级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13028123P000126100025</w:t>
            </w:r>
          </w:p>
        </w:tc>
        <w:tc>
          <w:tcPr>
            <w:tcW w:w="1587" w:type="dxa"/>
            <w:vAlign w:val="center"/>
          </w:tcPr>
          <w:p>
            <w:pPr>
              <w:pStyle w:val="16"/>
            </w:pPr>
            <w:r>
              <w:t>项目名称</w:t>
            </w:r>
          </w:p>
        </w:tc>
        <w:tc>
          <w:tcPr>
            <w:tcW w:w="4422" w:type="dxa"/>
            <w:gridSpan w:val="3"/>
            <w:vAlign w:val="center"/>
          </w:tcPr>
          <w:p>
            <w:pPr>
              <w:pStyle w:val="15"/>
            </w:pPr>
            <w:r>
              <w:t>业务培训费及建筑扬尘监控平台维护费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18.00</w:t>
            </w:r>
          </w:p>
        </w:tc>
        <w:tc>
          <w:tcPr>
            <w:tcW w:w="1587" w:type="dxa"/>
            <w:vAlign w:val="center"/>
          </w:tcPr>
          <w:p>
            <w:pPr>
              <w:pStyle w:val="16"/>
            </w:pPr>
            <w:r>
              <w:t>其中：财政    资金</w:t>
            </w:r>
          </w:p>
        </w:tc>
        <w:tc>
          <w:tcPr>
            <w:tcW w:w="1304" w:type="dxa"/>
            <w:vAlign w:val="center"/>
          </w:tcPr>
          <w:p>
            <w:pPr>
              <w:pStyle w:val="15"/>
            </w:pPr>
            <w:r>
              <w:t>18.00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18万元，其中财政资金18万元，其它资金0万元，主要用于保障机关运转，做好工作调研、城市宣传、队伍培训、会议安排；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1.通过该项目的顺利实施，保障机关运转，做好工作调研、城市宣传、队伍培训、会议安排；保障城乡建设和行政执法各项工作的顺利开展，进一步提高办公效能，促进城乡建设科学有序发展。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项目成果</w:t>
            </w:r>
          </w:p>
        </w:tc>
        <w:tc>
          <w:tcPr>
            <w:tcW w:w="2891" w:type="dxa"/>
            <w:vAlign w:val="center"/>
          </w:tcPr>
          <w:p>
            <w:pPr>
              <w:pStyle w:val="15"/>
            </w:pPr>
            <w:r>
              <w:t>项目成果數</w:t>
            </w:r>
          </w:p>
        </w:tc>
        <w:tc>
          <w:tcPr>
            <w:tcW w:w="1276" w:type="dxa"/>
            <w:vAlign w:val="center"/>
          </w:tcPr>
          <w:p>
            <w:pPr>
              <w:pStyle w:val="15"/>
            </w:pPr>
            <w:r>
              <w:t>6项</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数据验收合格率（%）</w:t>
            </w:r>
          </w:p>
        </w:tc>
        <w:tc>
          <w:tcPr>
            <w:tcW w:w="2891" w:type="dxa"/>
            <w:vAlign w:val="center"/>
          </w:tcPr>
          <w:p>
            <w:pPr>
              <w:pStyle w:val="15"/>
            </w:pPr>
            <w:r>
              <w:t>验收的数据量占调查总量的比率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调研按期完成</w:t>
            </w:r>
          </w:p>
        </w:tc>
        <w:tc>
          <w:tcPr>
            <w:tcW w:w="2891" w:type="dxa"/>
            <w:vAlign w:val="center"/>
          </w:tcPr>
          <w:p>
            <w:pPr>
              <w:pStyle w:val="15"/>
            </w:pPr>
            <w:r>
              <w:t>按合同約定完工</w:t>
            </w:r>
          </w:p>
        </w:tc>
        <w:tc>
          <w:tcPr>
            <w:tcW w:w="1276" w:type="dxa"/>
            <w:vAlign w:val="center"/>
          </w:tcPr>
          <w:p>
            <w:pPr>
              <w:pStyle w:val="15"/>
            </w:pPr>
            <w:r>
              <w:t>按合同約定完成</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拨付占预算的比率（%）</w:t>
            </w:r>
          </w:p>
        </w:tc>
        <w:tc>
          <w:tcPr>
            <w:tcW w:w="2891" w:type="dxa"/>
            <w:vAlign w:val="center"/>
          </w:tcPr>
          <w:p>
            <w:pPr>
              <w:pStyle w:val="15"/>
            </w:pPr>
            <w:r>
              <w:t>拨付占预算的比率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拉动经济增长</w:t>
            </w:r>
          </w:p>
        </w:tc>
        <w:tc>
          <w:tcPr>
            <w:tcW w:w="2891" w:type="dxa"/>
            <w:vAlign w:val="center"/>
          </w:tcPr>
          <w:p>
            <w:pPr>
              <w:pStyle w:val="15"/>
            </w:pPr>
            <w:r>
              <w:t>助推建筑经济增长率</w:t>
            </w:r>
          </w:p>
        </w:tc>
        <w:tc>
          <w:tcPr>
            <w:tcW w:w="1276" w:type="dxa"/>
            <w:vAlign w:val="center"/>
          </w:tcPr>
          <w:p>
            <w:pPr>
              <w:pStyle w:val="15"/>
            </w:pPr>
            <w:r>
              <w:t>≥10%百分比</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保障建设项目顺利开展</w:t>
            </w:r>
          </w:p>
        </w:tc>
        <w:tc>
          <w:tcPr>
            <w:tcW w:w="1276" w:type="dxa"/>
            <w:vAlign w:val="center"/>
          </w:tcPr>
          <w:p>
            <w:pPr>
              <w:pStyle w:val="15"/>
            </w:pPr>
            <w:r>
              <w:t>保障建设项目顺利开展</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改善项目周围生态环境</w:t>
            </w:r>
          </w:p>
        </w:tc>
        <w:tc>
          <w:tcPr>
            <w:tcW w:w="2891" w:type="dxa"/>
            <w:vAlign w:val="center"/>
          </w:tcPr>
          <w:p>
            <w:pPr>
              <w:pStyle w:val="15"/>
            </w:pPr>
            <w:r>
              <w:t>改善项目周围生态环境</w:t>
            </w:r>
          </w:p>
        </w:tc>
        <w:tc>
          <w:tcPr>
            <w:tcW w:w="1276" w:type="dxa"/>
            <w:vAlign w:val="center"/>
          </w:tcPr>
          <w:p>
            <w:pPr>
              <w:pStyle w:val="15"/>
            </w:pPr>
            <w:r>
              <w:t>不影响周围生态环境</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提升机关执行力</w:t>
            </w:r>
          </w:p>
        </w:tc>
        <w:tc>
          <w:tcPr>
            <w:tcW w:w="2891" w:type="dxa"/>
            <w:vAlign w:val="center"/>
          </w:tcPr>
          <w:p>
            <w:pPr>
              <w:pStyle w:val="15"/>
            </w:pPr>
            <w:r>
              <w:t>提升机关执行力</w:t>
            </w:r>
          </w:p>
        </w:tc>
        <w:tc>
          <w:tcPr>
            <w:tcW w:w="1276" w:type="dxa"/>
            <w:vAlign w:val="center"/>
          </w:tcPr>
          <w:p>
            <w:pPr>
              <w:pStyle w:val="15"/>
            </w:pPr>
            <w:r>
              <w:t>提升机关执行力</w:t>
            </w:r>
          </w:p>
        </w:tc>
        <w:tc>
          <w:tcPr>
            <w:tcW w:w="1843" w:type="dxa"/>
            <w:vAlign w:val="center"/>
          </w:tcPr>
          <w:p>
            <w:pPr>
              <w:pStyle w:val="15"/>
            </w:pPr>
            <w: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受益群体满意度（%）</w:t>
            </w:r>
          </w:p>
        </w:tc>
        <w:tc>
          <w:tcPr>
            <w:tcW w:w="2891" w:type="dxa"/>
            <w:vAlign w:val="center"/>
          </w:tcPr>
          <w:p>
            <w:pPr>
              <w:pStyle w:val="15"/>
            </w:pPr>
            <w:r>
              <w:t>调查中满意和较满意的人数占全部调查人数的比率</w:t>
            </w:r>
          </w:p>
        </w:tc>
        <w:tc>
          <w:tcPr>
            <w:tcW w:w="1276" w:type="dxa"/>
            <w:vAlign w:val="center"/>
          </w:tcPr>
          <w:p>
            <w:pPr>
              <w:pStyle w:val="15"/>
            </w:pPr>
            <w:r>
              <w:t>≥90%百分比，</w:t>
            </w:r>
          </w:p>
        </w:tc>
        <w:tc>
          <w:tcPr>
            <w:tcW w:w="1843" w:type="dxa"/>
            <w:vAlign w:val="center"/>
          </w:tcPr>
          <w:p>
            <w:pPr>
              <w:pStyle w:val="15"/>
            </w:pPr>
            <w:r>
              <w:t>按照遵办字（2019）年34号文件和城市建设投资安排</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000000"/>
    <w:rsid w:val="058D5D9C"/>
    <w:rsid w:val="0B2F3588"/>
    <w:rsid w:val="149C74EA"/>
    <w:rsid w:val="19667D8B"/>
    <w:rsid w:val="1A690F26"/>
    <w:rsid w:val="31562849"/>
    <w:rsid w:val="3E045AE2"/>
    <w:rsid w:val="4C2306D3"/>
    <w:rsid w:val="515F6B28"/>
    <w:rsid w:val="517C1B21"/>
    <w:rsid w:val="5F8A08FF"/>
    <w:rsid w:val="60066E64"/>
    <w:rsid w:val="62C06D65"/>
    <w:rsid w:val="638C55EA"/>
    <w:rsid w:val="647D40B3"/>
    <w:rsid w:val="69057019"/>
    <w:rsid w:val="6A001F86"/>
    <w:rsid w:val="6BA44253"/>
    <w:rsid w:val="73B74E5A"/>
    <w:rsid w:val="797B5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2023-02-28T11:21:24Z</dcterms:created>
  <dcterms:modified xsi:type="dcterms:W3CDTF">2023-02-28T03:21:24Z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2023-02-28T11:21:28Z</dcterms:created>
  <dcterms:modified xsi:type="dcterms:W3CDTF">2023-02-28T03:21:28Z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2023-02-28T11:21:28Z</dcterms:created>
  <dcterms:modified xsi:type="dcterms:W3CDTF">2023-02-28T03:21:28Z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2023-02-28T11:21:28Z</dcterms:created>
  <dcterms:modified xsi:type="dcterms:W3CDTF">2023-02-28T03:21:28Z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2023-02-28T11:21:23Z</dcterms:created>
  <dcterms:modified xsi:type="dcterms:W3CDTF">2023-02-28T03:21:22Z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2023-02-28T11:21:29Z</dcterms:created>
  <dcterms:modified xsi:type="dcterms:W3CDTF">2023-02-28T03:21:28Z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2023-02-28T11:21:22Z</dcterms:created>
  <dcterms:modified xsi:type="dcterms:W3CDTF">2023-02-28T03:21:22Z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2023-02-28T11:21:22Z</dcterms:created>
  <dcterms:modified xsi:type="dcterms:W3CDTF">2023-02-28T03:21:22Z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2023-02-28T11:21:22Z</dcterms:created>
  <dcterms:modified xsi:type="dcterms:W3CDTF">2023-02-28T03:21:22Z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2023-02-28T11:21:22Z</dcterms:created>
  <dcterms:modified xsi:type="dcterms:W3CDTF">2023-02-28T03:21:22Z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2023-02-28T11:21:23Z</dcterms:created>
  <dcterms:modified xsi:type="dcterms:W3CDTF">2023-02-28T03:21:23Z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2023-02-28T11:21:23Z</dcterms:created>
  <dcterms:modified xsi:type="dcterms:W3CDTF">2023-02-28T03:21:23Z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2023-02-28T11:21:23Z</dcterms:created>
  <dcterms:modified xsi:type="dcterms:W3CDTF">2023-02-28T03:21:23Z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813198-7a79-4d79-b2a0-1d2550acddbc}">
  <ds:schemaRefs/>
</ds:datastoreItem>
</file>

<file path=customXml/itemProps11.xml><?xml version="1.0" encoding="utf-8"?>
<ds:datastoreItem xmlns:ds="http://schemas.openxmlformats.org/officeDocument/2006/customXml" ds:itemID="{b2faa66f-ea5a-4e13-ac54-c6d1fced6b11}">
  <ds:schemaRefs/>
</ds:datastoreItem>
</file>

<file path=customXml/itemProps12.xml><?xml version="1.0" encoding="utf-8"?>
<ds:datastoreItem xmlns:ds="http://schemas.openxmlformats.org/officeDocument/2006/customXml" ds:itemID="{72fa695c-1a2f-41dd-9b81-0550968005b5}">
  <ds:schemaRefs/>
</ds:datastoreItem>
</file>

<file path=customXml/itemProps13.xml><?xml version="1.0" encoding="utf-8"?>
<ds:datastoreItem xmlns:ds="http://schemas.openxmlformats.org/officeDocument/2006/customXml" ds:itemID="{66b0f3b4-61df-430f-affb-d9df64fbe096}">
  <ds:schemaRefs/>
</ds:datastoreItem>
</file>

<file path=customXml/itemProps14.xml><?xml version="1.0" encoding="utf-8"?>
<ds:datastoreItem xmlns:ds="http://schemas.openxmlformats.org/officeDocument/2006/customXml" ds:itemID="{7076db7b-b5e2-48c8-90fe-80885ea0e390}">
  <ds:schemaRefs/>
</ds:datastoreItem>
</file>

<file path=customXml/itemProps15.xml><?xml version="1.0" encoding="utf-8"?>
<ds:datastoreItem xmlns:ds="http://schemas.openxmlformats.org/officeDocument/2006/customXml" ds:itemID="{2992997c-9bb8-4974-8f1d-bb616e0cd42f}">
  <ds:schemaRefs/>
</ds:datastoreItem>
</file>

<file path=customXml/itemProps16.xml><?xml version="1.0" encoding="utf-8"?>
<ds:datastoreItem xmlns:ds="http://schemas.openxmlformats.org/officeDocument/2006/customXml" ds:itemID="{ade4835f-f609-406b-bec1-40c5af349754}">
  <ds:schemaRefs/>
</ds:datastoreItem>
</file>

<file path=customXml/itemProps17.xml><?xml version="1.0" encoding="utf-8"?>
<ds:datastoreItem xmlns:ds="http://schemas.openxmlformats.org/officeDocument/2006/customXml" ds:itemID="{ed3f719f-69ec-481e-92ba-7eab7674445b}">
  <ds:schemaRefs/>
</ds:datastoreItem>
</file>

<file path=customXml/itemProps18.xml><?xml version="1.0" encoding="utf-8"?>
<ds:datastoreItem xmlns:ds="http://schemas.openxmlformats.org/officeDocument/2006/customXml" ds:itemID="{49f33abe-4b9e-40e0-9148-dc8caf249877}">
  <ds:schemaRefs/>
</ds:datastoreItem>
</file>

<file path=customXml/itemProps19.xml><?xml version="1.0" encoding="utf-8"?>
<ds:datastoreItem xmlns:ds="http://schemas.openxmlformats.org/officeDocument/2006/customXml" ds:itemID="{0f0500ab-cec6-448b-94f8-ff9b2036f9ee}">
  <ds:schemaRefs/>
</ds:datastoreItem>
</file>

<file path=customXml/itemProps2.xml><?xml version="1.0" encoding="utf-8"?>
<ds:datastoreItem xmlns:ds="http://schemas.openxmlformats.org/officeDocument/2006/customXml" ds:itemID="{46ef43b5-80e4-46b5-8666-f6f35fc12c7b}">
  <ds:schemaRefs/>
</ds:datastoreItem>
</file>

<file path=customXml/itemProps20.xml><?xml version="1.0" encoding="utf-8"?>
<ds:datastoreItem xmlns:ds="http://schemas.openxmlformats.org/officeDocument/2006/customXml" ds:itemID="{2b194148-56e0-45b3-8be0-d0dfdda7fbdf}">
  <ds:schemaRefs/>
</ds:datastoreItem>
</file>

<file path=customXml/itemProps21.xml><?xml version="1.0" encoding="utf-8"?>
<ds:datastoreItem xmlns:ds="http://schemas.openxmlformats.org/officeDocument/2006/customXml" ds:itemID="{00e6b9aa-e553-41bf-ba0c-74a07b95dcba}">
  <ds:schemaRefs/>
</ds:datastoreItem>
</file>

<file path=customXml/itemProps22.xml><?xml version="1.0" encoding="utf-8"?>
<ds:datastoreItem xmlns:ds="http://schemas.openxmlformats.org/officeDocument/2006/customXml" ds:itemID="{7608a1e6-f275-4da2-b00e-0a31aa917013}">
  <ds:schemaRefs/>
</ds:datastoreItem>
</file>

<file path=customXml/itemProps23.xml><?xml version="1.0" encoding="utf-8"?>
<ds:datastoreItem xmlns:ds="http://schemas.openxmlformats.org/officeDocument/2006/customXml" ds:itemID="{bfce63f1-b9dd-4e29-a073-16695f121140}">
  <ds:schemaRefs/>
</ds:datastoreItem>
</file>

<file path=customXml/itemProps24.xml><?xml version="1.0" encoding="utf-8"?>
<ds:datastoreItem xmlns:ds="http://schemas.openxmlformats.org/officeDocument/2006/customXml" ds:itemID="{2670535a-5c9b-41b1-9689-c2bd4466fd46}">
  <ds:schemaRefs/>
</ds:datastoreItem>
</file>

<file path=customXml/itemProps25.xml><?xml version="1.0" encoding="utf-8"?>
<ds:datastoreItem xmlns:ds="http://schemas.openxmlformats.org/officeDocument/2006/customXml" ds:itemID="{b22180e8-ed8e-4489-9b27-fd3252652a4b}">
  <ds:schemaRefs/>
</ds:datastoreItem>
</file>

<file path=customXml/itemProps26.xml><?xml version="1.0" encoding="utf-8"?>
<ds:datastoreItem xmlns:ds="http://schemas.openxmlformats.org/officeDocument/2006/customXml" ds:itemID="{340d4f37-05c7-4041-a02c-8fe17b5ccd63}">
  <ds:schemaRefs/>
</ds:datastoreItem>
</file>

<file path=customXml/itemProps27.xml><?xml version="1.0" encoding="utf-8"?>
<ds:datastoreItem xmlns:ds="http://schemas.openxmlformats.org/officeDocument/2006/customXml" ds:itemID="{e9c0dd5a-9a34-4f6d-94c8-0d81fb53a241}">
  <ds:schemaRefs/>
</ds:datastoreItem>
</file>

<file path=customXml/itemProps3.xml><?xml version="1.0" encoding="utf-8"?>
<ds:datastoreItem xmlns:ds="http://schemas.openxmlformats.org/officeDocument/2006/customXml" ds:itemID="{12b78713-e445-440f-9286-82f88434482e}">
  <ds:schemaRefs/>
</ds:datastoreItem>
</file>

<file path=customXml/itemProps4.xml><?xml version="1.0" encoding="utf-8"?>
<ds:datastoreItem xmlns:ds="http://schemas.openxmlformats.org/officeDocument/2006/customXml" ds:itemID="{bac8a3ff-6b86-4f1a-8fd1-23b2220a1f41}">
  <ds:schemaRefs/>
</ds:datastoreItem>
</file>

<file path=customXml/itemProps5.xml><?xml version="1.0" encoding="utf-8"?>
<ds:datastoreItem xmlns:ds="http://schemas.openxmlformats.org/officeDocument/2006/customXml" ds:itemID="{5dc21e27-88b2-42de-9ad5-0dc185ad22fc}">
  <ds:schemaRefs/>
</ds:datastoreItem>
</file>

<file path=customXml/itemProps6.xml><?xml version="1.0" encoding="utf-8"?>
<ds:datastoreItem xmlns:ds="http://schemas.openxmlformats.org/officeDocument/2006/customXml" ds:itemID="{ef47f14a-b5b7-4aee-9a40-4655da52ee7c}">
  <ds:schemaRefs/>
</ds:datastoreItem>
</file>

<file path=customXml/itemProps7.xml><?xml version="1.0" encoding="utf-8"?>
<ds:datastoreItem xmlns:ds="http://schemas.openxmlformats.org/officeDocument/2006/customXml" ds:itemID="{c5384377-a7ab-479d-9595-8dec44bde19b}">
  <ds:schemaRefs/>
</ds:datastoreItem>
</file>

<file path=customXml/itemProps8.xml><?xml version="1.0" encoding="utf-8"?>
<ds:datastoreItem xmlns:ds="http://schemas.openxmlformats.org/officeDocument/2006/customXml" ds:itemID="{d2cf761b-5381-4535-9591-cc9c03793c0f}">
  <ds:schemaRefs/>
</ds:datastoreItem>
</file>

<file path=customXml/itemProps9.xml><?xml version="1.0" encoding="utf-8"?>
<ds:datastoreItem xmlns:ds="http://schemas.openxmlformats.org/officeDocument/2006/customXml" ds:itemID="{b787073f-41a6-46bf-88b0-7c5f00f2c679}">
  <ds:schemaRefs/>
</ds:datastoreItem>
</file>

<file path=docProps/app.xml><?xml version="1.0" encoding="utf-8"?>
<Properties xmlns="http://schemas.openxmlformats.org/officeDocument/2006/extended-properties" xmlns:vt="http://schemas.openxmlformats.org/officeDocument/2006/docPropsVTypes">
  <Pages>23</Pages>
  <Words>8393</Words>
  <Characters>8988</Characters>
  <TotalTime>12</TotalTime>
  <ScaleCrop>false</ScaleCrop>
  <LinksUpToDate>false</LinksUpToDate>
  <CharactersWithSpaces>9074</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2023-02-28T11:21:00Z</dcterms:created>
  <dc:creator>lenovo</dc:creator>
  <cp:lastModifiedBy>Administrator</cp:lastModifiedBy>
  <cp:lastPrinted>2023-03-09T08:00:00Z</cp:lastPrinted>
  <dcterms:modified xsi:type="dcterms:W3CDTF">2024-03-18T23:46:13Z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D24C4DFA778E4E35AAEA32E75DAA833D</vt:lpwstr>
  </property>
</Properties>
</file>