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0" w:lineRule="exact"/>
        <w:jc w:val="center"/>
        <w:outlineLvl w:val="0"/>
        <w:rPr>
          <w:rFonts w:ascii="方正小标宋简体" w:eastAsia="方正小标宋简体" w:hAnsi="宋体"/>
          <w:b/>
          <w:sz w:val="44"/>
        </w:rPr>
      </w:pPr>
      <w:r>
        <w:rPr>
          <w:rFonts w:ascii="方正小标宋简体" w:eastAsia="方正小标宋简体" w:hint="eastAsia"/>
          <w:b/>
          <w:sz w:val="44"/>
        </w:rPr>
        <w:t>2022年单位预算信息公开目录</w:t>
      </w:r>
    </w:p>
    <w:p>
      <w:pPr>
        <w:spacing w:line="570" w:lineRule="exact"/>
        <w:jc w:val="center"/>
        <w:rPr>
          <w:rFonts w:ascii="Times New Roman" w:hAnsi="宋体"/>
          <w:b/>
          <w:sz w:val="30"/>
        </w:rPr>
      </w:pPr>
    </w:p>
    <w:p>
      <w:pPr>
        <w:spacing w:line="570" w:lineRule="exact"/>
        <w:jc w:val="left"/>
        <w:rPr>
          <w:rFonts w:ascii="方正黑体简体" w:eastAsia="方正黑体简体" w:hAnsi="宋体"/>
          <w:b/>
          <w:sz w:val="32"/>
          <w:szCs w:val="32"/>
        </w:rPr>
      </w:pPr>
      <w:r>
        <w:rPr>
          <w:rFonts w:ascii="方正黑体简体" w:eastAsia="方正黑体简体" w:hint="eastAsia"/>
          <w:b/>
          <w:sz w:val="32"/>
          <w:szCs w:val="32"/>
        </w:rPr>
        <w:t>预算公开表</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hint="eastAsia"/>
          <w:sz w:val="32"/>
          <w:szCs w:val="32"/>
        </w:rPr>
        <w:fldChar w:fldCharType="begin"/>
      </w:r>
      <w:r>
        <w:rPr>
          <w:rFonts w:ascii="方正楷体简体" w:eastAsia="方正楷体简体" w:hint="eastAsia"/>
          <w:sz w:val="32"/>
          <w:szCs w:val="32"/>
        </w:rPr>
        <w:instrText xml:space="preserve"> TOC \o "2-2" \h \z \u \t "-1" </w:instrText>
      </w:r>
      <w:r>
        <w:rPr>
          <w:rFonts w:ascii="方正楷体简体" w:eastAsia="方正楷体简体" w:hint="eastAsia"/>
          <w:sz w:val="32"/>
          <w:szCs w:val="32"/>
        </w:rPr>
        <w:fldChar w:fldCharType="separate"/>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"_Toc68791536"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本级预算收支总表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"_Toc68791537"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本级预算收入总表</w:t>
      </w:r>
      <w:r>
        <w:rPr>
          <w:rFonts w:ascii="方正楷体简体" w:eastAsia="方正楷体简体" w:cs="方正楷体简体" w:hAnsi="方正楷体简体" w:hint="eastAsia"/>
          <w:sz w:val="32"/>
          <w:szCs w:val="32"/>
        </w:rPr>
        <w:tab/>
        <w:t>4</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"_Toc68791538"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本级预算支出总表</w:t>
      </w:r>
      <w:r>
        <w:rPr>
          <w:rFonts w:ascii="方正楷体简体" w:eastAsia="方正楷体简体" w:cs="方正楷体简体" w:hAnsi="方正楷体简体" w:hint="eastAsia"/>
          <w:sz w:val="32"/>
          <w:szCs w:val="32"/>
        </w:rPr>
        <w:tab/>
        <w:t>6</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"_Toc68791539"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本级预算财政拨款收支总表</w:t>
      </w:r>
      <w:r>
        <w:rPr>
          <w:rFonts w:ascii="方正楷体简体" w:eastAsia="方正楷体简体" w:cs="方正楷体简体" w:hAnsi="方正楷体简体" w:hint="eastAsia"/>
          <w:sz w:val="32"/>
          <w:szCs w:val="32"/>
        </w:rPr>
        <w:tab/>
        <w:t>8</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"_Toc68791540"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本级预算一般公共预算财政拨款支出表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本级预算一般公共预算财政拨款基本支出表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4</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"_Toc68791542"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本级预算政府基金预算财政拨款支出表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6</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"_Toc68791543"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本级预算国有资本经营预算财政拨款支出表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7</w:t>
      </w:r>
    </w:p>
    <w:p>
      <w:pPr>
        <w:pStyle w:val="19"/>
        <w:tabs>
          <w:tab w:val="right" w:leader="dot" w:pos="14789"/>
        </w:tabs>
        <w:spacing w:line="570" w:lineRule="exact"/>
        <w:jc w:val="center"/>
        <w:rPr>
          <w:rFonts w:ascii="方正楷体简体" w:eastAsia="方正楷体简体"/>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"_Toc68791544"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本级预算财政拨款“三公”经费支出表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hint="eastAsia"/>
          <w:color w:val="auto"/>
          <w:sz w:val="32"/>
          <w:szCs w:val="32"/>
          <w:u w:val="none"/>
        </w:rPr>
        <w:t>8</w:t>
      </w:r>
    </w:p>
    <w:p>
      <w:pPr>
        <w:spacing w:line="570" w:lineRule="exact"/>
        <w:ind w:leftChars="200" w:left="420"/>
        <w:jc w:val="center"/>
        <w:rPr>
          <w:rFonts w:ascii="方正楷体简体" w:eastAsia="方正楷体简体" w:hAnsi="宋体"/>
          <w:sz w:val="32"/>
          <w:szCs w:val="32"/>
        </w:rPr>
      </w:pPr>
      <w:r>
        <w:rPr>
          <w:rFonts w:ascii="方正楷体简体" w:eastAsia="方正楷体简体" w:hint="eastAsia"/>
          <w:sz w:val="32"/>
          <w:szCs w:val="32"/>
        </w:rPr>
        <w:fldChar w:fldCharType="end"/>
      </w:r>
    </w:p>
    <w:p>
      <w:pPr>
        <w:spacing w:line="570" w:lineRule="exact"/>
        <w:jc w:val="left"/>
        <w:rPr>
          <w:rFonts w:ascii="方正黑体简体" w:eastAsia="方正黑体简体" w:hAnsi="宋体"/>
          <w:b/>
          <w:sz w:val="32"/>
          <w:szCs w:val="32"/>
        </w:rPr>
      </w:pPr>
      <w:r>
        <w:rPr>
          <w:rFonts w:ascii="方正黑体简体" w:eastAsia="方正黑体简体" w:hint="eastAsia"/>
          <w:b/>
          <w:sz w:val="32"/>
          <w:szCs w:val="32"/>
        </w:rPr>
        <w:t>本级预算信息公开情况说明</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TOC \o "3-3" \h \z \u \t "-1"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"_Toc68791545"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一、本级职责及机构设置情况</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9</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"_Toc68791546"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二、本级预算安排的总体情况</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0</w:t>
      </w:r>
    </w:p>
    <w:p>
      <w:pPr>
        <w:pStyle w:val="15"/>
        <w:tabs>
          <w:tab w:val="right" w:leader="dot" w:pos="14789"/>
        </w:tabs>
        <w:spacing w:line="570" w:lineRule="exact"/>
        <w:ind w:leftChars="200" w:left="420"/>
        <w:jc w:val="center"/>
        <w:rPr>
          <w:rStyle w:val="21"/>
          <w:rFonts w:ascii="方正楷体简体" w:eastAsia="方正楷体简体" w:cs="方正楷体简体" w:hAnsi="方正楷体简体" w:hint="eastAsia"/>
          <w:color w:val="auto"/>
          <w:sz w:val="32"/>
          <w:szCs w:val="32"/>
          <w:u w:val="none"/>
        </w:rPr>
        <w:sectPr>
          <w:headerReference w:type="default" r:id="rId2"/>
          <w:footerReference w:type="default" r:id="rId3"/>
          <w:pgSz w:w="16839" w:h="11907" w:orient="landscape"/>
          <w:pgMar w:top="680" w:right="1020" w:bottom="680" w:left="1020" w:header="851" w:footer="992" w:gutter="0"/>
          <w:cols w:num="1" w:space="720"/>
          <w:docGrid w:type="lines" w:linePitch="312" w:charSpace="0"/>
        </w:sectPr>
      </w:pP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"_Toc68791547"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三、机关运行经费安排情况</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1</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"_Toc68791548"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四、财政拨款“三公”经费预算情况及增减变化原因</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1</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"_Toc68791549"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五、预算绩效信息</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"_Toc68791550"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六、政府采购预算情况</w:t>
      </w:r>
      <w:r>
        <w:rPr>
          <w:rFonts w:ascii="方正楷体简体" w:eastAsia="方正楷体简体" w:cs="方正楷体简体" w:hAnsi="方正楷体简体" w:hint="eastAsia"/>
          <w:sz w:val="32"/>
          <w:szCs w:val="32"/>
        </w:rPr>
        <w:tab/>
        <w:t>25</w:t>
      </w:r>
      <w:r>
        <w:rPr>
          <w:rFonts w:ascii="方正楷体简体" w:eastAsia="方正楷体简体" w:cs="方正楷体简体" w:hAnsi="方正楷体简体" w:hint="eastAsia"/>
          <w:sz w:val="32"/>
          <w:szCs w:val="32"/>
        </w:rPr>
        <w:fldChar w:fldCharType="end"/>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七、国有资产信息</w:t>
      </w:r>
      <w:r>
        <w:rPr>
          <w:rFonts w:ascii="方正楷体简体" w:eastAsia="方正楷体简体" w:cs="方正楷体简体" w:hAnsi="方正楷体简体" w:hint="eastAsia"/>
          <w:sz w:val="32"/>
          <w:szCs w:val="32"/>
        </w:rPr>
        <w:tab/>
        <w:t>25</w:t>
      </w:r>
      <w:r>
        <w:rPr>
          <w:rFonts w:ascii="方正楷体简体" w:eastAsia="方正楷体简体" w:cs="方正楷体简体" w:hAnsi="方正楷体简体" w:hint="eastAsia"/>
          <w:sz w:val="32"/>
          <w:szCs w:val="32"/>
        </w:rPr>
        <w:fldChar w:fldCharType="end"/>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"_Toc68791552"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八、名词解释</w:t>
      </w:r>
      <w:r>
        <w:rPr>
          <w:rFonts w:ascii="方正楷体简体" w:eastAsia="方正楷体简体" w:cs="方正楷体简体" w:hAnsi="方正楷体简体" w:hint="eastAsia"/>
          <w:sz w:val="32"/>
          <w:szCs w:val="32"/>
        </w:rPr>
        <w:tab/>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26</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"_Toc68791553"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九、其他需要说明的事项</w:t>
      </w:r>
      <w:r>
        <w:rPr>
          <w:rFonts w:ascii="方正楷体简体" w:eastAsia="方正楷体简体" w:cs="方正楷体简体" w:hAnsi="方正楷体简体" w:hint="eastAsia"/>
          <w:sz w:val="32"/>
          <w:szCs w:val="32"/>
        </w:rPr>
        <w:tab/>
        <w:t>27</w:t>
      </w:r>
      <w:r>
        <w:rPr>
          <w:rFonts w:ascii="方正楷体简体" w:eastAsia="方正楷体简体" w:cs="方正楷体简体" w:hAnsi="方正楷体简体" w:hint="eastAsia"/>
          <w:sz w:val="32"/>
          <w:szCs w:val="32"/>
        </w:rPr>
        <w:fldChar w:fldCharType="end"/>
      </w:r>
    </w:p>
    <w:p>
      <w:pPr>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end"/>
      </w:r>
    </w:p>
    <w:p>
      <w:pPr>
        <w:pStyle w:val="18"/>
        <w:tabs>
          <w:tab w:val="right" w:leader="dot" w:pos="14789"/>
        </w:tabs>
        <w:ind w:leftChars="200" w:left="420"/>
        <w:jc w:val="center"/>
        <w:rPr>
          <w:rFonts w:ascii="方正楷体简体" w:eastAsia="方正楷体简体" w:cs="方正楷体简体" w:hAnsi="方正楷体简体" w:hint="eastAsia"/>
          <w:sz w:val="32"/>
          <w:szCs w:val="32"/>
        </w:rPr>
      </w:pPr>
    </w:p>
    <w:p>
      <w:pPr>
        <w:ind w:leftChars="200" w:left="420"/>
        <w:jc w:val="center"/>
        <w:rPr>
          <w:rFonts w:ascii="方正楷体简体" w:eastAsia="方正楷体简体" w:cs="方正楷体简体" w:hAnsi="方正楷体简体" w:hint="eastAsia"/>
          <w:sz w:val="32"/>
          <w:szCs w:val="32"/>
        </w:rPr>
      </w:pPr>
    </w:p>
    <w:p>
      <w:pPr>
        <w:jc w:val="center"/>
        <w:rPr>
          <w:rFonts w:ascii="方正楷体简体" w:eastAsia="方正楷体简体" w:cs="方正楷体简体" w:hAnsi="方正楷体简体" w:hint="eastAsia"/>
          <w:sz w:val="32"/>
          <w:szCs w:val="32"/>
        </w:rPr>
      </w:pPr>
    </w:p>
    <w:p>
      <w:pPr>
        <w:ind w:firstLineChars="200" w:firstLine="640"/>
        <w:jc w:val="left"/>
        <w:rPr>
          <w:rFonts w:ascii="方正楷体简体" w:eastAsia="方正楷体简体" w:cs="方正楷体简体" w:hAnsi="方正楷体简体" w:hint="eastAsia"/>
          <w:sz w:val="32"/>
          <w:szCs w:val="32"/>
        </w:rPr>
      </w:pPr>
    </w:p>
    <w:p>
      <w:pPr>
        <w:spacing w:line="560" w:lineRule="exact"/>
        <w:jc w:val="left"/>
        <w:rPr>
          <w:rStyle w:val="21"/>
          <w:rFonts w:ascii="宋体" w:cs="宋体" w:hAnsi="宋体"/>
          <w:color w:val="auto"/>
          <w:sz w:val="28"/>
          <w:u w:val="none"/>
        </w:rPr>
      </w:pPr>
    </w:p>
    <w:p>
      <w:pPr>
        <w:spacing w:line="560" w:lineRule="exact"/>
        <w:jc w:val="left"/>
        <w:rPr>
          <w:rStyle w:val="21"/>
          <w:rFonts w:ascii="宋体" w:cs="宋体" w:hAnsi="宋体"/>
          <w:color w:val="auto"/>
          <w:sz w:val="28"/>
          <w:u w:val="none"/>
        </w:rPr>
      </w:pPr>
    </w:p>
    <w:p>
      <w:pPr>
        <w:spacing w:line="560" w:lineRule="exact"/>
        <w:jc w:val="left"/>
        <w:rPr>
          <w:rStyle w:val="21"/>
          <w:rFonts w:ascii="宋体" w:cs="宋体" w:hAnsi="宋体"/>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附表1-1</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预算收支总表</w:t>
      </w:r>
    </w:p>
    <w:p>
      <w:pPr>
        <w:spacing w:line="560" w:lineRule="exact"/>
        <w:ind w:firstLineChars="100" w:firstLine="24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 xml:space="preserve"> 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noWrap/>
            <w:vAlign w:val="center"/>
          </w:tcPr>
          <w:p>
            <w:pPr>
              <w:tabs>
                <w:tab w:val="left" w:pos="453"/>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790" w:type="dxa"/>
            <w:gridSpan w:val="2"/>
            <w:noWrap/>
            <w:vAlign w:val="center"/>
          </w:tcPr>
          <w:p>
            <w:pPr>
              <w:spacing w:line="560" w:lineRule="exact"/>
              <w:ind w:firstLineChars="600" w:firstLine="144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  入</w:t>
            </w:r>
          </w:p>
        </w:tc>
        <w:tc>
          <w:tcPr>
            <w:tcW w:w="7714" w:type="dxa"/>
            <w:gridSpan w:val="2"/>
            <w:noWrap/>
            <w:vAlign w:val="center"/>
          </w:tcPr>
          <w:p>
            <w:pPr>
              <w:spacing w:line="560" w:lineRule="exact"/>
              <w:ind w:firstLineChars="800" w:firstLine="192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  出</w:t>
            </w:r>
          </w:p>
        </w:tc>
      </w:tr>
      <w:tr>
        <w:trPr>
          <w:trHeight w:hRule="exact" w:val="510"/>
          <w:tblHeader/>
        </w:trPr>
        <w:tc>
          <w:tcPr>
            <w:tcW w:w="1236" w:type="dxa"/>
            <w:vMerge/>
            <w:noWrap/>
            <w:vAlign w:val="center"/>
          </w:tcP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53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预算数</w:t>
            </w: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预算数</w:t>
            </w:r>
          </w:p>
        </w:tc>
      </w:tr>
      <w:tr>
        <w:trPr>
          <w:trHeight w:hRule="exact" w:val="510"/>
        </w:trPr>
        <w:tc>
          <w:tcPr>
            <w:tcW w:w="1236" w:type="dxa"/>
            <w:noWrap/>
            <w:vAlign w:val="center"/>
          </w:tcPr>
          <w:p>
            <w:pPr>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栏</w:t>
            </w:r>
            <w:r>
              <w:rPr>
                <w:rStyle w:val="21"/>
                <w:rFonts w:ascii="方正仿宋简体" w:eastAsia="方正仿宋简体" w:cs="方正仿宋简体" w:hAnsi="方正仿宋简体" w:hint="eastAsia"/>
                <w:color w:val="auto"/>
                <w:sz w:val="24"/>
                <w:szCs w:val="24"/>
                <w:u w:val="none"/>
              </w:rPr>
              <w:t>次</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3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一、一般公共服务支出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二、外交支出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三、国防支出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四、财政专户管理资金收入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四、公共安全支出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五、事业收入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五、教育支出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六、事业单位经营收入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六、科学技术支出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七、上级补助收入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七、文化旅游体育与传媒支出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八、附属单位上缴收入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八、社会保障和就业支出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九、其他收入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九、卫生健康支出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十、节能环保支出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十一、城乡社区支出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十二、农林水支出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vAlign w:val="center"/>
          </w:tcPr>
          <w:p>
            <w:pPr>
              <w:tabs>
                <w:tab w:val="left" w:pos="498"/>
              </w:tabs>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栏</w:t>
            </w:r>
            <w:r>
              <w:rPr>
                <w:rStyle w:val="21"/>
                <w:rFonts w:ascii="方正仿宋简体" w:eastAsia="方正仿宋简体" w:cs="方正仿宋简体" w:hAnsi="方正仿宋简体" w:hint="eastAsia"/>
                <w:color w:val="auto"/>
                <w:sz w:val="24"/>
                <w:szCs w:val="24"/>
                <w:u w:val="none"/>
              </w:rPr>
              <w:t>次</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3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60"/>
              <w:gridCol w:w="360"/>
              <w:gridCol w:w="360"/>
              <w:gridCol w:w="360"/>
              <w:gridCol w:w="360"/>
            </w:tblGrid>
            <w:tr>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r>
            <w:tr>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十三、交通运输支出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十四、资源勘探工业信息等支出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十五、商业服务业等支出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十六、金融支出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17</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十七、援助其他地区支出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十八、自然资源海洋气象等支出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十九、住房保障支出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二十、粮油物资储备支出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二十一、国有资本经营预算支出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二十二、灾害防治及应急管理支出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二十三、债务还本支出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24</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二十四、债务付息支出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二十五、债务发行费用支出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二十六、其他支出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27</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本年收入合计</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28</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上年结转结余</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年终结转结余</w:t>
            </w:r>
          </w:p>
        </w:tc>
        <w:tc>
          <w:tcPr>
            <w:tcW w:w="2219"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29</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收入总计</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支出总计</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r>
    </w:tbl>
    <w:p>
      <w:pPr>
        <w:spacing w:line="560" w:lineRule="exact"/>
        <w:jc w:val="left"/>
        <w:rPr>
          <w:rStyle w:val="21"/>
          <w:rFonts w:ascii="宋体" w:cs="宋体" w:hAnsi="宋体"/>
          <w:color w:val="auto"/>
          <w:sz w:val="24"/>
          <w:szCs w:val="24"/>
          <w:u w:val="none"/>
        </w:rPr>
        <w:sectPr>
          <w:footerReference w:type="default" r:id="rId5"/>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附表1-2</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预算收入总表</w:t>
      </w:r>
    </w:p>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147"/>
        <w:gridCol w:w="3615"/>
        <w:gridCol w:w="1080"/>
        <w:gridCol w:w="1065"/>
        <w:gridCol w:w="915"/>
        <w:gridCol w:w="795"/>
        <w:gridCol w:w="720"/>
        <w:gridCol w:w="765"/>
        <w:gridCol w:w="838"/>
        <w:gridCol w:w="1346"/>
        <w:gridCol w:w="917"/>
        <w:gridCol w:w="874"/>
      </w:tblGrid>
      <w:tr>
        <w:trPr>
          <w:cantSplit/>
          <w:trHeight w:val="369"/>
          <w:tblHeader/>
        </w:trPr>
        <w:tc>
          <w:tcPr>
            <w:tcW w:w="938" w:type="dxa"/>
            <w:vMerge w:val="restart"/>
            <w:noWrap/>
            <w:vAlign w:val="center"/>
          </w:tcPr>
          <w:p>
            <w:pPr>
              <w:tabs>
                <w:tab w:val="left" w:pos="243"/>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4762"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08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7361" w:type="dxa"/>
            <w:gridSpan w:val="8"/>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w:t>
            </w:r>
          </w:p>
        </w:tc>
        <w:tc>
          <w:tcPr>
            <w:tcW w:w="87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上年结转</w:t>
            </w:r>
          </w:p>
        </w:tc>
      </w:tr>
      <w:tr>
        <w:trPr>
          <w:cantSplit/>
          <w:trHeight w:hRule="exact" w:val="1860"/>
          <w:tblHeader/>
        </w:trPr>
        <w:tc>
          <w:tcPr>
            <w:tcW w:w="938" w:type="dxa"/>
            <w:vMerge/>
            <w:noWrap/>
            <w:vAlign w:val="center"/>
          </w:tcP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功能科目编码</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080" w:type="dxa"/>
            <w:vMerge/>
            <w:tcBorders>
              <w:left w:val="single" w:sz="6" w:space="0" w:color="000000"/>
            </w:tcBorders>
            <w:noWrap/>
            <w:vAlign w:val="center"/>
          </w:tcP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小计</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财政拨款收入</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财政专户收入</w:t>
            </w: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事业收入</w:t>
            </w: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经营收入</w:t>
            </w: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上级补助收入</w:t>
            </w: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附属单位上缴收入</w:t>
            </w: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其他收入</w:t>
            </w:r>
          </w:p>
        </w:tc>
        <w:tc>
          <w:tcPr>
            <w:tcW w:w="874" w:type="dxa"/>
            <w:vMerge/>
            <w:tcBorders>
              <w:left w:val="single" w:sz="6" w:space="0" w:color="000000"/>
            </w:tcBorders>
            <w:noWrap/>
            <w:vAlign w:val="center"/>
          </w:tc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87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社会保障和就业支出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行政事业单位养老支出</w:t>
            </w: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业单位养老支出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2"/>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2080505</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机关事业单位基本养老保险缴费支出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卫生健康支出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97"/>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行政事业单位医疗</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2101102</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事业单位医疗</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城乡社区管理事务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行政运行</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2120102</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一般行政管理事务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住房保障支出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住房改革支出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114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宋体" w:cs="宋体" w:hAnsi="宋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附表1-3</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预算支出总表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tabs>
                <w:tab w:val="left" w:pos="408"/>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210"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455"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141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138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c>
          <w:tcPr>
            <w:tcW w:w="96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经营支出</w:t>
            </w:r>
          </w:p>
        </w:tc>
        <w:tc>
          <w:tcPr>
            <w:tcW w:w="90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上缴上级支出</w:t>
            </w:r>
          </w:p>
        </w:tc>
        <w:tc>
          <w:tcPr>
            <w:tcW w:w="135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9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9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35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r>
      <w:tr>
        <w:trPr>
          <w:cantSplit/>
          <w:trHeight w:hRule="exact" w:val="510"/>
        </w:trPr>
        <w:tc>
          <w:tcPr>
            <w:tcW w:w="107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社会保障和就业支</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行政事业单位养老</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2080505</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卫生健康支出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行政事业单位医疗</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事业单位医疗</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城乡社区管理事务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行政运行</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一般行政管理事务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栏次</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41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3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9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9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7</w:t>
            </w:r>
          </w:p>
        </w:tc>
        <w:tc>
          <w:tcPr>
            <w:tcW w:w="135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8</w:t>
            </w: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住房保障支出</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8.99</w:t>
            </w:r>
          </w:p>
        </w:tc>
        <w:tc>
          <w:tcPr>
            <w:tcW w:w="13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96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c>
          <w:tcPr>
            <w:tcW w:w="90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c>
          <w:tcPr>
            <w:tcW w:w="1354"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住房改革支出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3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附表1-4</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369"/>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w:t>
              <w:tab/>
              <w:t xml:space="preserve">                                  单位：万元</w:t>
            </w:r>
          </w:p>
        </w:tc>
      </w:tr>
      <w:tr>
        <w:trPr>
          <w:trHeight w:hRule="exact" w:val="510"/>
          <w:tblHeader/>
        </w:trPr>
        <w:tc>
          <w:tcPr>
            <w:tcW w:w="1101"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4785"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  入</w:t>
            </w:r>
          </w:p>
        </w:tc>
        <w:tc>
          <w:tcPr>
            <w:tcW w:w="8854" w:type="dxa"/>
            <w:gridSpan w:val="5"/>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  出</w:t>
            </w:r>
          </w:p>
        </w:tc>
      </w:tr>
      <w:tr>
        <w:trPr>
          <w:trHeight w:hRule="exact" w:val="222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金额</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一般公共预算财政拨款</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政府性基金预算财政拨款</w:t>
            </w:r>
          </w:p>
        </w:tc>
        <w:tc>
          <w:tcPr>
            <w:tcW w:w="133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国有资本经营预算财政拨款</w:t>
            </w:r>
          </w:p>
        </w:tc>
      </w:tr>
      <w:tr>
        <w:trPr>
          <w:trHeight w:val="369"/>
          <w:tblHeader/>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33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一、一般公共服务支出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二、外交支出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三、国防支出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四、公共安全支出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五、教育支出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六、科学技术支出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七、文化旅游体育与传媒支出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八、社会保障和就业支出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val="369"/>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九、卫生健康支出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十、节能环保支出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十一、城乡社区支出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十二、农林水支出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十三、交通运输支出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十四、资源勘探工业信息等支出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十五、商业服务业等支出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十六、金融支出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17</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十七、援助其他地区支出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十八、自然资源海洋气象等支出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十九、住房保障支出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二十、粮油物资储备支出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510"/>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二十一、国有资本经营预算支出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二十二、灾害防治及应急管理支出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二十三、债务还本支出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二十四、债务付息支出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二十五、债务发行费用支出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二十六、其他支出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27</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本年收入合计</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年初财政拨款结转和结余</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年末财政拨款结转和结余</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32</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总计</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总计</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1"/>
          <w:rFonts w:ascii="方正仿宋简体" w:eastAsia="方正仿宋简体" w:cs="方正仿宋简体" w:hAnsi="方正仿宋简体" w:hint="eastAsia"/>
          <w:color w:val="auto"/>
          <w:sz w:val="28"/>
          <w:u w:val="none"/>
        </w:rPr>
        <w:t>附表1-5</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预算一般公共预算财政拨款支出表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315" w:type="dxa"/>
            <w:gridSpan w:val="2"/>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515"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4500" w:type="dxa"/>
            <w:gridSpan w:val="3"/>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153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312"/>
          <w:tblHeader/>
        </w:trPr>
        <w:tc>
          <w:tcPr>
            <w:tcW w:w="876" w:type="dxa"/>
            <w:vMerge/>
            <w:noWrap/>
            <w:vAlign w:val="center"/>
          </w:tcPr>
          <w:p/>
        </w:tc>
        <w:tc>
          <w:tcPr>
            <w:tcW w:w="6315" w:type="dxa"/>
            <w:gridSpan w:val="2"/>
            <w:vMerge/>
            <w:tcBorders>
              <w:left w:val="single" w:sz="6" w:space="0" w:color="000000"/>
            </w:tcBorders>
            <w:noWrap/>
            <w:vAlign w:val="center"/>
          </w:tcPr>
          <w:p/>
        </w:tc>
        <w:tc>
          <w:tcPr>
            <w:tcW w:w="1515" w:type="dxa"/>
            <w:vMerge/>
            <w:tcBorders>
              <w:left w:val="single" w:sz="6" w:space="0" w:color="000000"/>
            </w:tcBorders>
            <w:noWrap/>
            <w:vAlign w:val="center"/>
          </w:tcPr>
          <w:p/>
        </w:tc>
        <w:tc>
          <w:tcPr>
            <w:tcW w:w="156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小计</w:t>
            </w:r>
          </w:p>
        </w:tc>
        <w:tc>
          <w:tcPr>
            <w:tcW w:w="1485"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人员经费</w:t>
            </w:r>
          </w:p>
        </w:tc>
        <w:tc>
          <w:tcPr>
            <w:tcW w:w="1455"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公用经费</w:t>
            </w:r>
          </w:p>
        </w:tc>
        <w:tc>
          <w:tcPr>
            <w:tcW w:w="1534" w:type="dxa"/>
            <w:vMerge/>
            <w:tcBorders>
              <w:left w:val="single" w:sz="6" w:space="0" w:color="000000"/>
            </w:tcBorders>
            <w:noWrap/>
            <w:vAlign w:val="center"/>
          </w:tcPr>
          <w:p/>
        </w:tc>
      </w:tr>
      <w:tr>
        <w:trPr>
          <w:cantSplit/>
          <w:trHeight w:hRule="exact" w:val="1080"/>
          <w:tblHeader/>
        </w:trPr>
        <w:tc>
          <w:tcPr>
            <w:tcW w:w="876" w:type="dxa"/>
            <w:vMerge/>
            <w:noWrap/>
            <w:vAlign w:val="center"/>
          </w:tcPr>
          <w:p/>
        </w:tc>
        <w:tc>
          <w:tcPr>
            <w:tcW w:w="157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515" w:type="dxa"/>
            <w:vMerge/>
            <w:tcBorders>
              <w:left w:val="single" w:sz="6" w:space="0" w:color="000000"/>
            </w:tcBorders>
            <w:noWrap/>
            <w:vAlign w:val="center"/>
          </w:tcPr>
          <w:p/>
        </w:tc>
        <w:tc>
          <w:tcPr>
            <w:tcW w:w="1560" w:type="dxa"/>
            <w:vMerge/>
            <w:tcBorders>
              <w:left w:val="single" w:sz="6" w:space="0" w:color="000000"/>
            </w:tcBorders>
            <w:noWrap/>
            <w:vAlign w:val="center"/>
          </w:tcPr>
          <w:p/>
        </w:tc>
        <w:tc>
          <w:tcPr>
            <w:tcW w:w="1485" w:type="dxa"/>
            <w:vMerge/>
            <w:tcBorders>
              <w:left w:val="single" w:sz="6" w:space="0" w:color="000000"/>
            </w:tcBorders>
            <w:noWrap/>
            <w:vAlign w:val="center"/>
          </w:tcPr>
          <w:p/>
        </w:tc>
        <w:tc>
          <w:tcPr>
            <w:tcW w:w="1455" w:type="dxa"/>
            <w:vMerge/>
            <w:tcBorders>
              <w:left w:val="single" w:sz="6" w:space="0" w:color="000000"/>
            </w:tcBorders>
            <w:noWrap/>
            <w:vAlign w:val="center"/>
          </w:tcPr>
          <w:p/>
        </w:tc>
        <w:tc>
          <w:tcPr>
            <w:tcW w:w="1534" w:type="dxa"/>
            <w:vMerge/>
            <w:tcBorders>
              <w:left w:val="single" w:sz="6" w:space="0" w:color="000000"/>
            </w:tcBorders>
            <w:noWrap/>
            <w:vAlign w:val="center"/>
          </w:tcPr>
          <w:p/>
        </w:tc>
      </w:tr>
      <w:tr>
        <w:trPr>
          <w:cantSplit/>
          <w:trHeight w:val="510"/>
        </w:trPr>
        <w:tc>
          <w:tcPr>
            <w:tcW w:w="87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57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5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48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w:t>
            </w:r>
          </w:p>
        </w:tc>
        <w:tc>
          <w:tcPr>
            <w:tcW w:w="157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5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148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117.91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2</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社会保障和就业支出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20805</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行政事业单位养老支出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2080505</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机关事业单位基本养老保险缴费支出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卫生健康支出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21011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行政事业单位医疗</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7</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2101102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事业单位医疗</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8</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城乡社区支出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栏次</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w:t>
            </w:r>
          </w:p>
        </w:tc>
        <w:tc>
          <w:tcPr>
            <w:tcW w:w="47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9</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城乡社区管理事务</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10</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行政运行</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11</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一般行政管理事务</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20.00</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221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住房保障支出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22102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住房改革支出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57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2210201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住房公积金</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附表1-6</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预算一般公共预算财政拨款基本支出表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165"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7534" w:type="dxa"/>
            <w:gridSpan w:val="3"/>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r>
      <w:tr>
        <w:trPr>
          <w:cantSplit/>
          <w:trHeight w:hRule="exact" w:val="1080"/>
          <w:tblHeader/>
        </w:trPr>
        <w:tc>
          <w:tcPr>
            <w:tcW w:w="1041" w:type="dxa"/>
            <w:vMerge/>
            <w:noWrap/>
            <w:vAlign w:val="center"/>
          </w:tcP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经济分类科目编码</w:t>
            </w:r>
          </w:p>
        </w:tc>
        <w:tc>
          <w:tcPr>
            <w:tcW w:w="46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人员经费</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公用经费</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6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650" w:type="dxa"/>
            <w:tcBorders>
              <w:left w:val="single" w:sz="6" w:space="0" w:color="000000"/>
            </w:tcBorders>
            <w:noWrap/>
            <w:vAlign w:val="center"/>
          </w:tcPr>
          <w:p>
            <w:pPr>
              <w:spacing w:line="560" w:lineRule="exact"/>
              <w:ind w:firstLineChars="500" w:firstLine="120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117.91</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工资福利支出</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116.96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116.96</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基本工资</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39.71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39.71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30102</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津贴补贴</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8.46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8.46</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30107</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绩效工资</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35.1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35.1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30108</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机关事业单位基本养老保险缴费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30110</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职工基本医疗保险缴费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5.41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5.41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公务员医疗补助缴费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6.2</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6.2</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9</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30112</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其他社会保障缴费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1.11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1.11</w:t>
            </w:r>
          </w:p>
        </w:tc>
        <w:tc>
          <w:tcPr>
            <w:tcW w:w="2329"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30113</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11</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商品和服务支出</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6.83</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6.83</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30201</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办公费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0.33</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0.33</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30206</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电费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0.22</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0.22</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30207</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邮电费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0.48</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0.48</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15</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30208</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取暖费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0.81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0.81</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16</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30228</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工会经费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0.91</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17</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30229</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福利费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0.99</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0.99</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30231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公务用车运行维护费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30239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其他交通费用</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0.6</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30299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其他商品和服务支出</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0.44</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0.44</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对个人和家庭的补助</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0.95</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0.95</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30304</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抚恤金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0.93</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0.93</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30309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奖励金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0.02</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0.02</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附表1-7</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r>
          </w:p>
        </w:tc>
      </w:tr>
      <w:tr>
        <w:trPr>
          <w:cantSplit/>
          <w:trHeight w:hRule="exact" w:val="510"/>
          <w:tblHeader/>
        </w:trPr>
        <w:tc>
          <w:tcPr>
            <w:tcW w:w="1070" w:type="dxa"/>
            <w:vMerge w:val="restart"/>
            <w:noWrap/>
          </w:tcPr>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956" w:type="dxa"/>
            <w:gridSpan w:val="2"/>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2747"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473"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2494"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1005"/>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blHeader/>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5956"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注：无政府基金预算财政拨款预算，空表列示。</w:t>
      </w:r>
    </w:p>
    <w:p>
      <w:pPr>
        <w:spacing w:line="560" w:lineRule="exact"/>
        <w:jc w:val="left"/>
        <w:rPr>
          <w:rStyle w:val="21"/>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1"/>
          <w:rFonts w:ascii="方正小标宋简体" w:eastAsia="方正小标宋简体" w:cs="方正小标宋简体" w:hAnsi="方正小标宋简体"/>
          <w:color w:val="auto"/>
          <w:sz w:val="44"/>
          <w:szCs w:val="44"/>
          <w:u w:val="none"/>
        </w:rPr>
      </w:pPr>
      <w:r>
        <w:rPr>
          <w:rStyle w:val="21"/>
          <w:rFonts w:ascii="方正仿宋简体" w:eastAsia="方正仿宋简体" w:cs="方正仿宋简体" w:hAnsi="方正仿宋简体" w:hint="eastAsia"/>
          <w:color w:val="auto"/>
          <w:sz w:val="28"/>
          <w:u w:val="none"/>
        </w:rPr>
        <w:t>附表1-8</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lang w:val="en-US" w:eastAsia="zh-CN"/>
              </w:rPr>
              <w:t xml:space="preserve">           </w:t>
            </w:r>
            <w:r>
              <w:rPr>
                <w:rStyle w:val="21"/>
                <w:rFonts w:ascii="方正仿宋简体" w:eastAsia="方正仿宋简体" w:cs="方正仿宋简体" w:hAnsi="方正仿宋简体" w:hint="eastAsia"/>
                <w:color w:val="auto"/>
                <w:sz w:val="24"/>
                <w:szCs w:val="24"/>
                <w:u w:val="none"/>
              </w:rPr>
              <w:t xml:space="preserve"> </w:t>
            </w:r>
            <w:r>
              <w:rPr>
                <w:rStyle w:val="21"/>
                <w:rFonts w:ascii="方正仿宋简体" w:eastAsia="方正仿宋简体" w:cs="方正仿宋简体" w:hAnsi="方正仿宋简体"/>
                <w:color w:val="auto"/>
                <w:sz w:val="24"/>
                <w:szCs w:val="24"/>
                <w:u w:val="none"/>
              </w:rPr>
              <w:t>预算年度：2022                                    单位：万元</w:t>
            </w:r>
          </w:p>
        </w:tc>
      </w:tr>
      <w:tr>
        <w:trPr>
          <w:cantSplit/>
          <w:trHeight w:hRule="exact" w:val="510"/>
          <w:tblHeader/>
        </w:trPr>
        <w:tc>
          <w:tcPr>
            <w:tcW w:w="1326"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535"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264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58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2659"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4"/>
          <w:szCs w:val="24"/>
          <w:u w:val="none"/>
        </w:rPr>
        <w:t>注：无国有资本经营预算财政拨款预算，空表列示。</w:t>
      </w: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宋体" w:cs="宋体" w:hAnsi="宋体"/>
          <w:color w:val="auto"/>
          <w:sz w:val="28"/>
          <w:u w:val="none"/>
        </w:rPr>
      </w:pPr>
    </w:p>
    <w:p>
      <w:pPr>
        <w:spacing w:line="560" w:lineRule="exact"/>
        <w:rPr>
          <w:rStyle w:val="21"/>
          <w:rFonts w:ascii="方正小标宋简体" w:eastAsia="方正小标宋简体" w:cs="方正小标宋简体" w:hAnsi="方正小标宋简体"/>
          <w:color w:val="auto"/>
          <w:sz w:val="44"/>
          <w:szCs w:val="44"/>
          <w:u w:val="none"/>
        </w:rPr>
      </w:pPr>
      <w:r>
        <w:rPr>
          <w:rStyle w:val="21"/>
          <w:rFonts w:ascii="方正仿宋简体" w:eastAsia="方正仿宋简体" w:cs="方正仿宋简体" w:hAnsi="方正仿宋简体" w:hint="eastAsia"/>
          <w:color w:val="auto"/>
          <w:sz w:val="28"/>
          <w:u w:val="none"/>
        </w:rPr>
        <w:t>附表1-9</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r>
          </w:p>
        </w:tc>
      </w:tr>
      <w:tr>
        <w:trPr>
          <w:cantSplit/>
          <w:trHeight w:hRule="exact" w:val="510"/>
          <w:tblHeader/>
        </w:trPr>
        <w:tc>
          <w:tcPr>
            <w:tcW w:w="88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395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9906" w:type="dxa"/>
            <w:gridSpan w:val="4"/>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资 金 性 质</w:t>
            </w:r>
          </w:p>
        </w:tc>
      </w:tr>
      <w:tr>
        <w:trPr>
          <w:cantSplit/>
          <w:trHeight w:hRule="exact" w:val="510"/>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一般公共预算       财政拨款</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政府性基金         预算拨款</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国有资本经营       预算财政拨款</w:t>
            </w:r>
          </w:p>
        </w:tc>
      </w:tr>
      <w:tr>
        <w:trPr>
          <w:cantSplit/>
          <w:trHeight w:hRule="exact" w:val="510"/>
          <w:tblHeader/>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39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9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一、因公出国（境）费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二、公务用车购置及运维费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其中：公务用车购置费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公务用车运行维护费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三、公务接待费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遵化市房屋征收中心</w:t>
      </w: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2022年预算信息公开情况说明</w:t>
      </w:r>
    </w:p>
    <w:p>
      <w:pPr>
        <w:keepNext w:val="0"/>
        <w:keepLines w:val="0"/>
        <w:pageBreakBefore w:val="0"/>
        <w:kinsoku/>
        <w:wordWrap/>
        <w:overflowPunct/>
        <w:topLinePunct w:val="0"/>
        <w:bidi w:val="0"/>
        <w:spacing w:line="570" w:lineRule="exact"/>
        <w:jc w:val="center"/>
        <w:textAlignment w:val="auto"/>
        <w:rPr>
          <w:rFonts w:ascii="宋体" w:cs="宋体" w:hAnsi="宋体"/>
          <w:sz w:val="44"/>
          <w:szCs w:val="44"/>
        </w:rPr>
      </w:pP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》、《地方预决算公开操作规程》和《河北省省级预算公开办法》规定，现将遵化市房屋征收中心2022年本级预算公开如下：</w:t>
      </w: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bookmarkStart w:id="0" w:name="_Toc68791545"/>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本级</w:t>
      </w:r>
      <w:r>
        <w:rPr>
          <w:rFonts w:ascii="方正黑体简体" w:eastAsia="方正黑体简体" w:cs="方正黑体简体" w:hAnsi="方正黑体简体" w:hint="eastAsia"/>
          <w:sz w:val="32"/>
          <w:szCs w:val="32"/>
        </w:rPr>
        <w:t>职责、机构设置等基本情况</w:t>
      </w:r>
      <w:bookmarkEnd w:id="0"/>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本级</w:t>
      </w:r>
      <w:r>
        <w:rPr>
          <w:rFonts w:ascii="方正楷体简体" w:eastAsia="方正楷体简体" w:cs="方正楷体简体" w:hAnsi="方正楷体简体" w:hint="eastAsia"/>
          <w:sz w:val="32"/>
          <w:szCs w:val="32"/>
        </w:rPr>
        <w:t>职责</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根据《遵机编字【2019】5号》的通知，遵化市房屋征收中心的主要职责是：、</w:t>
      </w:r>
    </w:p>
    <w:p>
      <w:pPr>
        <w:keepNext w:val="0"/>
        <w:keepLines w:val="0"/>
        <w:pageBreakBefore w:val="0"/>
        <w:kinsoku/>
        <w:wordWrap/>
        <w:overflowPunct/>
        <w:topLinePunct w:val="0"/>
        <w:bidi w:val="0"/>
        <w:spacing w:line="570" w:lineRule="exact"/>
        <w:ind w:firstLineChars="200" w:firstLine="640"/>
        <w:jc w:val="left"/>
        <w:textAlignment w:val="auto"/>
        <w:rPr>
          <w:rFonts w:ascii="方正仿宋简体" w:eastAsia="方正仿宋简体"/>
          <w:color w:val="000000"/>
          <w:sz w:val="32"/>
          <w:szCs w:val="32"/>
        </w:rPr>
      </w:pPr>
      <w:r>
        <w:rPr>
          <w:rFonts w:ascii="方正仿宋简体" w:eastAsia="方正仿宋简体" w:hint="eastAsia"/>
          <w:color w:val="000000"/>
          <w:sz w:val="32"/>
          <w:szCs w:val="32"/>
        </w:rPr>
        <w:t>对征收范围内房屋权属、区位、用途、建筑面积等情况进行调查登记，通知相关部门暂停办理新建、改扩建等手续；对在签约期限内达不成补偿协议的，报请市政府作出补偿决定；与被征收人签订征收补偿协议；房屋征收与补偿宣传、解释工作；市委、市政府交办的其他工作等公益服务职能。</w:t>
      </w:r>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职责，遵化市房屋征收中心内设3个职能科室，具体是综合科、法制宣传科、拆迁服务科。内设科室职能：</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1、综合</w:t>
      </w:r>
      <w:r>
        <w:rPr>
          <w:rFonts w:ascii="方正仿宋简体" w:eastAsia="方正仿宋简体" w:cs="方正仿宋简体" w:hAnsi="方正仿宋简体" w:hint="eastAsia"/>
          <w:sz w:val="32"/>
          <w:szCs w:val="32"/>
        </w:rPr>
        <w:t>科。负责单位人事、党建、精神文明建设、文秘、档案、接待、保密、采购、日常管理、考勤、考核及后勤保障、会议的组织安排及综合性文稿的起草工作，指导协调其他科室做好工作；组织政治理论学习活动；负责规章制度的制订和落实；负责完成社会稳定风险评估和维稳工作；负责完成人大代表、政协委员提案的办理工作；负责完成房屋征收补偿安置纠纷的调解工作；负责完成处理房屋征收信访和制定应急预案；负责协调并督促处理重要信访事项；负责承办市政府和上级机关交办的信访事项；负责制定年度财务计划，上报各类财务报表；负责人员经费、办公经费的报销和工资、保险工作；负责补偿安置资金和工作经费的核算和管理；负责征收安置的具体工作。</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2、</w:t>
      </w:r>
      <w:r>
        <w:rPr>
          <w:rFonts w:ascii="方正仿宋简体" w:eastAsia="方正仿宋简体" w:cs="方正仿宋简体" w:hAnsi="方正仿宋简体" w:hint="eastAsia"/>
          <w:sz w:val="32"/>
          <w:szCs w:val="32"/>
        </w:rPr>
        <w:t>法制宣传科。负责完成房屋征收的法规和政策的宣传、解释工作</w:t>
      </w:r>
      <w:r>
        <w:rPr>
          <w:rFonts w:ascii="方正仿宋简体" w:eastAsia="方正仿宋简体" w:cs="方正仿宋简体" w:hAnsi="方正仿宋简体" w:hint="eastAsia"/>
          <w:sz w:val="32"/>
          <w:szCs w:val="32"/>
          <w:lang w:eastAsia="zh-CN"/>
        </w:rPr>
        <w:t>；</w:t>
      </w:r>
      <w:r>
        <w:rPr>
          <w:rFonts w:ascii="方正仿宋简体" w:eastAsia="方正仿宋简体" w:hint="eastAsia"/>
          <w:sz w:val="32"/>
          <w:szCs w:val="32"/>
          <w:lang w:eastAsia="zh-CN"/>
        </w:rPr>
        <w:t>对诉讼案件的应诉工作；</w:t>
      </w:r>
      <w:r>
        <w:rPr>
          <w:rFonts w:ascii="方正仿宋简体" w:eastAsia="方正仿宋简体" w:cs="方正仿宋简体" w:hAnsi="方正仿宋简体" w:hint="eastAsia"/>
          <w:sz w:val="32"/>
          <w:szCs w:val="32"/>
        </w:rPr>
        <w:t>对在签约期限内达不成补偿协议的，报请市政府做出补偿决定。</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3、拆迁服务科。对征收范围内房屋权属、区位、用途，建筑面积等情况进行调查登记，通知相关部门暂停办理新建、改扩建等手续；与被征收人签订征收补偿协议。</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遵化市房屋征收机关全额事业编制12名，实有全额事业人数11名。</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p>
    <w:p>
      <w:pPr>
        <w:keepNext w:val="0"/>
        <w:keepLines w:val="0"/>
        <w:pageBreakBefore w:val="0"/>
        <w:kinsoku/>
        <w:wordWrap/>
        <w:overflowPunct/>
        <w:topLinePunct w:val="0"/>
        <w:bidi w:val="0"/>
        <w:spacing w:line="570" w:lineRule="exact"/>
        <w:ind w:firstLineChars="200" w:firstLine="640"/>
        <w:jc w:val="center"/>
        <w:textAlignment w:val="auto"/>
        <w:rPr>
          <w:rFonts w:ascii="仿宋" w:eastAsia="仿宋" w:cs="仿宋" w:hAnsi="仿宋"/>
          <w:sz w:val="28"/>
          <w:szCs w:val="28"/>
        </w:rPr>
      </w:pPr>
      <w:bookmarkStart w:id="1" w:name="_Toc68791546"/>
      <w:r>
        <w:rPr>
          <w:rFonts w:ascii="方正仿宋简体" w:eastAsia="方正仿宋简体" w:hint="eastAsia"/>
          <w:color w:val="000000"/>
          <w:sz w:val="32"/>
          <w:szCs w:val="32"/>
          <w:lang w:eastAsia="zh-CN"/>
        </w:rPr>
        <w:t>本级</w:t>
      </w:r>
      <w:r>
        <w:rPr>
          <w:rFonts w:ascii="方正仿宋简体" w:eastAsia="方正仿宋简体" w:hint="eastAsia"/>
          <w:color w:val="000000"/>
          <w:sz w:val="32"/>
          <w:szCs w:val="32"/>
        </w:rPr>
        <w:t>机构设置情况</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968"/>
        <w:gridCol w:w="2602"/>
        <w:gridCol w:w="3313"/>
        <w:gridCol w:w="3857"/>
      </w:tblGrid>
      <w:tr>
        <w:trPr>
          <w:trHeight w:hRule="exact" w:val="312"/>
          <w:tblHeader/>
        </w:trPr>
        <w:tc>
          <w:tcPr>
            <w:tcW w:w="4968" w:type="dxa"/>
            <w:vMerge w:val="restart"/>
            <w:noWrap/>
            <w:vAlign w:val="center"/>
          </w:tcPr>
          <w:p>
            <w:pPr>
              <w:keepNext w:val="0"/>
              <w:keepLines w:val="0"/>
              <w:pageBreakBefore w:val="0"/>
              <w:kinsoku/>
              <w:wordWrap/>
              <w:overflowPunct/>
              <w:topLinePunct w:val="0"/>
              <w:bidi w:val="0"/>
              <w:spacing w:line="570" w:lineRule="exact"/>
              <w:ind w:firstLineChars="400" w:firstLine="1120"/>
              <w:jc w:val="center"/>
              <w:textAlignment w:val="auto"/>
              <w:outlineLvl w:val="0"/>
              <w:rPr>
                <w:rFonts w:ascii="仿宋" w:eastAsia="仿宋" w:cs="仿宋" w:hAnsi="仿宋"/>
                <w:sz w:val="28"/>
                <w:szCs w:val="28"/>
              </w:rPr>
            </w:pPr>
            <w:r>
              <w:rPr>
                <w:rFonts w:ascii="仿宋" w:eastAsia="仿宋" w:cs="仿宋" w:hAnsi="仿宋" w:hint="eastAsia"/>
                <w:sz w:val="28"/>
                <w:szCs w:val="28"/>
              </w:rPr>
              <w:t>单位名称</w:t>
            </w:r>
          </w:p>
        </w:tc>
        <w:tc>
          <w:tcPr>
            <w:tcW w:w="2602" w:type="dxa"/>
            <w:vMerge w:val="restart"/>
            <w:noWrap/>
            <w:vAlign w:val="center"/>
          </w:tcPr>
          <w:p>
            <w:pPr>
              <w:keepNext w:val="0"/>
              <w:keepLines w:val="0"/>
              <w:pageBreakBefore w:val="0"/>
              <w:kinsoku/>
              <w:wordWrap/>
              <w:overflowPunct/>
              <w:topLinePunct w:val="0"/>
              <w:bidi w:val="0"/>
              <w:spacing w:line="570" w:lineRule="exact"/>
              <w:ind w:firstLineChars="300" w:firstLine="840"/>
              <w:textAlignment w:val="auto"/>
              <w:outlineLvl w:val="0"/>
              <w:rPr>
                <w:rFonts w:ascii="仿宋" w:eastAsia="仿宋" w:cs="仿宋" w:hAnsi="仿宋"/>
                <w:sz w:val="28"/>
                <w:szCs w:val="28"/>
              </w:rPr>
            </w:pPr>
            <w:r>
              <w:rPr>
                <w:rFonts w:ascii="仿宋" w:eastAsia="仿宋" w:cs="仿宋" w:hAnsi="仿宋" w:hint="eastAsia"/>
                <w:sz w:val="28"/>
                <w:szCs w:val="28"/>
              </w:rPr>
              <w:t>单位性质</w:t>
            </w:r>
          </w:p>
        </w:tc>
        <w:tc>
          <w:tcPr>
            <w:tcW w:w="3313" w:type="dxa"/>
            <w:vMerge w:val="restart"/>
            <w:noWrap/>
            <w:vAlign w:val="center"/>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单位规格</w:t>
            </w:r>
          </w:p>
        </w:tc>
        <w:tc>
          <w:tcPr>
            <w:tcW w:w="3857" w:type="dxa"/>
            <w:vMerge w:val="restart"/>
            <w:noWrap/>
            <w:vAlign w:val="center"/>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经费保障形式</w:t>
            </w:r>
          </w:p>
        </w:tc>
      </w:tr>
      <w:tr>
        <w:trPr>
          <w:trHeight w:hRule="exact" w:val="573"/>
          <w:tblHeader/>
        </w:trPr>
        <w:tc>
          <w:tcPr>
            <w:tcW w:w="4968" w:type="dxa"/>
            <w:vMerge/>
            <w:noWrap/>
            <w:vAlign w:val="center"/>
          </w:tcPr>
          <w:p/>
        </w:tc>
        <w:tc>
          <w:tcPr>
            <w:tcW w:w="2602" w:type="dxa"/>
            <w:vMerge/>
            <w:tcBorders>
              <w:left w:val="single" w:sz="6" w:space="0" w:color="000000"/>
            </w:tcBorders>
            <w:noWrap/>
            <w:vAlign w:val="center"/>
          </w:tcPr>
          <w:p/>
        </w:tc>
        <w:tc>
          <w:tcPr>
            <w:tcW w:w="3313" w:type="dxa"/>
            <w:vMerge/>
            <w:tcBorders>
              <w:left w:val="single" w:sz="6" w:space="0" w:color="000000"/>
            </w:tcBorders>
            <w:noWrap/>
            <w:vAlign w:val="center"/>
          </w:tcPr>
          <w:p/>
        </w:tc>
        <w:tc>
          <w:tcPr>
            <w:tcW w:w="3857" w:type="dxa"/>
            <w:vMerge/>
            <w:tcBorders>
              <w:left w:val="single" w:sz="6" w:space="0" w:color="000000"/>
            </w:tcBorders>
            <w:noWrap/>
            <w:vAlign w:val="center"/>
          </w:tcPr>
          <w:p/>
        </w:tc>
      </w:tr>
      <w:tr>
        <w:trPr>
          <w:trHeight w:hRule="exact" w:val="573"/>
        </w:trPr>
        <w:tc>
          <w:tcPr>
            <w:tcW w:w="4968" w:type="dxa"/>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遵化市房屋征收中心</w:t>
            </w:r>
          </w:p>
        </w:tc>
        <w:tc>
          <w:tcPr>
            <w:tcW w:w="2602"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事业</w:t>
            </w:r>
          </w:p>
        </w:tc>
        <w:tc>
          <w:tcPr>
            <w:tcW w:w="3313"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副科级</w:t>
            </w:r>
          </w:p>
        </w:tc>
        <w:tc>
          <w:tcPr>
            <w:tcW w:w="3857"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财政拨款</w:t>
            </w:r>
          </w:p>
        </w:tc>
      </w:tr>
    </w:tbl>
    <w:p>
      <w:pPr>
        <w:keepNext w:val="0"/>
        <w:keepLines w:val="0"/>
        <w:pageBreakBefore w:val="0"/>
        <w:kinsoku/>
        <w:wordWrap/>
        <w:overflowPunct/>
        <w:topLinePunct w:val="0"/>
        <w:bidi w:val="0"/>
        <w:spacing w:line="570" w:lineRule="exact"/>
        <w:ind w:firstLineChars="200" w:firstLine="560"/>
        <w:jc w:val="left"/>
        <w:textAlignment w:val="auto"/>
        <w:outlineLvl w:val="0"/>
        <w:rPr>
          <w:rFonts w:ascii="仿宋" w:eastAsia="仿宋" w:cs="仿宋" w:hAnsi="仿宋"/>
          <w:sz w:val="28"/>
          <w:szCs w:val="28"/>
        </w:rPr>
      </w:pPr>
    </w:p>
    <w:p>
      <w:pPr>
        <w:keepNext w:val="0"/>
        <w:keepLines w:val="0"/>
        <w:pageBreakBefore w:val="0"/>
        <w:kinsoku/>
        <w:wordWrap/>
        <w:overflowPunct/>
        <w:topLinePunct w:val="0"/>
        <w:bidi w:val="0"/>
        <w:spacing w:line="570" w:lineRule="exact"/>
        <w:ind w:firstLineChars="200" w:firstLine="640"/>
        <w:jc w:val="left"/>
        <w:textAlignment w:val="auto"/>
        <w:rPr>
          <w:rFonts w:ascii="方正黑体简体" w:eastAsia="方正黑体简体" w:cs="方正黑体简体" w:hAnsi="方正黑体简体"/>
          <w:sz w:val="32"/>
          <w:szCs w:val="32"/>
        </w:rPr>
      </w:pPr>
      <w:bookmarkStart w:id="2" w:name="_Toc68791547"/>
      <w:bookmarkEnd w:id="1"/>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本级</w:t>
      </w:r>
      <w:r>
        <w:rPr>
          <w:rFonts w:ascii="方正黑体简体" w:eastAsia="方正黑体简体" w:cs="方正黑体简体" w:hAnsi="方正黑体简体" w:hint="eastAsia"/>
          <w:sz w:val="32"/>
          <w:szCs w:val="32"/>
        </w:rPr>
        <w:t>预算安排的总体情况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按照预算管理有关规定，目前我市</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预算的编制实行综合预算制度，即全部收入和支出都反映的预算中。</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遵化市房屋征收中心</w:t>
      </w:r>
      <w:r>
        <w:rPr>
          <w:rFonts w:ascii="方正仿宋简体" w:eastAsia="方正仿宋简体" w:cs="方正仿宋简体" w:hAnsi="方正仿宋简体" w:hint="eastAsia"/>
          <w:sz w:val="32"/>
          <w:szCs w:val="32"/>
        </w:rPr>
        <w:t>2022年</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收入预算共计144.74万元，其中一般公共预算拨款144.74万元,基金预算收入0万元，财政专户核拨收入0万元，其他来源收入0万元。。</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2、支出说明</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收支预算总表支出栏、基本支出表、项目支出表按经济分类和支出功能分类科目编制，反映遵化市房屋征收中心2022年度</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hint="eastAsia"/>
          <w:sz w:val="32"/>
          <w:szCs w:val="32"/>
          <w:lang w:eastAsia="zh-CN"/>
        </w:rPr>
        <w:t>遵化市房屋征收中心</w:t>
      </w:r>
      <w:r>
        <w:rPr>
          <w:rFonts w:ascii="方正仿宋简体" w:eastAsia="方正仿宋简体" w:cs="方正仿宋简体" w:hAnsi="方正仿宋简体" w:hint="eastAsia"/>
          <w:sz w:val="32"/>
          <w:szCs w:val="32"/>
        </w:rPr>
        <w:t>2022年</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支出预算共计144.74万元，其中基本支出为124.74万元，包括人员经费支出预算117.91万元，日常公用经费支出预算6.83万元；项目支出20万元，主要为日常办公运转、房屋征收项目综合经费。</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2022年财政拨款预算比2021年减少2.13万元，主要是：人员经费与2021年相比减少2.16万元（人员经费减少的主要因素为2022年人员经费不含职业年金数），日常公用经费增加0.03万元（增加的只要原因是工会经费福利费增加），项目经费与2021年持平。</w:t>
      </w:r>
    </w:p>
    <w:p>
      <w:pPr>
        <w:keepNext w:val="0"/>
        <w:keepLines w:val="0"/>
        <w:pageBreakBefore w:val="0"/>
        <w:widowControl/>
        <w:kinsoku/>
        <w:wordWrap/>
        <w:overflowPunct/>
        <w:topLinePunct w:val="0"/>
        <w:bidi w:val="0"/>
        <w:spacing w:line="570" w:lineRule="exact"/>
        <w:ind w:firstLineChars="200" w:firstLine="64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bookmarkEnd w:id="2"/>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仿宋" w:eastAsia="仿宋" w:cs="仿宋" w:hAnsi="仿宋"/>
          <w:sz w:val="28"/>
          <w:szCs w:val="28"/>
        </w:rPr>
      </w:pPr>
      <w:bookmarkStart w:id="3" w:name="_Toc68791548"/>
      <w:r>
        <w:rPr>
          <w:rFonts w:ascii="方正仿宋简体" w:eastAsia="方正仿宋简体" w:cs="方正仿宋简体" w:hAnsi="方正仿宋简体" w:hint="eastAsia"/>
          <w:sz w:val="32"/>
          <w:szCs w:val="32"/>
        </w:rPr>
        <w:t>机关运行经费共计安排6.83万元，主要用于保证正常办公的基本需要和维持单位日常业务运转，包括：办公费、水电费、邮电费、取暖费、工会经费、福利费、</w:t>
      </w:r>
      <w:r>
        <w:rPr>
          <w:rFonts w:ascii="方正仿宋简体" w:eastAsia="方正仿宋简体" w:cs="方正仿宋简体" w:hAnsi="方正仿宋简体" w:hint="eastAsia"/>
          <w:sz w:val="32"/>
          <w:szCs w:val="32"/>
          <w:lang w:eastAsia="zh-CN"/>
        </w:rPr>
        <w:t>公务用车运行维护费、其他交通费</w:t>
      </w:r>
      <w:r>
        <w:rPr>
          <w:rFonts w:ascii="方正仿宋简体" w:eastAsia="方正仿宋简体" w:cs="方正仿宋简体" w:hAnsi="方正仿宋简体" w:hint="eastAsia"/>
          <w:sz w:val="32"/>
          <w:szCs w:val="32"/>
        </w:rPr>
        <w:t>等</w:t>
      </w:r>
      <w:r>
        <w:rPr>
          <w:rFonts w:ascii="方正仿宋简体" w:eastAsia="方正仿宋简体" w:cs="方正仿宋简体" w:hAnsi="方正仿宋简体" w:hint="eastAsia"/>
          <w:sz w:val="32"/>
          <w:szCs w:val="32"/>
          <w:lang w:eastAsia="zh-CN"/>
        </w:rPr>
        <w:t>日常运行</w:t>
      </w:r>
      <w:r>
        <w:rPr>
          <w:rFonts w:ascii="方正仿宋简体" w:eastAsia="方正仿宋简体" w:cs="方正仿宋简体" w:hAnsi="方正仿宋简体" w:hint="eastAsia"/>
          <w:sz w:val="32"/>
          <w:szCs w:val="32"/>
        </w:rPr>
        <w:t>支出。</w:t>
      </w: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3"/>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bookmarkStart w:id="4" w:name="_Toc68791549"/>
      <w:r>
        <w:rPr>
          <w:rFonts w:ascii="方正仿宋简体" w:eastAsia="方正仿宋简体" w:cs="方正仿宋简体" w:hAnsi="方正仿宋简体" w:hint="eastAsia"/>
          <w:sz w:val="32"/>
          <w:szCs w:val="32"/>
        </w:rPr>
        <w:t>2022年“三公”经费预算安排2.05万元，与2021年持平。具体安排情况为：</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（一）公务用车购置及运行费。共计安排2.05万元，与2021年持平，无增减变化。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①公务用车购置安排0万元。与2021年持平，无增减变化。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没有购置公务用车安排，所以未安排公务用车购置费</w:t>
      </w:r>
      <w:r>
        <w:rPr>
          <w:rFonts w:ascii="宋体" w:eastAsia="方正仿宋简体" w:hAnsi="宋体" w:hint="eastAsia"/>
          <w:color w:val="000000"/>
          <w:sz w:val="32"/>
          <w:szCs w:val="32"/>
          <w:lang w:eastAsia="zh-CN"/>
        </w:rPr>
        <w:t>。</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②公车运行维护经费安排2.05万元，与2021年持平，无增减变化。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（二）公务接待费。安排0万元，比2021年持平，无增减变化。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没有公务接待安排，所以未安排公务接待费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（三）因公出国（境）费安排0万元，与2021年持平，无增减变化。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没有因公出国安排，所以未安排因公出国费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bookmarkEnd w:id="4"/>
      <w:r>
        <w:rPr>
          <w:rFonts w:ascii="方正黑体简体" w:eastAsia="方正黑体简体" w:cs="方正黑体简体" w:hAnsi="方正黑体简体" w:hint="eastAsia"/>
          <w:sz w:val="32"/>
          <w:szCs w:val="32"/>
        </w:rPr>
        <w:t>五、预算绩效信息</w:t>
      </w:r>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 xml:space="preserve">第一部分 </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整体绩效目标</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（一）总体绩效目标</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遵化市房屋征收中心依据公平、公证的原则，结合遵化房屋征收实际制定此目标。</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在市委、市政府的坚强领导下，我中心依据</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责在征收范围内房屋权属、区位、用途，建筑面积等情况进行调查登记，通知相关部门暂停办理新建、改扩建等手续，对在签约期限内达不成补偿协议的，报请市政府做出补偿决定等。做好房屋征收宣传、签订协议等，预计本年度内安置楼房回迁、房屋征收完成及信访问题解决完成达到百分之90以上，将其确定为总体绩效目标，全力推进房屋征收工作，加大征收力度，确保各项工作圆满完成。完成市政府交办的其他任务。</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（二）分项绩效目标：</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房屋征收项目综合办公经费</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绩效目标：按时保质保量完成征收范围内房屋调查的、登记，相关部门暂停办理新建改扩建等手续。做好房屋征收宣传、签订协议等房屋征收工作。</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绩效指标：房屋征收及回迁率达到百分之90以上，及时发放房屋征收补偿费，信访问题解决答复率达到百分之90以上。</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pStyle w:val="30"/>
        <w:keepNext w:val="0"/>
        <w:keepLines w:val="0"/>
        <w:pageBreakBefore w:val="0"/>
        <w:widowControl/>
        <w:kinsoku/>
        <w:wordWrap/>
        <w:overflowPunct/>
        <w:topLinePunct w:val="0"/>
        <w:bidi w:val="0"/>
        <w:spacing w:line="570" w:lineRule="exac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全面组织加强《</w:t>
      </w:r>
      <w:r>
        <w:rPr>
          <w:rFonts w:ascii="方正仿宋简体" w:eastAsia="方正仿宋简体" w:cs="方正仿宋简体" w:hAnsi="方正仿宋简体"/>
          <w:sz w:val="32"/>
          <w:szCs w:val="32"/>
        </w:rPr>
        <w:t>中华人民共和国预算法</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中华人民共和国</w:t>
      </w:r>
      <w:bookmarkStart w:id="5" w:name="_GoBack"/>
      <w:bookmarkEnd w:id="5"/>
      <w:r>
        <w:rPr>
          <w:rFonts w:ascii="方正仿宋简体" w:eastAsia="方正仿宋简体" w:cs="方正仿宋简体" w:hAnsi="方正仿宋简体"/>
          <w:sz w:val="32"/>
          <w:szCs w:val="32"/>
        </w:rPr>
        <w:t>会计法</w:t>
      </w:r>
      <w:r>
        <w:rPr>
          <w:rFonts w:ascii="方正仿宋简体" w:eastAsia="方正仿宋简体" w:cs="方正仿宋简体" w:hAnsi="方正仿宋简体" w:hint="eastAsia"/>
          <w:sz w:val="32"/>
          <w:szCs w:val="32"/>
        </w:rPr>
        <w:t>》、《政府会计制度与准则》以及预算绩效管理法规等财经法规的学习，坚持学用结合，提升业务素质水平，强化预算绩效管理，对房屋征收项目事前事中事后分析评价，保障项目科学实施和资金使用。积极建立健全本</w:t>
      </w:r>
      <w:r>
        <w:rPr>
          <w:rFonts w:ascii="方正仿宋简体" w:eastAsia="方正仿宋简体" w:cs="方正仿宋简体" w:hAnsi="方正仿宋简体" w:hint="eastAsia"/>
          <w:sz w:val="32"/>
          <w:szCs w:val="32"/>
          <w:lang w:eastAsia="zh-CN"/>
        </w:rPr>
        <w:t>级</w:t>
      </w:r>
      <w:r>
        <w:rPr>
          <w:rFonts w:ascii="方正仿宋简体" w:eastAsia="方正仿宋简体" w:cs="方正仿宋简体" w:hAnsi="方正仿宋简体" w:hint="eastAsia"/>
          <w:sz w:val="32"/>
          <w:szCs w:val="32"/>
        </w:rPr>
        <w:t>预算绩效管理制度，不断完善工作机制和工作流程，将事前评估、目标管理、运行监控、绩效评价、结果应用等各项措施，有效融入预算管理的全过程、各环节。围绕年度总体绩效目标和分类绩效目标，细化工作方案，明确责任主体和实施进度要求，确保如期完成。</w:t>
      </w:r>
    </w:p>
    <w:p>
      <w:pPr>
        <w:keepNext w:val="0"/>
        <w:keepLines w:val="0"/>
        <w:pageBreakBefore w:val="0"/>
        <w:kinsoku/>
        <w:wordWrap/>
        <w:overflowPunct/>
        <w:topLinePunct w:val="0"/>
        <w:bidi w:val="0"/>
        <w:spacing w:line="570" w:lineRule="exact"/>
        <w:ind w:firstLineChars="200" w:firstLine="640"/>
        <w:jc w:val="left"/>
        <w:textAlignment w:val="auto"/>
        <w:rPr>
          <w:rFonts w:ascii="方正仿宋简体" w:eastAsia="方正仿宋简体" w:cs="方正仿宋简体" w:hAnsi="方正仿宋简体"/>
          <w:sz w:val="32"/>
          <w:szCs w:val="32"/>
        </w:rPr>
      </w:pPr>
    </w:p>
    <w:p>
      <w:pPr>
        <w:keepNext w:val="0"/>
        <w:keepLines w:val="0"/>
        <w:pageBreakBefore w:val="0"/>
        <w:kinsoku/>
        <w:wordWrap/>
        <w:overflowPunct/>
        <w:topLinePunct w:val="0"/>
        <w:bidi w:val="0"/>
        <w:spacing w:line="570" w:lineRule="exact"/>
        <w:ind w:firstLineChars="200" w:firstLine="64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第二部分  预算项目绩效目标</w:t>
      </w:r>
    </w:p>
    <w:tbl>
      <w:tblPr>
        <w:jc w:val="left"/>
        <w:tblInd w:w="91" w:type="dxa"/>
        <w:tblW w:w="147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60"/>
        <w:gridCol w:w="2040"/>
        <w:gridCol w:w="1402"/>
        <w:gridCol w:w="208"/>
        <w:gridCol w:w="1360"/>
        <w:gridCol w:w="528"/>
        <w:gridCol w:w="1275"/>
        <w:gridCol w:w="1180"/>
        <w:gridCol w:w="133"/>
        <w:gridCol w:w="1459"/>
        <w:gridCol w:w="1110"/>
        <w:gridCol w:w="2785"/>
      </w:tblGrid>
      <w:tr>
        <w:trPr>
          <w:trHeight w:val="90"/>
        </w:trPr>
        <w:tc>
          <w:tcPr>
            <w:tcW w:w="14740" w:type="dxa"/>
            <w:gridSpan w:val="12"/>
            <w:tcBorders>
              <w:top w:val="nil"/>
              <w:left w:val="nil"/>
              <w:bottom w:val="nil"/>
              <w:right w:val="nil"/>
            </w:tcBorders>
            <w:shd w:val="clear" w:color="auto" w:fill="auto"/>
            <w:noWrap/>
            <w:vAlign w:val="center"/>
          </w:tcPr>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ind w:firstLineChars="200" w:firstLine="640"/>
              <w:jc w:val="left"/>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kern w:val="0"/>
                <w:sz w:val="32"/>
                <w:szCs w:val="32"/>
              </w:rPr>
              <w:t>房屋征收项目综合办公经费项目绩效目标表</w:t>
            </w:r>
          </w:p>
          <w:p>
            <w:pPr>
              <w:widowControl/>
              <w:jc w:val="left"/>
              <w:rPr>
                <w:rFonts w:ascii="方正仿宋简体" w:eastAsia="方正仿宋简体" w:cs="方正仿宋简体" w:hAnsi="方正仿宋简体"/>
                <w:kern w:val="0"/>
                <w:sz w:val="20"/>
                <w:szCs w:val="20"/>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单位：万元</w:t>
            </w:r>
          </w:p>
        </w:tc>
      </w:tr>
      <w:tr>
        <w:trPr>
          <w:trHeight w:hRule="exact" w:val="52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项目编码 </w:t>
            </w:r>
          </w:p>
        </w:tc>
        <w:tc>
          <w:tcPr>
            <w:tcW w:w="3650"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13028122P00306810001B　 </w:t>
            </w:r>
          </w:p>
        </w:tc>
        <w:tc>
          <w:tcPr>
            <w:tcW w:w="188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项目名称 </w:t>
            </w:r>
          </w:p>
        </w:tc>
        <w:tc>
          <w:tcPr>
            <w:tcW w:w="7942" w:type="dxa"/>
            <w:gridSpan w:val="6"/>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房屋征收项目综合办公经费　 </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预算规模及资金用途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预算数     </w:t>
            </w:r>
          </w:p>
        </w:tc>
        <w:tc>
          <w:tcPr>
            <w:tcW w:w="1610"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20</w:t>
            </w:r>
          </w:p>
        </w:tc>
        <w:tc>
          <w:tcPr>
            <w:tcW w:w="188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其中：财政资金 </w:t>
            </w:r>
          </w:p>
        </w:tc>
        <w:tc>
          <w:tcPr>
            <w:tcW w:w="1275" w:type="dxa"/>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20</w:t>
            </w:r>
          </w:p>
        </w:tc>
        <w:tc>
          <w:tcPr>
            <w:tcW w:w="1313"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其他资金 </w:t>
            </w:r>
          </w:p>
        </w:tc>
        <w:tc>
          <w:tcPr>
            <w:tcW w:w="5354"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p>
        </w:tc>
      </w:tr>
      <w:tr>
        <w:trPr>
          <w:trHeight w:hRule="exact" w:val="617"/>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13480" w:type="dxa"/>
            <w:gridSpan w:val="11"/>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用途（简述）： 预算数20万元。财政资金20万元。主要用于：征收范围内房屋调查登记，相关部门暂停办理新建改扩建等手续，房屋征收宣传、签订协议等房屋征收工作。</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资金支出计划（%） </w:t>
            </w:r>
          </w:p>
        </w:tc>
        <w:tc>
          <w:tcPr>
            <w:tcW w:w="3442"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3月底 </w:t>
            </w:r>
          </w:p>
        </w:tc>
        <w:tc>
          <w:tcPr>
            <w:tcW w:w="2096"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6月底 </w:t>
            </w:r>
          </w:p>
        </w:tc>
        <w:tc>
          <w:tcPr>
            <w:tcW w:w="245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9月底 </w:t>
            </w:r>
          </w:p>
        </w:tc>
        <w:tc>
          <w:tcPr>
            <w:tcW w:w="5487" w:type="dxa"/>
            <w:gridSpan w:val="4"/>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12月底 </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3442"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30%</w:t>
            </w:r>
          </w:p>
        </w:tc>
        <w:tc>
          <w:tcPr>
            <w:tcW w:w="2096"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60%</w:t>
            </w:r>
          </w:p>
        </w:tc>
        <w:tc>
          <w:tcPr>
            <w:tcW w:w="245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5487" w:type="dxa"/>
            <w:gridSpan w:val="4"/>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100%</w:t>
            </w:r>
          </w:p>
        </w:tc>
      </w:tr>
      <w:tr>
        <w:trPr>
          <w:trHeight w:hRule="exact" w:val="522"/>
        </w:trPr>
        <w:tc>
          <w:tcPr>
            <w:tcW w:w="126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绩效目标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目标1 </w:t>
            </w:r>
          </w:p>
        </w:tc>
        <w:tc>
          <w:tcPr>
            <w:tcW w:w="11440" w:type="dxa"/>
            <w:gridSpan w:val="10"/>
            <w:tcBorders>
              <w:top w:val="single" w:sz="4" w:space="0" w:color="auto"/>
              <w:left w:val="nil"/>
              <w:bottom w:val="single" w:sz="4" w:space="0" w:color="auto"/>
              <w:right w:val="single" w:sz="4" w:space="0" w:color="000000"/>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 按时保质保量完成征收范围内房屋调查登记，相关部门暂停办理新建改扩建等手续，做好房屋征收宣传、签订协议等房屋征收工作。</w:t>
            </w:r>
          </w:p>
        </w:tc>
      </w:tr>
      <w:tr>
        <w:trPr>
          <w:trHeight w:hRule="exact" w:val="522"/>
        </w:trPr>
        <w:tc>
          <w:tcPr>
            <w:tcW w:w="126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一级指标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二级指标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三级指标 </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绩效指标描述 </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指标值 </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指标值确定依据 </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产出指标  </w:t>
            </w:r>
          </w:p>
        </w:tc>
        <w:tc>
          <w:tcPr>
            <w:tcW w:w="2040" w:type="dxa"/>
            <w:tcBorders>
              <w:top w:val="nil"/>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数量指标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安置楼房回迁数</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安置楼房回迁总数</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≥95户</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质量指标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房屋征收完成率（%）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该项目已完成征收占项目总量的比率</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时效指标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信访问题解决占总数比例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成本指标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房屋征收补偿费发放</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补偿费发放户数占总户数的比例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=100%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效果指标</w:t>
            </w: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经济效益指标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安置楼房涉征户返迁率（%）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当年返迁总量与上年的提高比例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社会效益指标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年度村镇房屋征收执行率（%）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当年执行的村镇房屋征收数占项目总量的比例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生态效益指标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生态环境改善</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生态环境改善</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≥80%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可持续性影响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涉征户信访案件解决完成率（%）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信访问题解决占总信访数比例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97"/>
        </w:trPr>
        <w:tc>
          <w:tcPr>
            <w:tcW w:w="1260" w:type="dxa"/>
            <w:tcBorders>
              <w:top w:val="single" w:sz="4" w:space="0" w:color="auto"/>
              <w:left w:val="single" w:sz="4" w:space="0" w:color="000000"/>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满意度指标 </w:t>
            </w:r>
          </w:p>
        </w:tc>
        <w:tc>
          <w:tcPr>
            <w:tcW w:w="204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服务对象满意度指标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群众满意度</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群众对当年房屋征收满意度</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bl>
    <w:p>
      <w:pPr>
        <w:rPr>
          <w:rFonts w:ascii="方正仿宋简体" w:eastAsia="方正仿宋简体" w:cs="方正仿宋简体" w:hAnsi="方正仿宋简体"/>
          <w:bCs/>
        </w:rPr>
        <w:sectPr>
          <w:pgSz w:w="16840" w:h="11900" w:orient="landscape"/>
          <w:pgMar w:top="964" w:right="1020" w:bottom="850" w:left="1020" w:header="720" w:footer="720" w:gutter="0"/>
          <w:cols w:num="1" w:space="720"/>
          <w:docGrid w:linePitch="312" w:charSpace="0"/>
        </w:sectPr>
      </w:pPr>
      <w:bookmarkStart w:id="6" w:name="_Toc68791550"/>
    </w:p>
    <w:p>
      <w:pPr>
        <w:spacing w:beforeLines="50" w:before="156" w:afterLines="50" w:after="156" w:line="560" w:lineRule="exact"/>
        <w:jc w:val="left"/>
        <w:outlineLvl w:val="2"/>
        <w:rPr>
          <w:rFonts w:ascii="宋体" w:cs="宋体" w:hAnsi="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黑体简体" w:eastAsia="方正黑体简体" w:cs="方正黑体简体" w:hAnsi="方正黑体简体"/>
          <w:bCs/>
          <w:color w:val="000000"/>
          <w:sz w:val="32"/>
          <w:szCs w:val="32"/>
        </w:rPr>
      </w:pPr>
      <w:bookmarkEnd w:id="6"/>
      <w:r>
        <w:rPr>
          <w:rFonts w:ascii="方正黑体简体" w:eastAsia="方正黑体简体" w:cs="方正黑体简体" w:hAnsi="方正黑体简体" w:hint="eastAsia"/>
          <w:bCs/>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2022年遵化市房屋征收中心安排政府采购预算0.00万元。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657</w:t>
            </w:r>
            <w:r>
              <w:rPr>
                <w:rFonts w:ascii="方正仿宋简体" w:eastAsia="方正仿宋简体" w:cs="方正仿宋简体" w:hAnsi="方正仿宋简体" w:hint="eastAsia"/>
                <w:sz w:val="32"/>
                <w:szCs w:val="32"/>
                <w:lang w:val="en-US" w:eastAsia="zh-CN"/>
              </w:rPr>
              <w:t>001</w:t>
            </w: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p>
        </w:tc>
        <w:tc>
          <w:tcPr>
            <w:tcW w:w="6985" w:type="dxa"/>
            <w:gridSpan w:val="6"/>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政府采购项目来源</w:t>
            </w:r>
          </w:p>
        </w:tc>
        <w:tc>
          <w:tcPr>
            <w:tcW w:w="1245"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采购物品名称</w:t>
            </w:r>
          </w:p>
        </w:tc>
        <w:tc>
          <w:tcPr>
            <w:tcW w:w="1410"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政府采购目录序号</w:t>
            </w:r>
          </w:p>
        </w:tc>
        <w:tc>
          <w:tcPr>
            <w:tcW w:w="1065"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计量单位</w:t>
            </w:r>
          </w:p>
        </w:tc>
        <w:tc>
          <w:tcPr>
            <w:tcW w:w="1020"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953"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单价</w:t>
            </w:r>
          </w:p>
        </w:tc>
        <w:tc>
          <w:tcPr>
            <w:tcW w:w="6985" w:type="dxa"/>
            <w:gridSpan w:val="6"/>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政府采购金额（当年</w:t>
            </w:r>
            <w:r>
              <w:rPr>
                <w:rFonts w:ascii="方正仿宋简体" w:eastAsia="方正仿宋简体" w:cs="方正仿宋简体" w:hAnsi="方正仿宋简体" w:hint="eastAsia"/>
                <w:bCs/>
                <w:sz w:val="32"/>
                <w:szCs w:val="32"/>
                <w:lang w:eastAsia="zh-CN"/>
              </w:rPr>
              <w:t>本级</w:t>
            </w:r>
            <w:r>
              <w:rPr>
                <w:rFonts w:ascii="方正仿宋简体" w:eastAsia="方正仿宋简体" w:cs="方正仿宋简体" w:hAnsi="方正仿宋简体" w:hint="eastAsia"/>
                <w:bCs/>
                <w:sz w:val="32"/>
                <w:szCs w:val="32"/>
              </w:rPr>
              <w:t>预算安排资金）</w:t>
            </w:r>
          </w:p>
        </w:tc>
      </w:tr>
      <w:tr>
        <w:trPr>
          <w:cantSplit/>
          <w:trHeight w:val="1836"/>
          <w:tblHeader/>
        </w:trPr>
        <w:tc>
          <w:tcPr>
            <w:tcW w:w="1027" w:type="dxa"/>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项目名称</w:t>
            </w:r>
          </w:p>
        </w:tc>
        <w:tc>
          <w:tcPr>
            <w:tcW w:w="103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预算资金</w:t>
            </w:r>
          </w:p>
        </w:tc>
        <w:tc>
          <w:tcPr>
            <w:tcW w:w="124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065" w:type="dxa"/>
            <w:vMerge/>
            <w:tcBorders>
              <w:left w:val="single" w:sz="6" w:space="0" w:color="000000"/>
            </w:tcBorders>
            <w:noWrap/>
            <w:vAlign w:val="center"/>
          </w:tcPr>
          <w:p/>
        </w:tc>
        <w:tc>
          <w:tcPr>
            <w:tcW w:w="1020" w:type="dxa"/>
            <w:vMerge/>
            <w:tcBorders>
              <w:left w:val="single" w:sz="6" w:space="0" w:color="000000"/>
            </w:tcBorders>
            <w:noWrap/>
            <w:vAlign w:val="center"/>
          </w:tcPr>
          <w:p/>
        </w:tc>
        <w:tc>
          <w:tcPr>
            <w:tcW w:w="953" w:type="dxa"/>
            <w:vMerge/>
            <w:tcBorders>
              <w:left w:val="single" w:sz="6" w:space="0" w:color="000000"/>
            </w:tcBorders>
            <w:noWrap/>
            <w:vAlign w:val="center"/>
          </w:tcPr>
          <w:p/>
        </w:tc>
        <w:tc>
          <w:tcPr>
            <w:tcW w:w="82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合计</w:t>
            </w:r>
          </w:p>
        </w:tc>
        <w:tc>
          <w:tcPr>
            <w:tcW w:w="139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一般公共预算拨款</w:t>
            </w:r>
          </w:p>
        </w:tc>
        <w:tc>
          <w:tcPr>
            <w:tcW w:w="114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基金预算拨款</w:t>
            </w:r>
          </w:p>
        </w:tc>
        <w:tc>
          <w:tcPr>
            <w:tcW w:w="148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国有资本经营预算拨款</w:t>
            </w:r>
          </w:p>
        </w:tc>
        <w:tc>
          <w:tcPr>
            <w:tcW w:w="105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财政专户核拨</w:t>
            </w:r>
          </w:p>
        </w:tc>
        <w:tc>
          <w:tcPr>
            <w:tcW w:w="1066"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单位资金</w:t>
            </w:r>
          </w:p>
        </w:tc>
      </w:tr>
      <w:tr>
        <w:trPr>
          <w:cantSplit/>
          <w:trHeight w:val="1474"/>
        </w:trPr>
        <w:tc>
          <w:tcPr>
            <w:tcW w:w="1027" w:type="dxa"/>
            <w:noWrap/>
            <w:vAlign w:val="center"/>
          </w:tcPr>
          <w:p>
            <w:pPr>
              <w:spacing w:line="560" w:lineRule="exact"/>
              <w:jc w:val="center"/>
              <w:rPr>
                <w:rFonts w:ascii="方正仿宋简体" w:eastAsia="方正仿宋简体" w:cs="方正仿宋简体" w:hAnsi="方正仿宋简体"/>
                <w:bCs/>
                <w:sz w:val="32"/>
                <w:szCs w:val="32"/>
              </w:rPr>
            </w:pPr>
          </w:p>
        </w:tc>
        <w:tc>
          <w:tcPr>
            <w:tcW w:w="1035"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245" w:type="dxa"/>
            <w:tcBorders>
              <w:left w:val="single" w:sz="6" w:space="0" w:color="000000"/>
            </w:tcBorders>
            <w:noWrap/>
            <w:vAlign w:val="center"/>
          </w:tcPr>
          <w:p>
            <w:pPr>
              <w:spacing w:line="560" w:lineRule="exact"/>
              <w:jc w:val="left"/>
              <w:rPr>
                <w:rFonts w:ascii="方正仿宋简体" w:eastAsia="方正仿宋简体" w:cs="方正仿宋简体" w:hAnsi="方正仿宋简体"/>
                <w:bCs/>
                <w:sz w:val="32"/>
                <w:szCs w:val="32"/>
              </w:rPr>
            </w:pPr>
          </w:p>
        </w:tc>
        <w:tc>
          <w:tcPr>
            <w:tcW w:w="1410" w:type="dxa"/>
            <w:tcBorders>
              <w:left w:val="single" w:sz="6" w:space="0" w:color="000000"/>
            </w:tcBorders>
            <w:noWrap/>
            <w:vAlign w:val="center"/>
          </w:tcPr>
          <w:p>
            <w:pPr>
              <w:spacing w:line="560" w:lineRule="exact"/>
              <w:jc w:val="left"/>
              <w:rPr>
                <w:rFonts w:ascii="方正仿宋简体" w:eastAsia="方正仿宋简体" w:cs="方正仿宋简体" w:hAnsi="方正仿宋简体"/>
                <w:bCs/>
                <w:sz w:val="32"/>
                <w:szCs w:val="32"/>
              </w:rPr>
            </w:pP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p>
        </w:tc>
        <w:tc>
          <w:tcPr>
            <w:tcW w:w="1020"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953"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827"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398"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149"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487"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058"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066"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bookmarkStart w:id="7" w:name="_Toc68791551"/>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bookmarkEnd w:id="7"/>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（含所属单位）上年末固定资产金额为22.19万元（详见下表）。本年度拟购置固定资产总额为0万元。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657</w:t>
            </w:r>
            <w:r>
              <w:rPr>
                <w:rFonts w:ascii="方正仿宋简体" w:eastAsia="方正仿宋简体" w:cs="方正仿宋简体" w:hAnsi="方正仿宋简体" w:hint="eastAsia"/>
                <w:sz w:val="32"/>
                <w:szCs w:val="32"/>
                <w:lang w:val="en-US" w:eastAsia="zh-CN"/>
              </w:rPr>
              <w:t>001</w:t>
            </w: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p>
        </w:tc>
        <w:tc>
          <w:tcPr>
            <w:tcW w:w="5285" w:type="dxa"/>
            <w:gridSpan w:val="2"/>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22.19</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5.99</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16.2</w:t>
            </w:r>
          </w:p>
        </w:tc>
      </w:tr>
    </w:tbl>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sz w:val="32"/>
          <w:szCs w:val="32"/>
        </w:rPr>
      </w:pPr>
      <w:bookmarkStart w:id="8" w:name="_Toc68791552"/>
      <w:r>
        <w:rPr>
          <w:rFonts w:ascii="方正黑体简体" w:eastAsia="方正黑体简体" w:cs="方正黑体简体" w:hAnsi="方正黑体简体" w:hint="eastAsia"/>
          <w:sz w:val="32"/>
          <w:szCs w:val="32"/>
        </w:rPr>
        <w:t>八、名词解释</w:t>
      </w:r>
      <w:bookmarkEnd w:id="8"/>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sz w:val="32"/>
          <w:szCs w:val="32"/>
        </w:rPr>
      </w:pPr>
      <w:bookmarkStart w:id="9" w:name="_Toc68791553"/>
      <w:r>
        <w:rPr>
          <w:rFonts w:ascii="方正黑体简体" w:eastAsia="方正黑体简体" w:cs="方正黑体简体" w:hAnsi="方正黑体简体" w:hint="eastAsia"/>
          <w:sz w:val="32"/>
          <w:szCs w:val="32"/>
        </w:rPr>
        <w:t>九、其他需要说明的事项</w:t>
      </w:r>
      <w:bookmarkEnd w:id="9"/>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sectPr>
          <w:footerReference w:type="default" r:id="rId6"/>
          <w:pgSz w:w="16839" w:h="11907" w:orient="landscape"/>
          <w:pgMar w:top="680" w:right="1020" w:bottom="680" w:left="1020" w:header="851" w:footer="992" w:gutter="0"/>
          <w:cols w:num="1" w:space="720"/>
          <w:docGrid w:type="lines" w:linePitch="312" w:charSpace="0"/>
        </w:sectPr>
      </w:pPr>
      <w:r>
        <w:rPr>
          <w:rFonts w:ascii="方正仿宋简体" w:eastAsia="方正仿宋简体" w:cs="方正仿宋简体" w:hAnsi="方正仿宋简体" w:hint="eastAsia"/>
          <w:sz w:val="32"/>
          <w:szCs w:val="32"/>
        </w:rPr>
        <w:t>本</w:t>
      </w:r>
      <w:r>
        <w:rPr>
          <w:rFonts w:ascii="方正仿宋简体" w:eastAsia="方正仿宋简体" w:cs="方正仿宋简体" w:hAnsi="方正仿宋简体" w:hint="eastAsia"/>
          <w:sz w:val="32"/>
          <w:szCs w:val="32"/>
          <w:lang w:eastAsia="zh-CN"/>
        </w:rPr>
        <w:t>级</w:t>
      </w:r>
      <w:r>
        <w:rPr>
          <w:rFonts w:ascii="方正仿宋简体" w:eastAsia="方正仿宋简体" w:cs="方正仿宋简体" w:hAnsi="方正仿宋简体" w:hint="eastAsia"/>
          <w:sz w:val="32"/>
          <w:szCs w:val="32"/>
        </w:rPr>
        <w:t>无其他需要说明的事项。</w:t>
      </w:r>
    </w:p>
    <w:p>
      <w:pPr>
        <w:spacing w:line="560" w:lineRule="exact"/>
        <w:jc w:val="left"/>
        <w:rPr>
          <w:rFonts w:ascii="仿宋" w:eastAsia="仿宋" w:cs="仿宋" w:hAnsi="仿宋"/>
          <w:szCs w:val="21"/>
        </w:rPr>
      </w:pPr>
    </w:p>
    <w:sectPr>
      <w:pgSz w:w="16839" w:h="11907" w:orient="landscape"/>
      <w:pgMar w:top="1361" w:right="1020" w:bottom="1361" w:left="10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黑体简体">
    <w:altName w:val="微软雅黑"/>
    <w:panose1 w:val="03000509000000000000"/>
    <w:charset w:val="86"/>
    <w:family w:val="script"/>
    <w:pitch w:val="variable"/>
    <w:sig w:usb0="00000000" w:usb1="00000000" w:usb2="00000000" w:usb3="00000000" w:csb0="00040000" w:csb1="00000000"/>
  </w:font>
  <w:font w:name="方正楷体简体">
    <w:panose1 w:val="02000000000000000000"/>
    <w:charset w:val="86"/>
    <w:family w:val="script"/>
    <w:pitch w:val="variable"/>
    <w:sig w:usb0="A00002BF" w:usb1="184F6CFA" w:usb2="00000012" w:usb3="00000000" w:csb0="00040001" w:csb1="00000000"/>
  </w:font>
  <w:font w:name="方正仿宋简体">
    <w:panose1 w:val="02000000000000000000"/>
    <w:charset w:val="86"/>
    <w:family w:val="script"/>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 w:name="方正仿宋_GBK">
    <w:altName w:val="微软雅黑"/>
    <w:panose1 w:val="00000000000000000000"/>
    <w:charset w:val="00"/>
    <w:family w:val="auto"/>
    <w:pitch w:val="variable"/>
    <w:sig w:usb0="00000000" w:usb1="00000000" w:usb2="00000010" w:usb3="00000000" w:csb0="00040001" w:csb1="00000000"/>
  </w:font>
  <w:font w:name="方正书宋_GBK">
    <w:altName w:val="微软雅黑"/>
    <w:panose1 w:val="00000000000000000000"/>
    <w:charset w:val="00"/>
    <w:family w:val="auto"/>
    <w:pitch w:val="variable"/>
    <w:sig w:usb0="00000000" w:usb1="00000000" w:usb2="0000001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1026"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
                      <w:txbxContent>
                        <w:p>
                          <w:pPr>
                            <w:pStyle w:val="16"/>
                            <w:tabs>
                              <w:tab w:val="center" w:pos="4153"/>
                              <w:tab w:val="right" w:pos="8306"/>
                            </w:tabs>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type="#_x0000_t1" id="文本框 1033" o:spid="_x0000_s2" filled="f" stroked="f" style="position:absolute;margin-left:0.0pt;margin-top:0.0pt;width:9.123047pt;height:10.986328pt;z-index:15;mso-position-horizontal:right;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19</w:t>
                    </w:r>
                    <w:r>
                      <w:fldChar w:fldCharType="end"/>
                    </w:r>
                  </w:p>
                </w:txbxContent>
              </v:textbox>
            </v:rect>
          </w:pict>
        </mc:Fallback>
      </mc:AlternateContent>
    </w:r>
    <w:r>
      <w:rPr>
        <w:rFonts w:hint="eastAsia"/>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3073"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6"/>
                            <w:tabs>
                              <w:tab w:val="center" w:pos="4153"/>
                              <w:tab w:val="right" w:pos="8306"/>
                            </w:tabs>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rect type="#_x0000_t1" id="文本框 1031" o:spid="_x0000_s4" filled="f" stroked="f" style="position:absolute;margin-left:0.0pt;margin-top:0.0pt;width:9.1229925pt;height:10.9862995pt;z-index:13;mso-position-horizontal:right;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26</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1"/>
  </w:compat>
  <w:docVars>
    <w:docVar w:name="commondata" w:val="eyJoZGlkIjoiZDQyZDRhODZkMTMyYmFlMWNhZTA2MjQ1MjNlNjExMDY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toc 3"/>
    <w:qFormat/>
    <w:basedOn w:val="0"/>
    <w:next w:val="0"/>
    <w:pPr>
      <w:ind w:leftChars="400" w:left="400"/>
    </w:p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toc 4"/>
    <w:qFormat/>
    <w:basedOn w:val="0"/>
    <w:next w:val="0"/>
    <w:pPr>
      <w:ind w:leftChars="600" w:left="600"/>
    </w:pPr>
  </w:style>
  <w:style w:type="paragraph" w:styleId="19">
    <w:name w:val="toc 2"/>
    <w:qFormat/>
    <w:basedOn w:val="0"/>
    <w:next w:val="0"/>
    <w:pPr>
      <w:ind w:leftChars="200" w:left="200"/>
    </w:pPr>
  </w:style>
  <w:style w:type="character" w:styleId="20">
    <w:name w:val="page number"/>
    <w:qFormat/>
    <w:basedOn w:val="10"/>
  </w:style>
  <w:style w:type="character" w:styleId="21">
    <w:name w:val="Hyperlink"/>
    <w:qFormat/>
    <w:basedOn w:val="10"/>
    <w:rPr>
      <w:color w:val="0000FF"/>
      <w:u w:val="single"/>
    </w:rPr>
  </w:style>
  <w:style w:type="paragraph" w:customStyle="1" w:styleId="22">
    <w:name w:val="插入文本样式-插入部门职责文件"/>
    <w:qFormat/>
    <w:basedOn w:val="0"/>
    <w:pPr>
      <w:spacing w:line="500" w:lineRule="exact"/>
      <w:ind w:firstLine="560"/>
      <w:jc w:val="left"/>
    </w:pPr>
    <w:rPr>
      <w:rFonts w:ascii="Times New Roman" w:eastAsia="方正仿宋_GBK" w:hAnsi="Times New Roman"/>
      <w:sz w:val="28"/>
    </w:rPr>
  </w:style>
  <w:style w:type="paragraph" w:customStyle="1" w:styleId="23">
    <w:name w:val="单元格样式5"/>
    <w:qFormat/>
    <w:basedOn w:val="0"/>
    <w:pPr>
      <w:jc w:val="left"/>
    </w:pPr>
    <w:rPr>
      <w:rFonts w:ascii="方正书宋_GBK" w:eastAsia="方正书宋_GBK" w:cs="方正书宋_GBK" w:hAnsi="方正书宋_GBK"/>
      <w:b/>
    </w:rPr>
  </w:style>
  <w:style w:type="paragraph" w:customStyle="1" w:styleId="24">
    <w:name w:val="单元格样式4"/>
    <w:qFormat/>
    <w:basedOn w:val="0"/>
    <w:pPr>
      <w:jc w:val="right"/>
    </w:pPr>
    <w:rPr>
      <w:rFonts w:ascii="方正书宋_GBK" w:eastAsia="方正书宋_GBK" w:cs="方正书宋_GBK" w:hAnsi="方正书宋_GBK"/>
    </w:rPr>
  </w:style>
  <w:style w:type="paragraph" w:customStyle="1" w:styleId="25">
    <w:name w:val="单元格样式1"/>
    <w:qFormat/>
    <w:basedOn w:val="0"/>
    <w:pPr>
      <w:jc w:val="center"/>
    </w:pPr>
    <w:rPr>
      <w:rFonts w:ascii="方正书宋_GBK" w:eastAsia="方正书宋_GBK" w:cs="方正书宋_GBK" w:hAnsi="方正书宋_GBK"/>
      <w:b/>
    </w:rPr>
  </w:style>
  <w:style w:type="paragraph" w:customStyle="1" w:styleId="26">
    <w:name w:val="单元格样式2"/>
    <w:qFormat/>
    <w:basedOn w:val="0"/>
    <w:pPr>
      <w:jc w:val="left"/>
    </w:pPr>
    <w:rPr>
      <w:rFonts w:ascii="方正书宋_GBK" w:eastAsia="方正书宋_GBK" w:cs="方正书宋_GBK" w:hAnsi="方正书宋_GBK"/>
    </w:rPr>
  </w:style>
  <w:style w:type="paragraph" w:customStyle="1" w:styleId="27">
    <w:name w:val="单元格样式3"/>
    <w:qFormat/>
    <w:basedOn w:val="0"/>
    <w:pPr>
      <w:jc w:val="center"/>
    </w:pPr>
    <w:rPr>
      <w:rFonts w:ascii="方正书宋_GBK" w:eastAsia="方正书宋_GBK" w:cs="方正书宋_GBK" w:hAnsi="方正书宋_GBK"/>
    </w:rPr>
  </w:style>
  <w:style w:type="paragraph" w:customStyle="1" w:styleId="28">
    <w:name w:val="p0"/>
    <w:qFormat/>
    <w:basedOn w:val="0"/>
    <w:pPr>
      <w:widowControl/>
    </w:pPr>
    <w:rPr>
      <w:rFonts w:ascii="宋体" w:cs="宋体" w:hAnsi="宋体"/>
      <w:kern w:val="0"/>
      <w:sz w:val="32"/>
      <w:szCs w:val="32"/>
    </w:rPr>
  </w:style>
  <w:style w:type="paragraph" w:customStyle="1" w:styleId="29">
    <w:name w:val="插入文本样式-插入总体目标文件"/>
    <w:qFormat/>
    <w:basedOn w:val="0"/>
    <w:pPr>
      <w:spacing w:line="500" w:lineRule="exact"/>
      <w:ind w:firstLine="560"/>
      <w:jc w:val="left"/>
    </w:pPr>
    <w:rPr>
      <w:rFonts w:ascii="Times New Roman" w:eastAsia="方正仿宋_GBK" w:hAnsi="Times New Roman"/>
      <w:sz w:val="28"/>
    </w:rPr>
  </w:style>
  <w:style w:type="paragraph" w:customStyle="1" w:styleId="30">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styleId="31">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58033FB8-BAA4-4A72-8748-5FEBA0E6B76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31</Pages>
  <Words>0</Words>
  <Characters>8455</Characters>
  <Lines>0</Lines>
  <Paragraphs>155</Paragraphs>
  <CharactersWithSpaces>11274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47</cp:revision>
  <cp:lastPrinted>2022-04-11T03:38:00Z</cp:lastPrinted>
  <dcterms:created xsi:type="dcterms:W3CDTF">2021-04-08T09:25:00Z</dcterms:created>
  <dcterms:modified xsi:type="dcterms:W3CDTF">2024-03-19T02:17:20Z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5DA0201A107B4FF79F559F7EB831548E</vt:lpwstr>
  </property>
</Properties>
</file>