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Calibri" w:eastAsia="黑体" w:cs="Times New Roman"/>
          <w:b/>
          <w:sz w:val="44"/>
          <w:szCs w:val="22"/>
        </w:rPr>
      </w:pPr>
      <w:r>
        <w:rPr>
          <w:rFonts w:hint="eastAsia" w:ascii="黑体" w:hAnsi="Calibri" w:eastAsia="黑体" w:cs="Times New Roman"/>
          <w:b/>
          <w:sz w:val="44"/>
          <w:szCs w:val="22"/>
        </w:rPr>
        <w:t>202</w:t>
      </w:r>
      <w:r>
        <w:rPr>
          <w:rFonts w:hint="eastAsia" w:ascii="黑体" w:hAnsi="Calibri" w:eastAsia="黑体" w:cs="Times New Roman"/>
          <w:b/>
          <w:sz w:val="44"/>
          <w:szCs w:val="22"/>
          <w:lang w:val="en-US" w:eastAsia="zh-CN"/>
        </w:rPr>
        <w:t>3</w:t>
      </w:r>
      <w:r>
        <w:rPr>
          <w:rFonts w:hint="eastAsia" w:ascii="黑体" w:hAnsi="Calibri" w:eastAsia="黑体" w:cs="Times New Roman"/>
          <w:b/>
          <w:sz w:val="44"/>
          <w:szCs w:val="22"/>
        </w:rPr>
        <w:t>年</w:t>
      </w:r>
      <w:r>
        <w:rPr>
          <w:rFonts w:hint="eastAsia" w:ascii="黑体" w:hAnsi="Calibri" w:eastAsia="黑体" w:cs="Times New Roman"/>
          <w:b/>
          <w:sz w:val="44"/>
          <w:szCs w:val="22"/>
          <w:lang w:eastAsia="zh-CN"/>
        </w:rPr>
        <w:t>单位</w:t>
      </w:r>
      <w:r>
        <w:rPr>
          <w:rFonts w:hint="eastAsia" w:ascii="黑体" w:hAnsi="Calibri" w:eastAsia="黑体" w:cs="Times New Roman"/>
          <w:b/>
          <w:sz w:val="44"/>
          <w:szCs w:val="22"/>
        </w:rPr>
        <w:t>预算信息公开目录</w:t>
      </w:r>
    </w:p>
    <w:p>
      <w:pPr>
        <w:jc w:val="center"/>
        <w:rPr>
          <w:rFonts w:ascii="Times New Roman" w:hAnsi="宋体"/>
          <w:b/>
          <w:sz w:val="32"/>
          <w:szCs w:val="28"/>
        </w:rPr>
      </w:pPr>
      <w:r>
        <w:rPr>
          <w:rFonts w:ascii="黑体" w:hAnsi="黑体" w:eastAsia="黑体"/>
          <w:b/>
          <w:sz w:val="32"/>
          <w:szCs w:val="28"/>
        </w:rPr>
        <w:t xml:space="preserve"> </w:t>
      </w:r>
    </w:p>
    <w:p>
      <w:pPr>
        <w:jc w:val="left"/>
        <w:rPr>
          <w:rFonts w:hint="eastAsia" w:ascii="方正楷体_GBK" w:hAnsi="Calibri" w:eastAsia="方正楷体_GBK" w:cs="Times New Roman"/>
          <w:b/>
          <w:sz w:val="28"/>
          <w:szCs w:val="22"/>
        </w:rPr>
      </w:pPr>
      <w:r>
        <w:rPr>
          <w:rFonts w:hint="eastAsia" w:ascii="方正楷体_GBK" w:hAnsi="Calibri" w:eastAsia="方正楷体_GBK" w:cs="Times New Roman"/>
          <w:b/>
          <w:sz w:val="28"/>
          <w:szCs w:val="22"/>
          <w:lang w:eastAsia="zh-CN"/>
        </w:rPr>
        <w:t>单位</w:t>
      </w:r>
      <w:r>
        <w:rPr>
          <w:rFonts w:hint="eastAsia" w:ascii="方正楷体_GBK" w:hAnsi="Calibri" w:eastAsia="方正楷体_GBK" w:cs="Times New Roman"/>
          <w:b/>
          <w:sz w:val="28"/>
          <w:szCs w:val="22"/>
        </w:rPr>
        <w:t>预算公开表</w:t>
      </w:r>
    </w:p>
    <w:p>
      <w:pPr>
        <w:pStyle w:val="8"/>
        <w:tabs>
          <w:tab w:val="right" w:leader="dot" w:pos="14789"/>
        </w:tabs>
        <w:jc w:val="center"/>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fldChar w:fldCharType="begin"/>
      </w:r>
      <w:r>
        <w:rPr>
          <w:rFonts w:hint="eastAsia" w:ascii="方正仿宋简体" w:hAnsi="方正仿宋简体" w:eastAsia="方正仿宋简体" w:cs="方正仿宋简体"/>
          <w:sz w:val="32"/>
          <w:szCs w:val="28"/>
        </w:rPr>
        <w:instrText xml:space="preserve"> TOC \o "2-2" \h \z \u \t "-1" </w:instrText>
      </w:r>
      <w:r>
        <w:rPr>
          <w:rFonts w:hint="eastAsia" w:ascii="方正仿宋简体" w:hAnsi="方正仿宋简体" w:eastAsia="方正仿宋简体" w:cs="方正仿宋简体"/>
          <w:sz w:val="32"/>
          <w:szCs w:val="28"/>
        </w:rPr>
        <w:fldChar w:fldCharType="separate"/>
      </w: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"_Toc68791536"</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预算收支总表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2"/>
          <w:rFonts w:hint="eastAsia" w:ascii="方正仿宋简体" w:hAnsi="方正仿宋简体" w:eastAsia="方正仿宋简体" w:cs="方正仿宋简体"/>
          <w:color w:val="auto"/>
          <w:sz w:val="32"/>
          <w:szCs w:val="28"/>
          <w:u w:val="none"/>
        </w:rPr>
        <w:fldChar w:fldCharType="end"/>
      </w:r>
    </w:p>
    <w:p>
      <w:pPr>
        <w:pStyle w:val="8"/>
        <w:tabs>
          <w:tab w:val="right" w:leader="dot" w:pos="14789"/>
        </w:tabs>
        <w:jc w:val="center"/>
        <w:rPr>
          <w:rFonts w:hint="eastAsia" w:ascii="方正仿宋简体" w:hAnsi="方正仿宋简体" w:eastAsia="方正仿宋简体" w:cs="方正仿宋简体"/>
          <w:sz w:val="32"/>
          <w:szCs w:val="28"/>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"_Toc68791537"</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预算收入总表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3</w:t>
      </w:r>
      <w:r>
        <w:rPr>
          <w:rStyle w:val="12"/>
          <w:rFonts w:hint="eastAsia" w:ascii="方正仿宋简体" w:hAnsi="方正仿宋简体" w:eastAsia="方正仿宋简体" w:cs="方正仿宋简体"/>
          <w:color w:val="auto"/>
          <w:sz w:val="32"/>
          <w:szCs w:val="28"/>
          <w:u w:val="none"/>
        </w:rPr>
        <w:fldChar w:fldCharType="end"/>
      </w:r>
    </w:p>
    <w:p>
      <w:pPr>
        <w:pStyle w:val="8"/>
        <w:tabs>
          <w:tab w:val="right" w:leader="dot" w:pos="14789"/>
        </w:tabs>
        <w:jc w:val="center"/>
        <w:rPr>
          <w:rFonts w:hint="eastAsia" w:ascii="方正仿宋简体" w:hAnsi="方正仿宋简体" w:eastAsia="方正仿宋简体" w:cs="方正仿宋简体"/>
          <w:sz w:val="32"/>
          <w:szCs w:val="28"/>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"_Toc68791538"</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预算支出总表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5</w:t>
      </w:r>
      <w:r>
        <w:rPr>
          <w:rStyle w:val="12"/>
          <w:rFonts w:hint="eastAsia" w:ascii="方正仿宋简体" w:hAnsi="方正仿宋简体" w:eastAsia="方正仿宋简体" w:cs="方正仿宋简体"/>
          <w:color w:val="auto"/>
          <w:sz w:val="32"/>
          <w:szCs w:val="28"/>
          <w:u w:val="none"/>
        </w:rPr>
        <w:fldChar w:fldCharType="end"/>
      </w:r>
    </w:p>
    <w:p>
      <w:pPr>
        <w:pStyle w:val="8"/>
        <w:keepNext w:val="0"/>
        <w:keepLines w:val="0"/>
        <w:pageBreakBefore w:val="0"/>
        <w:widowControl w:val="0"/>
        <w:tabs>
          <w:tab w:val="right" w:leader="dot" w:pos="14789"/>
        </w:tabs>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32"/>
          <w:szCs w:val="28"/>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"_Toc68791539"</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预算财政拨款收支总表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lang w:val="en-US" w:eastAsia="zh-CN"/>
        </w:rPr>
        <w:t>7</w:t>
      </w:r>
      <w:r>
        <w:rPr>
          <w:rStyle w:val="12"/>
          <w:rFonts w:hint="eastAsia" w:ascii="方正仿宋简体" w:hAnsi="方正仿宋简体" w:eastAsia="方正仿宋简体" w:cs="方正仿宋简体"/>
          <w:color w:val="auto"/>
          <w:sz w:val="32"/>
          <w:szCs w:val="28"/>
          <w:u w:val="none"/>
        </w:rPr>
        <w:fldChar w:fldCharType="end"/>
      </w:r>
    </w:p>
    <w:p>
      <w:pPr>
        <w:pStyle w:val="8"/>
        <w:tabs>
          <w:tab w:val="right" w:leader="dot" w:pos="14789"/>
        </w:tabs>
        <w:jc w:val="center"/>
        <w:rPr>
          <w:rFonts w:hint="eastAsia" w:ascii="方正仿宋简体" w:hAnsi="方正仿宋简体" w:eastAsia="方正仿宋简体" w:cs="方正仿宋简体"/>
          <w:sz w:val="32"/>
          <w:szCs w:val="28"/>
          <w:lang w:eastAsia="zh-CN"/>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"_Toc68791540"</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预算一般公共预算财政拨款支出表</w:t>
      </w:r>
      <w:r>
        <w:rPr>
          <w:rFonts w:hint="eastAsia" w:ascii="方正仿宋简体" w:hAnsi="方正仿宋简体" w:eastAsia="方正仿宋简体" w:cs="方正仿宋简体"/>
          <w:sz w:val="32"/>
          <w:szCs w:val="28"/>
        </w:rPr>
        <w:tab/>
      </w:r>
      <w:r>
        <w:rPr>
          <w:rStyle w:val="12"/>
          <w:rFonts w:hint="eastAsia" w:ascii="方正仿宋简体" w:hAnsi="方正仿宋简体" w:eastAsia="方正仿宋简体" w:cs="方正仿宋简体"/>
          <w:color w:val="auto"/>
          <w:sz w:val="32"/>
          <w:szCs w:val="28"/>
          <w:u w:val="none"/>
        </w:rPr>
        <w:fldChar w:fldCharType="end"/>
      </w:r>
      <w:r>
        <w:rPr>
          <w:rStyle w:val="12"/>
          <w:rFonts w:hint="eastAsia" w:ascii="方正仿宋简体" w:hAnsi="方正仿宋简体" w:eastAsia="方正仿宋简体" w:cs="方正仿宋简体"/>
          <w:color w:val="auto"/>
          <w:sz w:val="32"/>
          <w:szCs w:val="28"/>
          <w:u w:val="none"/>
          <w:lang w:val="en-US" w:eastAsia="zh-CN"/>
        </w:rPr>
        <w:t>9</w:t>
      </w:r>
    </w:p>
    <w:p>
      <w:pPr>
        <w:pStyle w:val="8"/>
        <w:tabs>
          <w:tab w:val="right" w:leader="dot" w:pos="14789"/>
        </w:tabs>
        <w:jc w:val="center"/>
        <w:rPr>
          <w:rFonts w:hint="default" w:ascii="方正仿宋简体" w:hAnsi="方正仿宋简体" w:eastAsia="方正仿宋简体" w:cs="方正仿宋简体"/>
          <w:sz w:val="32"/>
          <w:szCs w:val="28"/>
          <w:lang w:val="en-US" w:eastAsia="zh-CN"/>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"_Toc68791541"</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预算一般公共预算财政拨款基本支出表</w:t>
      </w:r>
      <w:r>
        <w:rPr>
          <w:rFonts w:hint="eastAsia" w:ascii="方正仿宋简体" w:hAnsi="方正仿宋简体" w:eastAsia="方正仿宋简体" w:cs="方正仿宋简体"/>
          <w:sz w:val="32"/>
          <w:szCs w:val="28"/>
        </w:rPr>
        <w:tab/>
      </w:r>
      <w:r>
        <w:rPr>
          <w:rStyle w:val="12"/>
          <w:rFonts w:hint="eastAsia" w:ascii="方正仿宋简体" w:hAnsi="方正仿宋简体" w:eastAsia="方正仿宋简体" w:cs="方正仿宋简体"/>
          <w:color w:val="auto"/>
          <w:sz w:val="32"/>
          <w:szCs w:val="28"/>
          <w:u w:val="none"/>
        </w:rPr>
        <w:fldChar w:fldCharType="end"/>
      </w:r>
      <w:r>
        <w:rPr>
          <w:rStyle w:val="12"/>
          <w:rFonts w:hint="eastAsia" w:ascii="方正仿宋简体" w:hAnsi="方正仿宋简体" w:eastAsia="方正仿宋简体" w:cs="方正仿宋简体"/>
          <w:color w:val="auto"/>
          <w:sz w:val="32"/>
          <w:szCs w:val="28"/>
          <w:u w:val="none"/>
          <w:lang w:val="en-US" w:eastAsia="zh-CN"/>
        </w:rPr>
        <w:t>11</w:t>
      </w:r>
    </w:p>
    <w:p>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28"/>
          <w:lang w:eastAsia="zh-CN"/>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"_Toc68791542"</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预算政府基金预算财政拨款支出表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2"/>
          <w:rFonts w:hint="eastAsia" w:ascii="方正仿宋简体" w:hAnsi="方正仿宋简体" w:eastAsia="方正仿宋简体" w:cs="方正仿宋简体"/>
          <w:color w:val="auto"/>
          <w:sz w:val="32"/>
          <w:szCs w:val="28"/>
          <w:u w:val="none"/>
        </w:rPr>
        <w:fldChar w:fldCharType="end"/>
      </w:r>
      <w:r>
        <w:rPr>
          <w:rStyle w:val="12"/>
          <w:rFonts w:hint="eastAsia" w:ascii="方正仿宋简体" w:hAnsi="方正仿宋简体" w:eastAsia="方正仿宋简体" w:cs="方正仿宋简体"/>
          <w:color w:val="auto"/>
          <w:sz w:val="32"/>
          <w:szCs w:val="28"/>
          <w:u w:val="none"/>
          <w:lang w:val="en-US" w:eastAsia="zh-CN"/>
        </w:rPr>
        <w:t>3</w:t>
      </w:r>
    </w:p>
    <w:p>
      <w:pPr>
        <w:pStyle w:val="8"/>
        <w:tabs>
          <w:tab w:val="right" w:leader="dot" w:pos="14789"/>
        </w:tabs>
        <w:jc w:val="center"/>
        <w:rPr>
          <w:rFonts w:hint="eastAsia" w:ascii="方正仿宋简体" w:hAnsi="方正仿宋简体" w:eastAsia="方正仿宋简体" w:cs="方正仿宋简体"/>
          <w:sz w:val="32"/>
          <w:szCs w:val="28"/>
          <w:lang w:eastAsia="zh-CN"/>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"_Toc68791543"</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预算国有资本经营预算财政拨款支出表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2"/>
          <w:rFonts w:hint="eastAsia" w:ascii="方正仿宋简体" w:hAnsi="方正仿宋简体" w:eastAsia="方正仿宋简体" w:cs="方正仿宋简体"/>
          <w:color w:val="auto"/>
          <w:sz w:val="32"/>
          <w:szCs w:val="28"/>
          <w:u w:val="none"/>
        </w:rPr>
        <w:fldChar w:fldCharType="end"/>
      </w:r>
      <w:r>
        <w:rPr>
          <w:rStyle w:val="12"/>
          <w:rFonts w:hint="eastAsia" w:ascii="方正仿宋简体" w:hAnsi="方正仿宋简体" w:eastAsia="方正仿宋简体" w:cs="方正仿宋简体"/>
          <w:color w:val="auto"/>
          <w:sz w:val="32"/>
          <w:szCs w:val="28"/>
          <w:u w:val="none"/>
          <w:lang w:val="en-US" w:eastAsia="zh-CN"/>
        </w:rPr>
        <w:t>4</w:t>
      </w:r>
    </w:p>
    <w:p>
      <w:pPr>
        <w:pStyle w:val="8"/>
        <w:tabs>
          <w:tab w:val="right" w:leader="dot" w:pos="14789"/>
        </w:tabs>
        <w:jc w:val="center"/>
        <w:rPr>
          <w:rFonts w:hint="eastAsia" w:ascii="方正仿宋简体" w:hAnsi="方正仿宋简体" w:eastAsia="方正仿宋简体" w:cs="方正仿宋简体"/>
          <w:sz w:val="32"/>
          <w:szCs w:val="28"/>
          <w:lang w:eastAsia="zh-CN"/>
        </w:rPr>
      </w:pPr>
      <w:r>
        <w:rPr>
          <w:rStyle w:val="12"/>
          <w:rFonts w:hint="eastAsia" w:ascii="方正仿宋简体" w:hAnsi="方正仿宋简体" w:eastAsia="方正仿宋简体" w:cs="方正仿宋简体"/>
          <w:color w:val="auto"/>
          <w:sz w:val="32"/>
          <w:szCs w:val="28"/>
          <w:u w:val="none"/>
        </w:rPr>
        <w:fldChar w:fldCharType="begin"/>
      </w:r>
      <w:r>
        <w:rPr>
          <w:rStyle w:val="12"/>
          <w:rFonts w:hint="eastAsia" w:ascii="方正仿宋简体" w:hAnsi="方正仿宋简体" w:eastAsia="方正仿宋简体" w:cs="方正仿宋简体"/>
          <w:color w:val="auto"/>
          <w:sz w:val="32"/>
          <w:szCs w:val="28"/>
          <w:u w:val="none"/>
        </w:rPr>
        <w:instrText xml:space="preserve"> </w:instrText>
      </w:r>
      <w:r>
        <w:rPr>
          <w:rFonts w:hint="eastAsia" w:ascii="方正仿宋简体" w:hAnsi="方正仿宋简体" w:eastAsia="方正仿宋简体" w:cs="方正仿宋简体"/>
          <w:sz w:val="32"/>
          <w:szCs w:val="28"/>
        </w:rPr>
        <w:instrText xml:space="preserve">HYPERLINK \l "_Toc68791544"</w:instrText>
      </w:r>
      <w:r>
        <w:rPr>
          <w:rStyle w:val="12"/>
          <w:rFonts w:hint="eastAsia" w:ascii="方正仿宋简体" w:hAnsi="方正仿宋简体" w:eastAsia="方正仿宋简体" w:cs="方正仿宋简体"/>
          <w:color w:val="auto"/>
          <w:sz w:val="32"/>
          <w:szCs w:val="28"/>
          <w:u w:val="none"/>
        </w:rPr>
        <w:instrText xml:space="preserve"> </w:instrText>
      </w:r>
      <w:r>
        <w:rPr>
          <w:rStyle w:val="12"/>
          <w:rFonts w:hint="eastAsia" w:ascii="方正仿宋简体" w:hAnsi="方正仿宋简体" w:eastAsia="方正仿宋简体" w:cs="方正仿宋简体"/>
          <w:color w:val="auto"/>
          <w:sz w:val="32"/>
          <w:szCs w:val="28"/>
          <w:u w:val="none"/>
        </w:rPr>
        <w:fldChar w:fldCharType="separate"/>
      </w:r>
      <w:r>
        <w:rPr>
          <w:rStyle w:val="12"/>
          <w:rFonts w:hint="eastAsia" w:ascii="方正仿宋简体" w:hAnsi="方正仿宋简体" w:eastAsia="方正仿宋简体" w:cs="方正仿宋简体"/>
          <w:color w:val="auto"/>
          <w:sz w:val="32"/>
          <w:szCs w:val="28"/>
          <w:u w:val="none"/>
          <w:lang w:eastAsia="zh-CN"/>
        </w:rPr>
        <w:t>单位</w:t>
      </w:r>
      <w:r>
        <w:rPr>
          <w:rStyle w:val="12"/>
          <w:rFonts w:hint="eastAsia" w:ascii="方正仿宋简体" w:hAnsi="方正仿宋简体" w:eastAsia="方正仿宋简体" w:cs="方正仿宋简体"/>
          <w:color w:val="auto"/>
          <w:sz w:val="32"/>
          <w:szCs w:val="28"/>
          <w:u w:val="none"/>
        </w:rPr>
        <w:t>预算财政拨款“三公”经费支出表</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1</w:t>
      </w:r>
      <w:r>
        <w:rPr>
          <w:rStyle w:val="12"/>
          <w:rFonts w:hint="eastAsia" w:ascii="方正仿宋简体" w:hAnsi="方正仿宋简体" w:eastAsia="方正仿宋简体" w:cs="方正仿宋简体"/>
          <w:color w:val="auto"/>
          <w:sz w:val="32"/>
          <w:szCs w:val="28"/>
          <w:u w:val="none"/>
        </w:rPr>
        <w:fldChar w:fldCharType="end"/>
      </w:r>
      <w:r>
        <w:rPr>
          <w:rStyle w:val="12"/>
          <w:rFonts w:hint="eastAsia" w:ascii="方正仿宋简体" w:hAnsi="方正仿宋简体" w:eastAsia="方正仿宋简体" w:cs="方正仿宋简体"/>
          <w:color w:val="auto"/>
          <w:sz w:val="32"/>
          <w:szCs w:val="28"/>
          <w:u w:val="none"/>
          <w:lang w:val="en-US" w:eastAsia="zh-CN"/>
        </w:rPr>
        <w:t>5</w:t>
      </w:r>
    </w:p>
    <w:p>
      <w:pPr>
        <w:ind w:left="420" w:leftChars="200"/>
        <w:jc w:val="center"/>
        <w:rPr>
          <w:rFonts w:ascii="Times New Roman" w:hAnsi="宋体"/>
          <w:sz w:val="22"/>
          <w:szCs w:val="28"/>
        </w:rPr>
      </w:pPr>
      <w:r>
        <w:rPr>
          <w:rFonts w:hint="eastAsia" w:ascii="方正仿宋简体" w:hAnsi="方正仿宋简体" w:eastAsia="方正仿宋简体" w:cs="方正仿宋简体"/>
          <w:sz w:val="32"/>
          <w:szCs w:val="28"/>
        </w:rPr>
        <w:fldChar w:fldCharType="end"/>
      </w:r>
    </w:p>
    <w:p>
      <w:pPr>
        <w:jc w:val="left"/>
        <w:rPr>
          <w:rFonts w:hint="eastAsia" w:ascii="Times New Roman" w:hAnsi="宋体"/>
          <w:b/>
          <w:sz w:val="32"/>
          <w:szCs w:val="28"/>
        </w:rPr>
      </w:pPr>
      <w:r>
        <w:rPr>
          <w:rFonts w:hint="eastAsia" w:ascii="方正楷体_GBK" w:eastAsia="方正楷体_GBK"/>
          <w:b/>
          <w:sz w:val="32"/>
          <w:szCs w:val="28"/>
          <w:lang w:eastAsia="zh-CN"/>
        </w:rPr>
        <w:t>单位</w:t>
      </w:r>
      <w:r>
        <w:rPr>
          <w:rFonts w:hint="eastAsia" w:ascii="方正楷体_GBK" w:eastAsia="方正楷体_GBK"/>
          <w:b/>
          <w:sz w:val="32"/>
          <w:szCs w:val="28"/>
        </w:rPr>
        <w:t>预算信息公开情况说明</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eastAsia="zh-CN"/>
        </w:rPr>
      </w:pPr>
      <w:r>
        <w:rPr>
          <w:rFonts w:ascii="Times New Roman" w:eastAsia="方正仿宋_GBK"/>
          <w:sz w:val="32"/>
          <w:szCs w:val="28"/>
        </w:rPr>
        <w:fldChar w:fldCharType="begin"/>
      </w:r>
      <w:r>
        <w:rPr>
          <w:rFonts w:ascii="Times New Roman" w:eastAsia="方正仿宋_GBK"/>
          <w:sz w:val="32"/>
          <w:szCs w:val="28"/>
        </w:rPr>
        <w:instrText xml:space="preserve"> TOC \o "3-3" \h \z \u \t "-1" </w:instrText>
      </w:r>
      <w:r>
        <w:rPr>
          <w:rFonts w:ascii="Times New Roman" w:eastAsia="方正仿宋_GBK"/>
          <w:sz w:val="32"/>
          <w:szCs w:val="28"/>
        </w:rPr>
        <w:fldChar w:fldCharType="separate"/>
      </w: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"_Toc68791545"</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一、</w:t>
      </w:r>
      <w:r>
        <w:rPr>
          <w:rStyle w:val="12"/>
          <w:rFonts w:hint="eastAsia" w:ascii="方正仿宋简体" w:hAnsi="方正仿宋简体" w:eastAsia="方正仿宋简体" w:cs="方正仿宋简体"/>
          <w:color w:val="auto"/>
          <w:sz w:val="32"/>
          <w:szCs w:val="32"/>
          <w:u w:val="none"/>
          <w:lang w:eastAsia="zh-CN"/>
        </w:rPr>
        <w:t>单位</w:t>
      </w:r>
      <w:r>
        <w:rPr>
          <w:rStyle w:val="12"/>
          <w:rFonts w:hint="eastAsia" w:ascii="方正仿宋简体" w:hAnsi="方正仿宋简体" w:eastAsia="方正仿宋简体" w:cs="方正仿宋简体"/>
          <w:color w:val="auto"/>
          <w:sz w:val="32"/>
          <w:szCs w:val="32"/>
          <w:u w:val="none"/>
        </w:rPr>
        <w:t>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6</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"_Toc68791546"</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二、</w:t>
      </w:r>
      <w:r>
        <w:rPr>
          <w:rStyle w:val="12"/>
          <w:rFonts w:hint="eastAsia" w:ascii="方正仿宋简体" w:hAnsi="方正仿宋简体" w:eastAsia="方正仿宋简体" w:cs="方正仿宋简体"/>
          <w:color w:val="auto"/>
          <w:sz w:val="32"/>
          <w:szCs w:val="32"/>
          <w:u w:val="none"/>
          <w:lang w:eastAsia="zh-CN"/>
        </w:rPr>
        <w:t>单位</w:t>
      </w:r>
      <w:r>
        <w:rPr>
          <w:rStyle w:val="12"/>
          <w:rFonts w:hint="eastAsia" w:ascii="方正仿宋简体" w:hAnsi="方正仿宋简体" w:eastAsia="方正仿宋简体" w:cs="方正仿宋简体"/>
          <w:color w:val="auto"/>
          <w:sz w:val="32"/>
          <w:szCs w:val="32"/>
          <w:u w:val="none"/>
        </w:rPr>
        <w:t>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4</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Style w:val="12"/>
          <w:rFonts w:hint="eastAsia" w:ascii="方正仿宋简体" w:hAnsi="方正仿宋简体" w:eastAsia="方正仿宋简体" w:cs="方正仿宋简体"/>
          <w:color w:val="auto"/>
          <w:sz w:val="32"/>
          <w:szCs w:val="32"/>
          <w:u w:val="none"/>
        </w:rPr>
        <w:sectPr>
          <w:headerReference r:id="rId5" w:type="first"/>
          <w:footerReference r:id="rId7" w:type="first"/>
          <w:headerReference r:id="rId3" w:type="default"/>
          <w:headerReference r:id="rId4" w:type="even"/>
          <w:footerReference r:id="rId6" w:type="even"/>
          <w:pgSz w:w="16839" w:h="11907" w:orient="landscape"/>
          <w:pgMar w:top="680" w:right="1020" w:bottom="680" w:left="1020" w:header="851" w:footer="992" w:gutter="0"/>
          <w:pgNumType w:fmt="decimal" w:start="2"/>
          <w:cols w:space="720" w:num="1"/>
          <w:docGrid w:type="lines" w:linePitch="312" w:charSpace="0"/>
        </w:sectPr>
      </w:pP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Times New Roman" w:eastAsia="方正仿宋简体"/>
          <w:sz w:val="32"/>
          <w:szCs w:val="32"/>
          <w:lang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"_Toc68791547"</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5</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"_Toc68791548"</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5</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"_Toc68791549"</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6</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val="en-US"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"_Toc68791550"</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3</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val="en-US"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"_Toc68791551"</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3</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default" w:ascii="方正仿宋简体" w:hAnsi="方正仿宋简体" w:eastAsia="方正仿宋简体" w:cs="方正仿宋简体"/>
          <w:sz w:val="32"/>
          <w:szCs w:val="32"/>
          <w:lang w:val="en-US"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"_Toc68791552"</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八、名词解释</w:t>
      </w:r>
      <w:r>
        <w:rPr>
          <w:rFonts w:hint="eastAsia" w:ascii="方正仿宋简体" w:hAnsi="方正仿宋简体" w:eastAsia="方正仿宋简体" w:cs="方正仿宋简体"/>
          <w:sz w:val="32"/>
          <w:szCs w:val="32"/>
        </w:rPr>
        <w:tab/>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34</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28"/>
          <w:lang w:val="en-US" w:eastAsia="zh-CN"/>
        </w:rPr>
      </w:pPr>
      <w:r>
        <w:rPr>
          <w:rStyle w:val="12"/>
          <w:rFonts w:hint="eastAsia" w:ascii="方正仿宋简体" w:hAnsi="方正仿宋简体" w:eastAsia="方正仿宋简体" w:cs="方正仿宋简体"/>
          <w:color w:val="auto"/>
          <w:sz w:val="32"/>
          <w:szCs w:val="32"/>
          <w:u w:val="none"/>
        </w:rPr>
        <w:fldChar w:fldCharType="begin"/>
      </w:r>
      <w:r>
        <w:rPr>
          <w:rStyle w:val="12"/>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"_Toc68791553"</w:instrText>
      </w:r>
      <w:r>
        <w:rPr>
          <w:rStyle w:val="12"/>
          <w:rFonts w:hint="eastAsia" w:ascii="方正仿宋简体" w:hAnsi="方正仿宋简体" w:eastAsia="方正仿宋简体" w:cs="方正仿宋简体"/>
          <w:color w:val="auto"/>
          <w:sz w:val="32"/>
          <w:szCs w:val="32"/>
          <w:u w:val="none"/>
        </w:rPr>
        <w:instrText xml:space="preserve"> </w:instrText>
      </w:r>
      <w:r>
        <w:rPr>
          <w:rStyle w:val="12"/>
          <w:rFonts w:hint="eastAsia" w:ascii="方正仿宋简体" w:hAnsi="方正仿宋简体" w:eastAsia="方正仿宋简体" w:cs="方正仿宋简体"/>
          <w:color w:val="auto"/>
          <w:sz w:val="32"/>
          <w:szCs w:val="32"/>
          <w:u w:val="none"/>
        </w:rPr>
        <w:fldChar w:fldCharType="separate"/>
      </w:r>
      <w:r>
        <w:rPr>
          <w:rStyle w:val="12"/>
          <w:rFonts w:hint="eastAsia" w:ascii="方正仿宋简体" w:hAnsi="方正仿宋简体" w:eastAsia="方正仿宋简体" w:cs="方正仿宋简体"/>
          <w:color w:val="auto"/>
          <w:sz w:val="32"/>
          <w:szCs w:val="32"/>
          <w:u w:val="none"/>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2"/>
          <w:rFonts w:hint="eastAsia" w:ascii="方正仿宋简体" w:hAnsi="方正仿宋简体" w:eastAsia="方正仿宋简体" w:cs="方正仿宋简体"/>
          <w:color w:val="auto"/>
          <w:sz w:val="32"/>
          <w:szCs w:val="32"/>
          <w:u w:val="none"/>
        </w:rPr>
        <w:fldChar w:fldCharType="end"/>
      </w:r>
      <w:r>
        <w:rPr>
          <w:rStyle w:val="12"/>
          <w:rFonts w:hint="eastAsia" w:ascii="方正仿宋简体" w:hAnsi="方正仿宋简体" w:eastAsia="方正仿宋简体" w:cs="方正仿宋简体"/>
          <w:color w:val="auto"/>
          <w:sz w:val="32"/>
          <w:szCs w:val="32"/>
          <w:u w:val="none"/>
          <w:lang w:val="en-US" w:eastAsia="zh-CN"/>
        </w:rPr>
        <w:t>5</w:t>
      </w:r>
    </w:p>
    <w:p>
      <w:pPr>
        <w:keepNext w:val="0"/>
        <w:keepLines w:val="0"/>
        <w:pageBreakBefore w:val="0"/>
        <w:widowControl w:val="0"/>
        <w:kinsoku/>
        <w:wordWrap/>
        <w:overflowPunct/>
        <w:topLinePunct w:val="0"/>
        <w:autoSpaceDE/>
        <w:autoSpaceDN/>
        <w:bidi w:val="0"/>
        <w:adjustRightInd/>
        <w:snapToGrid/>
        <w:spacing w:line="570" w:lineRule="exact"/>
        <w:ind w:left="420" w:leftChars="200"/>
        <w:jc w:val="center"/>
        <w:textAlignment w:val="auto"/>
        <w:rPr>
          <w:rFonts w:ascii="Times New Roman" w:hAnsi="宋体"/>
          <w:sz w:val="22"/>
          <w:szCs w:val="28"/>
        </w:rPr>
      </w:pPr>
      <w:r>
        <w:rPr>
          <w:rFonts w:ascii="Times New Roman" w:eastAsia="方正仿宋_GBK"/>
          <w:sz w:val="32"/>
          <w:szCs w:val="28"/>
        </w:rPr>
        <w:fldChar w:fldCharType="end"/>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ascii="Times New Roman" w:eastAsia="方正仿宋_GBK"/>
          <w:sz w:val="32"/>
          <w:szCs w:val="28"/>
        </w:rPr>
      </w:pPr>
    </w:p>
    <w:p>
      <w:pPr>
        <w:ind w:left="420" w:leftChars="200"/>
        <w:jc w:val="center"/>
        <w:rPr>
          <w:rFonts w:ascii="Times New Roman" w:hAnsi="宋体"/>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rFonts w:ascii="黑体" w:hAnsi="宋体" w:eastAsia="黑体" w:cs="黑体"/>
          <w:i w:val="0"/>
          <w:iCs w:val="0"/>
          <w:color w:val="000000"/>
          <w:kern w:val="0"/>
          <w:sz w:val="24"/>
          <w:szCs w:val="24"/>
          <w:u w:val="none"/>
          <w:lang w:val="en-US" w:eastAsia="zh-CN" w:bidi="ar"/>
        </w:rPr>
      </w:pPr>
      <w:r>
        <w:rPr>
          <w:rFonts w:ascii="黑体" w:hAnsi="宋体" w:eastAsia="黑体" w:cs="黑体"/>
          <w:i w:val="0"/>
          <w:iCs w:val="0"/>
          <w:color w:val="000000"/>
          <w:kern w:val="0"/>
          <w:sz w:val="24"/>
          <w:szCs w:val="24"/>
          <w:u w:val="none"/>
          <w:lang w:val="en-US" w:eastAsia="zh-CN" w:bidi="ar"/>
        </w:rPr>
        <w:br w:type="page"/>
      </w:r>
    </w:p>
    <w:p>
      <w:pPr>
        <w:pStyle w:val="2"/>
        <w:rPr>
          <w:lang w:val="en-US" w:eastAsia="zh-CN"/>
        </w:rPr>
        <w:sectPr>
          <w:pgSz w:w="16840" w:h="11900" w:orient="landscape"/>
          <w:pgMar w:top="1304" w:right="1984" w:bottom="1304" w:left="1134" w:header="720" w:footer="720" w:gutter="0"/>
          <w:pgNumType w:fmt="decimal"/>
          <w:cols w:space="720" w:num="1"/>
        </w:sectPr>
      </w:pPr>
    </w:p>
    <w:tbl>
      <w:tblPr>
        <w:tblStyle w:val="9"/>
        <w:tblW w:w="169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81"/>
        <w:gridCol w:w="2320"/>
        <w:gridCol w:w="951"/>
        <w:gridCol w:w="3576"/>
        <w:gridCol w:w="1353"/>
        <w:gridCol w:w="2715"/>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81" w:type="dxa"/>
            <w:tcBorders>
              <w:top w:val="nil"/>
              <w:left w:val="nil"/>
              <w:bottom w:val="nil"/>
              <w:right w:val="nil"/>
            </w:tcBorders>
            <w:shd w:val="clear" w:color="auto" w:fill="auto"/>
            <w:noWrap/>
            <w:vAlign w:val="center"/>
          </w:tcPr>
          <w:p>
            <w:pPr>
              <w:widowControl/>
              <w:spacing w:beforeLines="0" w:afterLines="0"/>
              <w:jc w:val="left"/>
              <w:textAlignment w:val="center"/>
              <w:rPr>
                <w:rFonts w:hint="default" w:ascii="Times New Roman" w:hAnsi="Times New Roman" w:eastAsia="宋体" w:cs="Times New Roman"/>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附表1-1</w:t>
            </w:r>
          </w:p>
        </w:tc>
        <w:tc>
          <w:tcPr>
            <w:tcW w:w="2320" w:type="dxa"/>
            <w:tcBorders>
              <w:top w:val="nil"/>
              <w:left w:val="nil"/>
              <w:bottom w:val="nil"/>
              <w:right w:val="nil"/>
            </w:tcBorders>
            <w:shd w:val="clear" w:color="auto" w:fill="auto"/>
            <w:noWrap/>
            <w:vAlign w:val="center"/>
          </w:tcPr>
          <w:p>
            <w:pPr>
              <w:jc w:val="center"/>
              <w:rPr>
                <w:rFonts w:hint="default" w:ascii="Times New Roman" w:hAnsi="Times New Roman" w:eastAsia="宋体" w:cs="Times New Roman"/>
                <w:b w:val="0"/>
                <w:bCs w:val="0"/>
                <w:i w:val="0"/>
                <w:iCs w:val="0"/>
                <w:color w:val="000000"/>
                <w:sz w:val="28"/>
                <w:szCs w:val="28"/>
                <w:u w:val="none"/>
              </w:rPr>
            </w:pPr>
          </w:p>
        </w:tc>
        <w:tc>
          <w:tcPr>
            <w:tcW w:w="5880" w:type="dxa"/>
            <w:gridSpan w:val="3"/>
            <w:tcBorders>
              <w:top w:val="nil"/>
              <w:left w:val="nil"/>
              <w:bottom w:val="nil"/>
              <w:right w:val="nil"/>
            </w:tcBorders>
            <w:shd w:val="clear" w:color="auto" w:fill="auto"/>
            <w:noWrap/>
            <w:vAlign w:val="center"/>
          </w:tcPr>
          <w:p>
            <w:pPr>
              <w:jc w:val="both"/>
              <w:rPr>
                <w:rFonts w:hint="default" w:ascii="Times New Roman" w:hAnsi="Times New Roman" w:eastAsia="宋体" w:cs="Times New Roman"/>
                <w:b w:val="0"/>
                <w:bCs w:val="0"/>
                <w:i w:val="0"/>
                <w:iCs w:val="0"/>
                <w:color w:val="000000"/>
                <w:sz w:val="28"/>
                <w:szCs w:val="28"/>
                <w:u w:val="none"/>
              </w:rPr>
            </w:pPr>
          </w:p>
        </w:tc>
        <w:tc>
          <w:tcPr>
            <w:tcW w:w="2715"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8"/>
                <w:szCs w:val="28"/>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8"/>
                <w:szCs w:val="28"/>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796" w:type="dxa"/>
            <w:gridSpan w:val="6"/>
            <w:tcBorders>
              <w:top w:val="nil"/>
              <w:left w:val="nil"/>
              <w:bottom w:val="nil"/>
              <w:right w:val="nil"/>
            </w:tcBorders>
            <w:shd w:val="clear" w:color="auto" w:fill="auto"/>
            <w:noWrap/>
            <w:vAlign w:val="center"/>
          </w:tcPr>
          <w:p>
            <w:pPr>
              <w:widowControl/>
              <w:spacing w:beforeLines="0" w:afterLines="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color w:val="000000"/>
                <w:kern w:val="0"/>
                <w:sz w:val="44"/>
                <w:szCs w:val="44"/>
                <w:lang w:eastAsia="zh-CN" w:bidi="ar"/>
              </w:rPr>
              <w:t>单位</w:t>
            </w:r>
            <w:r>
              <w:rPr>
                <w:rFonts w:hint="eastAsia" w:ascii="宋体" w:hAnsi="宋体" w:cs="宋体"/>
                <w:b w:val="0"/>
                <w:bCs w:val="0"/>
                <w:color w:val="000000"/>
                <w:kern w:val="0"/>
                <w:sz w:val="44"/>
                <w:szCs w:val="44"/>
                <w:lang w:bidi="ar"/>
              </w:rPr>
              <w:t>预算收支总表</w:t>
            </w: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36"/>
                <w:szCs w:val="36"/>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81" w:type="dxa"/>
            <w:tcBorders>
              <w:top w:val="nil"/>
              <w:left w:val="nil"/>
              <w:bottom w:val="nil"/>
              <w:right w:val="nil"/>
            </w:tcBorders>
            <w:shd w:val="clear" w:color="auto" w:fill="FFFFFF"/>
            <w:noWrap/>
            <w:vAlign w:val="center"/>
          </w:tcPr>
          <w:p>
            <w:pPr>
              <w:widowControl/>
              <w:spacing w:beforeLines="0" w:afterLines="0"/>
              <w:jc w:val="left"/>
              <w:textAlignment w:val="center"/>
              <w:rPr>
                <w:rFonts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652遵化市建明镇人民政府</w:t>
            </w:r>
          </w:p>
        </w:tc>
        <w:tc>
          <w:tcPr>
            <w:tcW w:w="8200" w:type="dxa"/>
            <w:gridSpan w:val="4"/>
            <w:tcBorders>
              <w:top w:val="nil"/>
              <w:left w:val="nil"/>
              <w:bottom w:val="nil"/>
              <w:right w:val="nil"/>
            </w:tcBorders>
            <w:shd w:val="clear" w:color="auto" w:fill="FFFFFF"/>
            <w:noWrap/>
            <w:vAlign w:val="center"/>
          </w:tcPr>
          <w:p>
            <w:pPr>
              <w:keepNext w:val="0"/>
              <w:keepLines w:val="0"/>
              <w:widowControl/>
              <w:suppressLineNumbers w:val="0"/>
              <w:ind w:firstLine="2880" w:firstLineChars="1200"/>
              <w:jc w:val="both"/>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2715"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收 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支</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 </w:t>
            </w: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项    目</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预算数</w:t>
            </w: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    目</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预算数</w:t>
            </w: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bookmarkStart w:id="0" w:name="OLE_LINK1" w:colFirst="3" w:colLast="3"/>
            <w:r>
              <w:rPr>
                <w:rFonts w:hint="eastAsia" w:ascii="方正仿宋简体" w:hAnsi="方正仿宋简体" w:eastAsia="方正仿宋简体" w:cs="方正仿宋简体"/>
                <w:b w:val="0"/>
                <w:bCs w:val="0"/>
                <w:color w:val="000000"/>
                <w:kern w:val="0"/>
                <w:sz w:val="24"/>
                <w:szCs w:val="24"/>
                <w:lang w:bidi="ar"/>
              </w:rPr>
              <w:t>一、一般公共预算拨款收入</w:t>
            </w:r>
          </w:p>
        </w:tc>
        <w:tc>
          <w:tcPr>
            <w:tcW w:w="2320"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b w:val="0"/>
                <w:bCs w:val="0"/>
                <w:i w:val="0"/>
                <w:iCs w:val="0"/>
                <w:color w:val="000000"/>
                <w:sz w:val="24"/>
                <w:szCs w:val="24"/>
                <w:u w:val="none"/>
                <w:lang w:val="en-US"/>
              </w:rPr>
            </w:pPr>
            <w:r>
              <w:rPr>
                <w:rFonts w:hint="eastAsia" w:ascii="方正仿宋简体" w:hAnsi="方正仿宋简体" w:eastAsia="方正仿宋简体" w:cs="方正仿宋简体"/>
                <w:b w:val="0"/>
                <w:bCs w:val="0"/>
                <w:color w:val="000000"/>
                <w:kern w:val="0"/>
                <w:sz w:val="24"/>
                <w:szCs w:val="24"/>
                <w:lang w:bidi="ar"/>
              </w:rPr>
              <w:t>1203.80</w:t>
            </w: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一、一般公共服务支出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738.95</w:t>
            </w: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二、政府性基金预算拨款收入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二、外交支出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三、国有资本经营预算拨款收入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三、国防支出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四、财政专户管理资金收入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四、公共安全支出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五、事业收入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五、教育支出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六、事业单位经营收入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六、科学技术支出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七、上级补助收入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七、文化体育与传媒支出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八、附属单位上缴收入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八、社会保障和就业支出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114.59</w:t>
            </w: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九、其他收入</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九、社会保险基金支出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十、卫生健康支出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76.37</w:t>
            </w: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十一、节能环保支出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十二、城乡社区支出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十三、农林水支出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219.00</w:t>
            </w: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十四、交通运输支出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十五、资源勘探工业信息等支出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十六、商业服务业等支出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十七、金融支出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十八、援助其他地区支出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十九、自然资源海洋气象等支出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二十、住房保障支出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54.89</w:t>
            </w:r>
          </w:p>
        </w:tc>
        <w:tc>
          <w:tcPr>
            <w:tcW w:w="1080" w:type="dxa"/>
            <w:tcBorders>
              <w:top w:val="nil"/>
              <w:left w:val="nil"/>
              <w:bottom w:val="nil"/>
              <w:right w:val="nil"/>
            </w:tcBorders>
            <w:shd w:val="clear" w:color="auto" w:fill="auto"/>
            <w:noWrap/>
            <w:vAlign w:val="center"/>
          </w:tcPr>
          <w:p>
            <w:pPr>
              <w:jc w:val="center"/>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二十一、粮油物资储备支出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二十二、国有资本经营预算支出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二十三、灾害防治及应急管理支出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二十四、预备费</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二十五、其他支出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二十六、转移性支出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二十七、债务还本支出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二十八、债务付息支出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二十九、债务发行费用支出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三十、抗疫特别国债安排的支出</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left"/>
              <w:rPr>
                <w:rFonts w:hint="default" w:ascii="方正仿宋简体" w:hAnsi="方正仿宋简体" w:eastAsia="方正仿宋简体" w:cs="方正仿宋简体"/>
                <w:b w:val="0"/>
                <w:bCs w:val="0"/>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三十一、人行科目</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本年收入合计</w:t>
            </w:r>
          </w:p>
        </w:tc>
        <w:tc>
          <w:tcPr>
            <w:tcW w:w="2320" w:type="dxa"/>
            <w:tcBorders>
              <w:top w:val="nil"/>
              <w:left w:val="nil"/>
              <w:bottom w:val="nil"/>
              <w:right w:val="nil"/>
            </w:tcBorders>
            <w:shd w:val="clear" w:color="auto" w:fill="auto"/>
            <w:noWrap/>
            <w:vAlign w:val="center"/>
          </w:tcPr>
          <w:p>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1203.80</w:t>
            </w: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本年支出合计</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1203.80</w:t>
            </w: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 xml:space="preserve"> 上年结转结余</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color w:val="000000"/>
                <w:kern w:val="0"/>
                <w:sz w:val="24"/>
                <w:szCs w:val="24"/>
                <w:lang w:val="en-US" w:eastAsia="zh-CN" w:bidi="ar"/>
              </w:rPr>
            </w:pP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 年终结转结余</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nil"/>
              <w:left w:val="nil"/>
              <w:bottom w:val="nil"/>
              <w:right w:val="nil"/>
            </w:tcBorders>
            <w:shd w:val="clear" w:color="auto" w:fill="auto"/>
            <w:noWrap/>
            <w:vAlign w:val="center"/>
          </w:tcPr>
          <w:p>
            <w:pPr>
              <w:jc w:val="center"/>
              <w:rPr>
                <w:rFonts w:hint="default" w:ascii="Times New Roman" w:hAnsi="Times New Roman" w:eastAsia="宋体" w:cs="Times New Roman"/>
                <w:b w:val="0"/>
                <w:bCs w:val="0"/>
                <w:i w:val="0"/>
                <w:iCs w:val="0"/>
                <w:color w:val="000000"/>
                <w:sz w:val="28"/>
                <w:szCs w:val="28"/>
                <w:u w:val="none"/>
              </w:rPr>
            </w:pPr>
          </w:p>
        </w:tc>
        <w:tc>
          <w:tcPr>
            <w:tcW w:w="1080" w:type="dxa"/>
            <w:tcBorders>
              <w:top w:val="nil"/>
              <w:left w:val="nil"/>
              <w:bottom w:val="nil"/>
              <w:right w:val="nil"/>
            </w:tcBorders>
            <w:shd w:val="clear" w:color="auto" w:fill="auto"/>
            <w:noWrap/>
            <w:vAlign w:val="center"/>
          </w:tcPr>
          <w:p>
            <w:pPr>
              <w:jc w:val="center"/>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beforeLines="0" w:afterLines="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bidi="ar"/>
              </w:rPr>
              <w:t>总  计</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1203.80</w:t>
            </w: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总  计</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0"/>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1203.80</w:t>
            </w:r>
          </w:p>
        </w:tc>
        <w:tc>
          <w:tcPr>
            <w:tcW w:w="1080" w:type="dxa"/>
            <w:tcBorders>
              <w:top w:val="nil"/>
              <w:left w:val="nil"/>
              <w:bottom w:val="nil"/>
              <w:right w:val="nil"/>
            </w:tcBorders>
            <w:shd w:val="clear" w:color="auto" w:fill="auto"/>
            <w:noWrap/>
            <w:vAlign w:val="center"/>
          </w:tcPr>
          <w:p>
            <w:pPr>
              <w:jc w:val="center"/>
              <w:rPr>
                <w:rFonts w:hint="default" w:ascii="Times New Roman" w:hAnsi="Times New Roman" w:eastAsia="宋体" w:cs="Times New Roman"/>
                <w:b w:val="0"/>
                <w:bCs w:val="0"/>
                <w:i w:val="0"/>
                <w:iCs w:val="0"/>
                <w:color w:val="000000"/>
                <w:sz w:val="28"/>
                <w:szCs w:val="28"/>
                <w:u w:val="none"/>
              </w:rPr>
            </w:pPr>
          </w:p>
        </w:tc>
        <w:tc>
          <w:tcPr>
            <w:tcW w:w="1080" w:type="dxa"/>
            <w:tcBorders>
              <w:top w:val="nil"/>
              <w:left w:val="nil"/>
              <w:bottom w:val="nil"/>
              <w:right w:val="nil"/>
            </w:tcBorders>
            <w:shd w:val="clear" w:color="auto" w:fill="auto"/>
            <w:noWrap/>
            <w:vAlign w:val="center"/>
          </w:tcPr>
          <w:p>
            <w:pPr>
              <w:jc w:val="center"/>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881" w:type="dxa"/>
            <w:tcBorders>
              <w:top w:val="nil"/>
              <w:left w:val="nil"/>
              <w:bottom w:val="nil"/>
              <w:right w:val="nil"/>
            </w:tcBorders>
            <w:shd w:val="clear" w:color="auto" w:fill="auto"/>
            <w:vAlign w:val="center"/>
          </w:tcPr>
          <w:p>
            <w:pPr>
              <w:widowControl/>
              <w:spacing w:beforeLines="0" w:afterLines="0"/>
              <w:jc w:val="left"/>
              <w:textAlignment w:val="center"/>
              <w:rPr>
                <w:rFonts w:hint="default" w:ascii="Times New Roman" w:hAnsi="Times New Roman" w:eastAsia="宋体" w:cs="Times New Roman"/>
                <w:b w:val="0"/>
                <w:bCs w:val="0"/>
                <w:i w:val="0"/>
                <w:iCs w:val="0"/>
                <w:color w:val="000000"/>
                <w:sz w:val="21"/>
                <w:szCs w:val="21"/>
                <w:u w:val="none"/>
              </w:rPr>
            </w:pPr>
          </w:p>
        </w:tc>
        <w:tc>
          <w:tcPr>
            <w:tcW w:w="3271" w:type="dxa"/>
            <w:gridSpan w:val="2"/>
            <w:tcBorders>
              <w:top w:val="nil"/>
              <w:left w:val="nil"/>
              <w:bottom w:val="nil"/>
              <w:right w:val="nil"/>
            </w:tcBorders>
            <w:shd w:val="clear" w:color="auto" w:fill="auto"/>
            <w:vAlign w:val="center"/>
          </w:tcPr>
          <w:p>
            <w:pPr>
              <w:spacing w:beforeLines="0" w:afterLines="0"/>
              <w:jc w:val="center"/>
              <w:rPr>
                <w:b w:val="0"/>
                <w:bCs w:val="0"/>
              </w:rPr>
            </w:pPr>
          </w:p>
        </w:tc>
        <w:tc>
          <w:tcPr>
            <w:tcW w:w="3576" w:type="dxa"/>
            <w:tcBorders>
              <w:top w:val="nil"/>
              <w:left w:val="nil"/>
              <w:bottom w:val="nil"/>
              <w:right w:val="nil"/>
            </w:tcBorders>
            <w:shd w:val="clear" w:color="auto" w:fill="auto"/>
            <w:vAlign w:val="center"/>
          </w:tcPr>
          <w:p>
            <w:pPr>
              <w:spacing w:beforeLines="0" w:afterLines="0"/>
              <w:rPr>
                <w:b w:val="0"/>
                <w:bCs w:val="0"/>
              </w:rPr>
            </w:pPr>
          </w:p>
        </w:tc>
        <w:tc>
          <w:tcPr>
            <w:tcW w:w="4068" w:type="dxa"/>
            <w:gridSpan w:val="2"/>
            <w:tcBorders>
              <w:top w:val="nil"/>
              <w:left w:val="nil"/>
              <w:bottom w:val="nil"/>
              <w:right w:val="nil"/>
            </w:tcBorders>
            <w:shd w:val="clear" w:color="auto" w:fill="auto"/>
            <w:vAlign w:val="center"/>
          </w:tcPr>
          <w:p>
            <w:pPr>
              <w:spacing w:beforeLines="0" w:afterLines="0"/>
              <w:jc w:val="right"/>
              <w:rPr>
                <w:b w:val="0"/>
                <w:bCs w:val="0"/>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8"/>
                <w:szCs w:val="28"/>
                <w:u w:val="none"/>
              </w:rPr>
            </w:pPr>
          </w:p>
        </w:tc>
        <w:tc>
          <w:tcPr>
            <w:tcW w:w="108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8"/>
                <w:szCs w:val="28"/>
                <w:u w:val="none"/>
              </w:rPr>
            </w:pPr>
          </w:p>
        </w:tc>
      </w:tr>
    </w:tbl>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p>
      <w:pPr>
        <w:rPr>
          <w:b w:val="0"/>
          <w:bCs w:val="0"/>
          <w:sz w:val="22"/>
          <w:szCs w:val="28"/>
        </w:rPr>
      </w:pPr>
    </w:p>
    <w:tbl>
      <w:tblPr>
        <w:tblStyle w:val="9"/>
        <w:tblpPr w:leftFromText="180" w:rightFromText="180" w:vertAnchor="text" w:horzAnchor="page" w:tblpX="705" w:tblpY="-383"/>
        <w:tblOverlap w:val="never"/>
        <w:tblW w:w="158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0"/>
        <w:gridCol w:w="392"/>
        <w:gridCol w:w="1625"/>
        <w:gridCol w:w="275"/>
        <w:gridCol w:w="3324"/>
        <w:gridCol w:w="1080"/>
        <w:gridCol w:w="642"/>
        <w:gridCol w:w="606"/>
        <w:gridCol w:w="1044"/>
        <w:gridCol w:w="780"/>
        <w:gridCol w:w="924"/>
        <w:gridCol w:w="732"/>
        <w:gridCol w:w="816"/>
        <w:gridCol w:w="984"/>
        <w:gridCol w:w="756"/>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532" w:type="dxa"/>
            <w:gridSpan w:val="2"/>
            <w:tcBorders>
              <w:top w:val="nil"/>
              <w:left w:val="nil"/>
              <w:bottom w:val="nil"/>
              <w:right w:val="nil"/>
              <w:tl2br w:val="nil"/>
              <w:tr2bl w:val="nil"/>
            </w:tcBorders>
            <w:noWrap/>
            <w:vAlign w:val="center"/>
          </w:tcPr>
          <w:p>
            <w:pPr>
              <w:widowControl/>
              <w:spacing w:beforeLines="0" w:afterLines="0"/>
              <w:jc w:val="left"/>
              <w:textAlignment w:val="center"/>
              <w:rPr>
                <w:rFonts w:hint="default"/>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附表1-2</w:t>
            </w:r>
          </w:p>
        </w:tc>
        <w:tc>
          <w:tcPr>
            <w:tcW w:w="1625"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3599" w:type="dxa"/>
            <w:gridSpan w:val="2"/>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1080" w:type="dxa"/>
            <w:tcBorders>
              <w:top w:val="nil"/>
              <w:left w:val="nil"/>
              <w:bottom w:val="nil"/>
              <w:right w:val="nil"/>
              <w:tl2br w:val="nil"/>
              <w:tr2bl w:val="nil"/>
            </w:tcBorders>
            <w:noWrap/>
            <w:vAlign w:val="center"/>
          </w:tcPr>
          <w:p>
            <w:pPr>
              <w:spacing w:beforeLines="0" w:afterLines="0"/>
              <w:jc w:val="both"/>
              <w:rPr>
                <w:rFonts w:hint="default"/>
                <w:b w:val="0"/>
                <w:bCs w:val="0"/>
                <w:color w:val="000000"/>
                <w:sz w:val="24"/>
                <w:szCs w:val="24"/>
              </w:rPr>
            </w:pPr>
          </w:p>
        </w:tc>
        <w:tc>
          <w:tcPr>
            <w:tcW w:w="1248" w:type="dxa"/>
            <w:gridSpan w:val="2"/>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1044"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780"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924"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732"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816"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984"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756"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696"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816" w:type="dxa"/>
            <w:gridSpan w:val="16"/>
            <w:tcBorders>
              <w:top w:val="nil"/>
              <w:left w:val="nil"/>
              <w:bottom w:val="nil"/>
              <w:right w:val="nil"/>
              <w:tl2br w:val="nil"/>
              <w:tr2bl w:val="nil"/>
            </w:tcBorders>
            <w:noWrap/>
            <w:vAlign w:val="center"/>
          </w:tcPr>
          <w:p>
            <w:pPr>
              <w:widowControl/>
              <w:spacing w:beforeLines="0" w:afterLines="0"/>
              <w:jc w:val="center"/>
              <w:textAlignment w:val="center"/>
              <w:rPr>
                <w:rFonts w:hint="eastAsia" w:ascii="宋体" w:hAnsi="宋体" w:cs="宋体"/>
                <w:b w:val="0"/>
                <w:bCs w:val="0"/>
                <w:color w:val="000000"/>
                <w:sz w:val="44"/>
                <w:szCs w:val="44"/>
              </w:rPr>
            </w:pPr>
            <w:r>
              <w:rPr>
                <w:rFonts w:hint="eastAsia" w:ascii="宋体" w:hAnsi="宋体" w:cs="宋体"/>
                <w:b w:val="0"/>
                <w:bCs w:val="0"/>
                <w:color w:val="000000"/>
                <w:kern w:val="0"/>
                <w:sz w:val="44"/>
                <w:szCs w:val="44"/>
                <w:lang w:eastAsia="zh-CN" w:bidi="ar"/>
              </w:rPr>
              <w:t>单位</w:t>
            </w:r>
            <w:r>
              <w:rPr>
                <w:rFonts w:hint="eastAsia" w:ascii="宋体" w:hAnsi="宋体" w:cs="宋体"/>
                <w:b w:val="0"/>
                <w:bCs w:val="0"/>
                <w:color w:val="000000"/>
                <w:kern w:val="0"/>
                <w:sz w:val="44"/>
                <w:szCs w:val="44"/>
                <w:lang w:bidi="ar"/>
              </w:rPr>
              <w:t>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3157" w:type="dxa"/>
            <w:gridSpan w:val="3"/>
            <w:tcBorders>
              <w:top w:val="nil"/>
              <w:left w:val="nil"/>
              <w:bottom w:val="nil"/>
              <w:right w:val="nil"/>
              <w:tl2br w:val="nil"/>
              <w:tr2bl w:val="nil"/>
            </w:tcBorders>
            <w:shd w:val="clear" w:color="auto" w:fill="FFFFFF"/>
            <w:noWrap/>
            <w:vAlign w:val="center"/>
          </w:tcPr>
          <w:p>
            <w:pPr>
              <w:widowControl/>
              <w:spacing w:beforeLines="0" w:afterLines="0"/>
              <w:textAlignment w:val="center"/>
              <w:rPr>
                <w:rFonts w:hint="default" w:ascii="方正仿宋简体" w:hAnsi="方正仿宋简体" w:eastAsia="方正仿宋简体" w:cs="方正仿宋简体"/>
                <w:b w:val="0"/>
                <w:bCs w:val="0"/>
                <w:color w:val="000000"/>
                <w:sz w:val="24"/>
                <w:szCs w:val="24"/>
                <w:lang w:val="en-US" w:eastAsia="zh-CN"/>
              </w:rPr>
            </w:pPr>
            <w:r>
              <w:rPr>
                <w:rFonts w:hint="eastAsia" w:ascii="方正仿宋简体" w:hAnsi="方正仿宋简体" w:eastAsia="方正仿宋简体" w:cs="方正仿宋简体"/>
                <w:b w:val="0"/>
                <w:bCs w:val="0"/>
                <w:color w:val="000000"/>
                <w:kern w:val="0"/>
                <w:sz w:val="24"/>
                <w:szCs w:val="24"/>
                <w:lang w:val="en-US" w:eastAsia="zh-CN" w:bidi="ar"/>
              </w:rPr>
              <w:t>652遵化市建明镇人民政府</w:t>
            </w:r>
          </w:p>
        </w:tc>
        <w:tc>
          <w:tcPr>
            <w:tcW w:w="275" w:type="dxa"/>
            <w:tcBorders>
              <w:top w:val="nil"/>
              <w:left w:val="nil"/>
              <w:bottom w:val="nil"/>
              <w:right w:val="nil"/>
              <w:tl2br w:val="nil"/>
              <w:tr2bl w:val="nil"/>
            </w:tcBorders>
            <w:shd w:val="clear" w:color="auto" w:fill="FFFFFF"/>
            <w:noWrap/>
            <w:vAlign w:val="center"/>
          </w:tcPr>
          <w:p>
            <w:pPr>
              <w:spacing w:beforeLines="0" w:afterLines="0"/>
              <w:rPr>
                <w:rFonts w:hint="eastAsia" w:ascii="方正仿宋简体" w:hAnsi="方正仿宋简体" w:eastAsia="方正仿宋简体" w:cs="方正仿宋简体"/>
                <w:b w:val="0"/>
                <w:bCs w:val="0"/>
                <w:color w:val="000000"/>
                <w:sz w:val="24"/>
                <w:szCs w:val="24"/>
              </w:rPr>
            </w:pPr>
          </w:p>
        </w:tc>
        <w:tc>
          <w:tcPr>
            <w:tcW w:w="5046" w:type="dxa"/>
            <w:gridSpan w:val="3"/>
            <w:tcBorders>
              <w:top w:val="nil"/>
              <w:left w:val="nil"/>
              <w:bottom w:val="nil"/>
              <w:right w:val="nil"/>
              <w:tl2br w:val="nil"/>
              <w:tr2bl w:val="nil"/>
            </w:tcBorders>
            <w:shd w:val="clear" w:color="auto" w:fill="FFFFFF"/>
            <w:noWrap/>
            <w:vAlign w:val="center"/>
          </w:tcPr>
          <w:p>
            <w:pPr>
              <w:spacing w:beforeLines="0" w:afterLines="0"/>
              <w:jc w:val="left"/>
              <w:rPr>
                <w:rFonts w:hint="eastAsia" w:ascii="方正仿宋简体" w:hAnsi="方正仿宋简体" w:eastAsia="方正仿宋简体" w:cs="方正仿宋简体"/>
                <w:b w:val="0"/>
                <w:bCs w:val="0"/>
                <w:color w:val="000000"/>
                <w:sz w:val="24"/>
                <w:szCs w:val="24"/>
              </w:rPr>
            </w:pPr>
          </w:p>
        </w:tc>
        <w:tc>
          <w:tcPr>
            <w:tcW w:w="4902" w:type="dxa"/>
            <w:gridSpan w:val="6"/>
            <w:tcBorders>
              <w:top w:val="nil"/>
              <w:left w:val="nil"/>
              <w:bottom w:val="nil"/>
              <w:right w:val="nil"/>
              <w:tl2br w:val="nil"/>
              <w:tr2bl w:val="nil"/>
            </w:tcBorders>
            <w:shd w:val="clear" w:color="auto" w:fill="FFFFFF"/>
            <w:noWrap/>
            <w:vAlign w:val="center"/>
          </w:tcPr>
          <w:p>
            <w:pPr>
              <w:widowControl/>
              <w:spacing w:beforeLines="0" w:afterLines="0"/>
              <w:textAlignment w:val="center"/>
              <w:rPr>
                <w:rFonts w:hint="default" w:ascii="方正仿宋简体" w:hAnsi="方正仿宋简体" w:eastAsia="方正仿宋简体" w:cs="方正仿宋简体"/>
                <w:b w:val="0"/>
                <w:bCs w:val="0"/>
                <w:color w:val="000000"/>
                <w:sz w:val="24"/>
                <w:szCs w:val="24"/>
                <w:lang w:val="en-US" w:eastAsia="zh-CN"/>
              </w:rPr>
            </w:pPr>
            <w:r>
              <w:rPr>
                <w:rFonts w:hint="eastAsia" w:ascii="方正仿宋简体" w:hAnsi="方正仿宋简体" w:eastAsia="方正仿宋简体" w:cs="方正仿宋简体"/>
                <w:b w:val="0"/>
                <w:bCs w:val="0"/>
                <w:color w:val="000000"/>
                <w:kern w:val="0"/>
                <w:sz w:val="24"/>
                <w:szCs w:val="24"/>
                <w:lang w:bidi="ar"/>
              </w:rPr>
              <w:t>预算年度：2023</w:t>
            </w:r>
            <w:r>
              <w:rPr>
                <w:rFonts w:hint="eastAsia" w:ascii="方正仿宋简体" w:hAnsi="方正仿宋简体" w:eastAsia="方正仿宋简体" w:cs="方正仿宋简体"/>
                <w:b w:val="0"/>
                <w:bCs w:val="0"/>
                <w:color w:val="000000"/>
                <w:kern w:val="0"/>
                <w:sz w:val="24"/>
                <w:szCs w:val="24"/>
                <w:lang w:val="en-US" w:eastAsia="zh-CN" w:bidi="ar"/>
              </w:rPr>
              <w:t xml:space="preserve">           </w:t>
            </w:r>
          </w:p>
        </w:tc>
        <w:tc>
          <w:tcPr>
            <w:tcW w:w="2436" w:type="dxa"/>
            <w:gridSpan w:val="3"/>
            <w:tcBorders>
              <w:top w:val="nil"/>
              <w:left w:val="nil"/>
              <w:bottom w:val="nil"/>
              <w:right w:val="nil"/>
              <w:tl2br w:val="nil"/>
              <w:tr2bl w:val="nil"/>
            </w:tcBorders>
            <w:shd w:val="clear" w:color="auto" w:fill="FFFFFF"/>
            <w:noWrap/>
            <w:vAlign w:val="center"/>
          </w:tcPr>
          <w:p>
            <w:pPr>
              <w:widowControl/>
              <w:spacing w:beforeLines="0" w:afterLines="0"/>
              <w:jc w:val="right"/>
              <w:textAlignment w:val="center"/>
              <w:rPr>
                <w:rFonts w:hint="eastAsia" w:ascii="方正仿宋简体" w:hAnsi="方正仿宋简体" w:eastAsia="方正仿宋简体" w:cs="方正仿宋简体"/>
                <w:b w:val="0"/>
                <w:bCs w:val="0"/>
                <w:color w:val="000000"/>
                <w:sz w:val="24"/>
                <w:szCs w:val="24"/>
                <w:lang w:val="en-US" w:eastAsia="zh-CN"/>
              </w:rPr>
            </w:pPr>
            <w:r>
              <w:rPr>
                <w:rFonts w:hint="eastAsia" w:ascii="方正仿宋简体" w:hAnsi="方正仿宋简体" w:eastAsia="方正仿宋简体" w:cs="方正仿宋简体"/>
                <w:b w:val="0"/>
                <w:bCs w:val="0"/>
                <w:color w:val="000000"/>
                <w:kern w:val="0"/>
                <w:sz w:val="24"/>
                <w:szCs w:val="24"/>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6"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科目</w:t>
            </w: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合计</w:t>
            </w:r>
          </w:p>
        </w:tc>
        <w:tc>
          <w:tcPr>
            <w:tcW w:w="728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本年收入</w:t>
            </w:r>
          </w:p>
        </w:tc>
        <w:tc>
          <w:tcPr>
            <w:tcW w:w="6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3157"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功能分类科目编码</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科目名称</w:t>
            </w: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小计</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财政拨款收入</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财政专户收入</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事业收入</w:t>
            </w:r>
          </w:p>
        </w:tc>
        <w:tc>
          <w:tcPr>
            <w:tcW w:w="7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经营收入</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上级补助收入</w:t>
            </w: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附属单位上缴收入</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其他收入</w:t>
            </w:r>
          </w:p>
        </w:tc>
        <w:tc>
          <w:tcPr>
            <w:tcW w:w="696" w:type="dxa"/>
            <w:tcBorders>
              <w:top w:val="single" w:color="000000" w:sz="4" w:space="0"/>
              <w:left w:val="single" w:color="000000" w:sz="4" w:space="0"/>
              <w:bottom w:val="nil"/>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6"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top"/>
          </w:tcPr>
          <w:p>
            <w:pPr>
              <w:pStyle w:val="24"/>
              <w:ind w:firstLine="0" w:firstLineChars="0"/>
              <w:jc w:val="left"/>
              <w:rPr>
                <w:rFonts w:hint="eastAsia" w:ascii="方正仿宋简体" w:hAnsi="方正仿宋简体" w:eastAsia="方正仿宋简体" w:cs="方正仿宋简体"/>
                <w:b w:val="0"/>
                <w:bCs w:val="0"/>
                <w:color w:val="000000"/>
                <w:kern w:val="0"/>
                <w:sz w:val="21"/>
                <w:szCs w:val="21"/>
                <w:lang w:val="en-US" w:eastAsia="zh-CN" w:bidi="ar"/>
              </w:rPr>
            </w:pPr>
          </w:p>
          <w:p>
            <w:pPr>
              <w:pStyle w:val="41"/>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合 计</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1203.80</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1203.80</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1203.80</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201</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一般公共服务支出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738.95</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738.95</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738.95</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20103</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政府办公厅（室）及相关机构事务</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738.95</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738.95</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738.95</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3</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2010301</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行政运行</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736.40</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736.40</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736.40</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4</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2010302</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一般行政管理事务</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2.55</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2.55</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2.55</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208</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社会保障和就业支出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114.59</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114.59</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114.59</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6</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20805</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行政事业单位养老支出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114.59</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114.59</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114.59</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2080505</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机关事业单位基本养老保险缴费支出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79.73</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79.73</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79.73</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8</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2080506</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机关事业单位职业年金缴费支出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34.86</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34.86</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34.86</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9</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210</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卫生健康支出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76.37</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76.37</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76.37</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10</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21011</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行政事业单位医疗</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76.37</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76.37</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76.37</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11</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2101101</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行政单位医疗</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76.37</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76.37</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76.37</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12</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213</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农林水支出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219.00</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219.00</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219.00</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13</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21301</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农业农村</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54.00</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54.00</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54.00</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14</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2130126</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农村社会事业</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54.00</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54.00</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54.00</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15</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21307</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农村综合改革</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165.00</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165.00</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165.00</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16</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2130705</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对村民委员会和村党支部的补助</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165.00</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165.00</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165.00</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17</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221</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住房保障支出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54.89</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54.89</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54.89</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18</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22102</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住房改革支出</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54.89</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54.89</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54.89</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40"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jc w:val="center"/>
              <w:rPr>
                <w:rFonts w:hint="default"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29</w:t>
            </w:r>
          </w:p>
        </w:tc>
        <w:tc>
          <w:tcPr>
            <w:tcW w:w="2017"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2210201</w:t>
            </w:r>
          </w:p>
        </w:tc>
        <w:tc>
          <w:tcPr>
            <w:tcW w:w="359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住房公积金</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54.89</w:t>
            </w:r>
          </w:p>
        </w:tc>
        <w:tc>
          <w:tcPr>
            <w:tcW w:w="124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54.89</w:t>
            </w:r>
          </w:p>
        </w:tc>
        <w:tc>
          <w:tcPr>
            <w:tcW w:w="104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left"/>
              <w:textAlignment w:val="center"/>
              <w:rPr>
                <w:rFonts w:hint="eastAsia" w:ascii="方正仿宋简体" w:hAnsi="方正仿宋简体" w:eastAsia="方正仿宋简体" w:cs="方正仿宋简体"/>
                <w:b w:val="0"/>
                <w:bCs w:val="0"/>
                <w:color w:val="000000"/>
                <w:kern w:val="0"/>
                <w:sz w:val="21"/>
                <w:szCs w:val="21"/>
                <w:lang w:val="en-US" w:eastAsia="zh-CN" w:bidi="ar"/>
              </w:rPr>
            </w:pPr>
            <w:r>
              <w:rPr>
                <w:rFonts w:hint="eastAsia" w:ascii="方正仿宋简体" w:hAnsi="方正仿宋简体" w:eastAsia="方正仿宋简体" w:cs="方正仿宋简体"/>
                <w:b w:val="0"/>
                <w:bCs w:val="0"/>
                <w:color w:val="000000"/>
                <w:kern w:val="0"/>
                <w:sz w:val="21"/>
                <w:szCs w:val="21"/>
                <w:lang w:val="en-US" w:eastAsia="zh-CN" w:bidi="ar"/>
              </w:rPr>
              <w:t>54.89</w:t>
            </w:r>
          </w:p>
        </w:tc>
        <w:tc>
          <w:tcPr>
            <w:tcW w:w="7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1"/>
                <w:szCs w:val="21"/>
                <w:lang w:val="en-US" w:eastAsia="zh-CN" w:bidi="ar"/>
              </w:rPr>
            </w:pPr>
          </w:p>
        </w:tc>
        <w:tc>
          <w:tcPr>
            <w:tcW w:w="92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984"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696" w:type="dxa"/>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r>
    </w:tbl>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default" w:ascii="方正仿宋简体" w:hAnsi="方正仿宋简体" w:eastAsia="方正仿宋简体" w:cs="方正仿宋简体"/>
          <w:b w:val="0"/>
          <w:bCs w:val="0"/>
          <w:color w:val="000000"/>
          <w:kern w:val="0"/>
          <w:sz w:val="24"/>
          <w:szCs w:val="24"/>
          <w:lang w:val="en-US" w:eastAsia="zh-CN" w:bidi="ar"/>
        </w:rPr>
      </w:pPr>
    </w:p>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bidi="ar"/>
        </w:rPr>
      </w:pPr>
    </w:p>
    <w:p>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center"/>
        <w:rPr>
          <w:rFonts w:hint="eastAsia" w:ascii="方正仿宋简体" w:hAnsi="方正仿宋简体" w:eastAsia="方正仿宋简体" w:cs="方正仿宋简体"/>
          <w:b w:val="0"/>
          <w:bCs w:val="0"/>
          <w:color w:val="000000"/>
          <w:kern w:val="0"/>
          <w:sz w:val="24"/>
          <w:szCs w:val="24"/>
          <w:lang w:bidi="ar"/>
        </w:rPr>
      </w:pPr>
    </w:p>
    <w:p>
      <w:pPr>
        <w:spacing w:beforeLines="0" w:afterLines="0"/>
        <w:rPr>
          <w:rFonts w:hint="default"/>
          <w:b w:val="0"/>
          <w:bCs w:val="0"/>
          <w:sz w:val="22"/>
          <w:szCs w:val="28"/>
        </w:rPr>
      </w:pPr>
    </w:p>
    <w:p>
      <w:pPr>
        <w:spacing w:beforeLines="0" w:afterLines="0"/>
        <w:rPr>
          <w:rFonts w:hint="default"/>
          <w:b w:val="0"/>
          <w:bCs w:val="0"/>
          <w:sz w:val="22"/>
          <w:szCs w:val="28"/>
        </w:rPr>
      </w:pPr>
    </w:p>
    <w:p>
      <w:pPr>
        <w:spacing w:beforeLines="0" w:afterLines="0"/>
        <w:rPr>
          <w:rFonts w:hint="default"/>
          <w:b w:val="0"/>
          <w:bCs w:val="0"/>
          <w:sz w:val="22"/>
          <w:szCs w:val="28"/>
        </w:rPr>
      </w:pPr>
    </w:p>
    <w:p>
      <w:pPr>
        <w:spacing w:beforeLines="0" w:afterLines="0"/>
        <w:rPr>
          <w:rFonts w:hint="default"/>
          <w:b w:val="0"/>
          <w:bCs w:val="0"/>
          <w:sz w:val="22"/>
          <w:szCs w:val="28"/>
        </w:rPr>
      </w:pPr>
    </w:p>
    <w:p>
      <w:pPr>
        <w:rPr>
          <w:b w:val="0"/>
          <w:bCs w:val="0"/>
          <w:sz w:val="22"/>
          <w:szCs w:val="28"/>
        </w:rPr>
      </w:pPr>
    </w:p>
    <w:tbl>
      <w:tblPr>
        <w:tblStyle w:val="9"/>
        <w:tblpPr w:leftFromText="180" w:rightFromText="180" w:vertAnchor="text" w:horzAnchor="page" w:tblpX="887" w:tblpY="-9936"/>
        <w:tblOverlap w:val="never"/>
        <w:tblW w:w="157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76"/>
        <w:gridCol w:w="1716"/>
        <w:gridCol w:w="236"/>
        <w:gridCol w:w="3691"/>
        <w:gridCol w:w="289"/>
        <w:gridCol w:w="1662"/>
        <w:gridCol w:w="1332"/>
        <w:gridCol w:w="1308"/>
        <w:gridCol w:w="26"/>
        <w:gridCol w:w="812"/>
        <w:gridCol w:w="62"/>
        <w:gridCol w:w="1080"/>
        <w:gridCol w:w="26"/>
        <w:gridCol w:w="1452"/>
        <w:gridCol w:w="107"/>
        <w:gridCol w:w="240"/>
        <w:gridCol w:w="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312" w:hRule="atLeast"/>
        </w:trPr>
        <w:tc>
          <w:tcPr>
            <w:tcW w:w="1476" w:type="dxa"/>
            <w:tcBorders>
              <w:top w:val="nil"/>
              <w:left w:val="nil"/>
              <w:bottom w:val="nil"/>
              <w:right w:val="nil"/>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bidi="ar"/>
              </w:rPr>
            </w:pPr>
          </w:p>
          <w:p>
            <w:pPr>
              <w:widowControl/>
              <w:spacing w:beforeLines="0" w:afterLines="0"/>
              <w:jc w:val="left"/>
              <w:textAlignment w:val="center"/>
              <w:rPr>
                <w:rFonts w:hint="default"/>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附表</w:t>
            </w:r>
            <w:r>
              <w:rPr>
                <w:rFonts w:hint="default" w:ascii="方正仿宋简体" w:hAnsi="方正仿宋简体" w:eastAsia="方正仿宋简体" w:cs="方正仿宋简体"/>
                <w:b w:val="0"/>
                <w:bCs w:val="0"/>
                <w:color w:val="000000"/>
                <w:kern w:val="0"/>
                <w:sz w:val="24"/>
                <w:szCs w:val="24"/>
                <w:lang w:bidi="ar"/>
              </w:rPr>
              <w:t>1-3</w:t>
            </w:r>
          </w:p>
        </w:tc>
        <w:tc>
          <w:tcPr>
            <w:tcW w:w="1716"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4216" w:type="dxa"/>
            <w:gridSpan w:val="3"/>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1662"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1332"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1308"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900" w:type="dxa"/>
            <w:gridSpan w:val="3"/>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1080"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1585" w:type="dxa"/>
            <w:gridSpan w:val="3"/>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c>
          <w:tcPr>
            <w:tcW w:w="240"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90" w:hRule="atLeast"/>
        </w:trPr>
        <w:tc>
          <w:tcPr>
            <w:tcW w:w="15275" w:type="dxa"/>
            <w:gridSpan w:val="15"/>
            <w:tcBorders>
              <w:top w:val="nil"/>
              <w:left w:val="nil"/>
              <w:bottom w:val="nil"/>
              <w:right w:val="nil"/>
              <w:tl2br w:val="nil"/>
              <w:tr2bl w:val="nil"/>
            </w:tcBorders>
            <w:noWrap/>
            <w:vAlign w:val="center"/>
          </w:tcPr>
          <w:p>
            <w:pPr>
              <w:widowControl/>
              <w:spacing w:beforeLines="0" w:afterLines="0"/>
              <w:jc w:val="center"/>
              <w:textAlignment w:val="center"/>
              <w:rPr>
                <w:rFonts w:hint="eastAsia" w:ascii="宋体" w:hAnsi="宋体" w:cs="宋体"/>
                <w:b w:val="0"/>
                <w:bCs w:val="0"/>
                <w:color w:val="000000"/>
                <w:sz w:val="44"/>
                <w:szCs w:val="44"/>
              </w:rPr>
            </w:pPr>
            <w:r>
              <w:rPr>
                <w:rFonts w:hint="eastAsia" w:ascii="宋体" w:hAnsi="宋体" w:cs="宋体"/>
                <w:b w:val="0"/>
                <w:bCs w:val="0"/>
                <w:color w:val="000000"/>
                <w:kern w:val="0"/>
                <w:sz w:val="44"/>
                <w:szCs w:val="44"/>
                <w:lang w:val="en-US" w:eastAsia="zh-CN" w:bidi="ar"/>
              </w:rPr>
              <w:t>单位</w:t>
            </w:r>
            <w:r>
              <w:rPr>
                <w:rFonts w:hint="eastAsia" w:ascii="宋体" w:hAnsi="宋体" w:cs="宋体"/>
                <w:b w:val="0"/>
                <w:bCs w:val="0"/>
                <w:color w:val="000000"/>
                <w:kern w:val="0"/>
                <w:sz w:val="44"/>
                <w:szCs w:val="44"/>
                <w:lang w:bidi="ar"/>
              </w:rPr>
              <w:t>预算支出总表</w:t>
            </w:r>
          </w:p>
        </w:tc>
        <w:tc>
          <w:tcPr>
            <w:tcW w:w="240" w:type="dxa"/>
            <w:tcBorders>
              <w:top w:val="nil"/>
              <w:left w:val="nil"/>
              <w:bottom w:val="nil"/>
              <w:right w:val="nil"/>
              <w:tl2br w:val="nil"/>
              <w:tr2bl w:val="nil"/>
            </w:tcBorders>
            <w:noWrap/>
            <w:vAlign w:val="center"/>
          </w:tcPr>
          <w:p>
            <w:pPr>
              <w:spacing w:beforeLines="0" w:afterLines="0"/>
              <w:jc w:val="right"/>
              <w:rPr>
                <w:rFonts w:hint="default"/>
                <w:b w:val="0"/>
                <w:bCs w:val="0"/>
                <w:color w:val="00000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3192" w:type="dxa"/>
            <w:gridSpan w:val="2"/>
            <w:tcBorders>
              <w:top w:val="nil"/>
              <w:left w:val="nil"/>
              <w:bottom w:val="nil"/>
              <w:right w:val="nil"/>
              <w:tl2br w:val="nil"/>
              <w:tr2bl w:val="nil"/>
            </w:tcBorders>
            <w:shd w:val="clear" w:color="auto" w:fill="FFFFFF"/>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val="en-US" w:eastAsia="zh-CN" w:bidi="ar"/>
              </w:rPr>
              <w:t>652遵化市建明镇人民政府</w:t>
            </w:r>
          </w:p>
        </w:tc>
        <w:tc>
          <w:tcPr>
            <w:tcW w:w="236" w:type="dxa"/>
            <w:tcBorders>
              <w:top w:val="nil"/>
              <w:left w:val="nil"/>
              <w:bottom w:val="nil"/>
              <w:right w:val="nil"/>
              <w:tl2br w:val="nil"/>
              <w:tr2bl w:val="nil"/>
            </w:tcBorders>
            <w:shd w:val="clear" w:color="auto" w:fill="FFFFFF"/>
            <w:noWrap/>
            <w:vAlign w:val="center"/>
          </w:tcPr>
          <w:p>
            <w:pPr>
              <w:spacing w:beforeLines="0" w:afterLines="0"/>
              <w:rPr>
                <w:rFonts w:hint="eastAsia" w:ascii="方正仿宋简体" w:hAnsi="方正仿宋简体" w:eastAsia="方正仿宋简体" w:cs="方正仿宋简体"/>
                <w:b w:val="0"/>
                <w:bCs w:val="0"/>
                <w:color w:val="000000"/>
                <w:sz w:val="24"/>
                <w:szCs w:val="24"/>
              </w:rPr>
            </w:pPr>
          </w:p>
        </w:tc>
        <w:tc>
          <w:tcPr>
            <w:tcW w:w="3691" w:type="dxa"/>
            <w:tcBorders>
              <w:top w:val="nil"/>
              <w:left w:val="nil"/>
              <w:bottom w:val="nil"/>
              <w:right w:val="nil"/>
              <w:tl2br w:val="nil"/>
              <w:tr2bl w:val="nil"/>
            </w:tcBorders>
            <w:shd w:val="clear" w:color="auto" w:fill="FFFFFF"/>
            <w:noWrap/>
            <w:vAlign w:val="center"/>
          </w:tcPr>
          <w:p>
            <w:pPr>
              <w:spacing w:beforeLines="0" w:afterLines="0"/>
              <w:jc w:val="left"/>
              <w:rPr>
                <w:rFonts w:hint="eastAsia" w:ascii="方正仿宋简体" w:hAnsi="方正仿宋简体" w:eastAsia="方正仿宋简体" w:cs="方正仿宋简体"/>
                <w:b w:val="0"/>
                <w:bCs w:val="0"/>
                <w:color w:val="000000"/>
                <w:sz w:val="24"/>
                <w:szCs w:val="24"/>
              </w:rPr>
            </w:pPr>
          </w:p>
        </w:tc>
        <w:tc>
          <w:tcPr>
            <w:tcW w:w="4617" w:type="dxa"/>
            <w:gridSpan w:val="5"/>
            <w:tcBorders>
              <w:top w:val="nil"/>
              <w:left w:val="nil"/>
              <w:bottom w:val="nil"/>
              <w:right w:val="nil"/>
              <w:tl2br w:val="nil"/>
              <w:tr2bl w:val="nil"/>
            </w:tcBorders>
            <w:shd w:val="clear" w:color="auto" w:fill="FFFFFF"/>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预算年度：2023</w:t>
            </w:r>
          </w:p>
        </w:tc>
        <w:tc>
          <w:tcPr>
            <w:tcW w:w="812" w:type="dxa"/>
            <w:tcBorders>
              <w:top w:val="nil"/>
              <w:left w:val="nil"/>
              <w:bottom w:val="nil"/>
              <w:right w:val="nil"/>
              <w:tl2br w:val="nil"/>
              <w:tr2bl w:val="nil"/>
            </w:tcBorders>
            <w:shd w:val="clear" w:color="auto" w:fill="FFFFFF"/>
            <w:noWrap/>
            <w:vAlign w:val="center"/>
          </w:tcPr>
          <w:p>
            <w:pPr>
              <w:spacing w:beforeLines="0" w:afterLines="0"/>
              <w:rPr>
                <w:rFonts w:hint="eastAsia" w:ascii="方正仿宋简体" w:hAnsi="方正仿宋简体" w:eastAsia="方正仿宋简体" w:cs="方正仿宋简体"/>
                <w:b w:val="0"/>
                <w:bCs w:val="0"/>
                <w:color w:val="000000"/>
                <w:sz w:val="24"/>
                <w:szCs w:val="24"/>
              </w:rPr>
            </w:pPr>
          </w:p>
        </w:tc>
        <w:tc>
          <w:tcPr>
            <w:tcW w:w="1168" w:type="dxa"/>
            <w:gridSpan w:val="3"/>
            <w:tcBorders>
              <w:top w:val="nil"/>
              <w:left w:val="nil"/>
              <w:bottom w:val="nil"/>
              <w:right w:val="nil"/>
              <w:tl2br w:val="nil"/>
              <w:tr2bl w:val="nil"/>
            </w:tcBorders>
            <w:shd w:val="clear" w:color="auto" w:fill="FFFFFF"/>
            <w:noWrap/>
            <w:vAlign w:val="center"/>
          </w:tcPr>
          <w:p>
            <w:pPr>
              <w:spacing w:beforeLines="0" w:afterLines="0"/>
              <w:rPr>
                <w:rFonts w:hint="eastAsia" w:ascii="方正仿宋简体" w:hAnsi="方正仿宋简体" w:eastAsia="方正仿宋简体" w:cs="方正仿宋简体"/>
                <w:b w:val="0"/>
                <w:bCs w:val="0"/>
                <w:color w:val="000000"/>
                <w:sz w:val="24"/>
                <w:szCs w:val="24"/>
              </w:rPr>
            </w:pPr>
          </w:p>
        </w:tc>
        <w:tc>
          <w:tcPr>
            <w:tcW w:w="1452" w:type="dxa"/>
            <w:tcBorders>
              <w:top w:val="nil"/>
              <w:left w:val="nil"/>
              <w:bottom w:val="nil"/>
              <w:right w:val="nil"/>
              <w:tl2br w:val="nil"/>
              <w:tr2bl w:val="nil"/>
            </w:tcBorders>
            <w:shd w:val="clear" w:color="auto" w:fill="FFFFFF"/>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单位：万元</w:t>
            </w:r>
          </w:p>
        </w:tc>
        <w:tc>
          <w:tcPr>
            <w:tcW w:w="609" w:type="dxa"/>
            <w:gridSpan w:val="3"/>
            <w:tcBorders>
              <w:top w:val="nil"/>
              <w:left w:val="nil"/>
              <w:bottom w:val="nil"/>
              <w:right w:val="nil"/>
              <w:tl2br w:val="nil"/>
              <w:tr2bl w:val="nil"/>
            </w:tcBorders>
            <w:noWrap/>
            <w:vAlign w:val="center"/>
          </w:tcPr>
          <w:p>
            <w:pPr>
              <w:spacing w:beforeLines="0" w:afterLines="0"/>
              <w:jc w:val="right"/>
              <w:rPr>
                <w:rFonts w:hint="default"/>
                <w:b w:val="0"/>
                <w:bCs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775" w:hRule="atLeast"/>
        </w:trPr>
        <w:tc>
          <w:tcPr>
            <w:tcW w:w="7408"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科目</w:t>
            </w:r>
          </w:p>
        </w:tc>
        <w:tc>
          <w:tcPr>
            <w:tcW w:w="166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本年支出合计</w:t>
            </w:r>
          </w:p>
        </w:tc>
        <w:tc>
          <w:tcPr>
            <w:tcW w:w="133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基本支出</w:t>
            </w:r>
          </w:p>
        </w:tc>
        <w:tc>
          <w:tcPr>
            <w:tcW w:w="130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项目支出</w:t>
            </w:r>
          </w:p>
        </w:tc>
        <w:tc>
          <w:tcPr>
            <w:tcW w:w="900"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经营支出</w:t>
            </w: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上缴上级支出</w:t>
            </w:r>
          </w:p>
        </w:tc>
        <w:tc>
          <w:tcPr>
            <w:tcW w:w="1585"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对附属单位补助支出</w:t>
            </w:r>
          </w:p>
        </w:tc>
        <w:tc>
          <w:tcPr>
            <w:tcW w:w="240" w:type="dxa"/>
            <w:tcBorders>
              <w:top w:val="nil"/>
              <w:left w:val="nil"/>
              <w:bottom w:val="nil"/>
              <w:right w:val="nil"/>
              <w:tl2br w:val="nil"/>
              <w:tr2bl w:val="nil"/>
            </w:tcBorders>
            <w:noWrap w:val="0"/>
            <w:vAlign w:val="center"/>
          </w:tcPr>
          <w:p>
            <w:pPr>
              <w:spacing w:beforeLines="0" w:afterLines="0"/>
              <w:jc w:val="right"/>
              <w:rPr>
                <w:rFonts w:hint="default"/>
                <w:b w:val="0"/>
                <w:bCs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759" w:hRule="atLeast"/>
        </w:trPr>
        <w:tc>
          <w:tcPr>
            <w:tcW w:w="319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功能分类科目编码</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科目名称</w:t>
            </w:r>
          </w:p>
        </w:tc>
        <w:tc>
          <w:tcPr>
            <w:tcW w:w="166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13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130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90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1585"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方正仿宋简体" w:hAnsi="方正仿宋简体" w:eastAsia="方正仿宋简体" w:cs="方正仿宋简体"/>
                <w:b w:val="0"/>
                <w:bCs w:val="0"/>
                <w:color w:val="000000"/>
                <w:sz w:val="24"/>
                <w:szCs w:val="24"/>
              </w:rPr>
            </w:pPr>
          </w:p>
        </w:tc>
        <w:tc>
          <w:tcPr>
            <w:tcW w:w="240" w:type="dxa"/>
            <w:tcBorders>
              <w:top w:val="nil"/>
              <w:left w:val="nil"/>
              <w:bottom w:val="nil"/>
              <w:right w:val="nil"/>
              <w:tl2br w:val="nil"/>
              <w:tr2bl w:val="nil"/>
            </w:tcBorders>
            <w:noWrap w:val="0"/>
            <w:vAlign w:val="center"/>
          </w:tcPr>
          <w:p>
            <w:pPr>
              <w:spacing w:beforeLines="0" w:afterLines="0"/>
              <w:jc w:val="right"/>
              <w:rPr>
                <w:rFonts w:hint="default"/>
                <w:b w:val="0"/>
                <w:bCs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0"/>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1"/>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合计</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0"/>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1203.80</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0"/>
              <w:ind w:firstLine="0" w:firstLineChars="0"/>
              <w:jc w:val="left"/>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982.25</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40"/>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221.55</w:t>
            </w: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一般公共服务支出</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738.95</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736.40</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2.55</w:t>
            </w: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20103</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政府办公厅（室）及相关机构事务</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738.95</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736.40</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2.55</w:t>
            </w: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4</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2010301</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行政运行</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736.40</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736.40</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2010302</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一般行政管理事务</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2.55</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2.55</w:t>
            </w: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6</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社会保障和就业支出</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114.59</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114.59</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20805</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行政事业单位养老支出</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114.59</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114.59</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8</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2080505</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机关事业单位基本养老保险缴费支出</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79.73</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79.73</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9</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2080506</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机关事业单位职业年金缴费支出</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34.86</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34.86</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10</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210</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卫生健康支出</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76.37</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76.37</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11</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21011</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行政事业单位医疗</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76.37</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76.37</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12</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2101101</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行政单位医疗</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76.37</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76.37</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13</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213</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农林水支出</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219.00</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219.00</w:t>
            </w: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14</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21301</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农业农村</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54.00</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54.00</w:t>
            </w: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15</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2130126</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农村社会事业</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54.00</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54.00</w:t>
            </w: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16</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21307</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农村综合改革</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165.00</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165.00</w:t>
            </w: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17</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2130705</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对村民委员会和村党支部的补助</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165.00</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165.00</w:t>
            </w: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18</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221</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住房保障支出</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54.89</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54.89</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19</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22102</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住房改革支出</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54.89</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54.89</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2" w:type="dxa"/>
          <w:trHeight w:val="510" w:hRule="atLeast"/>
        </w:trPr>
        <w:tc>
          <w:tcPr>
            <w:tcW w:w="147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4"/>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20</w:t>
            </w:r>
          </w:p>
        </w:tc>
        <w:tc>
          <w:tcPr>
            <w:tcW w:w="1716"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2210201</w:t>
            </w:r>
          </w:p>
        </w:tc>
        <w:tc>
          <w:tcPr>
            <w:tcW w:w="42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3"/>
              <w:ind w:firstLine="0" w:firstLineChars="0"/>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住房公积金</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54.89</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54.89</w:t>
            </w:r>
          </w:p>
        </w:tc>
        <w:tc>
          <w:tcPr>
            <w:tcW w:w="1308" w:type="dxa"/>
            <w:tcBorders>
              <w:top w:val="single" w:color="000000" w:sz="4" w:space="0"/>
              <w:left w:val="single" w:color="000000" w:sz="4" w:space="0"/>
              <w:bottom w:val="single" w:color="000000" w:sz="4" w:space="0"/>
              <w:right w:val="single" w:color="000000" w:sz="4" w:space="0"/>
              <w:tl2br w:val="nil"/>
              <w:tr2bl w:val="nil"/>
            </w:tcBorders>
            <w:noWrap/>
            <w:vAlign w:val="center"/>
          </w:tcPr>
          <w:p>
            <w:pPr>
              <w:pStyle w:val="21"/>
              <w:ind w:firstLine="0" w:firstLineChars="0"/>
              <w:jc w:val="left"/>
              <w:rPr>
                <w:rFonts w:hint="eastAsia" w:ascii="方正仿宋简体" w:hAnsi="方正仿宋简体" w:eastAsia="方正仿宋简体" w:cs="方正仿宋简体"/>
                <w:b w:val="0"/>
                <w:bCs w:val="0"/>
                <w:color w:val="000000"/>
                <w:kern w:val="0"/>
                <w:sz w:val="24"/>
                <w:szCs w:val="24"/>
                <w:lang w:val="en-US" w:eastAsia="zh-CN" w:bidi="ar"/>
              </w:rPr>
            </w:pPr>
          </w:p>
        </w:tc>
        <w:tc>
          <w:tcPr>
            <w:tcW w:w="900"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1585"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c>
          <w:tcPr>
            <w:tcW w:w="240" w:type="dxa"/>
            <w:tcBorders>
              <w:top w:val="nil"/>
              <w:left w:val="nil"/>
              <w:bottom w:val="nil"/>
              <w:right w:val="nil"/>
              <w:tl2br w:val="nil"/>
              <w:tr2bl w:val="nil"/>
            </w:tcBorders>
            <w:noWrap/>
            <w:vAlign w:val="center"/>
          </w:tcPr>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p>
        </w:tc>
      </w:tr>
    </w:tbl>
    <w:p>
      <w:pPr>
        <w:rPr>
          <w:b w:val="0"/>
          <w:bCs w:val="0"/>
          <w:sz w:val="22"/>
          <w:szCs w:val="28"/>
        </w:rPr>
      </w:pPr>
    </w:p>
    <w:p>
      <w:pPr>
        <w:rPr>
          <w:b w:val="0"/>
          <w:bCs w:val="0"/>
          <w:sz w:val="22"/>
          <w:szCs w:val="28"/>
        </w:rPr>
      </w:pPr>
    </w:p>
    <w:tbl>
      <w:tblPr>
        <w:tblStyle w:val="9"/>
        <w:tblW w:w="168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76"/>
        <w:gridCol w:w="1119"/>
        <w:gridCol w:w="4050"/>
        <w:gridCol w:w="1275"/>
        <w:gridCol w:w="1500"/>
        <w:gridCol w:w="1485"/>
        <w:gridCol w:w="1695"/>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p>
            <w:pPr>
              <w:keepNext w:val="0"/>
              <w:keepLines w:val="0"/>
              <w:widowControl/>
              <w:suppressLineNumbers w:val="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val="en-US" w:eastAsia="zh-CN" w:bidi="ar"/>
              </w:rPr>
              <w:t>附表1-4</w:t>
            </w:r>
          </w:p>
        </w:tc>
        <w:tc>
          <w:tcPr>
            <w:tcW w:w="1065" w:type="dxa"/>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4050" w:type="dxa"/>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1275" w:type="dxa"/>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1500" w:type="dxa"/>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1485" w:type="dxa"/>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1695" w:type="dxa"/>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单位</w:t>
            </w:r>
            <w:r>
              <w:rPr>
                <w:rFonts w:hint="eastAsia" w:ascii="宋体" w:hAnsi="宋体" w:eastAsia="宋体" w:cs="宋体"/>
                <w:b w:val="0"/>
                <w:bCs w:val="0"/>
                <w:i w:val="0"/>
                <w:iCs w:val="0"/>
                <w:color w:val="000000"/>
                <w:kern w:val="0"/>
                <w:sz w:val="44"/>
                <w:szCs w:val="44"/>
                <w:u w:val="none"/>
                <w:lang w:val="en-US" w:eastAsia="zh-CN" w:bidi="ar"/>
              </w:rPr>
              <w:t>预算财政拨款收支总表</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36"/>
                <w:szCs w:val="36"/>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pPr>
              <w:jc w:val="both"/>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8"/>
                <w:szCs w:val="2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val="en-US" w:eastAsia="zh-CN" w:bidi="ar"/>
              </w:rPr>
              <w:t>652遵化市建明镇人民政府</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                  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0" w:type="auto"/>
            <w:tcBorders>
              <w:top w:val="nil"/>
              <w:left w:val="nil"/>
              <w:bottom w:val="nil"/>
              <w:right w:val="nil"/>
            </w:tcBorders>
            <w:shd w:val="clear" w:color="auto" w:fill="FFFFFF"/>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收入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支出</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一般公共预算财政拨款</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政府性基金预算财政拨款</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国有资本经营预算财政拨款</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1203.80</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一、一般公共服务支出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738.95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738.95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二、外交支出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三、国防支出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四、公共安全支出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五、教育支出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六、科学技术支出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七、文化体育与传媒支出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八、社会保障和就业支出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114.59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114.59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2"/>
                <w:sz w:val="24"/>
                <w:szCs w:val="24"/>
                <w:u w:val="none"/>
                <w:lang w:val="en-US" w:eastAsia="zh-CN" w:bidi="ar-SA"/>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九、社会保险基金支出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十、卫生健康支出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76.37</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76.37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十一、节能环保支出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十二、城乡社区支出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十三、农林水支出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219.00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219.00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十四、交通运输支出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宋体" w:hAnsi="宋体" w:eastAsia="宋体" w:cs="宋体"/>
                <w:b w:val="0"/>
                <w:bCs w:val="0"/>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十五、资源勘探工业信息等支出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rPr>
                <w:rFonts w:hint="eastAsia" w:ascii="宋体" w:hAnsi="宋体" w:eastAsia="宋体" w:cs="宋体"/>
                <w:b w:val="0"/>
                <w:bCs w:val="0"/>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十六、商业服务业等支出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rPr>
                <w:rFonts w:hint="eastAsia" w:ascii="宋体" w:hAnsi="宋体" w:eastAsia="宋体" w:cs="宋体"/>
                <w:b w:val="0"/>
                <w:bCs w:val="0"/>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二十、住房保障支出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54.89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54.89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三十一、人行科目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本年收入合计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0"/>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1203.80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本年支出合计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0"/>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1203.80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0"/>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1203.80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年初财政拨款结转和结余</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年末财政拨款结转和结余</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一、一般公共预算拨款</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二、政府性基金预算拨款</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三、国有资本经营预算拨款</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21"/>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总计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0"/>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1203.80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总计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0"/>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1203.80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0"/>
              <w:ind w:firstLine="0" w:firstLineChars="0"/>
              <w:jc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1203.80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0" w:type="auto"/>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bl>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sectPr>
          <w:footerReference r:id="rId8" w:type="default"/>
          <w:pgSz w:w="16840" w:h="11900" w:orient="landscape"/>
          <w:pgMar w:top="567" w:right="1984" w:bottom="567" w:left="1134" w:header="720" w:footer="720" w:gutter="0"/>
          <w:pgNumType w:fmt="decimal" w:start="1"/>
          <w:cols w:space="720" w:num="1"/>
        </w:sectPr>
      </w:pPr>
    </w:p>
    <w:tbl>
      <w:tblPr>
        <w:tblStyle w:val="9"/>
        <w:tblW w:w="1455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4"/>
        <w:gridCol w:w="1320"/>
        <w:gridCol w:w="4095"/>
        <w:gridCol w:w="1890"/>
        <w:gridCol w:w="1650"/>
        <w:gridCol w:w="1725"/>
        <w:gridCol w:w="1391"/>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194" w:type="dxa"/>
            <w:gridSpan w:val="2"/>
            <w:tcBorders>
              <w:top w:val="nil"/>
              <w:left w:val="nil"/>
              <w:bottom w:val="nil"/>
              <w:right w:val="nil"/>
            </w:tcBorders>
            <w:shd w:val="clear" w:color="auto" w:fill="auto"/>
            <w:noWrap/>
            <w:vAlign w:val="center"/>
          </w:tcPr>
          <w:p>
            <w:pPr>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jc w:val="left"/>
              <w:rPr>
                <w:rFonts w:hint="default" w:ascii="Times New Roman" w:hAnsi="Times New Roman" w:eastAsia="宋体" w:cs="Times New Roman"/>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附表1-5</w:t>
            </w:r>
          </w:p>
        </w:tc>
        <w:tc>
          <w:tcPr>
            <w:tcW w:w="4095"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89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650"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725"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391"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1605"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550" w:type="dxa"/>
            <w:gridSpan w:val="8"/>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单位</w:t>
            </w:r>
            <w:r>
              <w:rPr>
                <w:rFonts w:hint="eastAsia" w:ascii="宋体" w:hAnsi="宋体" w:eastAsia="宋体" w:cs="宋体"/>
                <w:b w:val="0"/>
                <w:bCs w:val="0"/>
                <w:i w:val="0"/>
                <w:iCs w:val="0"/>
                <w:color w:val="000000"/>
                <w:kern w:val="0"/>
                <w:sz w:val="44"/>
                <w:szCs w:val="44"/>
                <w:u w:val="none"/>
                <w:lang w:val="en-US" w:eastAsia="zh-CN" w:bidi="ar"/>
              </w:rPr>
              <w:t>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6289" w:type="dxa"/>
            <w:gridSpan w:val="3"/>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val="en-US" w:eastAsia="zh-CN" w:bidi="ar"/>
              </w:rPr>
              <w:t>652遵化市建明镇人民政府</w:t>
            </w:r>
          </w:p>
        </w:tc>
        <w:tc>
          <w:tcPr>
            <w:tcW w:w="5265" w:type="dxa"/>
            <w:gridSpan w:val="3"/>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1391" w:type="dxa"/>
            <w:tcBorders>
              <w:top w:val="nil"/>
              <w:left w:val="nil"/>
              <w:bottom w:val="nil"/>
              <w:right w:val="nil"/>
            </w:tcBorders>
            <w:shd w:val="clear" w:color="auto" w:fill="FFFFFF"/>
            <w:noWrap/>
            <w:vAlign w:val="center"/>
          </w:tcPr>
          <w:p>
            <w:pPr>
              <w:jc w:val="right"/>
              <w:rPr>
                <w:rFonts w:hint="default" w:ascii="方正仿宋简体" w:hAnsi="方正仿宋简体" w:eastAsia="方正仿宋简体" w:cs="方正仿宋简体"/>
                <w:b w:val="0"/>
                <w:bCs w:val="0"/>
                <w:i w:val="0"/>
                <w:iCs w:val="0"/>
                <w:color w:val="000000"/>
                <w:sz w:val="24"/>
                <w:szCs w:val="24"/>
                <w:u w:val="none"/>
              </w:rPr>
            </w:pPr>
          </w:p>
        </w:tc>
        <w:tc>
          <w:tcPr>
            <w:tcW w:w="1605"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2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4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基本支出</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功能分类科目编码</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小计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人员经费</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公用经费</w:t>
            </w: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w:t>
            </w:r>
          </w:p>
        </w:tc>
        <w:tc>
          <w:tcPr>
            <w:tcW w:w="5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0"/>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                     合计</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1203.80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982.25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892.99</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89.26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一般公共服务支出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738.95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736.40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647.14</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89.26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20103</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政府办公厅（室）及相关机构事务</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738.95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736.40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647.14</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89.26</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2010301</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行政运行</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736.40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736.40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647.14</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89.26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2010302</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一般行政管理事务</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2.55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社会保障和就业支出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114.59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114.59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114.59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20805</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行政事业单位养老支出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114.59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114.59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114.59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2080505</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机关事业单位基本养老保险缴费支出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79.73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79.73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79.73</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2080506</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机关事业单位职业年金缴费支出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34.86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34.86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34.86</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210</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卫生健康支出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76.37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76.37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76.37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21011</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行政事业单位医疗</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76.37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76.37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76.37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2101101</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行政单位医疗</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76.37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76.37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76.37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213</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农林水支出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219.00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21301</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农业农村</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2130126</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农村社会事业</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21307</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农村综合改革</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165.00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2130705</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对村民委员会和村党支部的补助</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165.00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221</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住房保障支出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54.89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54.89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54.89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22102</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住房改革支出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54.89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54.89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54.89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4"/>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2210201</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3"/>
              <w:ind w:firstLine="0" w:firstLineChars="0"/>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住房公积金</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54.89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54.89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3"/>
              <w:ind w:firstLine="0" w:firstLineChars="0"/>
              <w:jc w:val="left"/>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54.89</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3"/>
              <w:ind w:firstLine="0" w:firstLineChars="0"/>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bl>
    <w:tbl>
      <w:tblPr>
        <w:tblStyle w:val="9"/>
        <w:tblpPr w:leftFromText="180" w:rightFromText="180" w:vertAnchor="text" w:horzAnchor="page" w:tblpXSpec="center" w:tblpY="122"/>
        <w:tblOverlap w:val="never"/>
        <w:tblW w:w="146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20"/>
        <w:gridCol w:w="509"/>
        <w:gridCol w:w="4228"/>
        <w:gridCol w:w="236"/>
        <w:gridCol w:w="2272"/>
        <w:gridCol w:w="2436"/>
        <w:gridCol w:w="236"/>
        <w:gridCol w:w="1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7" w:hRule="atLeast"/>
          <w:jc w:val="center"/>
        </w:trPr>
        <w:tc>
          <w:tcPr>
            <w:tcW w:w="14669" w:type="dxa"/>
            <w:gridSpan w:val="8"/>
            <w:tcBorders>
              <w:top w:val="nil"/>
              <w:left w:val="nil"/>
              <w:bottom w:val="nil"/>
              <w:right w:val="nil"/>
            </w:tcBorders>
            <w:shd w:val="clear" w:color="auto" w:fill="FFFFFF"/>
            <w:vAlign w:val="center"/>
          </w:tcPr>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cs="宋体"/>
                <w:b w:val="0"/>
                <w:bCs w:val="0"/>
                <w:i w:val="0"/>
                <w:iCs w:val="0"/>
                <w:color w:val="000000"/>
                <w:kern w:val="0"/>
                <w:sz w:val="44"/>
                <w:szCs w:val="4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w:t>
            </w:r>
          </w:p>
          <w:p>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单位</w:t>
            </w:r>
            <w:r>
              <w:rPr>
                <w:rFonts w:hint="eastAsia" w:ascii="宋体" w:hAnsi="宋体" w:eastAsia="宋体" w:cs="宋体"/>
                <w:b w:val="0"/>
                <w:bCs w:val="0"/>
                <w:i w:val="0"/>
                <w:iCs w:val="0"/>
                <w:color w:val="000000"/>
                <w:kern w:val="0"/>
                <w:sz w:val="44"/>
                <w:szCs w:val="44"/>
                <w:u w:val="none"/>
                <w:lang w:val="en-US" w:eastAsia="zh-CN" w:bidi="ar"/>
              </w:rPr>
              <w:t>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jc w:val="center"/>
        </w:trPr>
        <w:tc>
          <w:tcPr>
            <w:tcW w:w="3120"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val="en-US" w:eastAsia="zh-CN" w:bidi="ar"/>
              </w:rPr>
              <w:t>652遵化市建明镇人民政府</w:t>
            </w:r>
          </w:p>
        </w:tc>
        <w:tc>
          <w:tcPr>
            <w:tcW w:w="509" w:type="dxa"/>
            <w:tcBorders>
              <w:top w:val="nil"/>
              <w:left w:val="nil"/>
              <w:bottom w:val="nil"/>
              <w:right w:val="nil"/>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4464" w:type="dxa"/>
            <w:gridSpan w:val="2"/>
            <w:tcBorders>
              <w:top w:val="nil"/>
              <w:left w:val="nil"/>
              <w:bottom w:val="nil"/>
              <w:right w:val="nil"/>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4944" w:type="dxa"/>
            <w:gridSpan w:val="3"/>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1632"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8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68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经济分类科目编码</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人员经费</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982.25</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892.99</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工资福利支出</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825.28</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825.28</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30101</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基本工资</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225.91</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225.91</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30102</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津贴补贴</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228.89</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228.89</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30103</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奖金</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73.00</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73.00</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30107</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绩效工资</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60.25</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60.25</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30108</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机关事业单位基本养老保险缴费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80.01</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80.01</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30109</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职业年金缴费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34.86</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34.86</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30110</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职工基本医疗保险缴费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30.81</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30.81</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30111</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公务员医疗补助缴费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31.05</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31.05</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30112</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其他社会保障缴费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5.61</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5.61</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30113</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住房公积金</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54.89</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54.89</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商品和服务支出</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89.26</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30201</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办公费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10.20</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30206</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电费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2.55</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30207</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邮电费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1.02</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30208</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取暖费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15.00</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30211</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差旅费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2.04</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30213</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维修(护)费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1.02</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30215</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会议费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0.23</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30216</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培训费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0.23</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30217</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公务接待费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0.39</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30228</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工会经费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5.23</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30229</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福利费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5.65</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30231</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公务用车运行维护费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15.20</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30239</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其他交通费用</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24.36</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30299</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其他商品和服务支出</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6.14</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303</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对个人和家庭的补助</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67.71</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67.71</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30302</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退休费</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51.77</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51.77</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30304</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抚恤金</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1.36</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1.36</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30307</w:t>
            </w:r>
          </w:p>
        </w:tc>
        <w:tc>
          <w:tcPr>
            <w:tcW w:w="47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医疗费补助</w:t>
            </w:r>
          </w:p>
        </w:tc>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14.58</w:t>
            </w:r>
          </w:p>
        </w:tc>
        <w:tc>
          <w:tcPr>
            <w:tcW w:w="243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14.58</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r>
    </w:tbl>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bl>
      <w:tblPr>
        <w:tblStyle w:val="9"/>
        <w:tblpPr w:leftFromText="180" w:rightFromText="180" w:vertAnchor="text" w:horzAnchor="page" w:tblpX="1335" w:tblpY="-314"/>
        <w:tblOverlap w:val="never"/>
        <w:tblW w:w="143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8"/>
        <w:gridCol w:w="1338"/>
        <w:gridCol w:w="684"/>
        <w:gridCol w:w="797"/>
        <w:gridCol w:w="570"/>
        <w:gridCol w:w="405"/>
        <w:gridCol w:w="1590"/>
        <w:gridCol w:w="810"/>
        <w:gridCol w:w="255"/>
        <w:gridCol w:w="1500"/>
        <w:gridCol w:w="780"/>
        <w:gridCol w:w="375"/>
        <w:gridCol w:w="1410"/>
        <w:gridCol w:w="2430"/>
        <w:gridCol w:w="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420" w:hRule="atLeast"/>
        </w:trPr>
        <w:tc>
          <w:tcPr>
            <w:tcW w:w="124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附表1-7</w:t>
            </w:r>
          </w:p>
        </w:tc>
        <w:tc>
          <w:tcPr>
            <w:tcW w:w="1338" w:type="dxa"/>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2456" w:type="dxa"/>
            <w:gridSpan w:val="4"/>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2655" w:type="dxa"/>
            <w:gridSpan w:val="3"/>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2655" w:type="dxa"/>
            <w:gridSpan w:val="3"/>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3840" w:type="dxa"/>
            <w:gridSpan w:val="2"/>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600" w:hRule="atLeast"/>
        </w:trPr>
        <w:tc>
          <w:tcPr>
            <w:tcW w:w="14192" w:type="dxa"/>
            <w:gridSpan w:val="14"/>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单位</w:t>
            </w:r>
            <w:r>
              <w:rPr>
                <w:rFonts w:hint="eastAsia" w:ascii="宋体" w:hAnsi="宋体" w:eastAsia="宋体" w:cs="宋体"/>
                <w:b w:val="0"/>
                <w:bCs w:val="0"/>
                <w:i w:val="0"/>
                <w:iCs w:val="0"/>
                <w:color w:val="000000"/>
                <w:kern w:val="0"/>
                <w:sz w:val="44"/>
                <w:szCs w:val="44"/>
                <w:u w:val="none"/>
                <w:lang w:val="en-US" w:eastAsia="zh-CN" w:bidi="ar"/>
              </w:rPr>
              <w:t>预算政府性基金预算财政拨款支出表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480" w:hRule="atLeast"/>
        </w:trPr>
        <w:tc>
          <w:tcPr>
            <w:tcW w:w="5042" w:type="dxa"/>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val="en-US" w:eastAsia="zh-CN" w:bidi="ar"/>
              </w:rPr>
              <w:t>652遵化市建明镇人民政府</w:t>
            </w:r>
          </w:p>
        </w:tc>
        <w:tc>
          <w:tcPr>
            <w:tcW w:w="2655" w:type="dxa"/>
            <w:gridSpan w:val="3"/>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2655" w:type="dxa"/>
            <w:gridSpan w:val="3"/>
            <w:tcBorders>
              <w:top w:val="nil"/>
              <w:left w:val="nil"/>
              <w:bottom w:val="nil"/>
              <w:right w:val="nil"/>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420" w:hRule="atLeast"/>
        </w:trPr>
        <w:tc>
          <w:tcPr>
            <w:tcW w:w="50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26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6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基本支出  </w:t>
            </w:r>
          </w:p>
        </w:tc>
        <w:tc>
          <w:tcPr>
            <w:tcW w:w="38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420" w:hRule="atLeast"/>
        </w:trPr>
        <w:tc>
          <w:tcPr>
            <w:tcW w:w="25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功能分类科目编码</w:t>
            </w:r>
          </w:p>
        </w:tc>
        <w:tc>
          <w:tcPr>
            <w:tcW w:w="245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420" w:hRule="atLeast"/>
        </w:trPr>
        <w:tc>
          <w:tcPr>
            <w:tcW w:w="25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50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50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4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327" w:type="dxa"/>
            <w:gridSpan w:val="1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注：无政府基金预算财政拨款预算，空表列示。</w:t>
            </w:r>
          </w:p>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pStyle w:val="2"/>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jc w:val="left"/>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jc w:val="left"/>
              <w:rPr>
                <w:rFonts w:hint="default" w:ascii="Times New Roman" w:hAnsi="Times New Roman" w:eastAsia="宋体" w:cs="Times New Roman"/>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327" w:type="dxa"/>
            <w:gridSpan w:val="1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单位</w:t>
            </w:r>
            <w:r>
              <w:rPr>
                <w:rFonts w:hint="eastAsia" w:ascii="宋体" w:hAnsi="宋体" w:eastAsia="宋体" w:cs="宋体"/>
                <w:b w:val="0"/>
                <w:bCs w:val="0"/>
                <w:i w:val="0"/>
                <w:iCs w:val="0"/>
                <w:color w:val="000000"/>
                <w:kern w:val="0"/>
                <w:sz w:val="44"/>
                <w:szCs w:val="44"/>
                <w:u w:val="none"/>
                <w:lang w:val="en-US" w:eastAsia="zh-CN" w:bidi="ar"/>
              </w:rPr>
              <w:t>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632" w:type="dxa"/>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val="en-US" w:eastAsia="zh-CN" w:bidi="ar"/>
              </w:rPr>
              <w:t>652遵化市建明镇人民政府</w:t>
            </w:r>
          </w:p>
        </w:tc>
        <w:tc>
          <w:tcPr>
            <w:tcW w:w="2565" w:type="dxa"/>
            <w:gridSpan w:val="3"/>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预算年度：202</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2565" w:type="dxa"/>
            <w:gridSpan w:val="3"/>
            <w:tcBorders>
              <w:top w:val="nil"/>
              <w:left w:val="nil"/>
              <w:bottom w:val="nil"/>
              <w:right w:val="nil"/>
            </w:tcBorders>
            <w:shd w:val="clear" w:color="auto" w:fill="FFFFFF"/>
            <w:noWrap/>
            <w:vAlign w:val="center"/>
          </w:tcPr>
          <w:p>
            <w:pPr>
              <w:jc w:val="left"/>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66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25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5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基本支出  </w:t>
            </w:r>
          </w:p>
        </w:tc>
        <w:tc>
          <w:tcPr>
            <w:tcW w:w="25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406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功能分类科目编码</w:t>
            </w:r>
          </w:p>
        </w:tc>
        <w:tc>
          <w:tcPr>
            <w:tcW w:w="25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406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6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6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4327" w:type="dxa"/>
            <w:gridSpan w:val="1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注：无国有资本经营预算财政拨款预算，空表列示。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884" w:hRule="atLeast"/>
        </w:trPr>
        <w:tc>
          <w:tcPr>
            <w:tcW w:w="3270"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p>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附表1-9</w:t>
            </w:r>
          </w:p>
        </w:tc>
        <w:tc>
          <w:tcPr>
            <w:tcW w:w="1367" w:type="dxa"/>
            <w:gridSpan w:val="2"/>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2805" w:type="dxa"/>
            <w:gridSpan w:val="3"/>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2535" w:type="dxa"/>
            <w:gridSpan w:val="3"/>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c>
          <w:tcPr>
            <w:tcW w:w="4215" w:type="dxa"/>
            <w:gridSpan w:val="3"/>
            <w:tcBorders>
              <w:top w:val="nil"/>
              <w:left w:val="nil"/>
              <w:bottom w:val="nil"/>
              <w:right w:val="nil"/>
            </w:tcBorders>
            <w:shd w:val="clear" w:color="auto" w:fill="auto"/>
            <w:noWrap/>
            <w:vAlign w:val="center"/>
          </w:tcPr>
          <w:p>
            <w:pPr>
              <w:jc w:val="right"/>
              <w:rPr>
                <w:rFonts w:hint="default" w:ascii="Times New Roman" w:hAnsi="Times New Roman" w:eastAsia="宋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600" w:hRule="atLeast"/>
        </w:trPr>
        <w:tc>
          <w:tcPr>
            <w:tcW w:w="14192" w:type="dxa"/>
            <w:gridSpan w:val="14"/>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44"/>
                <w:szCs w:val="44"/>
                <w:u w:val="none"/>
                <w:lang w:val="en-US" w:eastAsia="zh-CN" w:bidi="ar"/>
              </w:rPr>
            </w:pPr>
          </w:p>
          <w:p>
            <w:pPr>
              <w:keepNext w:val="0"/>
              <w:keepLines w:val="0"/>
              <w:widowControl/>
              <w:suppressLineNumbers w:val="0"/>
              <w:jc w:val="center"/>
              <w:textAlignment w:val="center"/>
              <w:rPr>
                <w:rFonts w:hint="eastAsia" w:ascii="宋体" w:hAnsi="宋体" w:eastAsia="宋体" w:cs="宋体"/>
                <w:b w:val="0"/>
                <w:bCs w:val="0"/>
                <w:i w:val="0"/>
                <w:iCs w:val="0"/>
                <w:color w:val="000000"/>
                <w:sz w:val="44"/>
                <w:szCs w:val="44"/>
                <w:u w:val="none"/>
              </w:rPr>
            </w:pPr>
            <w:r>
              <w:rPr>
                <w:rFonts w:hint="eastAsia" w:ascii="宋体" w:hAnsi="宋体" w:cs="宋体"/>
                <w:b w:val="0"/>
                <w:bCs w:val="0"/>
                <w:i w:val="0"/>
                <w:iCs w:val="0"/>
                <w:color w:val="000000"/>
                <w:kern w:val="0"/>
                <w:sz w:val="44"/>
                <w:szCs w:val="44"/>
                <w:u w:val="none"/>
                <w:lang w:val="en-US" w:eastAsia="zh-CN" w:bidi="ar"/>
              </w:rPr>
              <w:t>单位</w:t>
            </w:r>
            <w:r>
              <w:rPr>
                <w:rFonts w:hint="eastAsia" w:ascii="宋体" w:hAnsi="宋体" w:eastAsia="宋体" w:cs="宋体"/>
                <w:b w:val="0"/>
                <w:bCs w:val="0"/>
                <w:i w:val="0"/>
                <w:iCs w:val="0"/>
                <w:color w:val="000000"/>
                <w:kern w:val="0"/>
                <w:sz w:val="44"/>
                <w:szCs w:val="44"/>
                <w:u w:val="none"/>
                <w:lang w:val="en-US" w:eastAsia="zh-CN" w:bidi="ar"/>
              </w:rPr>
              <w:t>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620" w:hRule="atLeast"/>
        </w:trPr>
        <w:tc>
          <w:tcPr>
            <w:tcW w:w="4637" w:type="dxa"/>
            <w:gridSpan w:val="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color w:val="000000"/>
                <w:kern w:val="0"/>
                <w:sz w:val="24"/>
                <w:szCs w:val="24"/>
                <w:lang w:val="en-US" w:eastAsia="zh-CN" w:bidi="ar"/>
              </w:rPr>
              <w:t>652遵化市建明镇人民政府</w:t>
            </w:r>
          </w:p>
        </w:tc>
        <w:tc>
          <w:tcPr>
            <w:tcW w:w="2805"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预算年度：</w:t>
            </w:r>
            <w:r>
              <w:rPr>
                <w:rStyle w:val="33"/>
                <w:b w:val="0"/>
                <w:bCs w:val="0"/>
                <w:sz w:val="24"/>
                <w:szCs w:val="24"/>
                <w:lang w:val="en-US" w:eastAsia="zh-CN" w:bidi="ar"/>
              </w:rPr>
              <w:t>202</w:t>
            </w:r>
            <w:r>
              <w:rPr>
                <w:rStyle w:val="33"/>
                <w:rFonts w:hint="eastAsia"/>
                <w:b w:val="0"/>
                <w:bCs w:val="0"/>
                <w:sz w:val="24"/>
                <w:szCs w:val="24"/>
                <w:lang w:val="en-US" w:eastAsia="zh-CN" w:bidi="ar"/>
              </w:rPr>
              <w:t>3</w:t>
            </w:r>
          </w:p>
        </w:tc>
        <w:tc>
          <w:tcPr>
            <w:tcW w:w="2535" w:type="dxa"/>
            <w:gridSpan w:val="3"/>
            <w:tcBorders>
              <w:top w:val="nil"/>
              <w:left w:val="nil"/>
              <w:bottom w:val="nil"/>
              <w:right w:val="nil"/>
            </w:tcBorders>
            <w:shd w:val="clear" w:color="auto" w:fill="FFFFFF"/>
            <w:vAlign w:val="center"/>
          </w:tcPr>
          <w:p>
            <w:pP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690" w:hRule="atLeast"/>
        </w:trPr>
        <w:tc>
          <w:tcPr>
            <w:tcW w:w="32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项目</w:t>
            </w:r>
          </w:p>
        </w:tc>
        <w:tc>
          <w:tcPr>
            <w:tcW w:w="109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690" w:hRule="atLeast"/>
        </w:trPr>
        <w:tc>
          <w:tcPr>
            <w:tcW w:w="32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一般公共预算财政拨款</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政府性基金财政拨款</w:t>
            </w: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eastAsia="zh-CN"/>
              </w:rPr>
            </w:pPr>
            <w:r>
              <w:rPr>
                <w:rFonts w:hint="eastAsia" w:ascii="方正仿宋简体" w:hAnsi="方正仿宋简体" w:eastAsia="方正仿宋简体" w:cs="方正仿宋简体"/>
                <w:b w:val="0"/>
                <w:bCs w:val="0"/>
                <w:i w:val="0"/>
                <w:iCs w:val="0"/>
                <w:color w:val="000000"/>
                <w:sz w:val="24"/>
                <w:szCs w:val="24"/>
                <w:u w:val="none"/>
                <w:lang w:val="en-US" w:eastAsia="zh-CN"/>
              </w:rPr>
              <w:t>15.59</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15.59</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三公”经费合计</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15.59</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15.59</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一、因公出国（境）费</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0.00 </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0.00 </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其中：公务用车购置（境）费</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720" w:firstLineChars="300"/>
              <w:jc w:val="left"/>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其他因公出国（境）费</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二、公务用车购置及运行费</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15.20</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15.20</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其中：公务用车购置费</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0.00 </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0.00 </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 xml:space="preserve">       公务用车运行费</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15.20</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15.20</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 w:type="dxa"/>
          <w:trHeight w:val="380" w:hRule="atLeast"/>
        </w:trPr>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sz w:val="24"/>
                <w:szCs w:val="24"/>
                <w:u w:val="none"/>
              </w:rPr>
            </w:pPr>
            <w:r>
              <w:rPr>
                <w:rFonts w:hint="default" w:ascii="方正仿宋简体" w:hAnsi="方正仿宋简体" w:eastAsia="方正仿宋简体" w:cs="方正仿宋简体"/>
                <w:b w:val="0"/>
                <w:bCs w:val="0"/>
                <w:i w:val="0"/>
                <w:iCs w:val="0"/>
                <w:color w:val="000000"/>
                <w:kern w:val="0"/>
                <w:sz w:val="24"/>
                <w:szCs w:val="24"/>
                <w:u w:val="none"/>
                <w:lang w:val="en-US" w:eastAsia="zh-CN" w:bidi="ar"/>
              </w:rPr>
              <w:t>三、公务接待费</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0.39</w:t>
            </w:r>
          </w:p>
        </w:tc>
        <w:tc>
          <w:tcPr>
            <w:tcW w:w="28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0.39</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遵化市</w:t>
      </w:r>
      <w:r>
        <w:rPr>
          <w:rFonts w:hint="eastAsia" w:ascii="方正小标宋简体" w:hAnsi="方正小标宋简体" w:eastAsia="方正小标宋简体" w:cs="方正小标宋简体"/>
          <w:sz w:val="44"/>
          <w:szCs w:val="44"/>
          <w:lang w:val="en-US" w:eastAsia="zh-CN"/>
        </w:rPr>
        <w:t>建明镇人民政府</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单位</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pStyle w:val="3"/>
        <w:ind w:left="0" w:leftChars="0" w:firstLine="0" w:firstLineChars="0"/>
        <w:rPr>
          <w:rFonts w:hint="eastAsia" w:ascii="Times New Roman" w:hAnsi="Times New Roman" w:eastAsia="方正小标宋_GBK" w:cs="方正小标宋_GBK"/>
          <w:b w:val="0"/>
          <w:bCs w:val="0"/>
          <w:sz w:val="48"/>
          <w:szCs w:val="48"/>
        </w:rPr>
      </w:pPr>
    </w:p>
    <w:p>
      <w:pPr>
        <w:keepNext w:val="0"/>
        <w:keepLines w:val="0"/>
        <w:pageBreakBefore w:val="0"/>
        <w:widowControl/>
        <w:kinsoku/>
        <w:wordWrap/>
        <w:overflowPunct/>
        <w:topLinePunct w:val="0"/>
        <w:autoSpaceDE/>
        <w:autoSpaceDN/>
        <w:bidi w:val="0"/>
        <w:adjustRightInd/>
        <w:snapToGrid/>
        <w:spacing w:before="0" w:after="0" w:line="570" w:lineRule="atLeast"/>
        <w:ind w:firstLine="640" w:firstLineChars="20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color w:val="000000"/>
          <w:sz w:val="32"/>
          <w:szCs w:val="32"/>
          <w:lang w:val="en-US" w:eastAsia="zh-CN"/>
        </w:rPr>
        <w:t>中华人民共和国</w:t>
      </w:r>
      <w:r>
        <w:rPr>
          <w:rFonts w:hint="eastAsia" w:ascii="方正仿宋简体" w:hAnsi="方正仿宋简体" w:eastAsia="方正仿宋简体" w:cs="方正仿宋简体"/>
          <w:color w:val="000000"/>
          <w:sz w:val="32"/>
          <w:szCs w:val="32"/>
        </w:rPr>
        <w:t>预算法》、《地方预决算公开操作规程》和《关于进一步推进预算公开工作的实施意见》规定，现将遵化市建明镇人民政府2023年</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1" w:name="_Toc_3_3_0000000010"/>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职责及机构设置情况</w:t>
      </w:r>
      <w:bookmarkEnd w:id="1"/>
      <w:bookmarkStart w:id="10" w:name="_GoBack"/>
      <w:bookmarkEnd w:id="10"/>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sz w:val="32"/>
          <w:szCs w:val="32"/>
          <w:lang w:eastAsia="zh-CN"/>
        </w:rPr>
      </w:pPr>
      <w:r>
        <w:rPr>
          <w:rFonts w:hint="eastAsia" w:ascii="方正楷体简体" w:hAnsi="方正楷体简体" w:eastAsia="方正楷体简体" w:cs="方正楷体简体"/>
          <w:b w:val="0"/>
          <w:bCs w:val="0"/>
          <w:sz w:val="32"/>
          <w:szCs w:val="32"/>
          <w:lang w:eastAsia="zh-CN"/>
        </w:rPr>
        <w:t>（</w:t>
      </w:r>
      <w:r>
        <w:rPr>
          <w:rFonts w:hint="eastAsia" w:ascii="方正楷体简体" w:hAnsi="方正楷体简体" w:eastAsia="方正楷体简体" w:cs="方正楷体简体"/>
          <w:b w:val="0"/>
          <w:bCs w:val="0"/>
          <w:sz w:val="32"/>
          <w:szCs w:val="32"/>
          <w:lang w:val="en-US" w:eastAsia="zh-CN"/>
        </w:rPr>
        <w:t>一</w:t>
      </w:r>
      <w:r>
        <w:rPr>
          <w:rFonts w:hint="eastAsia" w:ascii="方正楷体简体" w:hAnsi="方正楷体简体" w:eastAsia="方正楷体简体" w:cs="方正楷体简体"/>
          <w:b w:val="0"/>
          <w:bCs w:val="0"/>
          <w:sz w:val="32"/>
          <w:szCs w:val="32"/>
          <w:lang w:eastAsia="zh-CN"/>
        </w:rPr>
        <w:t>）单位职责</w:t>
      </w:r>
    </w:p>
    <w:p>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宣传贯彻执行党的路线方针政策和党中央、上级党组织及</w:t>
      </w:r>
      <w:r>
        <w:rPr>
          <w:rFonts w:hint="eastAsia" w:ascii="方正仿宋简体" w:hAnsi="方正仿宋简体" w:eastAsia="方正仿宋简体" w:cs="方正仿宋简体"/>
          <w:sz w:val="32"/>
          <w:szCs w:val="32"/>
          <w:lang w:eastAsia="zh-CN"/>
        </w:rPr>
        <w:t>我单位</w:t>
      </w:r>
      <w:r>
        <w:rPr>
          <w:rFonts w:hint="eastAsia" w:ascii="方正仿宋简体" w:hAnsi="方正仿宋简体" w:eastAsia="方正仿宋简体" w:cs="方正仿宋简体"/>
          <w:sz w:val="32"/>
          <w:szCs w:val="32"/>
        </w:rPr>
        <w:t>党员代表大会（党员大会）的决议。贯彻执行法律、法规、规章和上级人民代表大会及其常务委员会决议及上级政府的决定、命令，执行本级人民代表大会的决议。</w:t>
      </w:r>
    </w:p>
    <w:p>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讨论和决定</w:t>
      </w:r>
      <w:r>
        <w:rPr>
          <w:rFonts w:hint="eastAsia" w:ascii="方正仿宋简体" w:hAnsi="方正仿宋简体" w:eastAsia="方正仿宋简体" w:cs="方正仿宋简体"/>
          <w:sz w:val="32"/>
          <w:szCs w:val="32"/>
          <w:lang w:eastAsia="zh-CN"/>
        </w:rPr>
        <w:t>我单位</w:t>
      </w:r>
      <w:r>
        <w:rPr>
          <w:rFonts w:hint="eastAsia" w:ascii="方正仿宋简体" w:hAnsi="方正仿宋简体" w:eastAsia="方正仿宋简体" w:cs="方正仿宋简体"/>
          <w:sz w:val="32"/>
          <w:szCs w:val="32"/>
        </w:rPr>
        <w:t>经济建设、政治建设、文化建设、社会建设、生态文明建设和党的建设以及乡村振兴中的重大问题。</w:t>
      </w:r>
    </w:p>
    <w:p>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组织召开本级人民代表大会，充分行使重大事项决定权、监督权和任免权，做好人大代表工作，联系选民、反映群众意见和要求。</w:t>
      </w:r>
    </w:p>
    <w:p>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加强镇党委自身建设和村党组织建设，以及其他隶属镇党委的党组织建设，抓好发展党员工作，加强党员队伍建设。维护和执行党的纪律，监督党员干部和其他任何工作人员严格遵守国家法律法规。</w:t>
      </w:r>
    </w:p>
    <w:p>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按照干部管理权限，负责对干部的教育、培训、选拔、考核和监督工作。协助管理上级有关</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驻镇单位的干部。做好人才服务工作。</w:t>
      </w:r>
    </w:p>
    <w:p>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领导</w:t>
      </w:r>
      <w:r>
        <w:rPr>
          <w:rFonts w:hint="eastAsia" w:ascii="方正仿宋简体" w:hAnsi="方正仿宋简体" w:eastAsia="方正仿宋简体" w:cs="方正仿宋简体"/>
          <w:sz w:val="32"/>
          <w:szCs w:val="32"/>
          <w:lang w:eastAsia="zh-CN"/>
        </w:rPr>
        <w:t>我单位</w:t>
      </w:r>
      <w:r>
        <w:rPr>
          <w:rFonts w:hint="eastAsia" w:ascii="方正仿宋简体" w:hAnsi="方正仿宋简体" w:eastAsia="方正仿宋简体" w:cs="方正仿宋简体"/>
          <w:sz w:val="32"/>
          <w:szCs w:val="32"/>
        </w:rPr>
        <w:t>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42"/>
        <w:keepNext w:val="0"/>
        <w:keepLines w:val="0"/>
        <w:pageBreakBefore w:val="0"/>
        <w:widowControl/>
        <w:kinsoku/>
        <w:wordWrap/>
        <w:overflowPunct/>
        <w:topLinePunct w:val="0"/>
        <w:autoSpaceDE/>
        <w:autoSpaceDN/>
        <w:bidi w:val="0"/>
        <w:adjustRightInd/>
        <w:snapToGrid/>
        <w:spacing w:line="57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承办上级党委、人大、政府交办的其他事项。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（二）机构设置</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党政综合办公室（财政所）</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党建工作办公室（人大主席团办公室）</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应急管理办公室（发展改革办公室）</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执行安全生产、应急管理、消防、防灾减灾救灾等方面的法律法规和政策规定；加强辖区生产经营单位安全生产状况的监督检查，协助上级有关单位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自然资源和生态环境办公室</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单位做好地下水相关管理和监督工作；按照职责分工做好“散乱污”企业综合整治工作；组织开展全民义务植树、古树名木保护利用工作；在上级城市绿化行政主管单位指导下，负责辖区内的绿化工作；完成党委、政府交办的其他工作任务。</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综合行政执法队（综合指挥和信息化网络中心、社会治理办公室）。</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根据法律法规和省政府授权，依法开展综合行政执法工作。严格落实执法相关制度，健全完善执法程序，规范执法行为；协助有关单位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pStyle w:val="2"/>
        <w:keepNext w:val="0"/>
        <w:keepLines w:val="0"/>
        <w:pageBreakBefore w:val="0"/>
        <w:widowControl w:val="0"/>
        <w:numPr>
          <w:ilvl w:val="0"/>
          <w:numId w:val="2"/>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行政综合服务中心（综合文化服务站）。</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pStyle w:val="2"/>
        <w:keepNext w:val="0"/>
        <w:keepLines w:val="0"/>
        <w:pageBreakBefore w:val="0"/>
        <w:widowControl w:val="0"/>
        <w:numPr>
          <w:ilvl w:val="0"/>
          <w:numId w:val="3"/>
        </w:numPr>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农业综合服务中心。</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eastAsia="zh-CN"/>
        </w:rPr>
        <w:t>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单位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单位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pStyle w:val="2"/>
        <w:keepNext w:val="0"/>
        <w:keepLines w:val="0"/>
        <w:pageBreakBefore w:val="0"/>
        <w:widowControl w:val="0"/>
        <w:numPr>
          <w:ilvl w:val="0"/>
          <w:numId w:val="4"/>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退役军人服务站。</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b/>
          <w:bCs/>
          <w:snapToGrid w:val="0"/>
          <w:kern w:val="0"/>
          <w:sz w:val="32"/>
          <w:szCs w:val="32"/>
          <w:lang w:val="en-US" w:eastAsia="zh-CN" w:bidi="ar-SA"/>
        </w:rPr>
      </w:pPr>
      <w:r>
        <w:rPr>
          <w:rFonts w:hint="eastAsia" w:ascii="方正仿宋简体" w:hAnsi="方正仿宋简体" w:eastAsia="方正仿宋简体" w:cs="方正仿宋简体"/>
          <w:sz w:val="32"/>
          <w:szCs w:val="32"/>
          <w:lang w:eastAsia="zh-CN"/>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单位做好来信、来访工作；负责依照法定权限，做好本辖区拥军优属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85"/>
        <w:gridCol w:w="2686"/>
        <w:gridCol w:w="2784"/>
        <w:gridCol w:w="35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885" w:type="dxa"/>
            <w:vAlign w:val="center"/>
          </w:tcPr>
          <w:p>
            <w:pPr>
              <w:pStyle w:val="22"/>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snapToGrid w:val="0"/>
                <w:kern w:val="0"/>
                <w:sz w:val="32"/>
                <w:szCs w:val="32"/>
                <w:lang w:val="en-US" w:eastAsia="zh-CN" w:bidi="ar-SA"/>
              </w:rPr>
            </w:pPr>
            <w:r>
              <w:rPr>
                <w:rFonts w:hint="eastAsia" w:ascii="方正仿宋简体" w:hAnsi="方正仿宋简体" w:eastAsia="方正仿宋简体" w:cs="方正仿宋简体"/>
                <w:b w:val="0"/>
                <w:snapToGrid w:val="0"/>
                <w:kern w:val="0"/>
                <w:sz w:val="32"/>
                <w:szCs w:val="32"/>
                <w:lang w:val="en-US" w:eastAsia="zh-CN" w:bidi="ar-SA"/>
              </w:rPr>
              <w:t>单位名称</w:t>
            </w:r>
          </w:p>
        </w:tc>
        <w:tc>
          <w:tcPr>
            <w:tcW w:w="2686" w:type="dxa"/>
            <w:vAlign w:val="center"/>
          </w:tcPr>
          <w:p>
            <w:pPr>
              <w:pStyle w:val="22"/>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snapToGrid w:val="0"/>
                <w:kern w:val="0"/>
                <w:sz w:val="32"/>
                <w:szCs w:val="32"/>
                <w:lang w:val="en-US" w:eastAsia="zh-CN" w:bidi="ar-SA"/>
              </w:rPr>
            </w:pPr>
            <w:r>
              <w:rPr>
                <w:rFonts w:hint="eastAsia" w:ascii="方正仿宋简体" w:hAnsi="方正仿宋简体" w:eastAsia="方正仿宋简体" w:cs="方正仿宋简体"/>
                <w:b w:val="0"/>
                <w:snapToGrid w:val="0"/>
                <w:kern w:val="0"/>
                <w:sz w:val="32"/>
                <w:szCs w:val="32"/>
                <w:lang w:val="en-US" w:eastAsia="zh-CN" w:bidi="ar-SA"/>
              </w:rPr>
              <w:t>单位性质</w:t>
            </w:r>
          </w:p>
        </w:tc>
        <w:tc>
          <w:tcPr>
            <w:tcW w:w="2784" w:type="dxa"/>
            <w:vAlign w:val="center"/>
          </w:tcPr>
          <w:p>
            <w:pPr>
              <w:pStyle w:val="22"/>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snapToGrid w:val="0"/>
                <w:kern w:val="0"/>
                <w:sz w:val="32"/>
                <w:szCs w:val="32"/>
                <w:lang w:val="en-US" w:eastAsia="zh-CN" w:bidi="ar-SA"/>
              </w:rPr>
            </w:pPr>
            <w:r>
              <w:rPr>
                <w:rFonts w:hint="eastAsia" w:ascii="方正仿宋简体" w:hAnsi="方正仿宋简体" w:eastAsia="方正仿宋简体" w:cs="方正仿宋简体"/>
                <w:b w:val="0"/>
                <w:snapToGrid w:val="0"/>
                <w:kern w:val="0"/>
                <w:sz w:val="32"/>
                <w:szCs w:val="32"/>
                <w:lang w:val="en-US" w:eastAsia="zh-CN" w:bidi="ar-SA"/>
              </w:rPr>
              <w:t>单位规格</w:t>
            </w:r>
          </w:p>
        </w:tc>
        <w:tc>
          <w:tcPr>
            <w:tcW w:w="3511" w:type="dxa"/>
            <w:vAlign w:val="center"/>
          </w:tcPr>
          <w:p>
            <w:pPr>
              <w:pStyle w:val="22"/>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snapToGrid w:val="0"/>
                <w:kern w:val="0"/>
                <w:sz w:val="32"/>
                <w:szCs w:val="32"/>
                <w:lang w:val="en-US" w:eastAsia="zh-CN" w:bidi="ar-SA"/>
              </w:rPr>
            </w:pPr>
            <w:r>
              <w:rPr>
                <w:rFonts w:hint="eastAsia" w:ascii="方正仿宋简体" w:hAnsi="方正仿宋简体" w:eastAsia="方正仿宋简体" w:cs="方正仿宋简体"/>
                <w:b w:val="0"/>
                <w:snapToGrid w:val="0"/>
                <w:kern w:val="0"/>
                <w:sz w:val="32"/>
                <w:szCs w:val="32"/>
                <w:lang w:val="en-US" w:eastAsia="zh-CN" w:bidi="ar-S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5" w:type="dxa"/>
            <w:vAlign w:val="center"/>
          </w:tcPr>
          <w:p>
            <w:pPr>
              <w:pStyle w:val="23"/>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snapToGrid w:val="0"/>
                <w:kern w:val="0"/>
                <w:sz w:val="32"/>
                <w:szCs w:val="32"/>
                <w:lang w:val="en-US" w:eastAsia="zh-CN" w:bidi="ar-SA"/>
              </w:rPr>
            </w:pPr>
            <w:r>
              <w:rPr>
                <w:rFonts w:hint="eastAsia" w:ascii="方正仿宋简体" w:hAnsi="方正仿宋简体" w:eastAsia="方正仿宋简体" w:cs="方正仿宋简体"/>
                <w:b w:val="0"/>
                <w:snapToGrid w:val="0"/>
                <w:kern w:val="0"/>
                <w:sz w:val="32"/>
                <w:szCs w:val="32"/>
                <w:lang w:val="en-US" w:eastAsia="zh-CN" w:bidi="ar-SA"/>
              </w:rPr>
              <w:t>遵化市建明镇人民政府</w:t>
            </w:r>
          </w:p>
        </w:tc>
        <w:tc>
          <w:tcPr>
            <w:tcW w:w="2686" w:type="dxa"/>
            <w:vAlign w:val="center"/>
          </w:tcPr>
          <w:p>
            <w:pPr>
              <w:pStyle w:val="24"/>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snapToGrid w:val="0"/>
                <w:kern w:val="0"/>
                <w:sz w:val="32"/>
                <w:szCs w:val="32"/>
                <w:lang w:val="en-US" w:eastAsia="zh-CN" w:bidi="ar-SA"/>
              </w:rPr>
            </w:pPr>
            <w:r>
              <w:rPr>
                <w:rFonts w:hint="eastAsia" w:ascii="方正仿宋简体" w:hAnsi="方正仿宋简体" w:eastAsia="方正仿宋简体" w:cs="方正仿宋简体"/>
                <w:b w:val="0"/>
                <w:snapToGrid w:val="0"/>
                <w:kern w:val="0"/>
                <w:sz w:val="32"/>
                <w:szCs w:val="32"/>
                <w:lang w:val="en-US" w:eastAsia="zh-CN" w:bidi="ar-SA"/>
              </w:rPr>
              <w:t>行政</w:t>
            </w:r>
          </w:p>
        </w:tc>
        <w:tc>
          <w:tcPr>
            <w:tcW w:w="2784" w:type="dxa"/>
            <w:vAlign w:val="center"/>
          </w:tcPr>
          <w:p>
            <w:pPr>
              <w:pStyle w:val="24"/>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snapToGrid w:val="0"/>
                <w:kern w:val="0"/>
                <w:sz w:val="32"/>
                <w:szCs w:val="32"/>
                <w:lang w:val="en-US" w:eastAsia="zh-CN" w:bidi="ar-SA"/>
              </w:rPr>
            </w:pPr>
            <w:r>
              <w:rPr>
                <w:rFonts w:hint="eastAsia" w:ascii="方正仿宋简体" w:hAnsi="方正仿宋简体" w:eastAsia="方正仿宋简体" w:cs="方正仿宋简体"/>
                <w:b w:val="0"/>
                <w:snapToGrid w:val="0"/>
                <w:kern w:val="0"/>
                <w:sz w:val="32"/>
                <w:szCs w:val="32"/>
                <w:lang w:val="en-US" w:eastAsia="zh-CN" w:bidi="ar-SA"/>
              </w:rPr>
              <w:t>正科级</w:t>
            </w:r>
          </w:p>
        </w:tc>
        <w:tc>
          <w:tcPr>
            <w:tcW w:w="3511" w:type="dxa"/>
            <w:vAlign w:val="center"/>
          </w:tcPr>
          <w:p>
            <w:pPr>
              <w:pStyle w:val="24"/>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snapToGrid w:val="0"/>
                <w:kern w:val="0"/>
                <w:sz w:val="32"/>
                <w:szCs w:val="32"/>
                <w:lang w:val="en-US" w:eastAsia="zh-CN" w:bidi="ar-SA"/>
              </w:rPr>
            </w:pPr>
            <w:r>
              <w:rPr>
                <w:rFonts w:hint="eastAsia" w:ascii="方正仿宋简体" w:hAnsi="方正仿宋简体" w:eastAsia="方正仿宋简体" w:cs="方正仿宋简体"/>
                <w:b w:val="0"/>
                <w:snapToGrid w:val="0"/>
                <w:kern w:val="0"/>
                <w:sz w:val="32"/>
                <w:szCs w:val="32"/>
                <w:lang w:val="en-US" w:eastAsia="zh-CN" w:bidi="ar-SA"/>
              </w:rPr>
              <w:t>财政拨款</w:t>
            </w:r>
          </w:p>
        </w:tc>
      </w:tr>
    </w:tbl>
    <w:p>
      <w:pPr>
        <w:spacing w:line="560" w:lineRule="exact"/>
        <w:jc w:val="left"/>
        <w:rPr>
          <w:rFonts w:hint="eastAsia" w:ascii="方正黑体简体" w:hAnsi="方正黑体简体" w:eastAsia="方正黑体简体" w:cs="方正黑体简体"/>
          <w:sz w:val="32"/>
          <w:szCs w:val="32"/>
        </w:rPr>
      </w:pPr>
      <w:bookmarkStart w:id="2" w:name="_Toc_3_3_0000000011"/>
    </w:p>
    <w:p>
      <w:pPr>
        <w:spacing w:line="56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预算安排的总体情况</w:t>
      </w:r>
      <w:bookmarkEnd w:id="2"/>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按照预算管理有关规定，目前我</w:t>
      </w:r>
      <w:r>
        <w:rPr>
          <w:rFonts w:hint="eastAsia" w:ascii="方正仿宋简体" w:hAnsi="方正仿宋简体" w:eastAsia="方正仿宋简体" w:cs="方正仿宋简体"/>
          <w:color w:val="000000"/>
          <w:sz w:val="32"/>
          <w:szCs w:val="32"/>
          <w:lang w:val="en-US" w:eastAsia="zh-CN"/>
        </w:rPr>
        <w:t>市</w:t>
      </w:r>
      <w:r>
        <w:rPr>
          <w:rFonts w:hint="eastAsia" w:ascii="方正仿宋简体" w:hAnsi="方正仿宋简体" w:eastAsia="方正仿宋简体" w:cs="方正仿宋简体"/>
          <w:color w:val="000000"/>
          <w:sz w:val="32"/>
          <w:szCs w:val="32"/>
          <w:lang w:eastAsia="zh-CN"/>
        </w:rPr>
        <w:t>单位</w:t>
      </w:r>
      <w:r>
        <w:rPr>
          <w:rFonts w:hint="eastAsia" w:ascii="方正仿宋简体" w:hAnsi="方正仿宋简体" w:eastAsia="方正仿宋简体" w:cs="方正仿宋简体"/>
          <w:color w:val="000000"/>
          <w:sz w:val="32"/>
          <w:szCs w:val="32"/>
        </w:rPr>
        <w:t>预算的编制实行综合预算管理，即全部收入和支出都反映在预算中。</w:t>
      </w:r>
    </w:p>
    <w:p>
      <w:pPr>
        <w:pStyle w:val="4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、收入说明</w:t>
      </w:r>
    </w:p>
    <w:p>
      <w:pPr>
        <w:pStyle w:val="4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当年全部收入。2023年预算收入1203.80万元，其中：一般公共预算收入1203.80万元，基金预算收入0万元，财政专户核拨收入0万元，其他来源收入0万元。</w:t>
      </w:r>
    </w:p>
    <w:p>
      <w:pPr>
        <w:pStyle w:val="4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、支出说明</w:t>
      </w:r>
    </w:p>
    <w:p>
      <w:pPr>
        <w:pStyle w:val="4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收支预算总表支出栏、基本支出表、项目支出表按经济分类和支出功能分类科目编制，反映遵化市建明镇人民政府2023年度</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预算中支出预算的总体情况。2023年支出预算1203.80万元，其中基本支出982.25万元，包括人员经费892.99万元和日常公用经费89.26万元；项目支出221.55万元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包括本级支出，主要是安可计算机购置、社会事务管理、乡镇服务群众经费。</w:t>
      </w:r>
    </w:p>
    <w:p>
      <w:pPr>
        <w:pStyle w:val="43"/>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、比上年增减情况</w:t>
      </w:r>
    </w:p>
    <w:p>
      <w:pPr>
        <w:pStyle w:val="43"/>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预算收支安排1203.80万元，较2022年预算增加274.95万元，其中：基本支出增加218.40万元，主要为增加人员经费支出215.64万元；（增加的主要原因为人员增加，工资、保险及乡镇补贴等相应增加）；日常公用经费增加2.76万元（增加的主要原因为增人公务交通补贴的增加）。项目支出</w:t>
      </w:r>
      <w:r>
        <w:rPr>
          <w:rFonts w:hint="eastAsia" w:ascii="方正仿宋简体" w:hAnsi="方正仿宋简体" w:eastAsia="方正仿宋简体" w:cs="方正仿宋简体"/>
          <w:sz w:val="32"/>
          <w:szCs w:val="32"/>
          <w:lang w:val="en-US" w:eastAsia="zh-CN"/>
        </w:rPr>
        <w:t>221.55</w:t>
      </w:r>
      <w:r>
        <w:rPr>
          <w:rFonts w:hint="eastAsia" w:ascii="方正仿宋简体" w:hAnsi="方正仿宋简体" w:eastAsia="方正仿宋简体" w:cs="方正仿宋简体"/>
          <w:sz w:val="32"/>
          <w:szCs w:val="32"/>
        </w:rPr>
        <w:t>万元，比上年度增加56.55万元（增加的主要原因为加大对农村社会事业的投入）。</w:t>
      </w:r>
    </w:p>
    <w:p>
      <w:pPr>
        <w:keepNext w:val="0"/>
        <w:keepLines w:val="0"/>
        <w:pageBreakBefore w:val="0"/>
        <w:widowControl/>
        <w:kinsoku/>
        <w:wordWrap/>
        <w:overflowPunct/>
        <w:topLinePunct w:val="0"/>
        <w:autoSpaceDE/>
        <w:autoSpaceDN/>
        <w:bidi w:val="0"/>
        <w:adjustRightInd/>
        <w:snapToGrid/>
        <w:spacing w:before="10" w:after="10" w:line="570" w:lineRule="atLeast"/>
        <w:ind w:firstLine="640" w:firstLineChars="200"/>
        <w:jc w:val="left"/>
        <w:textAlignment w:val="auto"/>
        <w:outlineLvl w:val="2"/>
        <w:rPr>
          <w:rFonts w:hint="eastAsia" w:ascii="方正黑体简体" w:hAnsi="方正黑体简体" w:eastAsia="方正黑体简体" w:cs="方正黑体简体"/>
          <w:color w:val="000000"/>
          <w:sz w:val="32"/>
          <w:szCs w:val="32"/>
        </w:rPr>
      </w:pPr>
      <w:bookmarkStart w:id="3" w:name="_Toc_3_3_0000000012"/>
      <w:r>
        <w:rPr>
          <w:rFonts w:hint="eastAsia" w:ascii="方正黑体简体" w:hAnsi="方正黑体简体" w:eastAsia="方正黑体简体" w:cs="方正黑体简体"/>
          <w:color w:val="000000"/>
          <w:sz w:val="32"/>
          <w:szCs w:val="32"/>
        </w:rPr>
        <w:t>三、机关运行经费安排情况</w:t>
      </w:r>
      <w:bookmarkEnd w:id="3"/>
    </w:p>
    <w:p>
      <w:pPr>
        <w:pStyle w:val="4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w:t>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机关运行经费共计安排89.26万元，主要用于2023年机关办公费、电费、邮电费、取暖费、差旅费、维修(护)费、会议费、培训费、公务用车运行维护费、</w:t>
      </w:r>
      <w:r>
        <w:rPr>
          <w:rFonts w:hint="eastAsia" w:ascii="方正仿宋简体" w:hAnsi="方正仿宋简体" w:eastAsia="方正仿宋简体" w:cs="方正仿宋简体"/>
          <w:sz w:val="32"/>
          <w:szCs w:val="32"/>
          <w:lang w:val="en-US" w:eastAsia="zh-CN"/>
        </w:rPr>
        <w:t>其他商品和服务支出</w:t>
      </w:r>
      <w:r>
        <w:rPr>
          <w:rFonts w:hint="eastAsia" w:ascii="方正仿宋简体" w:hAnsi="方正仿宋简体" w:eastAsia="方正仿宋简体" w:cs="方正仿宋简体"/>
          <w:sz w:val="32"/>
          <w:szCs w:val="32"/>
        </w:rPr>
        <w:t>、公务接待费、工会经费、福利费等日常运行支出。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4" w:name="_Toc_3_3_0000000013"/>
      <w:r>
        <w:rPr>
          <w:rFonts w:hint="eastAsia" w:ascii="方正黑体简体" w:hAnsi="方正黑体简体" w:eastAsia="方正黑体简体" w:cs="方正黑体简体"/>
          <w:sz w:val="32"/>
          <w:szCs w:val="32"/>
        </w:rPr>
        <w:t>四、财政拨款“三公”经费预算情况及增减变化原因</w:t>
      </w:r>
      <w:bookmarkEnd w:id="4"/>
    </w:p>
    <w:p>
      <w:pPr>
        <w:pStyle w:val="4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w:t>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“三公”经费预算安排</w:t>
      </w:r>
      <w:r>
        <w:rPr>
          <w:rFonts w:hint="eastAsia" w:ascii="方正仿宋简体" w:hAnsi="方正仿宋简体" w:eastAsia="方正仿宋简体" w:cs="方正仿宋简体"/>
          <w:sz w:val="32"/>
          <w:szCs w:val="32"/>
          <w:lang w:val="en-US" w:eastAsia="zh-CN"/>
        </w:rPr>
        <w:t>15.59</w:t>
      </w:r>
      <w:r>
        <w:rPr>
          <w:rFonts w:hint="eastAsia" w:ascii="方正仿宋简体" w:hAnsi="方正仿宋简体" w:eastAsia="方正仿宋简体" w:cs="方正仿宋简体"/>
          <w:sz w:val="32"/>
          <w:szCs w:val="32"/>
        </w:rPr>
        <w:t>万元，与2022年</w:t>
      </w:r>
      <w:r>
        <w:rPr>
          <w:rFonts w:hint="eastAsia" w:ascii="方正仿宋简体" w:hAnsi="方正仿宋简体" w:eastAsia="方正仿宋简体" w:cs="方正仿宋简体"/>
          <w:sz w:val="32"/>
          <w:szCs w:val="32"/>
          <w:lang w:val="en-US" w:eastAsia="zh-CN"/>
        </w:rPr>
        <w:t>相比</w:t>
      </w:r>
      <w:r>
        <w:rPr>
          <w:rFonts w:hint="eastAsia" w:ascii="方正仿宋简体" w:hAnsi="方正仿宋简体" w:eastAsia="方正仿宋简体" w:cs="方正仿宋简体"/>
          <w:sz w:val="32"/>
          <w:szCs w:val="32"/>
        </w:rPr>
        <w:t xml:space="preserve">持平，无增减变化。具体安排情况为： </w:t>
      </w:r>
    </w:p>
    <w:p>
      <w:pPr>
        <w:pStyle w:val="4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1、公务用车购置及运行费。共计安排15.20万元，与2022年</w:t>
      </w:r>
      <w:r>
        <w:rPr>
          <w:rFonts w:hint="eastAsia" w:ascii="方正仿宋简体" w:hAnsi="方正仿宋简体" w:eastAsia="方正仿宋简体" w:cs="方正仿宋简体"/>
          <w:sz w:val="32"/>
          <w:szCs w:val="32"/>
          <w:lang w:val="en-US" w:eastAsia="zh-CN"/>
        </w:rPr>
        <w:t>相比</w:t>
      </w:r>
      <w:r>
        <w:rPr>
          <w:rFonts w:hint="eastAsia" w:ascii="方正仿宋简体" w:hAnsi="方正仿宋简体" w:eastAsia="方正仿宋简体" w:cs="方正仿宋简体"/>
          <w:sz w:val="32"/>
          <w:szCs w:val="32"/>
        </w:rPr>
        <w:t>持平，无增减变化。其中①公务用车购置安排0万元，与2022年</w:t>
      </w:r>
      <w:r>
        <w:rPr>
          <w:rFonts w:hint="eastAsia" w:ascii="方正仿宋简体" w:hAnsi="方正仿宋简体" w:eastAsia="方正仿宋简体" w:cs="方正仿宋简体"/>
          <w:sz w:val="32"/>
          <w:szCs w:val="32"/>
          <w:lang w:val="en-US" w:eastAsia="zh-CN"/>
        </w:rPr>
        <w:t>相比</w:t>
      </w:r>
      <w:r>
        <w:rPr>
          <w:rFonts w:hint="eastAsia" w:ascii="方正仿宋简体" w:hAnsi="方正仿宋简体" w:eastAsia="方正仿宋简体" w:cs="方正仿宋简体"/>
          <w:sz w:val="32"/>
          <w:szCs w:val="32"/>
        </w:rPr>
        <w:t>持平，无增减变化。②公车运行维护经费安排15.20万元，与2022年持平，无增减变化。车辆运行维护费严格按照统一定额标准，公车数量未发生增减，车辆运行维护费无变化。</w:t>
      </w:r>
    </w:p>
    <w:p>
      <w:pPr>
        <w:pStyle w:val="4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2、公务接待费。安排0.39万元，与2022年</w:t>
      </w:r>
      <w:r>
        <w:rPr>
          <w:rFonts w:hint="eastAsia" w:ascii="方正仿宋简体" w:hAnsi="方正仿宋简体" w:eastAsia="方正仿宋简体" w:cs="方正仿宋简体"/>
          <w:sz w:val="32"/>
          <w:szCs w:val="32"/>
          <w:lang w:val="en-US" w:eastAsia="zh-CN"/>
        </w:rPr>
        <w:t>相比</w:t>
      </w:r>
      <w:r>
        <w:rPr>
          <w:rFonts w:hint="eastAsia" w:ascii="方正仿宋简体" w:hAnsi="方正仿宋简体" w:eastAsia="方正仿宋简体" w:cs="方正仿宋简体"/>
          <w:sz w:val="32"/>
          <w:szCs w:val="32"/>
        </w:rPr>
        <w:t>持平，无增减变化。按照统一定额标准计算，无增</w:t>
      </w:r>
      <w:r>
        <w:rPr>
          <w:rFonts w:hint="eastAsia" w:ascii="方正仿宋简体" w:hAnsi="方正仿宋简体" w:eastAsia="方正仿宋简体" w:cs="方正仿宋简体"/>
          <w:sz w:val="32"/>
          <w:szCs w:val="32"/>
          <w:lang w:val="en-US" w:eastAsia="zh-CN"/>
        </w:rPr>
        <w:t>加</w:t>
      </w:r>
      <w:r>
        <w:rPr>
          <w:rFonts w:hint="eastAsia" w:ascii="方正仿宋简体" w:hAnsi="方正仿宋简体" w:eastAsia="方正仿宋简体" w:cs="方正仿宋简体"/>
          <w:sz w:val="32"/>
          <w:szCs w:val="32"/>
        </w:rPr>
        <w:t>变化</w:t>
      </w:r>
      <w:r>
        <w:rPr>
          <w:rFonts w:hint="eastAsia" w:ascii="方正仿宋简体" w:hAnsi="方正仿宋简体" w:eastAsia="方正仿宋简体" w:cs="方正仿宋简体"/>
          <w:sz w:val="32"/>
          <w:szCs w:val="32"/>
          <w:lang w:eastAsia="zh-CN"/>
        </w:rPr>
        <w:t>。</w:t>
      </w:r>
    </w:p>
    <w:p>
      <w:pPr>
        <w:pStyle w:val="45"/>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3、因公出国（境）费。安排0万元，与2022年</w:t>
      </w:r>
      <w:r>
        <w:rPr>
          <w:rFonts w:hint="eastAsia" w:ascii="方正仿宋简体" w:hAnsi="方正仿宋简体" w:eastAsia="方正仿宋简体" w:cs="方正仿宋简体"/>
          <w:sz w:val="32"/>
          <w:szCs w:val="32"/>
          <w:lang w:val="en-US" w:eastAsia="zh-CN"/>
        </w:rPr>
        <w:t>相比</w:t>
      </w:r>
      <w:r>
        <w:rPr>
          <w:rFonts w:hint="eastAsia" w:ascii="方正仿宋简体" w:hAnsi="方正仿宋简体" w:eastAsia="方正仿宋简体" w:cs="方正仿宋简体"/>
          <w:sz w:val="32"/>
          <w:szCs w:val="32"/>
        </w:rPr>
        <w:t>持平，无增减变化。没有因公出国安排，所以未安排因公出国费。</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5" w:name="_Toc_3_3_0000000014"/>
      <w:r>
        <w:rPr>
          <w:rFonts w:hint="eastAsia" w:ascii="方正黑体简体" w:hAnsi="方正黑体简体" w:eastAsia="方正黑体简体" w:cs="方正黑体简体"/>
          <w:sz w:val="32"/>
          <w:szCs w:val="32"/>
        </w:rPr>
        <w:t>五、预算绩效信息</w:t>
      </w:r>
      <w:bookmarkEnd w:id="5"/>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第一部分 单位整体绩效目标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lang w:eastAsia="zh-CN"/>
        </w:rPr>
        <w:t>）总体绩效目标</w:t>
      </w:r>
    </w:p>
    <w:p>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负责政务信息的收集、整理、反馈工作；组织对市政府重要工作、重大决策的调查研究，及时向市政府领导提出建议，当好参谋。</w:t>
      </w:r>
    </w:p>
    <w:p>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负责镇政府各种会议及活动的准备和服务工作以及议定事项的落实。</w:t>
      </w:r>
    </w:p>
    <w:p>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负责镇政府机关的档案、印章、信件管理和机要保密工作。</w:t>
      </w:r>
    </w:p>
    <w:p>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围绕镇政府中心工作和上级政府经济社会发展的重要问题，开展调查研究，为领导决策提供有针对性、实用性、可操作性和超前性的对策和建议，并对决策执行情况进行跟踪调查和反馈。</w:t>
      </w:r>
    </w:p>
    <w:p>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协调镇政府各</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之间的关系。负责对上级重要文件、市政府会议精神传达、决定事项及市政府领导批示的执行落实情况。</w:t>
      </w:r>
    </w:p>
    <w:p>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负责镇政府机关值班和处理群众来信、来访的接待及应急管理工作，处理突发事件、重大灾情和重大事故，并负责向上级报告。</w:t>
      </w:r>
    </w:p>
    <w:p>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负责行政审批上报服务工作。</w:t>
      </w:r>
    </w:p>
    <w:p>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负责全镇农业和农村工作的综合、协调、指导。</w:t>
      </w:r>
    </w:p>
    <w:p>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 xml:space="preserve">负责全镇小城镇建设、工业发展、环保、交通、拆迁等工作的综合、协调、督导。 </w:t>
      </w:r>
    </w:p>
    <w:p>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负责全镇财税、流通、市场建设、金融等工作的综合、协调、督导。</w:t>
      </w:r>
    </w:p>
    <w:p>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rPr>
        <w:t>负责档案行政管理工作。</w:t>
      </w:r>
    </w:p>
    <w:p>
      <w:pPr>
        <w:pStyle w:val="38"/>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做好市政府领导交办的其它工作任务。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lang w:eastAsia="zh-CN"/>
        </w:rPr>
        <w:t>）分项绩效目标</w:t>
      </w:r>
    </w:p>
    <w:p>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1、</w:t>
      </w:r>
      <w:r>
        <w:rPr>
          <w:rFonts w:hint="eastAsia" w:ascii="方正仿宋简体" w:hAnsi="方正仿宋简体" w:eastAsia="方正仿宋简体" w:cs="方正仿宋简体"/>
          <w:sz w:val="32"/>
          <w:szCs w:val="32"/>
        </w:rPr>
        <w:t>安可计算机购置项目</w:t>
      </w:r>
    </w:p>
    <w:p>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（1）绩效目标：做好安可应用替代给工作，加强安全保密管理，完成替代任务。</w:t>
      </w:r>
    </w:p>
    <w:p>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（2）绩效指标：办事群众服务对象满意度提升率≥95%</w:t>
      </w:r>
    </w:p>
    <w:p>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社会事务管理项目</w:t>
      </w:r>
    </w:p>
    <w:p>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（1）绩效目标：保障我镇各项给工作顺利开展。</w:t>
      </w:r>
    </w:p>
    <w:p>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rPr>
      </w:pPr>
      <w:r>
        <w:rPr>
          <w:rFonts w:hint="eastAsia" w:ascii="方正仿宋简体" w:hAnsi="方正仿宋简体" w:eastAsia="方正仿宋简体" w:cs="方正仿宋简体"/>
          <w:sz w:val="32"/>
          <w:szCs w:val="32"/>
        </w:rPr>
        <w:t>（2）绩效指标：办事群众服务对象满意度提升率≥95%</w:t>
      </w:r>
    </w:p>
    <w:p>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乡镇服务群众经费项目。</w:t>
      </w:r>
    </w:p>
    <w:p>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（1）绩效目标：保障我镇主干道等区域配齐环卫设施，推进户分类、组收集、村运转、乡镇处理垃圾集中收集，防止病毒蔓延，保障环境质量提升，改善我镇33个村生态环境。</w:t>
      </w:r>
    </w:p>
    <w:p>
      <w:pPr>
        <w:pStyle w:val="3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（2）绩效指标：生活垃圾无害化处理及受益群众满意度提升率≥95%</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三</w:t>
      </w:r>
      <w:r>
        <w:rPr>
          <w:rFonts w:hint="eastAsia" w:ascii="方正楷体简体" w:hAnsi="方正楷体简体" w:eastAsia="方正楷体简体" w:cs="方正楷体简体"/>
          <w:sz w:val="32"/>
          <w:szCs w:val="32"/>
          <w:lang w:eastAsia="zh-CN"/>
        </w:rPr>
        <w:t>）工作保障措施</w:t>
      </w:r>
    </w:p>
    <w:p>
      <w:pPr>
        <w:pStyle w:val="3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pPr>
        <w:pStyle w:val="3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3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pStyle w:val="3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做好绩效自评。按要求开展上年度</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预算绩效自评和重点评价工作，对评价中发现的问题及时整改，调整优化支出结构，提高财政资金使用效益。</w:t>
      </w:r>
    </w:p>
    <w:p>
      <w:pPr>
        <w:pStyle w:val="3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规范财务资产管理。完善财务管理制度，严格审批程序，加强固定资产登记、使用和报废处置管理工作，做到支出合理，物尽其用。</w:t>
      </w:r>
    </w:p>
    <w:p>
      <w:pPr>
        <w:pStyle w:val="34"/>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eastAsia="方正仿宋简体"/>
          <w:lang w:val="en-US" w:eastAsia="zh-CN"/>
        </w:rPr>
        <w:t>、</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  做好审计、财政监督等外部监督工作，确保财政资金安全有效。</w:t>
      </w:r>
    </w:p>
    <w:p>
      <w:pPr>
        <w:pStyle w:val="34"/>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textAlignment w:val="auto"/>
        <w:rPr>
          <w:rFonts w:ascii="方正仿宋_GBK" w:hAnsi="方正仿宋_GBK" w:eastAsia="方正仿宋_GBK" w:cs="方正仿宋_GBK"/>
          <w:b/>
          <w:color w:val="000000"/>
          <w:sz w:val="28"/>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加强宣传培训调研等。加强人员培训，提高本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 xml:space="preserve">职工业务素质；加强调研，提出优化财政资金配置、提高资金使用效益的意见；加大宣传力度，强化预算绩效管理意识，促进预算绩效管理水平进一步提升。 </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kern w:val="2"/>
          <w:sz w:val="32"/>
          <w:szCs w:val="32"/>
          <w:lang w:val="en-US" w:eastAsia="uk-UA" w:bidi="ar-SA"/>
        </w:rPr>
      </w:pPr>
      <w:r>
        <w:rPr>
          <w:rFonts w:hint="eastAsia" w:ascii="方正仿宋简体" w:hAnsi="方正仿宋简体" w:eastAsia="方正仿宋简体" w:cs="方正仿宋简体"/>
          <w:kern w:val="2"/>
          <w:sz w:val="32"/>
          <w:szCs w:val="32"/>
          <w:lang w:val="en-US" w:eastAsia="uk-UA" w:bidi="ar-SA"/>
        </w:rPr>
        <w:t>第二部分 专项资金绩效目标</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2023年无专项资金预算，此内容为空。</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kern w:val="2"/>
          <w:sz w:val="32"/>
          <w:szCs w:val="32"/>
          <w:lang w:val="en-US" w:eastAsia="zh-CN" w:bidi="ar-SA"/>
        </w:rPr>
        <w:sectPr>
          <w:pgSz w:w="16840" w:h="11900" w:orient="landscape"/>
          <w:pgMar w:top="1440" w:right="1080" w:bottom="1440" w:left="1080" w:header="720" w:footer="720" w:gutter="0"/>
          <w:pgNumType w:fmt="decimal"/>
          <w:cols w:space="720" w:num="1"/>
        </w:sectPr>
      </w:pPr>
      <w:r>
        <w:rPr>
          <w:rFonts w:hint="eastAsia" w:ascii="方正仿宋简体" w:hAnsi="方正仿宋简体" w:eastAsia="方正仿宋简体" w:cs="方正仿宋简体"/>
          <w:sz w:val="32"/>
          <w:szCs w:val="32"/>
          <w:lang w:val="en-US" w:eastAsia="zh-CN"/>
        </w:rPr>
        <w:t>第三部分 单位</w:t>
      </w:r>
      <w:r>
        <w:rPr>
          <w:rFonts w:hint="eastAsia" w:ascii="方正仿宋简体" w:hAnsi="方正仿宋简体" w:eastAsia="方正仿宋简体" w:cs="方正仿宋简体"/>
          <w:sz w:val="32"/>
          <w:szCs w:val="32"/>
        </w:rPr>
        <w:t>预算项目</w:t>
      </w:r>
      <w:r>
        <w:rPr>
          <w:rFonts w:hint="eastAsia" w:ascii="方正仿宋简体" w:hAnsi="方正仿宋简体" w:eastAsia="方正仿宋简体" w:cs="方正仿宋简体"/>
          <w:sz w:val="32"/>
          <w:szCs w:val="32"/>
          <w:lang w:val="en-US" w:eastAsia="uk-UA"/>
        </w:rPr>
        <w:t>绩效目标</w:t>
      </w:r>
    </w:p>
    <w:p>
      <w:pPr>
        <w:pStyle w:val="39"/>
        <w:keepNext w:val="0"/>
        <w:keepLines w:val="0"/>
        <w:pageBreakBefore w:val="0"/>
        <w:widowControl/>
        <w:kinsoku/>
        <w:wordWrap/>
        <w:overflowPunct/>
        <w:topLinePunct w:val="0"/>
        <w:autoSpaceDE/>
        <w:autoSpaceDN/>
        <w:bidi w:val="0"/>
        <w:adjustRightInd/>
        <w:snapToGrid/>
        <w:spacing w:line="570" w:lineRule="exact"/>
        <w:ind w:firstLine="560" w:firstLineChars="200"/>
        <w:textAlignment w:val="auto"/>
        <w:rPr>
          <w:rFonts w:hint="eastAsia" w:ascii="宋体" w:hAnsi="宋体" w:eastAsia="宋体" w:cs="宋体"/>
          <w:sz w:val="28"/>
          <w:szCs w:val="28"/>
        </w:rPr>
      </w:pPr>
    </w:p>
    <w:p>
      <w:pPr>
        <w:widowControl w:val="0"/>
        <w:spacing w:before="0" w:after="0"/>
        <w:ind w:firstLine="600" w:firstLineChars="200"/>
        <w:jc w:val="left"/>
        <w:outlineLvl w:val="3"/>
        <w:rPr>
          <w:rFonts w:hint="eastAsia" w:ascii="方正仿宋简体" w:hAnsi="方正仿宋简体" w:eastAsia="方正仿宋简体" w:cs="方正仿宋简体"/>
          <w:color w:val="000000"/>
          <w:kern w:val="2"/>
          <w:sz w:val="30"/>
          <w:szCs w:val="30"/>
          <w:lang w:eastAsia="zh-CN"/>
        </w:rPr>
      </w:pPr>
      <w:bookmarkStart w:id="6" w:name="_Toc_3_3_0000000015"/>
      <w:r>
        <w:rPr>
          <w:rFonts w:hint="eastAsia" w:ascii="方正仿宋简体" w:hAnsi="方正仿宋简体" w:eastAsia="方正仿宋简体" w:cs="方正仿宋简体"/>
          <w:color w:val="000000"/>
          <w:kern w:val="2"/>
          <w:sz w:val="30"/>
          <w:szCs w:val="30"/>
          <w:lang w:eastAsia="zh-CN"/>
        </w:rPr>
        <w:t>1、安可计算机购置绩效目标表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2"/>
        <w:gridCol w:w="2375"/>
        <w:gridCol w:w="1321"/>
        <w:gridCol w:w="2750"/>
        <w:gridCol w:w="2625"/>
        <w:gridCol w:w="1532"/>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15"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652遵化市建明镇人民政府</w:t>
            </w:r>
          </w:p>
        </w:tc>
        <w:tc>
          <w:tcPr>
            <w:tcW w:w="1327" w:type="dxa"/>
            <w:tcBorders>
              <w:top w:val="single" w:color="FFFFFF" w:sz="6" w:space="0"/>
              <w:left w:val="single" w:color="FFFFFF" w:sz="6" w:space="0"/>
              <w:right w:val="single" w:color="FFFFFF" w:sz="6" w:space="0"/>
            </w:tcBorders>
            <w:vAlign w:val="center"/>
          </w:tcPr>
          <w:p>
            <w:pPr>
              <w:pStyle w:val="21"/>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项目编码</w:t>
            </w:r>
          </w:p>
        </w:tc>
        <w:tc>
          <w:tcPr>
            <w:tcW w:w="3696"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13028123P00014110001K</w:t>
            </w:r>
          </w:p>
        </w:tc>
        <w:tc>
          <w:tcPr>
            <w:tcW w:w="2750" w:type="dxa"/>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项目名称</w:t>
            </w:r>
          </w:p>
        </w:tc>
        <w:tc>
          <w:tcPr>
            <w:tcW w:w="5484" w:type="dxa"/>
            <w:gridSpan w:val="3"/>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restart"/>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预算规模及资金用途</w:t>
            </w:r>
          </w:p>
        </w:tc>
        <w:tc>
          <w:tcPr>
            <w:tcW w:w="2375" w:type="dxa"/>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w:t>
            </w:r>
          </w:p>
        </w:tc>
        <w:tc>
          <w:tcPr>
            <w:tcW w:w="1321"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2.55</w:t>
            </w:r>
          </w:p>
        </w:tc>
        <w:tc>
          <w:tcPr>
            <w:tcW w:w="2750" w:type="dxa"/>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其中：财政资金</w:t>
            </w:r>
          </w:p>
        </w:tc>
        <w:tc>
          <w:tcPr>
            <w:tcW w:w="262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2.55</w:t>
            </w:r>
          </w:p>
        </w:tc>
        <w:tc>
          <w:tcPr>
            <w:tcW w:w="1532" w:type="dxa"/>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其他资金</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continue"/>
          </w:tcPr>
          <w:p>
            <w:pPr>
              <w:rPr>
                <w:rFonts w:hint="eastAsia" w:ascii="方正仿宋简体" w:hAnsi="方正仿宋简体" w:eastAsia="方正仿宋简体" w:cs="方正仿宋简体"/>
                <w:b w:val="0"/>
                <w:bCs w:val="0"/>
                <w:kern w:val="2"/>
                <w:sz w:val="21"/>
                <w:szCs w:val="21"/>
                <w:lang w:val="en-US" w:eastAsia="zh-CN" w:bidi="ar-SA"/>
              </w:rPr>
            </w:pPr>
          </w:p>
        </w:tc>
        <w:tc>
          <w:tcPr>
            <w:tcW w:w="11930" w:type="dxa"/>
            <w:gridSpan w:val="6"/>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预算数2.55万元。其中：财政资金2.55万元，其他资金0万元。主要用于：做好安可应用替代工作，加强安全保密管理，完成替代任务。</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restart"/>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资金支出计划（%）</w:t>
            </w:r>
          </w:p>
        </w:tc>
        <w:tc>
          <w:tcPr>
            <w:tcW w:w="3696" w:type="dxa"/>
            <w:gridSpan w:val="2"/>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3月底</w:t>
            </w:r>
          </w:p>
        </w:tc>
        <w:tc>
          <w:tcPr>
            <w:tcW w:w="2750" w:type="dxa"/>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6月底</w:t>
            </w:r>
          </w:p>
        </w:tc>
        <w:tc>
          <w:tcPr>
            <w:tcW w:w="2625" w:type="dxa"/>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10月底</w:t>
            </w:r>
          </w:p>
        </w:tc>
        <w:tc>
          <w:tcPr>
            <w:tcW w:w="2859" w:type="dxa"/>
            <w:gridSpan w:val="2"/>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Merge w:val="continue"/>
          </w:tcPr>
          <w:p>
            <w:pPr>
              <w:rPr>
                <w:rFonts w:hint="eastAsia" w:ascii="方正仿宋简体" w:hAnsi="方正仿宋简体" w:eastAsia="方正仿宋简体" w:cs="方正仿宋简体"/>
                <w:b w:val="0"/>
                <w:bCs w:val="0"/>
                <w:kern w:val="2"/>
                <w:sz w:val="21"/>
                <w:szCs w:val="21"/>
                <w:lang w:val="en-US" w:eastAsia="zh-CN" w:bidi="ar-SA"/>
              </w:rPr>
            </w:pPr>
          </w:p>
        </w:tc>
        <w:tc>
          <w:tcPr>
            <w:tcW w:w="3696" w:type="dxa"/>
            <w:gridSpan w:val="2"/>
            <w:vAlign w:val="center"/>
          </w:tcPr>
          <w:p>
            <w:pPr>
              <w:pStyle w:val="24"/>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30%</w:t>
            </w:r>
          </w:p>
        </w:tc>
        <w:tc>
          <w:tcPr>
            <w:tcW w:w="2750" w:type="dxa"/>
            <w:vAlign w:val="center"/>
          </w:tcPr>
          <w:p>
            <w:pPr>
              <w:pStyle w:val="24"/>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60%</w:t>
            </w:r>
          </w:p>
        </w:tc>
        <w:tc>
          <w:tcPr>
            <w:tcW w:w="2625" w:type="dxa"/>
            <w:vAlign w:val="center"/>
          </w:tcPr>
          <w:p>
            <w:pPr>
              <w:pStyle w:val="24"/>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90%</w:t>
            </w:r>
          </w:p>
        </w:tc>
        <w:tc>
          <w:tcPr>
            <w:tcW w:w="2859" w:type="dxa"/>
            <w:gridSpan w:val="2"/>
            <w:vAlign w:val="center"/>
          </w:tcPr>
          <w:p>
            <w:pPr>
              <w:pStyle w:val="24"/>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2" w:type="dxa"/>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绩效目标</w:t>
            </w:r>
          </w:p>
        </w:tc>
        <w:tc>
          <w:tcPr>
            <w:tcW w:w="11930" w:type="dxa"/>
            <w:gridSpan w:val="6"/>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1.做好安可应用替代工作，加强安全保密管理，完成替代工作。</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3"/>
              <w:rPr>
                <w:rFonts w:hint="eastAsia" w:ascii="方正仿宋简体" w:hAnsi="方正仿宋简体" w:eastAsia="方正仿宋简体" w:cs="方正仿宋简体"/>
                <w:b w:val="0"/>
                <w:bCs w:val="0"/>
                <w:kern w:val="2"/>
                <w:sz w:val="21"/>
                <w:szCs w:val="21"/>
                <w:lang w:val="en-US" w:eastAsia="zh-CN" w:bidi="ar-SA"/>
              </w:rPr>
            </w:pPr>
          </w:p>
        </w:tc>
      </w:tr>
    </w:tbl>
    <w:p>
      <w:pPr>
        <w:spacing w:before="0" w:after="0" w:line="2" w:lineRule="exact"/>
        <w:ind w:firstLine="0"/>
        <w:jc w:val="center"/>
        <w:outlineLvl w:val="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1"/>
        <w:gridCol w:w="2393"/>
        <w:gridCol w:w="4053"/>
        <w:gridCol w:w="2829"/>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11" w:type="dxa"/>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一级指标</w:t>
            </w:r>
          </w:p>
        </w:tc>
        <w:tc>
          <w:tcPr>
            <w:tcW w:w="2393" w:type="dxa"/>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二级指标</w:t>
            </w:r>
          </w:p>
        </w:tc>
        <w:tc>
          <w:tcPr>
            <w:tcW w:w="4053" w:type="dxa"/>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三级指标</w:t>
            </w:r>
          </w:p>
        </w:tc>
        <w:tc>
          <w:tcPr>
            <w:tcW w:w="2829" w:type="dxa"/>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绩效指标描述</w:t>
            </w:r>
          </w:p>
        </w:tc>
        <w:tc>
          <w:tcPr>
            <w:tcW w:w="1327" w:type="dxa"/>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w:t>
            </w:r>
          </w:p>
        </w:tc>
        <w:tc>
          <w:tcPr>
            <w:tcW w:w="1327" w:type="dxa"/>
            <w:vAlign w:val="center"/>
          </w:tcPr>
          <w:p>
            <w:pPr>
              <w:pStyle w:val="22"/>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restart"/>
            <w:vAlign w:val="center"/>
          </w:tcPr>
          <w:p>
            <w:pPr>
              <w:pStyle w:val="24"/>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产出指标</w:t>
            </w:r>
          </w:p>
        </w:tc>
        <w:tc>
          <w:tcPr>
            <w:tcW w:w="239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数量指标</w:t>
            </w:r>
          </w:p>
        </w:tc>
        <w:tc>
          <w:tcPr>
            <w:tcW w:w="405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购置数量</w:t>
            </w:r>
          </w:p>
        </w:tc>
        <w:tc>
          <w:tcPr>
            <w:tcW w:w="282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安可计算机购置数量</w:t>
            </w:r>
          </w:p>
        </w:tc>
        <w:tc>
          <w:tcPr>
            <w:tcW w:w="1327"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3台</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质量指标</w:t>
            </w:r>
          </w:p>
        </w:tc>
        <w:tc>
          <w:tcPr>
            <w:tcW w:w="405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产品质量</w:t>
            </w:r>
          </w:p>
        </w:tc>
        <w:tc>
          <w:tcPr>
            <w:tcW w:w="282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购买计算机质量情况</w:t>
            </w:r>
          </w:p>
        </w:tc>
        <w:tc>
          <w:tcPr>
            <w:tcW w:w="1327"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时效指标</w:t>
            </w:r>
          </w:p>
        </w:tc>
        <w:tc>
          <w:tcPr>
            <w:tcW w:w="405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任务完成及时率</w:t>
            </w:r>
          </w:p>
        </w:tc>
        <w:tc>
          <w:tcPr>
            <w:tcW w:w="282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购置计算机任务完成及时率</w:t>
            </w:r>
          </w:p>
        </w:tc>
        <w:tc>
          <w:tcPr>
            <w:tcW w:w="1327"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成本指标</w:t>
            </w:r>
          </w:p>
        </w:tc>
        <w:tc>
          <w:tcPr>
            <w:tcW w:w="405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设备购置成本</w:t>
            </w:r>
          </w:p>
        </w:tc>
        <w:tc>
          <w:tcPr>
            <w:tcW w:w="282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计算机设备购置成本</w:t>
            </w:r>
          </w:p>
        </w:tc>
        <w:tc>
          <w:tcPr>
            <w:tcW w:w="1327"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≥98%</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restart"/>
            <w:vAlign w:val="center"/>
          </w:tcPr>
          <w:p>
            <w:pPr>
              <w:pStyle w:val="24"/>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效益指标</w:t>
            </w:r>
          </w:p>
        </w:tc>
        <w:tc>
          <w:tcPr>
            <w:tcW w:w="239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经济效益指标</w:t>
            </w:r>
          </w:p>
        </w:tc>
        <w:tc>
          <w:tcPr>
            <w:tcW w:w="405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提高效率</w:t>
            </w:r>
          </w:p>
        </w:tc>
        <w:tc>
          <w:tcPr>
            <w:tcW w:w="282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提高单位工作效率</w:t>
            </w:r>
          </w:p>
        </w:tc>
        <w:tc>
          <w:tcPr>
            <w:tcW w:w="1327"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社会效益指标</w:t>
            </w:r>
          </w:p>
        </w:tc>
        <w:tc>
          <w:tcPr>
            <w:tcW w:w="405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网络安全事件发生率</w:t>
            </w:r>
          </w:p>
        </w:tc>
        <w:tc>
          <w:tcPr>
            <w:tcW w:w="282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降低网络安全事件发生率</w:t>
            </w:r>
          </w:p>
        </w:tc>
        <w:tc>
          <w:tcPr>
            <w:tcW w:w="1327"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生态效益指标</w:t>
            </w:r>
          </w:p>
        </w:tc>
        <w:tc>
          <w:tcPr>
            <w:tcW w:w="405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促进生态文明建设，推动绿色发展</w:t>
            </w:r>
          </w:p>
        </w:tc>
        <w:tc>
          <w:tcPr>
            <w:tcW w:w="282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促进生态文明建设，推动绿色发展和绿色生活方式</w:t>
            </w:r>
          </w:p>
        </w:tc>
        <w:tc>
          <w:tcPr>
            <w:tcW w:w="1327"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Merge w:val="continue"/>
            <w:vAlign w:val="center"/>
          </w:tcPr>
          <w:p>
            <w:pPr>
              <w:rPr>
                <w:rFonts w:hint="eastAsia" w:ascii="方正仿宋简体" w:hAnsi="方正仿宋简体" w:eastAsia="方正仿宋简体" w:cs="方正仿宋简体"/>
                <w:b w:val="0"/>
                <w:bCs w:val="0"/>
                <w:kern w:val="2"/>
                <w:sz w:val="21"/>
                <w:szCs w:val="21"/>
                <w:lang w:val="en-US" w:eastAsia="zh-CN" w:bidi="ar-SA"/>
              </w:rPr>
            </w:pPr>
          </w:p>
        </w:tc>
        <w:tc>
          <w:tcPr>
            <w:tcW w:w="239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可持续影响指标</w:t>
            </w:r>
          </w:p>
        </w:tc>
        <w:tc>
          <w:tcPr>
            <w:tcW w:w="405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正常运转指标</w:t>
            </w:r>
          </w:p>
        </w:tc>
        <w:tc>
          <w:tcPr>
            <w:tcW w:w="282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保障单位事务正常运转</w:t>
            </w:r>
          </w:p>
        </w:tc>
        <w:tc>
          <w:tcPr>
            <w:tcW w:w="1327"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Align w:val="center"/>
          </w:tcPr>
          <w:p>
            <w:pPr>
              <w:pStyle w:val="24"/>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满意度指标</w:t>
            </w:r>
          </w:p>
        </w:tc>
        <w:tc>
          <w:tcPr>
            <w:tcW w:w="239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服务对象满意度指标</w:t>
            </w:r>
          </w:p>
        </w:tc>
        <w:tc>
          <w:tcPr>
            <w:tcW w:w="4053"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w:t>
            </w:r>
          </w:p>
        </w:tc>
        <w:tc>
          <w:tcPr>
            <w:tcW w:w="2829"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使办事群众服务对象满意度</w:t>
            </w:r>
          </w:p>
        </w:tc>
        <w:tc>
          <w:tcPr>
            <w:tcW w:w="1327"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1327"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机密文件</w:t>
            </w:r>
          </w:p>
        </w:tc>
      </w:tr>
    </w:tbl>
    <w:p>
      <w:pPr>
        <w:spacing w:before="0" w:after="0" w:line="2" w:lineRule="exact"/>
        <w:ind w:firstLine="0"/>
        <w:jc w:val="center"/>
        <w:outlineLvl w:val="9"/>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p>
      <w:pPr>
        <w:rPr>
          <w:rFonts w:hint="eastAsia" w:ascii="方正仿宋简体" w:hAnsi="方正仿宋简体" w:eastAsia="方正仿宋简体" w:cs="方正仿宋简体"/>
          <w:b w:val="0"/>
          <w:bCs w:val="0"/>
          <w:kern w:val="2"/>
          <w:sz w:val="21"/>
          <w:szCs w:val="21"/>
          <w:lang w:val="en-US" w:eastAsia="zh-CN" w:bidi="ar-SA"/>
        </w:rPr>
        <w:sectPr>
          <w:footerReference r:id="rId9" w:type="default"/>
          <w:footerReference r:id="rId10" w:type="even"/>
          <w:pgSz w:w="16840" w:h="11900" w:orient="landscape"/>
          <w:pgMar w:top="1361" w:right="1020" w:bottom="1134" w:left="1020" w:header="720" w:footer="720" w:gutter="0"/>
          <w:pgNumType w:fmt="decimal"/>
          <w:cols w:space="720" w:num="1"/>
        </w:sectPr>
      </w:pPr>
    </w:p>
    <w:p>
      <w:pPr>
        <w:widowControl w:val="0"/>
        <w:spacing w:before="0" w:after="0"/>
        <w:ind w:firstLine="560"/>
        <w:jc w:val="left"/>
        <w:outlineLvl w:val="3"/>
        <w:rPr>
          <w:rFonts w:hint="eastAsia" w:ascii="方正仿宋简体" w:hAnsi="方正仿宋简体" w:eastAsia="方正仿宋简体" w:cs="方正仿宋简体"/>
          <w:color w:val="000000"/>
          <w:kern w:val="2"/>
          <w:sz w:val="30"/>
          <w:szCs w:val="30"/>
          <w:lang w:eastAsia="zh-CN"/>
        </w:rPr>
      </w:pPr>
      <w:r>
        <w:rPr>
          <w:rFonts w:hint="eastAsia" w:ascii="方正仿宋简体" w:hAnsi="方正仿宋简体" w:eastAsia="方正仿宋简体" w:cs="方正仿宋简体"/>
          <w:color w:val="000000"/>
          <w:kern w:val="2"/>
          <w:sz w:val="30"/>
          <w:szCs w:val="30"/>
          <w:lang w:eastAsia="zh-CN"/>
        </w:rPr>
        <w:t>2、社会事务管理绩效目标表</w:t>
      </w:r>
    </w:p>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2"/>
        <w:gridCol w:w="2256"/>
        <w:gridCol w:w="1160"/>
        <w:gridCol w:w="2857"/>
        <w:gridCol w:w="2625"/>
        <w:gridCol w:w="1570"/>
        <w:gridCol w:w="138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20"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sz w:val="21"/>
                <w:szCs w:val="21"/>
              </w:rPr>
              <w:t>652遵化市建明镇人民政府</w:t>
            </w:r>
          </w:p>
        </w:tc>
        <w:tc>
          <w:tcPr>
            <w:tcW w:w="1381" w:type="dxa"/>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2"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项目编码</w:t>
            </w:r>
          </w:p>
        </w:tc>
        <w:tc>
          <w:tcPr>
            <w:tcW w:w="3416" w:type="dxa"/>
            <w:gridSpan w:val="2"/>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sz w:val="21"/>
                <w:szCs w:val="21"/>
              </w:rPr>
              <w:t>13028123P000024100049</w:t>
            </w:r>
          </w:p>
        </w:tc>
        <w:tc>
          <w:tcPr>
            <w:tcW w:w="2857"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项目名称</w:t>
            </w:r>
          </w:p>
        </w:tc>
        <w:tc>
          <w:tcPr>
            <w:tcW w:w="5576" w:type="dxa"/>
            <w:gridSpan w:val="3"/>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2"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预算规模及资金用途</w:t>
            </w:r>
          </w:p>
        </w:tc>
        <w:tc>
          <w:tcPr>
            <w:tcW w:w="2256"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w:t>
            </w:r>
          </w:p>
        </w:tc>
        <w:tc>
          <w:tcPr>
            <w:tcW w:w="1160"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54.00</w:t>
            </w:r>
          </w:p>
        </w:tc>
        <w:tc>
          <w:tcPr>
            <w:tcW w:w="2857"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其中：财政资金</w:t>
            </w:r>
          </w:p>
        </w:tc>
        <w:tc>
          <w:tcPr>
            <w:tcW w:w="2625"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54.00</w:t>
            </w:r>
          </w:p>
        </w:tc>
        <w:tc>
          <w:tcPr>
            <w:tcW w:w="1570"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其他资金</w:t>
            </w:r>
          </w:p>
        </w:tc>
        <w:tc>
          <w:tcPr>
            <w:tcW w:w="138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7" w:hRule="atLeast"/>
          <w:jc w:val="center"/>
        </w:trPr>
        <w:tc>
          <w:tcPr>
            <w:tcW w:w="2552" w:type="dxa"/>
            <w:vMerge w:val="continue"/>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11849" w:type="dxa"/>
            <w:gridSpan w:val="6"/>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预算数54万元，其中：财政资金54万元，其他资金0万元。主要用于：保障我镇各项工作顺利开展，促进全镇经济稳定发展。</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0"/>
              <w:rPr>
                <w:rFonts w:hint="eastAsia" w:ascii="方正仿宋简体" w:hAnsi="方正仿宋简体" w:eastAsia="方正仿宋简体" w:cs="方正仿宋简体"/>
                <w:b w:val="0"/>
                <w:bCs w:val="0"/>
                <w:kern w:val="2"/>
                <w:sz w:val="21"/>
                <w:szCs w:val="21"/>
                <w:lang w:val="en-US" w:eastAsia="zh-CN"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2"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资金支出计划（%）</w:t>
            </w:r>
          </w:p>
        </w:tc>
        <w:tc>
          <w:tcPr>
            <w:tcW w:w="3416" w:type="dxa"/>
            <w:gridSpan w:val="2"/>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3月底</w:t>
            </w:r>
          </w:p>
        </w:tc>
        <w:tc>
          <w:tcPr>
            <w:tcW w:w="2857"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6月底</w:t>
            </w:r>
          </w:p>
        </w:tc>
        <w:tc>
          <w:tcPr>
            <w:tcW w:w="2625"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10月底</w:t>
            </w:r>
          </w:p>
        </w:tc>
        <w:tc>
          <w:tcPr>
            <w:tcW w:w="2951" w:type="dxa"/>
            <w:gridSpan w:val="2"/>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2" w:type="dxa"/>
            <w:vMerge w:val="continue"/>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3416" w:type="dxa"/>
            <w:gridSpan w:val="2"/>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30%</w:t>
            </w:r>
          </w:p>
        </w:tc>
        <w:tc>
          <w:tcPr>
            <w:tcW w:w="2857"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60%</w:t>
            </w:r>
          </w:p>
        </w:tc>
        <w:tc>
          <w:tcPr>
            <w:tcW w:w="2625"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90%</w:t>
            </w:r>
          </w:p>
        </w:tc>
        <w:tc>
          <w:tcPr>
            <w:tcW w:w="2951" w:type="dxa"/>
            <w:gridSpan w:val="2"/>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2552"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绩效目标</w:t>
            </w:r>
          </w:p>
        </w:tc>
        <w:tc>
          <w:tcPr>
            <w:tcW w:w="11849" w:type="dxa"/>
            <w:gridSpan w:val="6"/>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1.保障我镇各项工作顺利开展，促进全镇经济稳定发展。</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0"/>
              <w:rPr>
                <w:rFonts w:hint="eastAsia" w:ascii="方正仿宋简体" w:hAnsi="方正仿宋简体" w:eastAsia="方正仿宋简体" w:cs="方正仿宋简体"/>
                <w:b w:val="0"/>
                <w:bCs w:val="0"/>
                <w:kern w:val="2"/>
                <w:sz w:val="21"/>
                <w:szCs w:val="21"/>
                <w:lang w:val="en-US" w:eastAsia="zh-CN" w:bidi="ar-SA"/>
              </w:rPr>
            </w:pP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49"/>
        <w:gridCol w:w="2311"/>
        <w:gridCol w:w="3618"/>
        <w:gridCol w:w="2600"/>
        <w:gridCol w:w="1021"/>
        <w:gridCol w:w="22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tblHeader/>
          <w:jc w:val="center"/>
        </w:trPr>
        <w:tc>
          <w:tcPr>
            <w:tcW w:w="2549"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一级指标</w:t>
            </w:r>
          </w:p>
        </w:tc>
        <w:tc>
          <w:tcPr>
            <w:tcW w:w="231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二级指标</w:t>
            </w:r>
          </w:p>
        </w:tc>
        <w:tc>
          <w:tcPr>
            <w:tcW w:w="3618"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三级指标</w:t>
            </w:r>
          </w:p>
        </w:tc>
        <w:tc>
          <w:tcPr>
            <w:tcW w:w="2600"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绩效指标描述</w:t>
            </w:r>
          </w:p>
        </w:tc>
        <w:tc>
          <w:tcPr>
            <w:tcW w:w="102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w:t>
            </w:r>
          </w:p>
        </w:tc>
        <w:tc>
          <w:tcPr>
            <w:tcW w:w="2298"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产出指标</w:t>
            </w:r>
          </w:p>
        </w:tc>
        <w:tc>
          <w:tcPr>
            <w:tcW w:w="231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数量指标</w:t>
            </w:r>
          </w:p>
        </w:tc>
        <w:tc>
          <w:tcPr>
            <w:tcW w:w="3618"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村人居环境整治个数</w:t>
            </w:r>
          </w:p>
        </w:tc>
        <w:tc>
          <w:tcPr>
            <w:tcW w:w="2600"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辖区33个村</w:t>
            </w:r>
          </w:p>
        </w:tc>
        <w:tc>
          <w:tcPr>
            <w:tcW w:w="1021"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33个</w:t>
            </w:r>
          </w:p>
        </w:tc>
        <w:tc>
          <w:tcPr>
            <w:tcW w:w="2298"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质量指标</w:t>
            </w:r>
          </w:p>
        </w:tc>
        <w:tc>
          <w:tcPr>
            <w:tcW w:w="3618"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提高环境卫生状况</w:t>
            </w:r>
          </w:p>
        </w:tc>
        <w:tc>
          <w:tcPr>
            <w:tcW w:w="2600"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环境卫生质量得到提升</w:t>
            </w:r>
          </w:p>
        </w:tc>
        <w:tc>
          <w:tcPr>
            <w:tcW w:w="1021"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时效指标</w:t>
            </w:r>
          </w:p>
        </w:tc>
        <w:tc>
          <w:tcPr>
            <w:tcW w:w="3618"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设施正常使用率</w:t>
            </w:r>
          </w:p>
        </w:tc>
        <w:tc>
          <w:tcPr>
            <w:tcW w:w="2600"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垃圾桶正常使用</w:t>
            </w:r>
          </w:p>
        </w:tc>
        <w:tc>
          <w:tcPr>
            <w:tcW w:w="1021"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成本指标</w:t>
            </w:r>
          </w:p>
        </w:tc>
        <w:tc>
          <w:tcPr>
            <w:tcW w:w="3618"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资金成本</w:t>
            </w:r>
          </w:p>
        </w:tc>
        <w:tc>
          <w:tcPr>
            <w:tcW w:w="2600"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资金成本</w:t>
            </w:r>
          </w:p>
        </w:tc>
        <w:tc>
          <w:tcPr>
            <w:tcW w:w="1021"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≥98%</w:t>
            </w:r>
          </w:p>
        </w:tc>
        <w:tc>
          <w:tcPr>
            <w:tcW w:w="2298"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效益指标</w:t>
            </w:r>
          </w:p>
        </w:tc>
        <w:tc>
          <w:tcPr>
            <w:tcW w:w="231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经济效益指标</w:t>
            </w:r>
          </w:p>
        </w:tc>
        <w:tc>
          <w:tcPr>
            <w:tcW w:w="3618"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加强招商引资</w:t>
            </w:r>
          </w:p>
        </w:tc>
        <w:tc>
          <w:tcPr>
            <w:tcW w:w="2600"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带动经济发展</w:t>
            </w:r>
          </w:p>
        </w:tc>
        <w:tc>
          <w:tcPr>
            <w:tcW w:w="1021"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社会效益指标</w:t>
            </w:r>
          </w:p>
        </w:tc>
        <w:tc>
          <w:tcPr>
            <w:tcW w:w="3618"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抓好疫情防控工作</w:t>
            </w:r>
          </w:p>
        </w:tc>
        <w:tc>
          <w:tcPr>
            <w:tcW w:w="2600"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垃圾收集及运输</w:t>
            </w:r>
          </w:p>
        </w:tc>
        <w:tc>
          <w:tcPr>
            <w:tcW w:w="1021"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生态效益指标</w:t>
            </w:r>
          </w:p>
        </w:tc>
        <w:tc>
          <w:tcPr>
            <w:tcW w:w="3618"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生态环境质量改善</w:t>
            </w:r>
          </w:p>
        </w:tc>
        <w:tc>
          <w:tcPr>
            <w:tcW w:w="2600"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生态环境质量改善</w:t>
            </w:r>
          </w:p>
        </w:tc>
        <w:tc>
          <w:tcPr>
            <w:tcW w:w="1021"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549" w:type="dxa"/>
            <w:vMerge w:val="continue"/>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231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可持续影响指标</w:t>
            </w:r>
          </w:p>
        </w:tc>
        <w:tc>
          <w:tcPr>
            <w:tcW w:w="3618"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人居环境整体水平</w:t>
            </w:r>
          </w:p>
        </w:tc>
        <w:tc>
          <w:tcPr>
            <w:tcW w:w="2600"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人居生活环境得到改善</w:t>
            </w:r>
          </w:p>
        </w:tc>
        <w:tc>
          <w:tcPr>
            <w:tcW w:w="1021"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2549"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满意度指标</w:t>
            </w:r>
          </w:p>
        </w:tc>
        <w:tc>
          <w:tcPr>
            <w:tcW w:w="231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服务对象满意度指标</w:t>
            </w:r>
          </w:p>
        </w:tc>
        <w:tc>
          <w:tcPr>
            <w:tcW w:w="3618"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w:t>
            </w:r>
          </w:p>
        </w:tc>
        <w:tc>
          <w:tcPr>
            <w:tcW w:w="2600"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服务对象满意度提升</w:t>
            </w:r>
          </w:p>
        </w:tc>
        <w:tc>
          <w:tcPr>
            <w:tcW w:w="1021"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298"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依据乡镇体制文件</w:t>
            </w:r>
          </w:p>
        </w:tc>
      </w:tr>
    </w:tbl>
    <w:p>
      <w:pPr>
        <w:rPr>
          <w:rFonts w:hint="eastAsia" w:ascii="方正仿宋简体" w:hAnsi="方正仿宋简体" w:eastAsia="方正仿宋简体" w:cs="方正仿宋简体"/>
          <w:sz w:val="21"/>
          <w:szCs w:val="21"/>
        </w:rPr>
        <w:sectPr>
          <w:pgSz w:w="16840" w:h="11900" w:orient="landscape"/>
          <w:pgMar w:top="1361" w:right="1020" w:bottom="1134" w:left="1020" w:header="720" w:footer="720" w:gutter="0"/>
          <w:pgNumType w:fmt="decimal"/>
          <w:cols w:space="720" w:num="1"/>
        </w:sectPr>
      </w:pPr>
    </w:p>
    <w:p>
      <w:pPr>
        <w:widowControl w:val="0"/>
        <w:spacing w:before="0" w:after="0"/>
        <w:ind w:firstLine="560"/>
        <w:jc w:val="left"/>
        <w:outlineLvl w:val="3"/>
        <w:rPr>
          <w:rFonts w:hint="eastAsia" w:ascii="方正仿宋简体" w:hAnsi="方正仿宋简体" w:eastAsia="方正仿宋简体" w:cs="方正仿宋简体"/>
          <w:color w:val="000000"/>
          <w:kern w:val="2"/>
          <w:sz w:val="30"/>
          <w:szCs w:val="30"/>
          <w:lang w:eastAsia="zh-CN"/>
        </w:rPr>
      </w:pPr>
      <w:r>
        <w:rPr>
          <w:rFonts w:hint="eastAsia" w:ascii="方正仿宋简体" w:hAnsi="方正仿宋简体" w:eastAsia="方正仿宋简体" w:cs="方正仿宋简体"/>
          <w:color w:val="000000"/>
          <w:kern w:val="2"/>
          <w:sz w:val="30"/>
          <w:szCs w:val="30"/>
          <w:lang w:eastAsia="zh-CN"/>
        </w:rPr>
        <w:t>3、乡镇服务群众经费绩效目标表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41"/>
        <w:gridCol w:w="2357"/>
        <w:gridCol w:w="1215"/>
        <w:gridCol w:w="2821"/>
        <w:gridCol w:w="2875"/>
        <w:gridCol w:w="1521"/>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030" w:type="dxa"/>
            <w:gridSpan w:val="6"/>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sz w:val="21"/>
                <w:szCs w:val="21"/>
              </w:rPr>
              <w:t>652遵化市建明镇人民政府</w:t>
            </w:r>
          </w:p>
        </w:tc>
        <w:tc>
          <w:tcPr>
            <w:tcW w:w="1327" w:type="dxa"/>
            <w:tcBorders>
              <w:top w:val="single" w:color="FFFFFF" w:sz="6" w:space="0"/>
              <w:left w:val="single" w:color="FFFFFF" w:sz="6" w:space="0"/>
              <w:right w:val="single" w:color="FFFFFF" w:sz="6" w:space="0"/>
            </w:tcBorders>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项目编码</w:t>
            </w:r>
          </w:p>
        </w:tc>
        <w:tc>
          <w:tcPr>
            <w:tcW w:w="3572" w:type="dxa"/>
            <w:gridSpan w:val="2"/>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sz w:val="21"/>
                <w:szCs w:val="21"/>
              </w:rPr>
              <w:t>13028123P00002210004</w:t>
            </w:r>
          </w:p>
        </w:tc>
        <w:tc>
          <w:tcPr>
            <w:tcW w:w="282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项目名称</w:t>
            </w:r>
          </w:p>
        </w:tc>
        <w:tc>
          <w:tcPr>
            <w:tcW w:w="5723" w:type="dxa"/>
            <w:gridSpan w:val="3"/>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乡镇服务群众经费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预算规模及资金用途</w:t>
            </w:r>
          </w:p>
        </w:tc>
        <w:tc>
          <w:tcPr>
            <w:tcW w:w="2357"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w:t>
            </w:r>
          </w:p>
        </w:tc>
        <w:tc>
          <w:tcPr>
            <w:tcW w:w="1215"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165.00</w:t>
            </w:r>
          </w:p>
        </w:tc>
        <w:tc>
          <w:tcPr>
            <w:tcW w:w="282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其中：财政资金</w:t>
            </w:r>
          </w:p>
        </w:tc>
        <w:tc>
          <w:tcPr>
            <w:tcW w:w="2875"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165.00</w:t>
            </w:r>
          </w:p>
        </w:tc>
        <w:tc>
          <w:tcPr>
            <w:tcW w:w="152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其他资金</w:t>
            </w:r>
          </w:p>
        </w:tc>
        <w:tc>
          <w:tcPr>
            <w:tcW w:w="1327"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continue"/>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12116" w:type="dxa"/>
            <w:gridSpan w:val="6"/>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预算数165万元，其中：财政资金165万元，其他资金0万元。主要用于：保障各村集体环境达标，防止病毒蔓延，保障环境质量提升。</w:t>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r>
              <w:rPr>
                <w:rFonts w:hint="eastAsia" w:ascii="方正仿宋简体" w:hAnsi="方正仿宋简体" w:eastAsia="方正仿宋简体" w:cs="方正仿宋简体"/>
                <w:b w:val="0"/>
                <w:bCs w:val="0"/>
                <w:kern w:val="2"/>
                <w:sz w:val="21"/>
                <w:szCs w:val="21"/>
                <w:lang w:val="en-US" w:eastAsia="zh-CN" w:bidi="ar-SA"/>
              </w:rPr>
              <w:tab/>
            </w:r>
          </w:p>
          <w:p>
            <w:pPr>
              <w:pStyle w:val="20"/>
              <w:rPr>
                <w:rFonts w:hint="eastAsia" w:ascii="方正仿宋简体" w:hAnsi="方正仿宋简体" w:eastAsia="方正仿宋简体" w:cs="方正仿宋简体"/>
                <w:b w:val="0"/>
                <w:bCs w:val="0"/>
                <w:kern w:val="2"/>
                <w:sz w:val="21"/>
                <w:szCs w:val="21"/>
                <w:lang w:val="en-US" w:eastAsia="zh-CN"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资金支出计划（%）</w:t>
            </w:r>
          </w:p>
        </w:tc>
        <w:tc>
          <w:tcPr>
            <w:tcW w:w="3572" w:type="dxa"/>
            <w:gridSpan w:val="2"/>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3月底</w:t>
            </w:r>
          </w:p>
        </w:tc>
        <w:tc>
          <w:tcPr>
            <w:tcW w:w="282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6月底</w:t>
            </w:r>
          </w:p>
        </w:tc>
        <w:tc>
          <w:tcPr>
            <w:tcW w:w="2875"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10月底</w:t>
            </w:r>
          </w:p>
        </w:tc>
        <w:tc>
          <w:tcPr>
            <w:tcW w:w="2848" w:type="dxa"/>
            <w:gridSpan w:val="2"/>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Merge w:val="continue"/>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3572" w:type="dxa"/>
            <w:gridSpan w:val="2"/>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30%</w:t>
            </w:r>
          </w:p>
        </w:tc>
        <w:tc>
          <w:tcPr>
            <w:tcW w:w="282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60%</w:t>
            </w:r>
          </w:p>
        </w:tc>
        <w:tc>
          <w:tcPr>
            <w:tcW w:w="2875"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90%</w:t>
            </w:r>
          </w:p>
        </w:tc>
        <w:tc>
          <w:tcPr>
            <w:tcW w:w="2848" w:type="dxa"/>
            <w:gridSpan w:val="2"/>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绩效目标</w:t>
            </w:r>
          </w:p>
        </w:tc>
        <w:tc>
          <w:tcPr>
            <w:tcW w:w="12116" w:type="dxa"/>
            <w:gridSpan w:val="6"/>
            <w:vAlign w:val="center"/>
          </w:tcPr>
          <w:p>
            <w:pPr>
              <w:pStyle w:val="23"/>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1.保障各村集体环境达标</w:t>
            </w:r>
          </w:p>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sz w:val="21"/>
                <w:szCs w:val="21"/>
              </w:rPr>
              <w:t>2.防止病毒蔓延，保障环境质量提升</w:t>
            </w: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1"/>
        <w:gridCol w:w="2361"/>
        <w:gridCol w:w="2791"/>
        <w:gridCol w:w="2916"/>
        <w:gridCol w:w="1716"/>
        <w:gridCol w:w="23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225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一级指标</w:t>
            </w:r>
          </w:p>
        </w:tc>
        <w:tc>
          <w:tcPr>
            <w:tcW w:w="236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二级指标</w:t>
            </w:r>
          </w:p>
        </w:tc>
        <w:tc>
          <w:tcPr>
            <w:tcW w:w="279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三级指标</w:t>
            </w:r>
          </w:p>
        </w:tc>
        <w:tc>
          <w:tcPr>
            <w:tcW w:w="2916"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绩效指标描述</w:t>
            </w:r>
          </w:p>
        </w:tc>
        <w:tc>
          <w:tcPr>
            <w:tcW w:w="1716"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w:t>
            </w:r>
          </w:p>
        </w:tc>
        <w:tc>
          <w:tcPr>
            <w:tcW w:w="2322"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产出指标</w:t>
            </w:r>
          </w:p>
        </w:tc>
        <w:tc>
          <w:tcPr>
            <w:tcW w:w="236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数量指标</w:t>
            </w:r>
          </w:p>
        </w:tc>
        <w:tc>
          <w:tcPr>
            <w:tcW w:w="279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村人居环境整治个数</w:t>
            </w:r>
          </w:p>
        </w:tc>
        <w:tc>
          <w:tcPr>
            <w:tcW w:w="29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辖区33个村</w:t>
            </w:r>
          </w:p>
        </w:tc>
        <w:tc>
          <w:tcPr>
            <w:tcW w:w="17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33个</w:t>
            </w:r>
          </w:p>
        </w:tc>
        <w:tc>
          <w:tcPr>
            <w:tcW w:w="2322"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质量指标</w:t>
            </w:r>
          </w:p>
        </w:tc>
        <w:tc>
          <w:tcPr>
            <w:tcW w:w="279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提高环境卫生状况</w:t>
            </w:r>
          </w:p>
        </w:tc>
        <w:tc>
          <w:tcPr>
            <w:tcW w:w="29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环境卫生质量得到提升</w:t>
            </w:r>
          </w:p>
        </w:tc>
        <w:tc>
          <w:tcPr>
            <w:tcW w:w="17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时效指标</w:t>
            </w:r>
          </w:p>
        </w:tc>
        <w:tc>
          <w:tcPr>
            <w:tcW w:w="279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设施正常使用率</w:t>
            </w:r>
          </w:p>
        </w:tc>
        <w:tc>
          <w:tcPr>
            <w:tcW w:w="29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垃圾桶正常使用</w:t>
            </w:r>
          </w:p>
        </w:tc>
        <w:tc>
          <w:tcPr>
            <w:tcW w:w="17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成本指标</w:t>
            </w:r>
          </w:p>
        </w:tc>
        <w:tc>
          <w:tcPr>
            <w:tcW w:w="279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资金成本</w:t>
            </w:r>
          </w:p>
        </w:tc>
        <w:tc>
          <w:tcPr>
            <w:tcW w:w="29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资金成本</w:t>
            </w:r>
          </w:p>
        </w:tc>
        <w:tc>
          <w:tcPr>
            <w:tcW w:w="17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≥98%</w:t>
            </w:r>
          </w:p>
        </w:tc>
        <w:tc>
          <w:tcPr>
            <w:tcW w:w="2322"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restart"/>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效益指标</w:t>
            </w:r>
          </w:p>
        </w:tc>
        <w:tc>
          <w:tcPr>
            <w:tcW w:w="236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经济效益指标</w:t>
            </w:r>
          </w:p>
        </w:tc>
        <w:tc>
          <w:tcPr>
            <w:tcW w:w="279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经济影响力</w:t>
            </w:r>
          </w:p>
        </w:tc>
        <w:tc>
          <w:tcPr>
            <w:tcW w:w="29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带动经济发展</w:t>
            </w:r>
          </w:p>
        </w:tc>
        <w:tc>
          <w:tcPr>
            <w:tcW w:w="17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社会效益指标</w:t>
            </w:r>
          </w:p>
        </w:tc>
        <w:tc>
          <w:tcPr>
            <w:tcW w:w="279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生活垃圾处理</w:t>
            </w:r>
          </w:p>
        </w:tc>
        <w:tc>
          <w:tcPr>
            <w:tcW w:w="29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垃圾收集及运输</w:t>
            </w:r>
          </w:p>
        </w:tc>
        <w:tc>
          <w:tcPr>
            <w:tcW w:w="17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生态效益指标</w:t>
            </w:r>
          </w:p>
        </w:tc>
        <w:tc>
          <w:tcPr>
            <w:tcW w:w="279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生态环境质量改善</w:t>
            </w:r>
          </w:p>
        </w:tc>
        <w:tc>
          <w:tcPr>
            <w:tcW w:w="29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生态环境质量改善</w:t>
            </w:r>
          </w:p>
        </w:tc>
        <w:tc>
          <w:tcPr>
            <w:tcW w:w="17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2251" w:type="dxa"/>
            <w:vMerge w:val="continue"/>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p>
        </w:tc>
        <w:tc>
          <w:tcPr>
            <w:tcW w:w="236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可持续影响指标</w:t>
            </w:r>
          </w:p>
        </w:tc>
        <w:tc>
          <w:tcPr>
            <w:tcW w:w="279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人居环境整体水平</w:t>
            </w:r>
          </w:p>
        </w:tc>
        <w:tc>
          <w:tcPr>
            <w:tcW w:w="29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人居生活环境得到改善</w:t>
            </w:r>
          </w:p>
        </w:tc>
        <w:tc>
          <w:tcPr>
            <w:tcW w:w="17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225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满意度指标</w:t>
            </w:r>
          </w:p>
        </w:tc>
        <w:tc>
          <w:tcPr>
            <w:tcW w:w="236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服务对象满意度指标</w:t>
            </w:r>
          </w:p>
        </w:tc>
        <w:tc>
          <w:tcPr>
            <w:tcW w:w="2791"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服务对象满意度</w:t>
            </w:r>
          </w:p>
        </w:tc>
        <w:tc>
          <w:tcPr>
            <w:tcW w:w="29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服务对象满意度提升</w:t>
            </w:r>
          </w:p>
        </w:tc>
        <w:tc>
          <w:tcPr>
            <w:tcW w:w="1716" w:type="dxa"/>
            <w:vAlign w:val="center"/>
          </w:tcPr>
          <w:p>
            <w:pPr>
              <w:pStyle w:val="23"/>
              <w:ind w:firstLine="0" w:firstLineChars="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≥95%</w:t>
            </w:r>
          </w:p>
        </w:tc>
        <w:tc>
          <w:tcPr>
            <w:tcW w:w="2322" w:type="dxa"/>
            <w:vAlign w:val="center"/>
          </w:tcPr>
          <w:p>
            <w:pPr>
              <w:pStyle w:val="20"/>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招投标服务合同</w:t>
            </w: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p>
      <w:pPr>
        <w:rPr>
          <w:rFonts w:hint="eastAsia" w:ascii="方正仿宋简体" w:hAnsi="方正仿宋简体" w:eastAsia="方正仿宋简体" w:cs="方正仿宋简体"/>
          <w:sz w:val="21"/>
          <w:szCs w:val="21"/>
        </w:rPr>
        <w:sectPr>
          <w:footerReference r:id="rId11" w:type="default"/>
          <w:pgSz w:w="16840" w:h="11900" w:orient="landscape"/>
          <w:pgMar w:top="1361" w:right="1020" w:bottom="1134" w:left="1020" w:header="720" w:footer="720" w:gutter="0"/>
          <w:pgNumType w:fmt="decimal"/>
          <w:cols w:space="720" w:num="1"/>
        </w:sect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rPr>
        <w:t>六、政府采购预算情况</w:t>
      </w:r>
      <w:bookmarkEnd w:id="6"/>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黑体" w:hAnsi="黑体" w:eastAsia="黑体" w:cs="黑体"/>
          <w:color w:val="000000"/>
          <w:sz w:val="32"/>
          <w:szCs w:val="32"/>
        </w:rPr>
      </w:pPr>
      <w:r>
        <w:rPr>
          <w:rFonts w:hint="eastAsia" w:ascii="方正仿宋简体" w:hAnsi="方正仿宋简体" w:eastAsia="方正仿宋简体" w:cs="方正仿宋简体"/>
          <w:sz w:val="32"/>
          <w:szCs w:val="32"/>
          <w:lang w:val="en-US" w:eastAsia="uk-UA" w:bidi="ar-SA"/>
        </w:rPr>
        <w:t>2023年，遵化市建明镇人民政府安排政府采购预算2.55万元。具体内容见下表。</w:t>
      </w:r>
    </w:p>
    <w:p>
      <w:pPr>
        <w:widowControl/>
        <w:spacing w:line="570" w:lineRule="exact"/>
        <w:ind w:firstLine="560"/>
        <w:jc w:val="center"/>
        <w:rPr>
          <w:rFonts w:hint="eastAsia" w:ascii="宋体" w:hAnsi="宋体" w:eastAsia="方正仿宋简体" w:cs="Times New Roman"/>
          <w:color w:val="000000"/>
          <w:kern w:val="0"/>
          <w:sz w:val="32"/>
          <w:szCs w:val="32"/>
          <w:lang w:eastAsia="uk-UA"/>
        </w:rPr>
      </w:pPr>
      <w:r>
        <w:rPr>
          <w:rFonts w:hint="eastAsia" w:ascii="宋体" w:hAnsi="宋体" w:eastAsia="方正仿宋简体" w:cs="Times New Roman"/>
          <w:color w:val="000000"/>
          <w:kern w:val="0"/>
          <w:sz w:val="32"/>
          <w:szCs w:val="32"/>
          <w:lang w:eastAsia="zh-CN"/>
        </w:rPr>
        <w:t>单位</w:t>
      </w:r>
      <w:r>
        <w:rPr>
          <w:rFonts w:hint="eastAsia" w:ascii="宋体" w:hAnsi="宋体" w:eastAsia="方正仿宋简体" w:cs="Times New Roman"/>
          <w:color w:val="000000"/>
          <w:kern w:val="0"/>
          <w:sz w:val="32"/>
          <w:szCs w:val="32"/>
          <w:lang w:eastAsia="uk-UA"/>
        </w:rPr>
        <w:t>政府采购预算</w:t>
      </w:r>
    </w:p>
    <w:tbl>
      <w:tblPr>
        <w:tblStyle w:val="9"/>
        <w:tblW w:w="147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5"/>
        <w:gridCol w:w="646"/>
        <w:gridCol w:w="915"/>
        <w:gridCol w:w="895"/>
        <w:gridCol w:w="724"/>
        <w:gridCol w:w="595"/>
        <w:gridCol w:w="900"/>
        <w:gridCol w:w="1037"/>
        <w:gridCol w:w="964"/>
        <w:gridCol w:w="964"/>
        <w:gridCol w:w="964"/>
        <w:gridCol w:w="872"/>
        <w:gridCol w:w="705"/>
        <w:gridCol w:w="885"/>
        <w:gridCol w:w="900"/>
        <w:gridCol w:w="10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390" w:type="dxa"/>
            <w:gridSpan w:val="7"/>
            <w:tcBorders>
              <w:top w:val="single" w:color="FFFFFF" w:sz="6" w:space="0"/>
              <w:left w:val="single" w:color="FFFFFF" w:sz="6" w:space="0"/>
              <w:right w:val="single" w:color="FFFFFF" w:sz="6" w:space="0"/>
            </w:tcBorders>
            <w:noWrap w:val="0"/>
            <w:vAlign w:val="center"/>
          </w:tcPr>
          <w:p>
            <w:pPr>
              <w:spacing w:before="0" w:after="0"/>
              <w:ind w:firstLine="0"/>
              <w:jc w:val="left"/>
              <w:outlineLvl w:val="9"/>
              <w:rPr>
                <w:rFonts w:hint="default" w:ascii="方正仿宋简体" w:hAnsi="方正仿宋简体" w:eastAsia="方正仿宋简体" w:cs="方正仿宋简体"/>
                <w:b w:val="0"/>
                <w:bCs w:val="0"/>
                <w:sz w:val="21"/>
                <w:szCs w:val="21"/>
                <w:lang w:val="en-US" w:eastAsia="zh-CN" w:bidi="ar-SA"/>
              </w:rPr>
            </w:pPr>
            <w:r>
              <w:rPr>
                <w:rFonts w:hint="eastAsia" w:ascii="方正仿宋简体" w:hAnsi="方正仿宋简体" w:eastAsia="方正仿宋简体" w:cs="方正仿宋简体"/>
                <w:b w:val="0"/>
                <w:bCs w:val="0"/>
                <w:sz w:val="21"/>
                <w:szCs w:val="21"/>
                <w:lang w:val="en-US" w:eastAsia="zh-CN"/>
              </w:rPr>
              <w:t>652遵化市建明镇人民政府</w:t>
            </w:r>
          </w:p>
        </w:tc>
        <w:tc>
          <w:tcPr>
            <w:tcW w:w="8356" w:type="dxa"/>
            <w:gridSpan w:val="9"/>
            <w:tcBorders>
              <w:top w:val="single" w:color="FFFFFF" w:sz="6" w:space="0"/>
              <w:left w:val="single" w:color="FFFFFF" w:sz="6" w:space="0"/>
              <w:right w:val="single" w:color="FFFFFF" w:sz="6" w:space="0"/>
            </w:tcBorders>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2" w:hRule="atLeast"/>
          <w:tblHeader/>
          <w:jc w:val="center"/>
        </w:trPr>
        <w:tc>
          <w:tcPr>
            <w:tcW w:w="2361" w:type="dxa"/>
            <w:gridSpan w:val="2"/>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政府采购项目来源</w:t>
            </w:r>
          </w:p>
        </w:tc>
        <w:tc>
          <w:tcPr>
            <w:tcW w:w="915" w:type="dxa"/>
            <w:vMerge w:val="restart"/>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采购物品名称</w:t>
            </w:r>
          </w:p>
        </w:tc>
        <w:tc>
          <w:tcPr>
            <w:tcW w:w="895" w:type="dxa"/>
            <w:vMerge w:val="restart"/>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政府采购目录序号</w:t>
            </w:r>
          </w:p>
        </w:tc>
        <w:tc>
          <w:tcPr>
            <w:tcW w:w="724" w:type="dxa"/>
            <w:vMerge w:val="restart"/>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计量  单位</w:t>
            </w:r>
          </w:p>
        </w:tc>
        <w:tc>
          <w:tcPr>
            <w:tcW w:w="595" w:type="dxa"/>
            <w:vMerge w:val="restart"/>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数量</w:t>
            </w:r>
          </w:p>
        </w:tc>
        <w:tc>
          <w:tcPr>
            <w:tcW w:w="900" w:type="dxa"/>
            <w:vMerge w:val="restart"/>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单价</w:t>
            </w:r>
          </w:p>
        </w:tc>
        <w:tc>
          <w:tcPr>
            <w:tcW w:w="7291" w:type="dxa"/>
            <w:gridSpan w:val="8"/>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政府采购金额（当年</w:t>
            </w:r>
            <w:r>
              <w:rPr>
                <w:rFonts w:hint="eastAsia" w:ascii="方正仿宋简体" w:hAnsi="方正仿宋简体" w:eastAsia="方正仿宋简体" w:cs="方正仿宋简体"/>
                <w:b w:val="0"/>
                <w:bCs w:val="0"/>
                <w:sz w:val="21"/>
                <w:szCs w:val="21"/>
                <w:lang w:val="en-US" w:eastAsia="zh-CN" w:bidi="ar-SA"/>
              </w:rPr>
              <w:t>单位</w:t>
            </w:r>
            <w:r>
              <w:rPr>
                <w:rFonts w:hint="eastAsia" w:ascii="方正仿宋简体" w:hAnsi="方正仿宋简体" w:eastAsia="方正仿宋简体" w:cs="方正仿宋简体"/>
                <w:b w:val="0"/>
                <w:bCs w:val="0"/>
                <w:sz w:val="21"/>
                <w:szCs w:val="21"/>
                <w:lang w:val="en-US" w:eastAsia="uk-UA" w:bidi="ar-SA"/>
              </w:rPr>
              <w:t>预算安排资金）</w:t>
            </w:r>
          </w:p>
        </w:tc>
        <w:tc>
          <w:tcPr>
            <w:tcW w:w="1065" w:type="dxa"/>
            <w:vMerge w:val="restart"/>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15"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项目名称</w:t>
            </w:r>
          </w:p>
        </w:tc>
        <w:tc>
          <w:tcPr>
            <w:tcW w:w="646"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预算    资金</w:t>
            </w:r>
          </w:p>
        </w:tc>
        <w:tc>
          <w:tcPr>
            <w:tcW w:w="915" w:type="dxa"/>
            <w:vMerge w:val="continue"/>
            <w:noWrap w:val="0"/>
            <w:vAlign w:val="top"/>
          </w:tcPr>
          <w:p>
            <w:pPr>
              <w:widowControl/>
              <w:jc w:val="left"/>
              <w:rPr>
                <w:rFonts w:hint="eastAsia" w:ascii="方正仿宋简体" w:hAnsi="方正仿宋简体" w:eastAsia="方正仿宋简体" w:cs="方正仿宋简体"/>
                <w:b w:val="0"/>
                <w:bCs w:val="0"/>
                <w:kern w:val="0"/>
                <w:sz w:val="21"/>
                <w:szCs w:val="21"/>
                <w:lang w:eastAsia="uk-UA"/>
              </w:rPr>
            </w:pPr>
          </w:p>
        </w:tc>
        <w:tc>
          <w:tcPr>
            <w:tcW w:w="895" w:type="dxa"/>
            <w:vMerge w:val="continue"/>
            <w:noWrap w:val="0"/>
            <w:vAlign w:val="top"/>
          </w:tcPr>
          <w:p>
            <w:pPr>
              <w:widowControl/>
              <w:jc w:val="left"/>
              <w:rPr>
                <w:rFonts w:hint="eastAsia" w:ascii="方正仿宋简体" w:hAnsi="方正仿宋简体" w:eastAsia="方正仿宋简体" w:cs="方正仿宋简体"/>
                <w:b w:val="0"/>
                <w:bCs w:val="0"/>
                <w:kern w:val="0"/>
                <w:sz w:val="21"/>
                <w:szCs w:val="21"/>
                <w:lang w:eastAsia="uk-UA"/>
              </w:rPr>
            </w:pPr>
          </w:p>
        </w:tc>
        <w:tc>
          <w:tcPr>
            <w:tcW w:w="724" w:type="dxa"/>
            <w:vMerge w:val="continue"/>
            <w:noWrap w:val="0"/>
            <w:vAlign w:val="top"/>
          </w:tcPr>
          <w:p>
            <w:pPr>
              <w:widowControl/>
              <w:jc w:val="left"/>
              <w:rPr>
                <w:rFonts w:hint="eastAsia" w:ascii="方正仿宋简体" w:hAnsi="方正仿宋简体" w:eastAsia="方正仿宋简体" w:cs="方正仿宋简体"/>
                <w:b w:val="0"/>
                <w:bCs w:val="0"/>
                <w:kern w:val="0"/>
                <w:sz w:val="21"/>
                <w:szCs w:val="21"/>
                <w:lang w:eastAsia="uk-UA"/>
              </w:rPr>
            </w:pPr>
          </w:p>
        </w:tc>
        <w:tc>
          <w:tcPr>
            <w:tcW w:w="595" w:type="dxa"/>
            <w:vMerge w:val="continue"/>
            <w:noWrap w:val="0"/>
            <w:vAlign w:val="top"/>
          </w:tcPr>
          <w:p>
            <w:pPr>
              <w:widowControl/>
              <w:jc w:val="left"/>
              <w:rPr>
                <w:rFonts w:hint="eastAsia" w:ascii="方正仿宋简体" w:hAnsi="方正仿宋简体" w:eastAsia="方正仿宋简体" w:cs="方正仿宋简体"/>
                <w:b w:val="0"/>
                <w:bCs w:val="0"/>
                <w:kern w:val="0"/>
                <w:sz w:val="21"/>
                <w:szCs w:val="21"/>
                <w:lang w:eastAsia="uk-UA"/>
              </w:rPr>
            </w:pPr>
          </w:p>
        </w:tc>
        <w:tc>
          <w:tcPr>
            <w:tcW w:w="900" w:type="dxa"/>
            <w:vMerge w:val="continue"/>
            <w:noWrap w:val="0"/>
            <w:vAlign w:val="top"/>
          </w:tcPr>
          <w:p>
            <w:pPr>
              <w:widowControl/>
              <w:jc w:val="left"/>
              <w:rPr>
                <w:rFonts w:hint="eastAsia" w:ascii="方正仿宋简体" w:hAnsi="方正仿宋简体" w:eastAsia="方正仿宋简体" w:cs="方正仿宋简体"/>
                <w:b w:val="0"/>
                <w:bCs w:val="0"/>
                <w:kern w:val="0"/>
                <w:sz w:val="21"/>
                <w:szCs w:val="21"/>
                <w:lang w:eastAsia="uk-UA"/>
              </w:rPr>
            </w:pPr>
          </w:p>
        </w:tc>
        <w:tc>
          <w:tcPr>
            <w:tcW w:w="1037"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合计</w:t>
            </w:r>
          </w:p>
        </w:tc>
        <w:tc>
          <w:tcPr>
            <w:tcW w:w="964"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一般公共预算拨款</w:t>
            </w:r>
          </w:p>
        </w:tc>
        <w:tc>
          <w:tcPr>
            <w:tcW w:w="964"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基金预算拨款</w:t>
            </w:r>
          </w:p>
        </w:tc>
        <w:tc>
          <w:tcPr>
            <w:tcW w:w="964"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国有资本经营预算拨款</w:t>
            </w:r>
          </w:p>
        </w:tc>
        <w:tc>
          <w:tcPr>
            <w:tcW w:w="872"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财政专户核拨</w:t>
            </w:r>
          </w:p>
        </w:tc>
        <w:tc>
          <w:tcPr>
            <w:tcW w:w="705"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单位    资金</w:t>
            </w:r>
          </w:p>
        </w:tc>
        <w:tc>
          <w:tcPr>
            <w:tcW w:w="885"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财政拨    款结转</w:t>
            </w:r>
          </w:p>
        </w:tc>
        <w:tc>
          <w:tcPr>
            <w:tcW w:w="900"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非财政    拨款结    转结余</w:t>
            </w:r>
          </w:p>
        </w:tc>
        <w:tc>
          <w:tcPr>
            <w:tcW w:w="1065" w:type="dxa"/>
            <w:vMerge w:val="continue"/>
            <w:noWrap w:val="0"/>
            <w:vAlign w:val="top"/>
          </w:tcPr>
          <w:p>
            <w:pPr>
              <w:widowControl/>
              <w:jc w:val="left"/>
              <w:rPr>
                <w:rFonts w:hint="eastAsia" w:ascii="方正仿宋简体" w:hAnsi="方正仿宋简体" w:eastAsia="方正仿宋简体" w:cs="方正仿宋简体"/>
                <w:b w:val="0"/>
                <w:bCs w:val="0"/>
                <w:kern w:val="0"/>
                <w:sz w:val="21"/>
                <w:szCs w:val="21"/>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2" w:hRule="atLeast"/>
          <w:jc w:val="center"/>
        </w:trPr>
        <w:tc>
          <w:tcPr>
            <w:tcW w:w="1715"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合  计</w:t>
            </w:r>
          </w:p>
        </w:tc>
        <w:tc>
          <w:tcPr>
            <w:tcW w:w="646" w:type="dxa"/>
            <w:noWrap w:val="0"/>
            <w:vAlign w:val="center"/>
          </w:tcPr>
          <w:p>
            <w:pPr>
              <w:spacing w:before="0" w:after="0"/>
              <w:ind w:firstLine="0" w:firstLineChars="0"/>
              <w:jc w:val="right"/>
              <w:outlineLvl w:val="9"/>
              <w:rPr>
                <w:rFonts w:hint="default" w:ascii="方正仿宋简体" w:hAnsi="方正仿宋简体" w:eastAsia="方正仿宋简体" w:cs="方正仿宋简体"/>
                <w:b w:val="0"/>
                <w:bCs w:val="0"/>
                <w:sz w:val="21"/>
                <w:szCs w:val="21"/>
                <w:lang w:val="en-US" w:eastAsia="zh-CN" w:bidi="ar-SA"/>
              </w:rPr>
            </w:pPr>
            <w:r>
              <w:rPr>
                <w:rFonts w:hint="eastAsia" w:ascii="方正仿宋简体" w:hAnsi="方正仿宋简体" w:eastAsia="方正仿宋简体" w:cs="方正仿宋简体"/>
                <w:b w:val="0"/>
                <w:bCs w:val="0"/>
                <w:sz w:val="21"/>
                <w:szCs w:val="21"/>
                <w:lang w:val="en-US" w:eastAsia="zh-CN" w:bidi="ar-SA"/>
              </w:rPr>
              <w:t>2.55</w:t>
            </w:r>
          </w:p>
        </w:tc>
        <w:tc>
          <w:tcPr>
            <w:tcW w:w="915" w:type="dxa"/>
            <w:noWrap w:val="0"/>
            <w:vAlign w:val="center"/>
          </w:tcPr>
          <w:p>
            <w:pPr>
              <w:spacing w:before="0" w:after="0"/>
              <w:ind w:firstLine="0"/>
              <w:jc w:val="left"/>
              <w:outlineLvl w:val="9"/>
              <w:rPr>
                <w:rFonts w:hint="eastAsia" w:ascii="方正仿宋简体" w:hAnsi="方正仿宋简体" w:eastAsia="方正仿宋简体" w:cs="方正仿宋简体"/>
                <w:b w:val="0"/>
                <w:bCs w:val="0"/>
                <w:sz w:val="21"/>
                <w:szCs w:val="21"/>
                <w:lang w:val="en-US" w:eastAsia="uk-UA" w:bidi="ar-SA"/>
              </w:rPr>
            </w:pPr>
          </w:p>
        </w:tc>
        <w:tc>
          <w:tcPr>
            <w:tcW w:w="895" w:type="dxa"/>
            <w:noWrap w:val="0"/>
            <w:vAlign w:val="center"/>
          </w:tcPr>
          <w:p>
            <w:pPr>
              <w:spacing w:before="0" w:after="0"/>
              <w:ind w:firstLine="0"/>
              <w:jc w:val="left"/>
              <w:outlineLvl w:val="9"/>
              <w:rPr>
                <w:rFonts w:hint="eastAsia" w:ascii="方正仿宋简体" w:hAnsi="方正仿宋简体" w:eastAsia="方正仿宋简体" w:cs="方正仿宋简体"/>
                <w:b w:val="0"/>
                <w:bCs w:val="0"/>
                <w:sz w:val="21"/>
                <w:szCs w:val="21"/>
                <w:lang w:val="en-US" w:eastAsia="uk-UA" w:bidi="ar-SA"/>
              </w:rPr>
            </w:pPr>
          </w:p>
        </w:tc>
        <w:tc>
          <w:tcPr>
            <w:tcW w:w="724"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p>
        </w:tc>
        <w:tc>
          <w:tcPr>
            <w:tcW w:w="59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900"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1037" w:type="dxa"/>
            <w:noWrap w:val="0"/>
            <w:vAlign w:val="center"/>
          </w:tcPr>
          <w:p>
            <w:pPr>
              <w:spacing w:before="0" w:after="0"/>
              <w:ind w:firstLine="0" w:firstLineChars="0"/>
              <w:jc w:val="right"/>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zh-CN" w:bidi="ar-SA"/>
              </w:rPr>
              <w:t>2.55</w:t>
            </w:r>
          </w:p>
        </w:tc>
        <w:tc>
          <w:tcPr>
            <w:tcW w:w="964" w:type="dxa"/>
            <w:noWrap w:val="0"/>
            <w:vAlign w:val="center"/>
          </w:tcPr>
          <w:p>
            <w:pPr>
              <w:spacing w:before="0" w:after="0"/>
              <w:ind w:firstLine="0" w:firstLineChars="0"/>
              <w:jc w:val="right"/>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zh-CN" w:bidi="ar-SA"/>
              </w:rPr>
              <w:t>2.55</w:t>
            </w:r>
          </w:p>
        </w:tc>
        <w:tc>
          <w:tcPr>
            <w:tcW w:w="964"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964"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872"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70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88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900"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106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15"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rPr>
              <w:t>遵化市</w:t>
            </w:r>
            <w:r>
              <w:rPr>
                <w:rFonts w:hint="eastAsia" w:ascii="方正仿宋简体" w:hAnsi="方正仿宋简体" w:eastAsia="方正仿宋简体" w:cs="方正仿宋简体"/>
                <w:b w:val="0"/>
                <w:bCs w:val="0"/>
                <w:sz w:val="21"/>
                <w:szCs w:val="21"/>
                <w:lang w:val="en-US" w:eastAsia="zh-CN"/>
              </w:rPr>
              <w:t>建明镇人民政府单位</w:t>
            </w:r>
            <w:r>
              <w:rPr>
                <w:rFonts w:hint="eastAsia" w:ascii="方正仿宋简体" w:hAnsi="方正仿宋简体" w:eastAsia="方正仿宋简体" w:cs="方正仿宋简体"/>
                <w:b w:val="0"/>
                <w:bCs w:val="0"/>
                <w:sz w:val="21"/>
                <w:szCs w:val="21"/>
                <w:lang w:val="en-US" w:eastAsia="uk-UA" w:bidi="ar-SA"/>
              </w:rPr>
              <w:t>小计</w:t>
            </w:r>
          </w:p>
        </w:tc>
        <w:tc>
          <w:tcPr>
            <w:tcW w:w="646" w:type="dxa"/>
            <w:noWrap w:val="0"/>
            <w:vAlign w:val="center"/>
          </w:tcPr>
          <w:p>
            <w:pPr>
              <w:spacing w:before="0" w:after="0"/>
              <w:ind w:firstLine="0" w:firstLineChars="0"/>
              <w:jc w:val="right"/>
              <w:outlineLvl w:val="9"/>
              <w:rPr>
                <w:rFonts w:hint="default" w:ascii="方正仿宋简体" w:hAnsi="方正仿宋简体" w:eastAsia="方正仿宋简体" w:cs="方正仿宋简体"/>
                <w:b w:val="0"/>
                <w:bCs w:val="0"/>
                <w:sz w:val="21"/>
                <w:szCs w:val="21"/>
                <w:lang w:val="en-US" w:eastAsia="zh-CN" w:bidi="ar-SA"/>
              </w:rPr>
            </w:pPr>
            <w:r>
              <w:rPr>
                <w:rFonts w:hint="eastAsia" w:ascii="方正仿宋简体" w:hAnsi="方正仿宋简体" w:eastAsia="方正仿宋简体" w:cs="方正仿宋简体"/>
                <w:b w:val="0"/>
                <w:bCs w:val="0"/>
                <w:sz w:val="21"/>
                <w:szCs w:val="21"/>
                <w:lang w:val="en-US" w:eastAsia="zh-CN" w:bidi="ar-SA"/>
              </w:rPr>
              <w:t>2.55</w:t>
            </w:r>
          </w:p>
        </w:tc>
        <w:tc>
          <w:tcPr>
            <w:tcW w:w="915" w:type="dxa"/>
            <w:noWrap w:val="0"/>
            <w:vAlign w:val="center"/>
          </w:tcPr>
          <w:p>
            <w:pPr>
              <w:spacing w:before="0" w:after="0"/>
              <w:ind w:firstLine="0"/>
              <w:jc w:val="left"/>
              <w:outlineLvl w:val="9"/>
              <w:rPr>
                <w:rFonts w:hint="eastAsia" w:ascii="方正仿宋简体" w:hAnsi="方正仿宋简体" w:eastAsia="方正仿宋简体" w:cs="方正仿宋简体"/>
                <w:b w:val="0"/>
                <w:bCs w:val="0"/>
                <w:sz w:val="21"/>
                <w:szCs w:val="21"/>
                <w:lang w:val="en-US" w:eastAsia="uk-UA" w:bidi="ar-SA"/>
              </w:rPr>
            </w:pPr>
          </w:p>
        </w:tc>
        <w:tc>
          <w:tcPr>
            <w:tcW w:w="895" w:type="dxa"/>
            <w:noWrap w:val="0"/>
            <w:vAlign w:val="center"/>
          </w:tcPr>
          <w:p>
            <w:pPr>
              <w:spacing w:before="0" w:after="0"/>
              <w:ind w:firstLine="0"/>
              <w:jc w:val="left"/>
              <w:outlineLvl w:val="9"/>
              <w:rPr>
                <w:rFonts w:hint="eastAsia" w:ascii="方正仿宋简体" w:hAnsi="方正仿宋简体" w:eastAsia="方正仿宋简体" w:cs="方正仿宋简体"/>
                <w:b w:val="0"/>
                <w:bCs w:val="0"/>
                <w:sz w:val="21"/>
                <w:szCs w:val="21"/>
                <w:lang w:val="en-US" w:eastAsia="uk-UA" w:bidi="ar-SA"/>
              </w:rPr>
            </w:pPr>
          </w:p>
        </w:tc>
        <w:tc>
          <w:tcPr>
            <w:tcW w:w="724"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p>
        </w:tc>
        <w:tc>
          <w:tcPr>
            <w:tcW w:w="59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900"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1037" w:type="dxa"/>
            <w:noWrap w:val="0"/>
            <w:vAlign w:val="center"/>
          </w:tcPr>
          <w:p>
            <w:pPr>
              <w:spacing w:before="0" w:after="0"/>
              <w:ind w:firstLine="0" w:firstLineChars="0"/>
              <w:jc w:val="right"/>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zh-CN" w:bidi="ar-SA"/>
              </w:rPr>
              <w:t>2.55</w:t>
            </w:r>
          </w:p>
        </w:tc>
        <w:tc>
          <w:tcPr>
            <w:tcW w:w="964" w:type="dxa"/>
            <w:noWrap w:val="0"/>
            <w:vAlign w:val="center"/>
          </w:tcPr>
          <w:p>
            <w:pPr>
              <w:spacing w:before="0" w:after="0"/>
              <w:ind w:firstLine="0" w:firstLineChars="0"/>
              <w:jc w:val="right"/>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zh-CN" w:bidi="ar-SA"/>
              </w:rPr>
              <w:t>2.55</w:t>
            </w:r>
          </w:p>
        </w:tc>
        <w:tc>
          <w:tcPr>
            <w:tcW w:w="964"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964"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872"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70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88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900"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106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15" w:type="dxa"/>
            <w:noWrap w:val="0"/>
            <w:vAlign w:val="center"/>
          </w:tcPr>
          <w:p>
            <w:pPr>
              <w:spacing w:before="0" w:after="0"/>
              <w:ind w:firstLine="0"/>
              <w:jc w:val="left"/>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安可计算机购置</w:t>
            </w:r>
          </w:p>
        </w:tc>
        <w:tc>
          <w:tcPr>
            <w:tcW w:w="646" w:type="dxa"/>
            <w:noWrap w:val="0"/>
            <w:vAlign w:val="center"/>
          </w:tcPr>
          <w:p>
            <w:pPr>
              <w:spacing w:before="0" w:after="0"/>
              <w:ind w:firstLine="0" w:firstLineChars="0"/>
              <w:jc w:val="right"/>
              <w:outlineLvl w:val="9"/>
              <w:rPr>
                <w:rFonts w:hint="eastAsia" w:ascii="方正仿宋简体" w:hAnsi="方正仿宋简体" w:eastAsia="方正仿宋简体" w:cs="方正仿宋简体"/>
                <w:b w:val="0"/>
                <w:bCs w:val="0"/>
                <w:sz w:val="21"/>
                <w:szCs w:val="21"/>
                <w:lang w:val="en-US" w:eastAsia="zh-CN" w:bidi="ar-SA"/>
              </w:rPr>
            </w:pPr>
            <w:r>
              <w:rPr>
                <w:rFonts w:hint="eastAsia" w:ascii="方正仿宋简体" w:hAnsi="方正仿宋简体" w:eastAsia="方正仿宋简体" w:cs="方正仿宋简体"/>
                <w:b w:val="0"/>
                <w:bCs w:val="0"/>
                <w:sz w:val="21"/>
                <w:szCs w:val="21"/>
                <w:lang w:val="en-US" w:eastAsia="zh-CN" w:bidi="ar-SA"/>
              </w:rPr>
              <w:t>2.55</w:t>
            </w:r>
          </w:p>
        </w:tc>
        <w:tc>
          <w:tcPr>
            <w:tcW w:w="915" w:type="dxa"/>
            <w:noWrap w:val="0"/>
            <w:vAlign w:val="center"/>
          </w:tcPr>
          <w:p>
            <w:pPr>
              <w:spacing w:before="0" w:after="0"/>
              <w:ind w:firstLine="0"/>
              <w:jc w:val="left"/>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台式计算机</w:t>
            </w:r>
          </w:p>
        </w:tc>
        <w:tc>
          <w:tcPr>
            <w:tcW w:w="895" w:type="dxa"/>
            <w:noWrap w:val="0"/>
            <w:vAlign w:val="center"/>
          </w:tcPr>
          <w:p>
            <w:pPr>
              <w:spacing w:before="0" w:after="0"/>
              <w:ind w:firstLine="0"/>
              <w:jc w:val="left"/>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A02010105</w:t>
            </w:r>
          </w:p>
        </w:tc>
        <w:tc>
          <w:tcPr>
            <w:tcW w:w="724" w:type="dxa"/>
            <w:noWrap w:val="0"/>
            <w:vAlign w:val="center"/>
          </w:tcPr>
          <w:p>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台</w:t>
            </w:r>
          </w:p>
        </w:tc>
        <w:tc>
          <w:tcPr>
            <w:tcW w:w="59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zh-CN" w:bidi="ar-SA"/>
              </w:rPr>
            </w:pPr>
            <w:r>
              <w:rPr>
                <w:rFonts w:hint="eastAsia" w:ascii="方正仿宋简体" w:hAnsi="方正仿宋简体" w:eastAsia="方正仿宋简体" w:cs="方正仿宋简体"/>
                <w:b w:val="0"/>
                <w:bCs w:val="0"/>
                <w:sz w:val="21"/>
                <w:szCs w:val="21"/>
                <w:lang w:val="en-US" w:eastAsia="zh-CN" w:bidi="ar-SA"/>
              </w:rPr>
              <w:t>3</w:t>
            </w:r>
          </w:p>
        </w:tc>
        <w:tc>
          <w:tcPr>
            <w:tcW w:w="900"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0.85</w:t>
            </w:r>
          </w:p>
        </w:tc>
        <w:tc>
          <w:tcPr>
            <w:tcW w:w="1037" w:type="dxa"/>
            <w:noWrap w:val="0"/>
            <w:vAlign w:val="center"/>
          </w:tcPr>
          <w:p>
            <w:pPr>
              <w:spacing w:before="0" w:after="0"/>
              <w:ind w:firstLine="0"/>
              <w:jc w:val="right"/>
              <w:outlineLvl w:val="9"/>
              <w:rPr>
                <w:rFonts w:hint="default" w:ascii="方正仿宋简体" w:hAnsi="方正仿宋简体" w:eastAsia="方正仿宋简体" w:cs="方正仿宋简体"/>
                <w:b w:val="0"/>
                <w:bCs w:val="0"/>
                <w:sz w:val="21"/>
                <w:szCs w:val="21"/>
                <w:lang w:val="en-US" w:eastAsia="zh-CN" w:bidi="ar-SA"/>
              </w:rPr>
            </w:pPr>
            <w:r>
              <w:rPr>
                <w:rFonts w:hint="eastAsia" w:ascii="方正仿宋简体" w:hAnsi="方正仿宋简体" w:eastAsia="方正仿宋简体" w:cs="方正仿宋简体"/>
                <w:b w:val="0"/>
                <w:bCs w:val="0"/>
                <w:sz w:val="21"/>
                <w:szCs w:val="21"/>
                <w:lang w:val="en-US" w:eastAsia="zh-CN" w:bidi="ar-SA"/>
              </w:rPr>
              <w:t>2.55</w:t>
            </w:r>
          </w:p>
        </w:tc>
        <w:tc>
          <w:tcPr>
            <w:tcW w:w="964" w:type="dxa"/>
            <w:noWrap w:val="0"/>
            <w:vAlign w:val="center"/>
          </w:tcPr>
          <w:p>
            <w:pPr>
              <w:spacing w:before="0" w:after="0"/>
              <w:ind w:firstLine="0" w:firstLineChars="0"/>
              <w:jc w:val="right"/>
              <w:outlineLvl w:val="9"/>
              <w:rPr>
                <w:rFonts w:hint="eastAsia" w:ascii="方正仿宋简体" w:hAnsi="方正仿宋简体" w:eastAsia="方正仿宋简体" w:cs="方正仿宋简体"/>
                <w:b w:val="0"/>
                <w:bCs w:val="0"/>
                <w:sz w:val="21"/>
                <w:szCs w:val="21"/>
                <w:lang w:val="en-US" w:eastAsia="zh-CN" w:bidi="ar-SA"/>
              </w:rPr>
            </w:pPr>
            <w:r>
              <w:rPr>
                <w:rFonts w:hint="eastAsia" w:ascii="方正仿宋简体" w:hAnsi="方正仿宋简体" w:eastAsia="方正仿宋简体" w:cs="方正仿宋简体"/>
                <w:b w:val="0"/>
                <w:bCs w:val="0"/>
                <w:sz w:val="21"/>
                <w:szCs w:val="21"/>
                <w:lang w:val="en-US" w:eastAsia="zh-CN" w:bidi="ar-SA"/>
              </w:rPr>
              <w:t>2.55</w:t>
            </w:r>
          </w:p>
        </w:tc>
        <w:tc>
          <w:tcPr>
            <w:tcW w:w="964"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964"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872"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70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88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900"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c>
          <w:tcPr>
            <w:tcW w:w="1065" w:type="dxa"/>
            <w:noWrap w:val="0"/>
            <w:vAlign w:val="center"/>
          </w:tcPr>
          <w:p>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p>
        </w:tc>
      </w:tr>
    </w:tbl>
    <w:p>
      <w:pPr>
        <w:keepNext w:val="0"/>
        <w:keepLines w:val="0"/>
        <w:pageBreakBefore w:val="0"/>
        <w:widowControl/>
        <w:kinsoku/>
        <w:wordWrap/>
        <w:overflowPunct/>
        <w:topLinePunct w:val="0"/>
        <w:autoSpaceDE/>
        <w:autoSpaceDN/>
        <w:bidi w:val="0"/>
        <w:adjustRightInd/>
        <w:snapToGrid/>
        <w:spacing w:line="570" w:lineRule="exact"/>
        <w:jc w:val="left"/>
        <w:textAlignment w:val="auto"/>
        <w:rPr>
          <w:rFonts w:hint="eastAsia"/>
          <w:lang w:eastAsia="uk-UA"/>
        </w:rPr>
      </w:pPr>
      <w:r>
        <w:rPr>
          <w:rFonts w:hint="eastAsia" w:ascii="方正仿宋简体" w:hAnsi="方正仿宋简体" w:eastAsia="方正仿宋简体" w:cs="方正仿宋简体"/>
          <w:b w:val="0"/>
          <w:bCs w:val="0"/>
          <w:color w:val="000000"/>
          <w:kern w:val="0"/>
          <w:sz w:val="24"/>
          <w:szCs w:val="24"/>
          <w:lang w:eastAsia="uk-UA"/>
        </w:rPr>
        <w:t>注：同一采购目录序号的物品，其单价会因配置规格不同而变动，均符合资产配置标准。涉密采购事项按照相关规定执行。</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both"/>
        <w:textAlignment w:val="auto"/>
        <w:outlineLvl w:val="9"/>
        <w:rPr>
          <w:rFonts w:hint="eastAsia" w:ascii="方正黑体简体" w:hAnsi="方正黑体简体" w:eastAsia="方正黑体简体" w:cs="方正黑体简体"/>
          <w:b w:val="0"/>
          <w:bCs/>
          <w:color w:val="000000"/>
          <w:sz w:val="32"/>
          <w:szCs w:val="32"/>
          <w:lang w:eastAsia="zh-CN"/>
        </w:rPr>
      </w:pPr>
      <w:bookmarkStart w:id="7" w:name="_Toc_3_3_0000000016"/>
      <w:r>
        <w:rPr>
          <w:rFonts w:hint="eastAsia" w:ascii="方正黑体简体" w:hAnsi="方正黑体简体" w:eastAsia="方正黑体简体" w:cs="方正黑体简体"/>
          <w:b w:val="0"/>
          <w:bCs/>
          <w:color w:val="000000"/>
          <w:sz w:val="32"/>
          <w:szCs w:val="32"/>
          <w:lang w:eastAsia="zh-CN"/>
        </w:rPr>
        <w:t>七、国有资产信息</w:t>
      </w:r>
      <w:bookmarkEnd w:id="7"/>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黑体" w:hAnsi="黑体" w:eastAsia="黑体" w:cs="黑体"/>
          <w:color w:val="000000"/>
          <w:sz w:val="32"/>
          <w:szCs w:val="32"/>
        </w:rPr>
      </w:pPr>
      <w:r>
        <w:rPr>
          <w:rFonts w:hint="eastAsia" w:ascii="方正仿宋简体" w:hAnsi="方正仿宋简体" w:eastAsia="方正仿宋简体" w:cs="方正仿宋简体"/>
          <w:sz w:val="32"/>
          <w:szCs w:val="32"/>
          <w:lang w:val="en-US" w:eastAsia="zh-CN" w:bidi="ar-SA"/>
        </w:rPr>
        <w:t>我单位</w:t>
      </w:r>
      <w:r>
        <w:rPr>
          <w:rFonts w:hint="eastAsia" w:ascii="方正仿宋简体" w:hAnsi="方正仿宋简体" w:eastAsia="方正仿宋简体" w:cs="方正仿宋简体"/>
          <w:sz w:val="32"/>
          <w:szCs w:val="32"/>
          <w:lang w:val="en-US" w:eastAsia="uk-UA" w:bidi="ar-SA"/>
        </w:rPr>
        <w:t>上年末固定资产金额为323.26万元</w:t>
      </w:r>
      <w:r>
        <w:rPr>
          <w:rFonts w:hint="eastAsia" w:ascii="方正仿宋简体" w:hAnsi="方正仿宋简体" w:eastAsia="方正仿宋简体" w:cs="方正仿宋简体"/>
          <w:sz w:val="32"/>
          <w:szCs w:val="32"/>
          <w:lang w:eastAsia="zh-CN"/>
        </w:rPr>
        <w:t>，其中：房屋建筑物</w:t>
      </w:r>
      <w:r>
        <w:rPr>
          <w:rFonts w:hint="eastAsia" w:ascii="方正仿宋简体" w:hAnsi="方正仿宋简体" w:eastAsia="方正仿宋简体" w:cs="方正仿宋简体"/>
          <w:sz w:val="32"/>
          <w:szCs w:val="32"/>
          <w:lang w:val="en-US" w:eastAsia="zh-CN"/>
        </w:rPr>
        <w:t>1295</w:t>
      </w:r>
      <w:r>
        <w:rPr>
          <w:rFonts w:hint="eastAsia" w:ascii="方正仿宋简体" w:hAnsi="方正仿宋简体" w:eastAsia="方正仿宋简体" w:cs="方正仿宋简体"/>
          <w:sz w:val="32"/>
          <w:szCs w:val="32"/>
          <w:lang w:eastAsia="zh-CN"/>
        </w:rPr>
        <w:t>平方米，</w:t>
      </w:r>
      <w:r>
        <w:rPr>
          <w:rFonts w:hint="eastAsia" w:ascii="方正仿宋简体" w:hAnsi="方正仿宋简体" w:eastAsia="方正仿宋简体" w:cs="方正仿宋简体"/>
          <w:sz w:val="32"/>
          <w:szCs w:val="32"/>
          <w:lang w:val="en-US" w:eastAsia="zh-CN"/>
        </w:rPr>
        <w:t>价值80</w:t>
      </w:r>
      <w:r>
        <w:rPr>
          <w:rFonts w:hint="eastAsia" w:ascii="方正仿宋简体" w:hAnsi="方正仿宋简体" w:eastAsia="方正仿宋简体" w:cs="方正仿宋简体"/>
          <w:sz w:val="32"/>
          <w:szCs w:val="32"/>
          <w:lang w:eastAsia="zh-CN"/>
        </w:rPr>
        <w:t>万元，车辆2辆</w:t>
      </w:r>
      <w:r>
        <w:rPr>
          <w:rFonts w:hint="eastAsia" w:ascii="方正仿宋简体" w:hAnsi="方正仿宋简体" w:eastAsia="方正仿宋简体" w:cs="方正仿宋简体"/>
          <w:sz w:val="32"/>
          <w:szCs w:val="32"/>
          <w:lang w:val="en-US" w:eastAsia="zh-CN"/>
        </w:rPr>
        <w:t>45.50</w:t>
      </w:r>
      <w:r>
        <w:rPr>
          <w:rFonts w:hint="eastAsia" w:ascii="方正仿宋简体" w:hAnsi="方正仿宋简体" w:eastAsia="方正仿宋简体" w:cs="方正仿宋简体"/>
          <w:sz w:val="32"/>
          <w:szCs w:val="32"/>
          <w:lang w:eastAsia="zh-CN"/>
        </w:rPr>
        <w:t>万元，其他固定资产</w:t>
      </w:r>
      <w:r>
        <w:rPr>
          <w:rFonts w:hint="eastAsia" w:ascii="方正仿宋简体" w:hAnsi="方正仿宋简体" w:eastAsia="方正仿宋简体" w:cs="方正仿宋简体"/>
          <w:sz w:val="32"/>
          <w:szCs w:val="32"/>
          <w:lang w:val="en-US" w:eastAsia="zh-CN"/>
        </w:rPr>
        <w:t>197.76</w:t>
      </w:r>
      <w:r>
        <w:rPr>
          <w:rFonts w:hint="eastAsia" w:ascii="方正仿宋简体" w:hAnsi="方正仿宋简体" w:eastAsia="方正仿宋简体" w:cs="方正仿宋简体"/>
          <w:sz w:val="32"/>
          <w:szCs w:val="32"/>
          <w:lang w:eastAsia="zh-CN"/>
        </w:rPr>
        <w:t>万元。</w:t>
      </w:r>
      <w:r>
        <w:rPr>
          <w:rFonts w:hint="eastAsia" w:ascii="方正仿宋简体" w:hAnsi="方正仿宋简体" w:eastAsia="方正仿宋简体" w:cs="方正仿宋简体"/>
          <w:sz w:val="32"/>
          <w:szCs w:val="32"/>
          <w:lang w:val="en-US" w:eastAsia="uk-UA" w:bidi="ar-SA"/>
        </w:rPr>
        <w:t>本年度拟购置固定资产总额为</w:t>
      </w:r>
      <w:r>
        <w:rPr>
          <w:rFonts w:hint="eastAsia" w:ascii="方正仿宋简体" w:hAnsi="方正仿宋简体" w:eastAsia="方正仿宋简体" w:cs="方正仿宋简体"/>
          <w:sz w:val="32"/>
          <w:szCs w:val="32"/>
          <w:lang w:val="en-US" w:eastAsia="zh-CN" w:bidi="ar-SA"/>
        </w:rPr>
        <w:t>2.55</w:t>
      </w:r>
      <w:r>
        <w:rPr>
          <w:rFonts w:hint="eastAsia" w:ascii="方正仿宋简体" w:hAnsi="方正仿宋简体" w:eastAsia="方正仿宋简体" w:cs="方正仿宋简体"/>
          <w:sz w:val="32"/>
          <w:szCs w:val="32"/>
          <w:lang w:val="en-US" w:eastAsia="uk-UA" w:bidi="ar-SA"/>
        </w:rPr>
        <w:t>万元，已按要求列入政府采购预算，详见政府采购预算表。</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center"/>
        <w:textAlignment w:val="auto"/>
        <w:outlineLvl w:val="2"/>
        <w:rPr>
          <w:rFonts w:hint="eastAsia" w:ascii="方正仿宋简体" w:hAnsi="方正仿宋简体" w:eastAsia="方正仿宋简体" w:cs="方正仿宋简体"/>
          <w:color w:val="000000"/>
          <w:sz w:val="32"/>
          <w:szCs w:val="32"/>
          <w:lang w:eastAsia="zh-CN"/>
        </w:rPr>
      </w:pP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center"/>
        <w:textAlignment w:val="auto"/>
        <w:outlineLvl w:val="2"/>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遵化市建明镇人民政府单位</w:t>
      </w:r>
      <w:r>
        <w:rPr>
          <w:rFonts w:hint="eastAsia" w:ascii="方正仿宋简体" w:hAnsi="方正仿宋简体" w:eastAsia="方正仿宋简体" w:cs="方正仿宋简体"/>
          <w:color w:val="000000"/>
          <w:sz w:val="32"/>
          <w:szCs w:val="32"/>
        </w:rPr>
        <w:t>固定资产占用情况表</w:t>
      </w:r>
    </w:p>
    <w:tbl>
      <w:tblPr>
        <w:tblStyle w:val="9"/>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4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32"/>
                <w:szCs w:val="32"/>
                <w:lang w:eastAsia="zh-CN"/>
              </w:rPr>
              <w:t>编制单位：</w:t>
            </w:r>
            <w:r>
              <w:rPr>
                <w:rFonts w:hint="eastAsia" w:ascii="方正仿宋简体" w:hAnsi="方正仿宋简体" w:eastAsia="方正仿宋简体" w:cs="方正仿宋简体"/>
                <w:color w:val="000000"/>
                <w:sz w:val="32"/>
                <w:szCs w:val="32"/>
                <w:lang w:eastAsia="zh-CN"/>
              </w:rPr>
              <w:t>遵化市建明镇人民政府</w:t>
            </w:r>
          </w:p>
        </w:tc>
        <w:tc>
          <w:tcPr>
            <w:tcW w:w="9866" w:type="dxa"/>
            <w:gridSpan w:val="2"/>
            <w:tcBorders>
              <w:top w:val="single" w:color="FFFFFF" w:sz="6" w:space="0"/>
              <w:left w:val="single" w:color="FFFFFF" w:sz="6" w:space="0"/>
              <w:right w:val="single" w:color="FFFFFF" w:sz="6" w:space="0"/>
            </w:tcBorders>
            <w:vAlign w:val="center"/>
          </w:tcPr>
          <w:p>
            <w:pPr>
              <w:pStyle w:val="48"/>
              <w:rPr>
                <w:rFonts w:hint="eastAsia" w:ascii="方正仿宋简体" w:hAnsi="方正仿宋简体" w:eastAsia="方正仿宋简体" w:cs="方正仿宋简体"/>
              </w:rPr>
            </w:pPr>
            <w:r>
              <w:rPr>
                <w:rFonts w:hint="eastAsia" w:ascii="方正仿宋简体" w:hAnsi="方正仿宋简体" w:eastAsia="方正仿宋简体" w:cs="方正仿宋简体"/>
                <w:sz w:val="32"/>
                <w:szCs w:val="32"/>
                <w:lang w:eastAsia="zh-CN"/>
              </w:rPr>
              <w:t>截止时间：202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 xml:space="preserve">年12月31日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blHeader/>
          <w:jc w:val="center"/>
        </w:trPr>
        <w:tc>
          <w:tcPr>
            <w:tcW w:w="4933" w:type="dxa"/>
            <w:vAlign w:val="center"/>
          </w:tcPr>
          <w:p>
            <w:pPr>
              <w:pStyle w:val="22"/>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项   目</w:t>
            </w:r>
          </w:p>
        </w:tc>
        <w:tc>
          <w:tcPr>
            <w:tcW w:w="4933" w:type="dxa"/>
            <w:vAlign w:val="center"/>
          </w:tcPr>
          <w:p>
            <w:pPr>
              <w:pStyle w:val="22"/>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数量</w:t>
            </w:r>
          </w:p>
        </w:tc>
        <w:tc>
          <w:tcPr>
            <w:tcW w:w="4933" w:type="dxa"/>
            <w:vAlign w:val="center"/>
          </w:tcPr>
          <w:p>
            <w:pPr>
              <w:pStyle w:val="22"/>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4933" w:type="dxa"/>
            <w:vAlign w:val="center"/>
          </w:tcPr>
          <w:p>
            <w:pPr>
              <w:pStyle w:val="23"/>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资产总额</w:t>
            </w:r>
          </w:p>
        </w:tc>
        <w:tc>
          <w:tcPr>
            <w:tcW w:w="4933" w:type="dxa"/>
            <w:vAlign w:val="center"/>
          </w:tcPr>
          <w:p>
            <w:pPr>
              <w:pStyle w:val="24"/>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w:t>
            </w:r>
          </w:p>
        </w:tc>
        <w:tc>
          <w:tcPr>
            <w:tcW w:w="4933" w:type="dxa"/>
            <w:vAlign w:val="center"/>
          </w:tcPr>
          <w:p>
            <w:pPr>
              <w:pStyle w:val="21"/>
              <w:jc w:val="center"/>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323.26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4933" w:type="dxa"/>
            <w:vAlign w:val="center"/>
          </w:tcPr>
          <w:p>
            <w:pPr>
              <w:pStyle w:val="23"/>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1、房屋（平方米）</w:t>
            </w:r>
          </w:p>
        </w:tc>
        <w:tc>
          <w:tcPr>
            <w:tcW w:w="4933" w:type="dxa"/>
            <w:vAlign w:val="center"/>
          </w:tcPr>
          <w:p>
            <w:pPr>
              <w:pStyle w:val="24"/>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1295</w:t>
            </w:r>
          </w:p>
        </w:tc>
        <w:tc>
          <w:tcPr>
            <w:tcW w:w="4933" w:type="dxa"/>
            <w:vAlign w:val="center"/>
          </w:tcPr>
          <w:p>
            <w:pPr>
              <w:pStyle w:val="21"/>
              <w:jc w:val="center"/>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4933" w:type="dxa"/>
            <w:vAlign w:val="center"/>
          </w:tcPr>
          <w:p>
            <w:pPr>
              <w:pStyle w:val="23"/>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　　其中：办公用房（平方米）</w:t>
            </w:r>
          </w:p>
        </w:tc>
        <w:tc>
          <w:tcPr>
            <w:tcW w:w="4933" w:type="dxa"/>
            <w:vAlign w:val="center"/>
          </w:tcPr>
          <w:p>
            <w:pPr>
              <w:pStyle w:val="24"/>
              <w:rPr>
                <w:rFonts w:hint="default"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1295</w:t>
            </w:r>
          </w:p>
        </w:tc>
        <w:tc>
          <w:tcPr>
            <w:tcW w:w="4933" w:type="dxa"/>
            <w:vAlign w:val="center"/>
          </w:tcPr>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2835" w:type="dxa"/>
                  <w:vAlign w:val="center"/>
                </w:tcPr>
                <w:p>
                  <w:pPr>
                    <w:pStyle w:val="21"/>
                    <w:jc w:val="center"/>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80.00</w:t>
                  </w:r>
                </w:p>
              </w:tc>
            </w:tr>
          </w:tbl>
          <w:p>
            <w:pPr>
              <w:pStyle w:val="21"/>
              <w:jc w:val="center"/>
              <w:rPr>
                <w:rFonts w:hint="default" w:ascii="方正仿宋简体" w:hAnsi="方正仿宋简体" w:eastAsia="方正仿宋简体" w:cs="方正仿宋简体"/>
                <w:b w:val="0"/>
                <w:kern w:val="2"/>
                <w:sz w:val="32"/>
                <w:szCs w:val="3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4933" w:type="dxa"/>
            <w:vAlign w:val="center"/>
          </w:tcPr>
          <w:p>
            <w:pPr>
              <w:pStyle w:val="23"/>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2、车辆（台、辆）</w:t>
            </w:r>
          </w:p>
        </w:tc>
        <w:tc>
          <w:tcPr>
            <w:tcW w:w="4933" w:type="dxa"/>
            <w:vAlign w:val="center"/>
          </w:tcPr>
          <w:p>
            <w:pPr>
              <w:pStyle w:val="24"/>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2</w:t>
            </w:r>
          </w:p>
        </w:tc>
        <w:tc>
          <w:tcPr>
            <w:tcW w:w="4933" w:type="dxa"/>
            <w:vAlign w:val="center"/>
          </w:tcPr>
          <w:p>
            <w:pPr>
              <w:pStyle w:val="21"/>
              <w:jc w:val="center"/>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45.50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4933" w:type="dxa"/>
            <w:vAlign w:val="center"/>
          </w:tcPr>
          <w:p>
            <w:pPr>
              <w:pStyle w:val="23"/>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3、单价在20万元以上的设备</w:t>
            </w:r>
          </w:p>
        </w:tc>
        <w:tc>
          <w:tcPr>
            <w:tcW w:w="4933" w:type="dxa"/>
            <w:vAlign w:val="center"/>
          </w:tcPr>
          <w:p>
            <w:pPr>
              <w:pStyle w:val="24"/>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0</w:t>
            </w:r>
          </w:p>
        </w:tc>
        <w:tc>
          <w:tcPr>
            <w:tcW w:w="4933" w:type="dxa"/>
            <w:vAlign w:val="center"/>
          </w:tcPr>
          <w:p>
            <w:pPr>
              <w:pStyle w:val="21"/>
              <w:jc w:val="center"/>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4933" w:type="dxa"/>
            <w:vAlign w:val="center"/>
          </w:tcPr>
          <w:p>
            <w:pPr>
              <w:pStyle w:val="23"/>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4、其他固定资产</w:t>
            </w:r>
          </w:p>
        </w:tc>
        <w:tc>
          <w:tcPr>
            <w:tcW w:w="4933" w:type="dxa"/>
            <w:vAlign w:val="center"/>
          </w:tcPr>
          <w:p>
            <w:pPr>
              <w:pStyle w:val="24"/>
              <w:rPr>
                <w:rFonts w:hint="default"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965</w:t>
            </w:r>
          </w:p>
        </w:tc>
        <w:tc>
          <w:tcPr>
            <w:tcW w:w="4933" w:type="dxa"/>
            <w:vAlign w:val="center"/>
          </w:tcPr>
          <w:p>
            <w:pPr>
              <w:pStyle w:val="21"/>
              <w:jc w:val="center"/>
              <w:rPr>
                <w:rFonts w:hint="eastAsia" w:ascii="方正仿宋简体" w:hAnsi="方正仿宋简体" w:eastAsia="方正仿宋简体" w:cs="方正仿宋简体"/>
                <w:b w:val="0"/>
                <w:kern w:val="2"/>
                <w:sz w:val="32"/>
                <w:szCs w:val="32"/>
                <w:lang w:val="en-US" w:eastAsia="zh-CN" w:bidi="ar-SA"/>
              </w:rPr>
            </w:pPr>
            <w:r>
              <w:rPr>
                <w:rFonts w:hint="eastAsia" w:ascii="方正仿宋简体" w:hAnsi="方正仿宋简体" w:eastAsia="方正仿宋简体" w:cs="方正仿宋简体"/>
                <w:b w:val="0"/>
                <w:kern w:val="2"/>
                <w:sz w:val="32"/>
                <w:szCs w:val="32"/>
                <w:lang w:val="en-US" w:eastAsia="zh-CN" w:bidi="ar-SA"/>
              </w:rPr>
              <w:t>197.76</w:t>
            </w:r>
          </w:p>
        </w:tc>
      </w:tr>
    </w:tbl>
    <w:p>
      <w:pPr>
        <w:pStyle w:val="2"/>
        <w:ind w:left="0" w:leftChars="0" w:firstLine="0" w:firstLineChars="0"/>
        <w:rPr>
          <w:rFonts w:hint="eastAsia"/>
        </w:rPr>
      </w:pPr>
      <w:bookmarkStart w:id="8" w:name="_Toc_3_3_0000000017"/>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八、名词解释</w:t>
      </w:r>
      <w:bookmarkEnd w:id="8"/>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1、一般公共预算拨款收入：指</w:t>
      </w:r>
      <w:r>
        <w:rPr>
          <w:rFonts w:hint="eastAsia" w:ascii="方正仿宋简体" w:hAnsi="方正仿宋简体" w:eastAsia="方正仿宋简体" w:cs="方正仿宋简体"/>
          <w:sz w:val="32"/>
          <w:szCs w:val="32"/>
          <w:lang w:val="en-US" w:eastAsia="zh-CN" w:bidi="ar-SA"/>
        </w:rPr>
        <w:t>市</w:t>
      </w:r>
      <w:r>
        <w:rPr>
          <w:rFonts w:hint="eastAsia" w:ascii="方正仿宋简体" w:hAnsi="方正仿宋简体" w:eastAsia="方正仿宋简体" w:cs="方正仿宋简体"/>
          <w:sz w:val="32"/>
          <w:szCs w:val="32"/>
          <w:lang w:val="en-US" w:eastAsia="uk-UA" w:bidi="ar-SA"/>
        </w:rPr>
        <w:t>级财政当年拨付的资金。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2、事业收入：指事业单位开展专业业务活动及辅助活动所取得的收入。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3、其他收入：指除“一般公共预算拨款收入”、“事业收入”等以外的收入。主要是按规定动用的租房收入、存款利息收入等。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4、基本支出：指为保障机构正常运转、完成日常工作任务而发生的人员支出和公用支出。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5、项目支出：指在基本支出之外为完成特定行政任务和事业发展目标所发生的支出。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6、上缴上级支出：指下级单位上缴上级的支出。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7、“三公”经费：纳入</w:t>
      </w:r>
      <w:r>
        <w:rPr>
          <w:rFonts w:hint="eastAsia" w:ascii="方正仿宋简体" w:hAnsi="方正仿宋简体" w:eastAsia="方正仿宋简体" w:cs="方正仿宋简体"/>
          <w:sz w:val="32"/>
          <w:szCs w:val="32"/>
          <w:lang w:val="en-US" w:eastAsia="zh-CN" w:bidi="ar-SA"/>
        </w:rPr>
        <w:t>市</w:t>
      </w:r>
      <w:r>
        <w:rPr>
          <w:rFonts w:hint="eastAsia" w:ascii="方正仿宋简体" w:hAnsi="方正仿宋简体" w:eastAsia="方正仿宋简体" w:cs="方正仿宋简体"/>
          <w:sz w:val="32"/>
          <w:szCs w:val="32"/>
          <w:lang w:val="en-US" w:eastAsia="uk-UA" w:bidi="ar-SA"/>
        </w:rPr>
        <w:t>级财政预算管理的“三公”经费，是指</w:t>
      </w:r>
      <w:r>
        <w:rPr>
          <w:rFonts w:hint="eastAsia" w:ascii="方正仿宋简体" w:hAnsi="方正仿宋简体" w:eastAsia="方正仿宋简体" w:cs="方正仿宋简体"/>
          <w:sz w:val="32"/>
          <w:szCs w:val="32"/>
          <w:lang w:val="en-US" w:eastAsia="zh-CN" w:bidi="ar-SA"/>
        </w:rPr>
        <w:t>市</w:t>
      </w:r>
      <w:r>
        <w:rPr>
          <w:rFonts w:hint="eastAsia" w:ascii="方正仿宋简体" w:hAnsi="方正仿宋简体" w:eastAsia="方正仿宋简体" w:cs="方正仿宋简体"/>
          <w:sz w:val="32"/>
          <w:szCs w:val="32"/>
          <w:lang w:val="en-US" w:eastAsia="uk-UA" w:bidi="ar-SA"/>
        </w:rPr>
        <w:t>级</w:t>
      </w:r>
      <w:r>
        <w:rPr>
          <w:rFonts w:hint="eastAsia" w:ascii="方正仿宋简体" w:hAnsi="方正仿宋简体" w:eastAsia="方正仿宋简体" w:cs="方正仿宋简体"/>
          <w:sz w:val="32"/>
          <w:szCs w:val="32"/>
          <w:lang w:val="en-US" w:eastAsia="zh-CN" w:bidi="ar-SA"/>
        </w:rPr>
        <w:t>单位</w:t>
      </w:r>
      <w:r>
        <w:rPr>
          <w:rFonts w:hint="eastAsia" w:ascii="方正仿宋简体" w:hAnsi="方正仿宋简体" w:eastAsia="方正仿宋简体" w:cs="方正仿宋简体"/>
          <w:sz w:val="32"/>
          <w:szCs w:val="32"/>
          <w:lang w:val="en-US" w:eastAsia="uk-UA" w:bidi="ar-SA"/>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8、机关运行费：是指各</w:t>
      </w:r>
      <w:r>
        <w:rPr>
          <w:rFonts w:hint="eastAsia" w:ascii="方正仿宋简体" w:hAnsi="方正仿宋简体" w:eastAsia="方正仿宋简体" w:cs="方正仿宋简体"/>
          <w:sz w:val="32"/>
          <w:szCs w:val="32"/>
          <w:lang w:val="en-US" w:eastAsia="zh-CN" w:bidi="ar-SA"/>
        </w:rPr>
        <w:t>单位</w:t>
      </w:r>
      <w:r>
        <w:rPr>
          <w:rFonts w:hint="eastAsia" w:ascii="方正仿宋简体" w:hAnsi="方正仿宋简体" w:eastAsia="方正仿宋简体" w:cs="方正仿宋简体"/>
          <w:sz w:val="32"/>
          <w:szCs w:val="32"/>
          <w:lang w:val="en-US" w:eastAsia="uk-UA" w:bidi="ar-SA"/>
        </w:rPr>
        <w:t>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9、上年结转：指以前年度尚未完成、结转到本年仍按原规定用途继续使用的资金。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10、事业单位经营支出：指事业单位在专业业务活动及其辅助活动之外开展非独立核算经营活动发生的支出。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color w:val="000000"/>
          <w:sz w:val="32"/>
          <w:szCs w:val="32"/>
          <w:lang w:val="en-US" w:eastAsia="uk-UA"/>
        </w:rPr>
      </w:pPr>
      <w:bookmarkStart w:id="9" w:name="_Toc_3_3_0000000018"/>
      <w:r>
        <w:rPr>
          <w:rFonts w:hint="eastAsia" w:ascii="方正黑体简体" w:hAnsi="方正黑体简体" w:eastAsia="方正黑体简体" w:cs="方正黑体简体"/>
          <w:color w:val="000000"/>
          <w:sz w:val="32"/>
          <w:szCs w:val="32"/>
          <w:lang w:val="en-US" w:eastAsia="uk-UA"/>
        </w:rPr>
        <w:t>九、其他需要说明的事项</w:t>
      </w:r>
      <w:bookmarkEnd w:id="9"/>
    </w:p>
    <w:p>
      <w:pPr>
        <w:keepNext w:val="0"/>
        <w:keepLines w:val="0"/>
        <w:pageBreakBefore w:val="0"/>
        <w:widowControl/>
        <w:tabs>
          <w:tab w:val="left" w:pos="4338"/>
        </w:tabs>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1、遵化市建明镇人民政府2023年单位预算中未安排政府性基金预算，故政府性基金预算支出表为空。</w:t>
      </w:r>
    </w:p>
    <w:p>
      <w:pPr>
        <w:keepNext w:val="0"/>
        <w:keepLines w:val="0"/>
        <w:pageBreakBefore w:val="0"/>
        <w:widowControl/>
        <w:tabs>
          <w:tab w:val="left" w:pos="4338"/>
        </w:tabs>
        <w:kinsoku/>
        <w:wordWrap/>
        <w:overflowPunct/>
        <w:topLinePunct w:val="0"/>
        <w:autoSpaceDE/>
        <w:autoSpaceDN/>
        <w:bidi w:val="0"/>
        <w:adjustRightInd/>
        <w:snapToGrid/>
        <w:spacing w:line="570" w:lineRule="exact"/>
        <w:ind w:firstLine="640" w:firstLineChars="200"/>
        <w:textAlignment w:val="auto"/>
        <w:rPr>
          <w:rFonts w:hint="default" w:ascii="方正仿宋简体" w:hAnsi="方正仿宋简体" w:eastAsia="方正仿宋简体" w:cs="方正仿宋简体"/>
          <w:snapToGrid w:val="0"/>
          <w:kern w:val="0"/>
          <w:sz w:val="32"/>
          <w:szCs w:val="32"/>
          <w:lang w:val="en-US" w:eastAsia="zh-CN" w:bidi="ar-SA"/>
        </w:rPr>
      </w:pPr>
      <w:r>
        <w:rPr>
          <w:rFonts w:hint="eastAsia" w:ascii="方正仿宋简体" w:hAnsi="方正仿宋简体" w:eastAsia="方正仿宋简体" w:cs="方正仿宋简体"/>
          <w:snapToGrid w:val="0"/>
          <w:kern w:val="0"/>
          <w:sz w:val="32"/>
          <w:szCs w:val="32"/>
          <w:lang w:val="en-US" w:eastAsia="zh-CN" w:bidi="ar-SA"/>
        </w:rPr>
        <w:t>2、遵化市建明镇人民政府2023年单位预算中未安排国有资本经营预算，故国有资本经营预算支出表为空。</w:t>
      </w:r>
    </w:p>
    <w:p>
      <w:pPr>
        <w:keepNext w:val="0"/>
        <w:keepLines w:val="0"/>
        <w:pageBreakBefore w:val="0"/>
        <w:widowControl/>
        <w:tabs>
          <w:tab w:val="left" w:pos="4338"/>
        </w:tabs>
        <w:kinsoku/>
        <w:wordWrap/>
        <w:overflowPunct/>
        <w:topLinePunct w:val="0"/>
        <w:autoSpaceDE/>
        <w:autoSpaceDN/>
        <w:bidi w:val="0"/>
        <w:adjustRightInd/>
        <w:snapToGrid/>
        <w:spacing w:line="570" w:lineRule="exact"/>
        <w:ind w:firstLine="640" w:firstLineChars="200"/>
        <w:textAlignment w:val="auto"/>
        <w:rPr>
          <w:rFonts w:hint="eastAsia"/>
          <w:lang w:eastAsia="zh-CN"/>
        </w:rPr>
      </w:pPr>
      <w:r>
        <w:rPr>
          <w:rFonts w:hint="eastAsia" w:ascii="方正仿宋简体" w:hAnsi="方正仿宋简体" w:eastAsia="方正仿宋简体" w:cs="方正仿宋简体"/>
          <w:snapToGrid w:val="0"/>
          <w:kern w:val="0"/>
          <w:sz w:val="32"/>
          <w:szCs w:val="32"/>
          <w:lang w:val="en-US" w:eastAsia="zh-CN" w:bidi="ar-SA"/>
        </w:rPr>
        <w:t>3、由于预算公开表格中金额数值应当保留两位小数，公开数据为四舍五入计算结果，个别数据合计项与分项之和存在小数点后差额，特此说明。</w:t>
      </w: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pageBreakBefore w:val="0"/>
        <w:widowControl w:val="0"/>
        <w:tabs>
          <w:tab w:val="left" w:pos="1165"/>
        </w:tabs>
        <w:kinsoku/>
        <w:wordWrap/>
        <w:overflowPunct/>
        <w:topLinePunct w:val="0"/>
        <w:autoSpaceDE/>
        <w:autoSpaceDN/>
        <w:bidi w:val="0"/>
        <w:adjustRightInd/>
        <w:snapToGrid/>
        <w:spacing w:line="20" w:lineRule="atLeast"/>
        <w:jc w:val="left"/>
        <w:textAlignment w:val="auto"/>
        <w:rPr>
          <w:rFonts w:hint="eastAsia"/>
          <w:lang w:val="en-US" w:eastAsia="zh-CN"/>
        </w:rPr>
      </w:pPr>
      <w:r>
        <w:rPr>
          <w:rFonts w:hint="eastAsia"/>
          <w:lang w:val="en-US" w:eastAsia="zh-CN"/>
        </w:rPr>
        <w:tab/>
      </w:r>
    </w:p>
    <w:sectPr>
      <w:headerReference r:id="rId12" w:type="default"/>
      <w:footerReference r:id="rId13" w:type="default"/>
      <w:pgSz w:w="16838" w:h="11906" w:orient="landscape"/>
      <w:pgMar w:top="1440" w:right="1080" w:bottom="0" w:left="108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简体">
    <w:panose1 w:val="03000509000000000000"/>
    <w:charset w:val="86"/>
    <w:family w:val="script"/>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2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85EE3"/>
    <w:multiLevelType w:val="singleLevel"/>
    <w:tmpl w:val="83585EE3"/>
    <w:lvl w:ilvl="0" w:tentative="0">
      <w:start w:val="5"/>
      <w:numFmt w:val="decimal"/>
      <w:suff w:val="nothing"/>
      <w:lvlText w:val="%1、"/>
      <w:lvlJc w:val="left"/>
    </w:lvl>
  </w:abstractNum>
  <w:abstractNum w:abstractNumId="1">
    <w:nsid w:val="B5B16850"/>
    <w:multiLevelType w:val="singleLevel"/>
    <w:tmpl w:val="B5B16850"/>
    <w:lvl w:ilvl="0" w:tentative="0">
      <w:start w:val="7"/>
      <w:numFmt w:val="decimal"/>
      <w:suff w:val="nothing"/>
      <w:lvlText w:val="%1、"/>
      <w:lvlJc w:val="left"/>
    </w:lvl>
  </w:abstractNum>
  <w:abstractNum w:abstractNumId="2">
    <w:nsid w:val="E12153C9"/>
    <w:multiLevelType w:val="singleLevel"/>
    <w:tmpl w:val="E12153C9"/>
    <w:lvl w:ilvl="0" w:tentative="0">
      <w:start w:val="6"/>
      <w:numFmt w:val="decimal"/>
      <w:suff w:val="nothing"/>
      <w:lvlText w:val="%1、"/>
      <w:lvlJc w:val="left"/>
    </w:lvl>
  </w:abstractNum>
  <w:abstractNum w:abstractNumId="3">
    <w:nsid w:val="E37BCFB4"/>
    <w:multiLevelType w:val="singleLevel"/>
    <w:tmpl w:val="E37BCFB4"/>
    <w:lvl w:ilvl="0" w:tentative="0">
      <w:start w:val="8"/>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xZGMxM2EyOWFkYjQyYmIyM2E2NmE3MDA1MTQ1NzYifQ=="/>
  </w:docVars>
  <w:rsids>
    <w:rsidRoot w:val="00172A27"/>
    <w:rsid w:val="00136145"/>
    <w:rsid w:val="001A6347"/>
    <w:rsid w:val="004164A3"/>
    <w:rsid w:val="005D78E0"/>
    <w:rsid w:val="005E71BA"/>
    <w:rsid w:val="00A5774A"/>
    <w:rsid w:val="00C24814"/>
    <w:rsid w:val="00D52514"/>
    <w:rsid w:val="00D94858"/>
    <w:rsid w:val="00DB789F"/>
    <w:rsid w:val="00DD7AEE"/>
    <w:rsid w:val="00E746F7"/>
    <w:rsid w:val="00F12D40"/>
    <w:rsid w:val="00F56285"/>
    <w:rsid w:val="00F752E2"/>
    <w:rsid w:val="00F93973"/>
    <w:rsid w:val="00FA0548"/>
    <w:rsid w:val="01851390"/>
    <w:rsid w:val="02AC11B7"/>
    <w:rsid w:val="03050AE1"/>
    <w:rsid w:val="032F7E79"/>
    <w:rsid w:val="044B46A1"/>
    <w:rsid w:val="04FE34DF"/>
    <w:rsid w:val="05421FF2"/>
    <w:rsid w:val="05591E0B"/>
    <w:rsid w:val="05D4721D"/>
    <w:rsid w:val="05FB6223"/>
    <w:rsid w:val="06361B7E"/>
    <w:rsid w:val="06893498"/>
    <w:rsid w:val="06BD32FE"/>
    <w:rsid w:val="06EE4206"/>
    <w:rsid w:val="073D3242"/>
    <w:rsid w:val="08A80640"/>
    <w:rsid w:val="09644B37"/>
    <w:rsid w:val="0A135722"/>
    <w:rsid w:val="0A8B3269"/>
    <w:rsid w:val="0A9536E8"/>
    <w:rsid w:val="0C5B7112"/>
    <w:rsid w:val="0CBE2C42"/>
    <w:rsid w:val="0D073F79"/>
    <w:rsid w:val="0D7F1C4B"/>
    <w:rsid w:val="0DD267BF"/>
    <w:rsid w:val="0E4B734D"/>
    <w:rsid w:val="0EE42D2E"/>
    <w:rsid w:val="0F797D75"/>
    <w:rsid w:val="0FA13A07"/>
    <w:rsid w:val="100E53FE"/>
    <w:rsid w:val="105D3269"/>
    <w:rsid w:val="10756969"/>
    <w:rsid w:val="117115BC"/>
    <w:rsid w:val="1186328F"/>
    <w:rsid w:val="11921AC5"/>
    <w:rsid w:val="11AF2A3A"/>
    <w:rsid w:val="11B52272"/>
    <w:rsid w:val="11F833A6"/>
    <w:rsid w:val="128D4A5E"/>
    <w:rsid w:val="131A4227"/>
    <w:rsid w:val="137615E2"/>
    <w:rsid w:val="1396518E"/>
    <w:rsid w:val="143A3192"/>
    <w:rsid w:val="14CB1844"/>
    <w:rsid w:val="14D204E7"/>
    <w:rsid w:val="14F5065E"/>
    <w:rsid w:val="15C7477A"/>
    <w:rsid w:val="16056F78"/>
    <w:rsid w:val="18704B63"/>
    <w:rsid w:val="19541950"/>
    <w:rsid w:val="1A1A6F68"/>
    <w:rsid w:val="1A691537"/>
    <w:rsid w:val="1AA00964"/>
    <w:rsid w:val="1ACC2571"/>
    <w:rsid w:val="1B3B6110"/>
    <w:rsid w:val="1B5F1863"/>
    <w:rsid w:val="1BFC12AF"/>
    <w:rsid w:val="1CE617B0"/>
    <w:rsid w:val="1D331317"/>
    <w:rsid w:val="1D6819FF"/>
    <w:rsid w:val="1DBB3721"/>
    <w:rsid w:val="1E320F30"/>
    <w:rsid w:val="1E424B57"/>
    <w:rsid w:val="1EA25958"/>
    <w:rsid w:val="1ED14B65"/>
    <w:rsid w:val="1F664751"/>
    <w:rsid w:val="1FD1782B"/>
    <w:rsid w:val="201D4FD1"/>
    <w:rsid w:val="202F5F31"/>
    <w:rsid w:val="21F06837"/>
    <w:rsid w:val="220B7D0B"/>
    <w:rsid w:val="223A1828"/>
    <w:rsid w:val="22C63F86"/>
    <w:rsid w:val="22D30C86"/>
    <w:rsid w:val="230945E6"/>
    <w:rsid w:val="23317CD6"/>
    <w:rsid w:val="23490CFD"/>
    <w:rsid w:val="23C95987"/>
    <w:rsid w:val="248A7359"/>
    <w:rsid w:val="257B2DF9"/>
    <w:rsid w:val="2581351C"/>
    <w:rsid w:val="26533757"/>
    <w:rsid w:val="266437D0"/>
    <w:rsid w:val="26C13BE9"/>
    <w:rsid w:val="27881BAB"/>
    <w:rsid w:val="2799251C"/>
    <w:rsid w:val="28ED036A"/>
    <w:rsid w:val="297C6909"/>
    <w:rsid w:val="29A46EEB"/>
    <w:rsid w:val="2AA406DC"/>
    <w:rsid w:val="2AE35581"/>
    <w:rsid w:val="2B2268D9"/>
    <w:rsid w:val="2B8B17E5"/>
    <w:rsid w:val="2BA56121"/>
    <w:rsid w:val="2BD17130"/>
    <w:rsid w:val="2C01307F"/>
    <w:rsid w:val="2C13177B"/>
    <w:rsid w:val="2C7E69A5"/>
    <w:rsid w:val="2D1D1346"/>
    <w:rsid w:val="2D4A5965"/>
    <w:rsid w:val="2D610C37"/>
    <w:rsid w:val="2DC24542"/>
    <w:rsid w:val="2DD30989"/>
    <w:rsid w:val="2E494199"/>
    <w:rsid w:val="2EF016F2"/>
    <w:rsid w:val="2FEC609F"/>
    <w:rsid w:val="30395E85"/>
    <w:rsid w:val="30675D78"/>
    <w:rsid w:val="30957121"/>
    <w:rsid w:val="31564B12"/>
    <w:rsid w:val="319F0F89"/>
    <w:rsid w:val="31A713ED"/>
    <w:rsid w:val="31BE5CE7"/>
    <w:rsid w:val="31D37579"/>
    <w:rsid w:val="327754F7"/>
    <w:rsid w:val="34775757"/>
    <w:rsid w:val="34A86CDC"/>
    <w:rsid w:val="350F7D2D"/>
    <w:rsid w:val="35BA2328"/>
    <w:rsid w:val="36184784"/>
    <w:rsid w:val="3664162F"/>
    <w:rsid w:val="36850C41"/>
    <w:rsid w:val="369167D9"/>
    <w:rsid w:val="36CD6D8A"/>
    <w:rsid w:val="371112AC"/>
    <w:rsid w:val="373B3B3C"/>
    <w:rsid w:val="379F6CD3"/>
    <w:rsid w:val="37A64497"/>
    <w:rsid w:val="3849560A"/>
    <w:rsid w:val="397B19B4"/>
    <w:rsid w:val="397F114B"/>
    <w:rsid w:val="39923A37"/>
    <w:rsid w:val="39CD7693"/>
    <w:rsid w:val="3A1877C0"/>
    <w:rsid w:val="3AC104D7"/>
    <w:rsid w:val="3AFB2D04"/>
    <w:rsid w:val="3AFE3B25"/>
    <w:rsid w:val="3B164422"/>
    <w:rsid w:val="3B241461"/>
    <w:rsid w:val="3BB76B4F"/>
    <w:rsid w:val="3BED2BBF"/>
    <w:rsid w:val="3CE45E9C"/>
    <w:rsid w:val="3D535A9E"/>
    <w:rsid w:val="3DCB52E4"/>
    <w:rsid w:val="3DDE314E"/>
    <w:rsid w:val="3E846C23"/>
    <w:rsid w:val="3EA44BE8"/>
    <w:rsid w:val="3F3A6422"/>
    <w:rsid w:val="3FA01DDF"/>
    <w:rsid w:val="3FC30D33"/>
    <w:rsid w:val="3FEC4D31"/>
    <w:rsid w:val="40130737"/>
    <w:rsid w:val="402A7950"/>
    <w:rsid w:val="40451A86"/>
    <w:rsid w:val="406C614B"/>
    <w:rsid w:val="408E7CE2"/>
    <w:rsid w:val="40D83705"/>
    <w:rsid w:val="41670862"/>
    <w:rsid w:val="417F01EB"/>
    <w:rsid w:val="41E07443"/>
    <w:rsid w:val="433B7CA5"/>
    <w:rsid w:val="43416AA5"/>
    <w:rsid w:val="434E6CDE"/>
    <w:rsid w:val="44246EDE"/>
    <w:rsid w:val="4429246E"/>
    <w:rsid w:val="44624732"/>
    <w:rsid w:val="446E730A"/>
    <w:rsid w:val="460A6487"/>
    <w:rsid w:val="46C422B2"/>
    <w:rsid w:val="46CE467E"/>
    <w:rsid w:val="470D28E0"/>
    <w:rsid w:val="47627C63"/>
    <w:rsid w:val="47646DB4"/>
    <w:rsid w:val="47BB4EE6"/>
    <w:rsid w:val="481A4D7F"/>
    <w:rsid w:val="486C5040"/>
    <w:rsid w:val="48EF4CA4"/>
    <w:rsid w:val="48FA1700"/>
    <w:rsid w:val="48FA6AAD"/>
    <w:rsid w:val="49897668"/>
    <w:rsid w:val="49EA5F2F"/>
    <w:rsid w:val="4A460E43"/>
    <w:rsid w:val="4A4B2E3F"/>
    <w:rsid w:val="4A8B0671"/>
    <w:rsid w:val="4B0D5107"/>
    <w:rsid w:val="4B723C29"/>
    <w:rsid w:val="4BB10850"/>
    <w:rsid w:val="4C466682"/>
    <w:rsid w:val="4CAD044C"/>
    <w:rsid w:val="4CB777A2"/>
    <w:rsid w:val="4CEF7ADD"/>
    <w:rsid w:val="4D8049B1"/>
    <w:rsid w:val="4DD85AC7"/>
    <w:rsid w:val="4E4404AD"/>
    <w:rsid w:val="4E971D6A"/>
    <w:rsid w:val="4F0972CE"/>
    <w:rsid w:val="4F89256B"/>
    <w:rsid w:val="4FBA7944"/>
    <w:rsid w:val="4FDA7F1E"/>
    <w:rsid w:val="50D07D2F"/>
    <w:rsid w:val="525244BE"/>
    <w:rsid w:val="534E71D5"/>
    <w:rsid w:val="536B6FE8"/>
    <w:rsid w:val="543E4B7E"/>
    <w:rsid w:val="54FE6B29"/>
    <w:rsid w:val="55CC77AC"/>
    <w:rsid w:val="55DE213F"/>
    <w:rsid w:val="55F3730D"/>
    <w:rsid w:val="563E0AFB"/>
    <w:rsid w:val="56580449"/>
    <w:rsid w:val="567C2AF4"/>
    <w:rsid w:val="56D60455"/>
    <w:rsid w:val="56EE6F72"/>
    <w:rsid w:val="56F021C0"/>
    <w:rsid w:val="57223A31"/>
    <w:rsid w:val="572A6965"/>
    <w:rsid w:val="57701A91"/>
    <w:rsid w:val="57736273"/>
    <w:rsid w:val="57FF7673"/>
    <w:rsid w:val="58067EE4"/>
    <w:rsid w:val="5874695E"/>
    <w:rsid w:val="597B799E"/>
    <w:rsid w:val="59A303A1"/>
    <w:rsid w:val="5A5E721E"/>
    <w:rsid w:val="5A9429AE"/>
    <w:rsid w:val="5AA63480"/>
    <w:rsid w:val="5AE867B9"/>
    <w:rsid w:val="5B106955"/>
    <w:rsid w:val="5B744D46"/>
    <w:rsid w:val="5B837613"/>
    <w:rsid w:val="5BB02907"/>
    <w:rsid w:val="5C627E5E"/>
    <w:rsid w:val="5CD12D40"/>
    <w:rsid w:val="5CD301F4"/>
    <w:rsid w:val="5CD77EE4"/>
    <w:rsid w:val="5CE047AB"/>
    <w:rsid w:val="5DCE19E9"/>
    <w:rsid w:val="5DD03126"/>
    <w:rsid w:val="5E070388"/>
    <w:rsid w:val="5E92702D"/>
    <w:rsid w:val="5EC67001"/>
    <w:rsid w:val="5FB26935"/>
    <w:rsid w:val="5FB854E4"/>
    <w:rsid w:val="606C6050"/>
    <w:rsid w:val="61215139"/>
    <w:rsid w:val="613F7CFD"/>
    <w:rsid w:val="61631D57"/>
    <w:rsid w:val="61B77CCC"/>
    <w:rsid w:val="620265A2"/>
    <w:rsid w:val="623065A2"/>
    <w:rsid w:val="62535A4C"/>
    <w:rsid w:val="62BD6926"/>
    <w:rsid w:val="62D22194"/>
    <w:rsid w:val="637F011B"/>
    <w:rsid w:val="64002172"/>
    <w:rsid w:val="640E4830"/>
    <w:rsid w:val="647500A6"/>
    <w:rsid w:val="64AE186E"/>
    <w:rsid w:val="64DE67DD"/>
    <w:rsid w:val="64ED7F25"/>
    <w:rsid w:val="64F81356"/>
    <w:rsid w:val="657F3B1C"/>
    <w:rsid w:val="65AA3C51"/>
    <w:rsid w:val="65B81466"/>
    <w:rsid w:val="66774BB5"/>
    <w:rsid w:val="676E113A"/>
    <w:rsid w:val="679A2D3F"/>
    <w:rsid w:val="68F465CF"/>
    <w:rsid w:val="68F51B40"/>
    <w:rsid w:val="691E53FA"/>
    <w:rsid w:val="6A727BA1"/>
    <w:rsid w:val="6A753740"/>
    <w:rsid w:val="6A946C00"/>
    <w:rsid w:val="6ABA517D"/>
    <w:rsid w:val="6AE33BAD"/>
    <w:rsid w:val="6B934E5A"/>
    <w:rsid w:val="6BD920C3"/>
    <w:rsid w:val="6BDD4657"/>
    <w:rsid w:val="6C0D0409"/>
    <w:rsid w:val="6C68276C"/>
    <w:rsid w:val="6CCC3CFE"/>
    <w:rsid w:val="6CE636BA"/>
    <w:rsid w:val="6D4A3FFB"/>
    <w:rsid w:val="6DF838E5"/>
    <w:rsid w:val="6E3F59E1"/>
    <w:rsid w:val="6EC425A0"/>
    <w:rsid w:val="6F141817"/>
    <w:rsid w:val="6F25296D"/>
    <w:rsid w:val="6F3D0C95"/>
    <w:rsid w:val="706823E0"/>
    <w:rsid w:val="709E5A04"/>
    <w:rsid w:val="712C7198"/>
    <w:rsid w:val="71841548"/>
    <w:rsid w:val="72BC0011"/>
    <w:rsid w:val="7341356D"/>
    <w:rsid w:val="738148E6"/>
    <w:rsid w:val="73B119C7"/>
    <w:rsid w:val="73F6615C"/>
    <w:rsid w:val="740A0844"/>
    <w:rsid w:val="7432131D"/>
    <w:rsid w:val="74980278"/>
    <w:rsid w:val="759D1A9D"/>
    <w:rsid w:val="76DA1444"/>
    <w:rsid w:val="77062239"/>
    <w:rsid w:val="774C710C"/>
    <w:rsid w:val="774E2552"/>
    <w:rsid w:val="78000AED"/>
    <w:rsid w:val="789631FF"/>
    <w:rsid w:val="78B74F18"/>
    <w:rsid w:val="78B86CBB"/>
    <w:rsid w:val="7A454EDD"/>
    <w:rsid w:val="7A526382"/>
    <w:rsid w:val="7A9233A0"/>
    <w:rsid w:val="7B2D41A0"/>
    <w:rsid w:val="7CAF663E"/>
    <w:rsid w:val="7CE04A49"/>
    <w:rsid w:val="7D6C15C8"/>
    <w:rsid w:val="7DB02EFF"/>
    <w:rsid w:val="7DC4191F"/>
    <w:rsid w:val="7E236FA0"/>
    <w:rsid w:val="7E4D08CD"/>
    <w:rsid w:val="7F2C7B69"/>
    <w:rsid w:val="7FB3133B"/>
    <w:rsid w:val="7FCE439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iPriority="39" w:semiHidden="0" w:name="toc 2" w:locked="1"/>
    <w:lsdException w:qFormat="1" w:uiPriority="39" w:semiHidden="0" w:name="toc 3" w:locked="1"/>
    <w:lsdException w:qFormat="1" w:uiPriority="39"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unhideWhenUsed/>
    <w:qFormat/>
    <w:locked/>
    <w:uiPriority w:val="39"/>
    <w:pPr>
      <w:ind w:left="840" w:leftChars="400"/>
    </w:p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unhideWhenUsed/>
    <w:qFormat/>
    <w:locked/>
    <w:uiPriority w:val="39"/>
    <w:pPr>
      <w:ind w:left="1260" w:leftChars="600"/>
    </w:pPr>
  </w:style>
  <w:style w:type="paragraph" w:styleId="8">
    <w:name w:val="toc 2"/>
    <w:basedOn w:val="1"/>
    <w:next w:val="1"/>
    <w:unhideWhenUsed/>
    <w:qFormat/>
    <w:locked/>
    <w:uiPriority w:val="39"/>
    <w:pPr>
      <w:ind w:left="420" w:leftChars="200"/>
    </w:p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u w:val="single"/>
    </w:rPr>
  </w:style>
  <w:style w:type="character" w:customStyle="1" w:styleId="13">
    <w:name w:val="Header Char"/>
    <w:basedOn w:val="11"/>
    <w:link w:val="6"/>
    <w:semiHidden/>
    <w:qFormat/>
    <w:locked/>
    <w:uiPriority w:val="99"/>
    <w:rPr>
      <w:rFonts w:ascii="Times New Roman" w:hAnsi="Times New Roman" w:cs="Times New Roman"/>
      <w:sz w:val="18"/>
      <w:szCs w:val="18"/>
    </w:rPr>
  </w:style>
  <w:style w:type="character" w:customStyle="1" w:styleId="14">
    <w:name w:val="Footer Char"/>
    <w:basedOn w:val="11"/>
    <w:link w:val="5"/>
    <w:semiHidden/>
    <w:qFormat/>
    <w:locked/>
    <w:uiPriority w:val="99"/>
    <w:rPr>
      <w:rFonts w:ascii="Times New Roman" w:hAnsi="Times New Roman" w:cs="Times New Roman"/>
      <w:sz w:val="18"/>
      <w:szCs w:val="18"/>
    </w:rPr>
  </w:style>
  <w:style w:type="character" w:customStyle="1" w:styleId="15">
    <w:name w:val="font41"/>
    <w:basedOn w:val="11"/>
    <w:qFormat/>
    <w:uiPriority w:val="0"/>
    <w:rPr>
      <w:rFonts w:hint="default" w:ascii="Times New Roman" w:hAnsi="Times New Roman" w:cs="Times New Roman"/>
      <w:b/>
      <w:bCs/>
      <w:color w:val="000000"/>
      <w:sz w:val="22"/>
      <w:szCs w:val="22"/>
      <w:u w:val="none"/>
    </w:rPr>
  </w:style>
  <w:style w:type="character" w:customStyle="1" w:styleId="16">
    <w:name w:val="font21"/>
    <w:basedOn w:val="11"/>
    <w:qFormat/>
    <w:uiPriority w:val="0"/>
    <w:rPr>
      <w:rFonts w:hint="default" w:ascii="方正书宋_GBK" w:hAnsi="方正书宋_GBK" w:eastAsia="方正书宋_GBK" w:cs="方正书宋_GBK"/>
      <w:b/>
      <w:bCs/>
      <w:color w:val="000000"/>
      <w:sz w:val="22"/>
      <w:szCs w:val="22"/>
      <w:u w:val="none"/>
    </w:rPr>
  </w:style>
  <w:style w:type="character" w:customStyle="1" w:styleId="17">
    <w:name w:val="font71"/>
    <w:basedOn w:val="11"/>
    <w:qFormat/>
    <w:uiPriority w:val="0"/>
    <w:rPr>
      <w:rFonts w:hint="default" w:ascii="方正书宋_GBK" w:hAnsi="方正书宋_GBK" w:eastAsia="方正书宋_GBK" w:cs="方正书宋_GBK"/>
      <w:b/>
      <w:bCs/>
      <w:color w:val="000000"/>
      <w:sz w:val="24"/>
      <w:szCs w:val="24"/>
      <w:u w:val="none"/>
    </w:rPr>
  </w:style>
  <w:style w:type="character" w:customStyle="1" w:styleId="18">
    <w:name w:val="font31"/>
    <w:basedOn w:val="11"/>
    <w:qFormat/>
    <w:uiPriority w:val="0"/>
    <w:rPr>
      <w:rFonts w:hint="default" w:ascii="Times New Roman" w:hAnsi="Times New Roman" w:cs="Times New Roman"/>
      <w:b/>
      <w:bCs/>
      <w:color w:val="000000"/>
      <w:sz w:val="22"/>
      <w:szCs w:val="22"/>
      <w:u w:val="none"/>
    </w:rPr>
  </w:style>
  <w:style w:type="character" w:customStyle="1" w:styleId="19">
    <w:name w:val="font51"/>
    <w:basedOn w:val="11"/>
    <w:qFormat/>
    <w:uiPriority w:val="0"/>
    <w:rPr>
      <w:rFonts w:hint="eastAsia" w:ascii="宋体" w:hAnsi="宋体" w:eastAsia="宋体" w:cs="宋体"/>
      <w:b/>
      <w:bCs/>
      <w:color w:val="000000"/>
      <w:sz w:val="22"/>
      <w:szCs w:val="22"/>
      <w:u w:val="none"/>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character" w:customStyle="1" w:styleId="25">
    <w:name w:val="font181"/>
    <w:basedOn w:val="11"/>
    <w:qFormat/>
    <w:uiPriority w:val="0"/>
    <w:rPr>
      <w:rFonts w:ascii="黑体" w:hAnsi="宋体" w:eastAsia="黑体" w:cs="黑体"/>
      <w:color w:val="000000"/>
      <w:sz w:val="22"/>
      <w:szCs w:val="22"/>
      <w:u w:val="none"/>
    </w:rPr>
  </w:style>
  <w:style w:type="character" w:customStyle="1" w:styleId="26">
    <w:name w:val="font12"/>
    <w:basedOn w:val="11"/>
    <w:qFormat/>
    <w:uiPriority w:val="0"/>
    <w:rPr>
      <w:rFonts w:hint="default" w:ascii="Times New Roman" w:hAnsi="Times New Roman" w:cs="Times New Roman"/>
      <w:color w:val="000000"/>
      <w:sz w:val="22"/>
      <w:szCs w:val="22"/>
      <w:u w:val="none"/>
    </w:rPr>
  </w:style>
  <w:style w:type="character" w:customStyle="1" w:styleId="27">
    <w:name w:val="font131"/>
    <w:basedOn w:val="11"/>
    <w:qFormat/>
    <w:uiPriority w:val="0"/>
    <w:rPr>
      <w:rFonts w:hint="default" w:ascii="方正仿宋简体" w:hAnsi="方正仿宋简体" w:eastAsia="方正仿宋简体" w:cs="方正仿宋简体"/>
      <w:color w:val="000000"/>
      <w:sz w:val="22"/>
      <w:szCs w:val="22"/>
      <w:u w:val="none"/>
    </w:rPr>
  </w:style>
  <w:style w:type="character" w:customStyle="1" w:styleId="28">
    <w:name w:val="font11"/>
    <w:basedOn w:val="11"/>
    <w:qFormat/>
    <w:uiPriority w:val="0"/>
    <w:rPr>
      <w:rFonts w:hint="default" w:ascii="Times New Roman" w:hAnsi="Times New Roman" w:cs="Times New Roman"/>
      <w:color w:val="000000"/>
      <w:sz w:val="22"/>
      <w:szCs w:val="22"/>
      <w:u w:val="none"/>
    </w:rPr>
  </w:style>
  <w:style w:type="character" w:customStyle="1" w:styleId="29">
    <w:name w:val="font141"/>
    <w:basedOn w:val="11"/>
    <w:qFormat/>
    <w:uiPriority w:val="0"/>
    <w:rPr>
      <w:rFonts w:ascii="黑体" w:hAnsi="宋体" w:eastAsia="黑体" w:cs="黑体"/>
      <w:color w:val="000000"/>
      <w:sz w:val="22"/>
      <w:szCs w:val="22"/>
      <w:u w:val="none"/>
    </w:rPr>
  </w:style>
  <w:style w:type="character" w:customStyle="1" w:styleId="30">
    <w:name w:val="font112"/>
    <w:basedOn w:val="11"/>
    <w:qFormat/>
    <w:uiPriority w:val="0"/>
    <w:rPr>
      <w:rFonts w:hint="eastAsia" w:ascii="宋体" w:hAnsi="宋体" w:eastAsia="宋体" w:cs="宋体"/>
      <w:color w:val="000000"/>
      <w:sz w:val="20"/>
      <w:szCs w:val="20"/>
      <w:u w:val="none"/>
    </w:rPr>
  </w:style>
  <w:style w:type="character" w:customStyle="1" w:styleId="31">
    <w:name w:val="font01"/>
    <w:basedOn w:val="11"/>
    <w:qFormat/>
    <w:uiPriority w:val="0"/>
    <w:rPr>
      <w:rFonts w:hint="default" w:ascii="Times New Roman" w:hAnsi="Times New Roman" w:cs="Times New Roman"/>
      <w:color w:val="000000"/>
      <w:sz w:val="22"/>
      <w:szCs w:val="22"/>
      <w:u w:val="none"/>
    </w:rPr>
  </w:style>
  <w:style w:type="character" w:customStyle="1" w:styleId="32">
    <w:name w:val="font121"/>
    <w:basedOn w:val="11"/>
    <w:qFormat/>
    <w:uiPriority w:val="0"/>
    <w:rPr>
      <w:rFonts w:ascii="黑体" w:hAnsi="宋体" w:eastAsia="黑体" w:cs="黑体"/>
      <w:color w:val="000000"/>
      <w:sz w:val="22"/>
      <w:szCs w:val="22"/>
      <w:u w:val="none"/>
    </w:rPr>
  </w:style>
  <w:style w:type="character" w:customStyle="1" w:styleId="33">
    <w:name w:val="font91"/>
    <w:basedOn w:val="11"/>
    <w:qFormat/>
    <w:uiPriority w:val="0"/>
    <w:rPr>
      <w:rFonts w:hint="default" w:ascii="方正仿宋简体" w:hAnsi="方正仿宋简体" w:eastAsia="方正仿宋简体" w:cs="方正仿宋简体"/>
      <w:color w:val="000000"/>
      <w:sz w:val="22"/>
      <w:szCs w:val="22"/>
      <w:u w:val="none"/>
    </w:rPr>
  </w:style>
  <w:style w:type="paragraph" w:customStyle="1" w:styleId="3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msonormal emtidy-5"/>
    <w:basedOn w:val="1"/>
    <w:qFormat/>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 w:type="character" w:customStyle="1" w:styleId="36">
    <w:name w:val="emtidy-4"/>
    <w:basedOn w:val="11"/>
    <w:qFormat/>
    <w:uiPriority w:val="0"/>
  </w:style>
  <w:style w:type="paragraph" w:customStyle="1" w:styleId="37">
    <w:name w:val=" Char Char Char Char"/>
    <w:basedOn w:val="1"/>
    <w:qFormat/>
    <w:uiPriority w:val="0"/>
    <w:pPr>
      <w:widowControl/>
      <w:spacing w:after="160" w:afterLines="0" w:line="240" w:lineRule="exact"/>
      <w:jc w:val="left"/>
    </w:pPr>
  </w:style>
  <w:style w:type="paragraph" w:customStyle="1" w:styleId="3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4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4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4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4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38</Pages>
  <Words>12529</Words>
  <Characters>14614</Characters>
  <Lines>1</Lines>
  <Paragraphs>1</Paragraphs>
  <TotalTime>1</TotalTime>
  <ScaleCrop>false</ScaleCrop>
  <LinksUpToDate>false</LinksUpToDate>
  <CharactersWithSpaces>14820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2020-05-12T02:37:00Z</dcterms:created>
  <dc:creator>user</dc:creator>
  <cp:lastModifiedBy>WPS_1649149040</cp:lastModifiedBy>
  <cp:lastPrinted>2023-09-01T01:50:00Z</cp:lastPrinted>
  <dcterms:modified xsi:type="dcterms:W3CDTF">2024-03-18T07:23:56Z</dcterms:modified>
  <dc:title>2020年部门预算信息公开目录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6F4070DA2F9541209AAB3564F69E9777</vt:lpwstr>
  </property>
</Properties>
</file>