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ict>
          <v:group id="_x0000_s1045" o:spid="_x0000_s1045" o:spt="203" style="position:absolute;left:0pt;margin-left:-5.2pt;margin-top:46.45pt;height:296.5pt;width:600.25pt;z-index:-251649024;mso-width-relative:page;mso-height-relative:page;" coordorigin="13622,283" coordsize="12005,6191" o:gfxdata="UEsDBAoAAAAAAIdO4kAAAAAAAAAAAAAAAAAEAAAAZHJzL1BLAwQUAAAACACHTuJA9NDq1NsAAAAM&#10;AQAADwAAAGRycy9kb3ducmV2LnhtbE2PQWvCQBCF74X+h2UKvenuKo2aZiNF2p6kUC2U3sZkTILZ&#10;2ZBdE/33XU/tcXgf732TrS+2FQP1vnFsQE8VCOLClQ1XBr72b5MlCB+QS2wdk4EreVjn93cZpqUb&#10;+ZOGXahELGGfooE6hC6V0hc1WfRT1xHH7Oh6iyGefSXLHsdYbls5UyqRFhuOCzV2tKmpOO3O1sD7&#10;iOPLXL8O29Nxc/3ZP318bzUZ8/ig1TOIQJfwB8NNP6pDHp0O7sylF62BidYqiayBmVqAuBFquVqB&#10;OBhI9HwBMs/k/yfyX1BLAwQUAAAACACHTuJAQ7w4A9ICAAC/BgAADgAAAGRycy9lMm9Eb2MueG1s&#10;vVXJbhMxGL4j8Q6W73SWNktHnVS0ob0gqFR4AMfjWSSPbWwnk94RcOTECQnBDYk3QDxOy2vw2+Ok&#10;aSiiKhI5JONl/t/f5hwcLluOFkybRoocJzsxRkxQWTSiyvHLFyePxhgZS0RBuBQsxxfM4MPJwwcH&#10;ncpYKmvJC6YRFBEm61SOa2tVFkWG1qwlZkcqJmCxlLolFoa6igpNOqje8iiN42HUSV0oLSkzBman&#10;/SIOFfVdCsqybCibSjpvmbB9Vc04sQDJ1I0yeOJPW5aM2udlaZhFPMeA1PpvaALPM/cdTQ5IVmmi&#10;6oaGI5C7HGELU0saAU3XpabEEjTXzW+l2oZqaWRpd6hsox6IZwRQJPEWN6dazpXHUmVdpdakg1Bb&#10;rN+7LH22ONOoKXI8wEiQFgT/+f315ft3aM9x06kqgy2nWp2rMx0mqn7k4C5L3bpfAIKWntWLNats&#10;aRGFydEw3U1GUJ7C2u5oOEj3Bz3vtAZx3HvJ7jBNMYL1dLy7WnsS3k/ANeHtYbKfuOXoujPzIj81&#10;1k27465P1ykwqLlmzfwba+c1UcyLYRwlgbXhmrVPXy9/fEEemesMW9aUmcwAe7fwdQvuFWs3UI+8&#10;UTdQK23sKZMtcg851uBzbz+yCEyQbLXFtTWSN8VJw7kf6Gp2zDVaEMjEyfToOFlxemMbF6gDZdJR&#10;DFmhBJJeQsLgsVXgFiMqjAiv4AqhVvveQroOIEPfe0pM3ffwZXtV28bC5cGbNsfj2H2Cmly417a0&#10;XNHm6JzJ4gIo15Yfyz7KRNBaQpJd+157L7fz7H/QHTgLcbn68Pbq47erz29Q4tFsiI/s8kg6e7sD&#10;uvk/2WCUpvve/oM49ZuBi+D+cQyJ8NFJ9gY+G/e3wYZCPeHrCaj5VwnscrYMOIIaHdybYIVXc6IZ&#10;3tDGu0w9nltwRMjlSkEf0iCUjyvcaz7P4Q52F+fm2O+//t+Z/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D00OrU2wAAAAwBAAAPAAAAAAAAAAEAIAAAACIAAABkcnMvZG93bnJldi54bWxQSwECFAAU&#10;AAAACACHTuJAQ7w4A9ICAAC/BgAADgAAAAAAAAABACAAAAAqAQAAZHJzL2Uyb0RvYy54bWxQSwUG&#10;AAAAAAYABgBZAQAAbgYAAAAA&#10;">
            <o:lock v:ext="edit" aspectratio="f"/>
            <v:rect id="矩形 5" o:spid="_x0000_s1043"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focussize="0,0"/>
              <v:stroke on="f" weight="1pt" miterlimit="8" joinstyle="miter"/>
              <v:imagedata o:title=""/>
              <o:lock v:ext="edit" aspectratio="f"/>
            </v:rect>
            <v:shape id="_x0000_s1044" o:spid="_x0000_s1044" o:spt="202" type="#_x0000_t202" style="position:absolute;left:17229;top:5021;height:1453;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v:imagedata o:title=""/>
              <o:lock v:ext="edit" aspectratio="f"/>
              <v:textbox style="mso-fit-shape-to-text:t;">
                <w:txbxContent>
                  <w:p>
                    <w:pPr>
                      <w:jc w:val="left"/>
                      <w:rPr>
                        <w:color w:val="000000"/>
                        <w:kern w:val="0"/>
                        <w:sz w:val="92"/>
                        <w:szCs w:val="92"/>
                      </w:rPr>
                    </w:pPr>
                    <w:r>
                      <w:rPr>
                        <w:rFonts w:hint="eastAsia" w:ascii="思源黑体 HW Bold" w:hAnsi="思源黑体 HW Bold" w:eastAsia="思源黑体 HW Bold"/>
                        <w:color w:val="000000"/>
                        <w:kern w:val="24"/>
                        <w:sz w:val="92"/>
                        <w:szCs w:val="92"/>
                      </w:rPr>
                      <w:t>部门决算公开文本</w:t>
                    </w:r>
                  </w:p>
                </w:txbxContent>
              </v:textbox>
            </v:shape>
          </v:group>
        </w:pict>
      </w:r>
      <w:r>
        <w:pict>
          <v:shape id="_x0000_s1053" o:spid="_x0000_s1053" o:spt="3" type="#_x0000_t3" style="position:absolute;left:0pt;margin-left:53.5pt;margin-top:232.45pt;height:121.95pt;width:121.95pt;z-index:251666432;v-text-anchor:middle;mso-width-relative:page;mso-height-relative:page;" fillcolor="#FFFFFF"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OgG8S72AQAA4wMAAA4AAABkcnMvZTJvRG9jLnhtbK1T&#10;S27bMBDdF+gdCO5ryUbbuILlLGK4myIJkPYAY4qSCPAHDmPJF8gpusy2x2rP0SGlOG26yaJaUDPk&#10;8M28N8PN5Wg0O8qAytmaLxclZ9IK1yjb1fzb1/27NWcYwTagnZU1P0nkl9u3bzaDr+TK9U43MjAC&#10;sVgNvuZ9jL4qChS9NIAL56Wlw9YFA5Hc0BVNgIHQjS5WZfmxGFxofHBCItLubjrkM2J4DaBrWyXk&#10;zol7I22cUIPUEIkS9soj3+Zq21aKeNO2KCPTNSemMa+UhOxDWovtBqougO+VmEuA15TwgpMBZSnp&#10;GWoHEdh9UP9AGSWCQ9fGhXCmmIhkRYjFsnyhzV0PXmYuJDX6s+j4/2DF9fE2MNXU/BNnFgw1/Nfj&#10;j5/fH9g6aTN4rCjkzt+G2UMyE9GxDSb9iQIbs56ns55yjEzQ5vLD+/XFasmZoLMnh3CK5+s+YPws&#10;nWHJqLnUmtqXOEMFxy8Yp+inqLSNTqtmr7TOTugOVzqwI1B/9/lLZVOCv8K0ZQNVsLooqe8CaGpb&#10;mhYyjSfmaDvOQHf0HEQMObd1KQMhQZVy7wD7KUeGnabGqEgPQStT83WZvjmztumazMM3M0gyTsIl&#10;K46HkaCTeXDNifQPUV+5aULBit7RgKZKEpMURb3PnOY5TcP1p5+jnt/m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GyXOe2QAAAAsBAAAPAAAAAAAAAAEAIAAAACIAAABkcnMvZG93bnJldi54bWxQ&#10;SwECFAAUAAAACACHTuJA6AbxLvYBAADjAwAADgAAAAAAAAABACAAAAAoAQAAZHJzL2Uyb0RvYy54&#10;bWxQSwUGAAAAAAYABgBZAQAAkAUAAAAA&#10;">
            <v:path/>
            <v:fill on="t" focussize="0,0"/>
            <v:stroke on="f" weight="1pt" miterlimit="8" joinstyle="miter"/>
            <v:imagedata o:title=""/>
            <o:lock v:ext="edit" aspectratio="f"/>
            <v:textbox>
              <w:txbxContent>
                <w:p/>
              </w:txbxContent>
            </v:textbox>
          </v:shape>
        </w:pict>
      </w:r>
      <w:r>
        <w:pict>
          <v:rect id="_x0000_s1051" o:spid="_x0000_s1051" o:spt="1" style="position:absolute;left:0pt;margin-left:33.6pt;margin-top:256.75pt;height:69.6pt;width:160.65pt;z-index:251666432;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E6xEvPFAQAAeAMAAA4AAABkcnMvZTJvRG9jLnhtbK1T&#10;S27bMBDdF8gdCO5ryYrtuILpoICRboo0QNoD0BRpEeAvHNqSTxOgux6ixyl6jQ4lNWnTTRbdUDPD&#10;4Zt5b0ab694acpIRtHeMzmclJdIJ32h3YPTL55u3a0ogcddw451k9CyBXm8v3my6UMvKt940MhIE&#10;cVB3gdE2pVAXBYhWWg4zH6TDS+Wj5QndeCiayDtEt6aoynJVdD42IXohATC6Gy/phBhfA+iV0kLu&#10;vDha6dKIGqXhCSlBqwPQ7dCtUlKkT0qBTMQwikzTcGIRtPf5LLYbXh8iD60WUwv8NS284GS5dlj0&#10;CWrHEyfHqP+BslpED16lmfC2GIkMiiCLeflCm/uWBzlwQakhPIkO/w9W3J7uItENbsKSEsctTvzn&#10;47cf37+S+SKr0wWoMek+3MXJAzQz1V5Fm79IgvSMLqrVVYWynhm9rFblVbUcxZV9IgLvq3JRVkss&#10;IjBjvb58h8mIWDwDhQjpg/SWZIPRiMMbNOWnj5DG1N8pua7zN9oYjPPauL8CiDlG5LAB0+vMZOw9&#10;W6nf9xOhvW/OKEKHW8AoPBx5zKJzTH5/TFhkqJ3fjInYc3ZwIEP30/Lkif/pD1nPP8z2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pVqbnZAAAACgEAAA8AAAAAAAAAAQAgAAAAIgAAAGRycy9kb3du&#10;cmV2LnhtbFBLAQIUABQAAAAIAIdO4kBOsRLzxQEAAHgDAAAOAAAAAAAAAAEAIAAAACgBAABkcnMv&#10;ZTJvRG9jLnhtbFBLBQYAAAAABgAGAFkBAABfBQAAAAA=&#10;">
            <v:path/>
            <v:fill on="f" focussize="0,0"/>
            <v:stroke on="f"/>
            <v:imagedata o:title=""/>
            <o:lock v:ext="edit" aspectratio="f"/>
            <v:textbox style="mso-fit-shape-to-text:t;">
              <w:txbxContent>
                <w:p>
                  <w:pPr>
                    <w:spacing w:line="360" w:lineRule="auto"/>
                    <w:jc w:val="center"/>
                    <w:rPr>
                      <w:kern w:val="0"/>
                      <w:sz w:val="28"/>
                      <w:szCs w:val="28"/>
                    </w:rPr>
                  </w:pPr>
                  <w:r>
                    <w:rPr>
                      <w:rFonts w:ascii="Yu Gothic UI Semibold" w:hAnsi="Yu Gothic UI Semibold" w:eastAsia="宋体"/>
                      <w:color w:val="FFFFFF"/>
                      <w:kern w:val="24"/>
                      <w:sz w:val="72"/>
                      <w:szCs w:val="72"/>
                    </w:rPr>
                    <w:t>2019</w:t>
                  </w:r>
                </w:p>
              </w:txbxContent>
            </v:textbox>
          </v:rect>
        </w:pict>
      </w:r>
      <w:r>
        <w:pict>
          <v:shape id="椭圆 9" o:spid="_x0000_s1047" o:spt="3" type="#_x0000_t3" style="position:absolute;left:0pt;margin-left:62.2pt;margin-top:242.75pt;height:103.45pt;width:103.45pt;z-index:251666432;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Rbw6vQYCAADvAwAADgAAAGRycy9lMm9Eb2MueG1srVNL&#10;btswEN0X6B0I7mt9XDeyYDmLGO6maAOkPcCYoiQC/IFkLPkCPUWX3fZY7Tk6pJSkTTdZVAtphhy9&#10;mff4uLuelCRn7rwwuqHFKqeEa2ZaofuGfvl8fFNR4gPoFqTRvKEX7un1/vWr3WhrXprByJY7giDa&#10;16Nt6BCCrbPMs4Er8CtjucbNzjgFAVPXZ62DEdGVzMo8f5eNxrXWGca9x9XDvEkXRPcSQNN1gvGD&#10;YfeK6zCjOi4hICU/COvpPk3bdZyFT13neSCyocg0pDc2wfgU39l+B3XvwA6CLSPAS0Z4xkmB0Nj0&#10;EeoAAci9E/9AKcGc8aYLK2ZUNhNJiiCLIn+mzd0AlicuKLW3j6L7/wfLPp5vHREtOgEl0aDwxH99&#10;//Hz21eyjeKM1tdYc2dv3ZJ5DCPTqXMqfpEDmRp6VW23bxHi0tB1XpXbcjNry6dAGO4X62JdFRtK&#10;GFY8JAiZPSFZ58N7bhSJQUO5lHiUkT/UcP7gw1z9UBWXvZGiPQopU+L604105Ax41sWx3G4SA2zw&#10;V5nUZMT98irHaRmggzt0DobKogpe95SA7PFqsOBSb21iB2wOdex9AD/MPRLszFKJgJdCCtXQKo9P&#10;XMbOUsffeDLiwiAqOmsYozCdJiyN4cm0FzwLF+SNmd0Kmg0GzRoniXixCn2QkBfPRqP9maeqp3u6&#10;/w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0Chgu2AAAAAsBAAAPAAAAAAAAAAEAIAAAACIAAABk&#10;cnMvZG93bnJldi54bWxQSwECFAAUAAAACACHTuJARbw6vQYCAADvAwAADgAAAAAAAAABACAAAAAn&#10;AQAAZHJzL2Uyb0RvYy54bWxQSwUGAAAAAAYABgBZAQAAnwUAAAAA&#10;">
            <v:path/>
            <v:fill on="t" focussize="0,0"/>
            <v:stroke on="f" weight="1pt" miterlimit="8" joinstyle="miter"/>
            <v:imagedata o:title=""/>
            <o:lock v:ext="edit" aspectratio="f"/>
            <v:textbox>
              <w:txbxContent>
                <w:p>
                  <w:pP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2019</w:t>
                  </w:r>
                </w:p>
              </w:txbxContent>
            </v:textbox>
          </v:shape>
        </w:pict>
      </w:r>
      <w:r>
        <w:pict>
          <v:rect id="_x0000_s1046" o:spid="_x0000_s1046" o:spt="1" style="position:absolute;left:0pt;margin-left:184.75pt;margin-top:286.6pt;height:31.25pt;width:339.65pt;mso-wrap-style:none;z-index:251666432;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SArHYLcBAABrAwAADgAAAGRycy9lMm9Eb2MueG1s&#10;rVPNbtswDL4P2DsIui+Ok6brjDjFgKC9DFuBtg+gyFQswPqBqMTO0wzYbQ+xxxn2GqNkN926Sw+7&#10;yCRFfuT3UV5fD6ZjRwiona15OZtzBla6Rtt9zR8fbt5dcYZR2EZ0zkLNT4D8evP2zbr3FSxc67oG&#10;AiMQi1Xva97G6KuiQNmCEThzHixdKheMiOSGfdEE0RO66YrFfH5Z9C40PjgJiBTdjpd8QgyvAXRK&#10;aQlbJw8GbBxRA3QiEiVstUe+ydMqBTJ+UQohsq7mxDTmk5qQvUtnsVmLah+Eb7WcRhCvGeEFJyO0&#10;paZnqK2Igh2C/gfKaBkcOhVn0pliJJIVIRbl/IU2963wkLmQ1OjPouP/g5Wfj3eB6YZewoIzKwxt&#10;/NfX7z9/fGNlmdTpPVaUdO/vwuQhmYnqoIJJXyLBhqzo6awoDJFJCl4sy+VqteJM0t3yw+XV+1UC&#10;LZ6rfcB4C86wZNQ80MaykOL4CeOY+pSSmll3o7uO4qLq7F8BwhwjkNc+Vafxx4GTFYfdMLHYueZE&#10;zHtafc0tvfTcFf3HQ6QWuXOqGNNo4uTQDvLs03tJS/7Tz1nP/8j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ZkF9HbAAAADAEAAA8AAAAAAAAAAQAgAAAAIgAAAGRycy9kb3ducmV2LnhtbFBLAQIU&#10;ABQAAAAIAIdO4kBICsdgtwEAAGsDAAAOAAAAAAAAAAEAIAAAACoBAABkcnMvZTJvRG9jLnhtbFBL&#10;BQYAAAAABgAGAFkBAABTBQAAAAA=&#10;">
            <v:path/>
            <v:fill on="f" focussize="0,0"/>
            <v:stroke on="f"/>
            <v:imagedata o:title=""/>
            <o:lock v:ext="edit" aspectratio="f"/>
            <v:textbox style="mso-fit-shape-to-text:t;">
              <w:txbxContent>
                <w:p/>
              </w:txbxContent>
            </v:textbox>
          </v:rect>
        </w:pict>
      </w:r>
    </w:p>
    <w:p>
      <w:pPr>
        <w:jc w:val="center"/>
        <w:rPr>
          <w:rFonts w:ascii="黑体" w:hAnsi="黑体" w:eastAsia="黑体" w:cs="黑体"/>
          <w:sz w:val="56"/>
          <w:szCs w:val="72"/>
        </w:rPr>
      </w:pPr>
    </w:p>
    <w:p>
      <w:pPr>
        <w:jc w:val="center"/>
        <w:rPr>
          <w:rFonts w:ascii="黑体" w:hAnsi="黑体" w:eastAsia="黑体" w:cs="黑体"/>
          <w:sz w:val="56"/>
          <w:szCs w:val="72"/>
        </w:rPr>
      </w:pPr>
    </w:p>
    <w:p>
      <w:pPr>
        <w:sectPr>
          <w:headerReference r:id="rId3" w:type="even"/>
          <w:pgSz w:w="11906" w:h="16838"/>
          <w:pgMar w:top="0" w:right="0" w:bottom="0" w:left="0" w:header="851" w:footer="992" w:gutter="0"/>
          <w:cols w:space="425" w:num="1"/>
          <w:titlePg/>
          <w:docGrid w:type="lines" w:linePitch="312" w:charSpace="0"/>
        </w:sectPr>
      </w:pPr>
      <w:r>
        <w:pict>
          <v:group id="组合 4" o:spid="_x0000_s1041" o:spt="203" style="position:absolute;left:0pt;margin-left:-2.05pt;margin-top:5.15pt;height:296.5pt;width:600.25pt;z-index:-251651072;mso-width-relative:page;mso-height-relative:page;" coordorigin="13622,283" coordsize="12005,6191203" o:gfxdata="UEsDBAoAAAAAAIdO4kAAAAAAAAAAAAAAAAAEAAAAZHJzL1BLAwQUAAAACACHTuJATiElIdoAAAAK&#10;AQAADwAAAGRycy9kb3ducmV2LnhtbE2PwU7DMBBE70j8g7VI3FrbpEQQ4lSoAk4VEi0S4rZNtknU&#10;eB3FbtL+Pe6JHmdnNPM2X55sJ0YafOvYgJ4rEMSlq1quDXxv32dPIHxArrBzTAbO5GFZ3N7kmFVu&#10;4i8aN6EWsYR9hgaaEPpMSl82ZNHPXU8cvb0bLIYoh1pWA06x3HbyQalUWmw5LjTY06qh8rA5WgMf&#10;E06viX4b14f96vy7ffz8WWsy5v5OqxcQgU7hPwwX/IgORWTauSNXXnQGZgsdk/GuEhAXXz+nCxA7&#10;A6lKEpBFLq9fKP4AUEsDBBQAAAAIAIdO4kCgEj8gtwIAAHEGAAAOAAAAZHJzL2Uyb0RvYy54bWy9&#10;Vctu1DAU3SPxD5b3NI/pvKJmKtqh3SCoVPgAj+M8JCc2tmeS7hGwZMUKCcEOiT9AfE7Lb3DteNJp&#10;KUIqErPIxPb1vb7n4RwcdjVHG6Z0JZoUR3shRqyhIquaIsUvX5w8mmGkDWkywkXDUnzBND5cPHxw&#10;0MqExaIUPGMKQZJGJ61McWmMTIJA05LVRO8JyRpYzIWqiYGhKoJMkRay1zyIw3AStEJlUgnKtIbZ&#10;Zb+IFy5/njNqnue5ZgbxFMPZjHsq91zZZ7A4IEmhiCwr6o9B7nGKmlQNFB1SLYkhaK2q31LVFVVC&#10;i9zsUVEHIs8rylwP0E0U3urmVIm1dL0USVvIASaA9hZO905Ln23OFKqyFI8xakgNFP38/vry/Tu0&#10;b7FpZZFAyKmS5/JM+YmiH9l2u1zV9h8aQZ1D9WJAlXUGUZicTuJRNIX0FNZG08k4no973GkJ5Nh9&#10;0WgSxxjBejwbbdee+P0R8Ox3T6J5ZJeD68rMkfxUGzttjzucrpUgKX2Nmv431M5LIpkjQ1tIPGqT&#10;AbVPXy9/fEGuM1sZQgbIdKIBvTvwuqPvLWo3up46oe50LZU2p0zUyL6kWIHOnfzIxiNBkm2ILasF&#10;r7KTinM3UMXqmCu0IeCJk+XRcbTF9EYYb1ALzMTTEHxDCXgz58TAay1BLbopMCK8ANNTo1ztRtgK&#10;QENfe0l02ddwaXtW68qA3XlVp3gW2p9nkzd22y0ut7BZOFciuwDIleHHorcyaWgpwMm2fM+9o9tq&#10;9j/wDph5u1x9eHv18dvV5zcoct3skI9MdySsvO0B7fyfZDCN47mT/ziMXTBg4dU/C8ERzjrR/th5&#10;4/4y2GGoB3yYgJx/pcB0q8734dlo4d4EKbxaE8XwDjdOZfLx2oAivC+3DDqTeqKcXeFec372d7C9&#10;OHfHLv76S7H4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E4hJSHaAAAACgEAAA8AAAAAAAAAAQAg&#10;AAAAIgAAAGRycy9kb3ducmV2LnhtbFBLAQIUABQAAAAIAIdO4kCgEj8gtwIAAHEGAAAOAAAAAAAA&#10;AAEAIAAAACkBAABkcnMvZTJvRG9jLnhtbFBLBQYAAAAABgAGAFkBAABSBgAAAAA=&#10;">
            <o:lock v:ext="edit"/>
            <v:rect id="矩形 5" o:spid="_x0000_s102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focussize="0,0"/>
              <v:stroke on="f" weight="1pt"/>
              <v:imagedata o:title=""/>
              <o:lock v:ext="edit"/>
            </v:rect>
            <v:shape id="_x0000_s1042" o:spid="_x0000_s1042" o:spt="202" type="#_x0000_t202" style="position:absolute;left:17229;top:5021;height:1453;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joinstyle="miter"/>
              <v:imagedata o:title=""/>
              <o:lock v:ext="edit"/>
              <v:textbox style="mso-fit-shape-to-text:t;">
                <w:txbxContent>
                  <w:p>
                    <w:pPr>
                      <w:jc w:val="left"/>
                      <w:rPr>
                        <w:color w:val="000000"/>
                        <w:kern w:val="0"/>
                        <w:sz w:val="92"/>
                        <w:szCs w:val="92"/>
                      </w:rPr>
                    </w:pPr>
                    <w:r>
                      <w:rPr>
                        <w:rFonts w:hint="eastAsia" w:ascii="思源黑体 HW Bold" w:hAnsi="思源黑体 HW Bold" w:eastAsia="思源黑体 HW Bold"/>
                        <w:color w:val="000000"/>
                        <w:kern w:val="24"/>
                        <w:sz w:val="92"/>
                        <w:szCs w:val="92"/>
                      </w:rPr>
                      <w:t>部门决算公开文本</w:t>
                    </w:r>
                  </w:p>
                </w:txbxContent>
              </v:textbox>
            </v:shape>
          </v:group>
        </w:pict>
      </w:r>
      <w:r>
        <w:pict>
          <v:shape id="椭圆 8" o:spid="_x0000_s1039" o:spt="3" type="#_x0000_t3" style="position:absolute;left:0pt;margin-left:53.5pt;margin-top:232.45pt;height:121.95pt;width:121.95pt;z-index:251660288;v-text-anchor:middle;mso-width-relative:page;mso-height-relative:page;"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H/RG/baAQAAlQMAAA4AAABkcnMvZTJvRG9jLnhtbK1T&#10;zY7TMBC+I/EOlu80aQVsiZruYatyQbDSsg8wdezEkv/kMU36AjwFR648FjwHY6fbBfa2Igdnxp58&#10;M9/nL5vryRp2lBG1dy1fLmrOpBO+065v+f3n/as1Z5jAdWC8ky0/SeTX25cvNmNo5MoP3nQyMgJx&#10;2Iyh5UNKoakqFIO0gAsfpKND5aOFRGnsqy7CSOjWVKu6fluNPnYheiERaXc3H/JtwVdKivRJKZSJ&#10;mZbTbKmssayHvFbbDTR9hDBocR4DnjGFBe2o6QVqBwnYl6ifQFktokev0kJ4W3mltJCFA7FZ1v+w&#10;uRsgyMKFxMFwkQn/H6z4eLyNTHctf8eZA0tX9Ov7j5/fvrJ11mYM2FDJXbiN5wwpzEQnFW1+EwU2&#10;FT1PFz3llJigzeWb1+ur1ZIzQWcPCeFUj5+HiOm99JbloOXSGB0wc4YGjh8wzdUPVXkbvdHdXhtT&#10;ktgfbkxkR6D73Zcnj00N/iozjo00weqqJg8IIJ8pA4lCG4g5up4zMD0ZWKRYejufOxASNLn3DnCY&#10;exTY2TVWJ7Ku0bbl6zo/587G5c9kMd+ZQZZxFi5HaTpMBJ3Dg+9OpH9M5sbPDgUnBk8GzZNkJrmK&#10;7r5wOvs0m+vPvFQ9/k3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bJc57ZAAAACwEAAA8AAAAA&#10;AAAAAQAgAAAAIgAAAGRycy9kb3ducmV2LnhtbFBLAQIUABQAAAAIAIdO4kB/0Rv22gEAAJUDAAAO&#10;AAAAAAAAAAEAIAAAACgBAABkcnMvZTJvRG9jLnhtbFBLBQYAAAAABgAGAFkBAAB0BQAAAAA=&#10;">
            <v:path/>
            <v:fill focussize="0,0"/>
            <v:stroke on="f" weight="1pt" joinstyle="miter"/>
            <v:imagedata o:title=""/>
            <o:lock v:ext="edit"/>
            <v:textbox>
              <w:txbxContent>
                <w:p/>
              </w:txbxContent>
            </v:textbox>
          </v:shape>
        </w:pict>
      </w:r>
      <w:r>
        <w:pict>
          <v:rect id="_x0000_s1038" o:spid="_x0000_s1038" o:spt="1" style="position:absolute;left:0pt;margin-left:33.6pt;margin-top:256.75pt;height:69.6pt;width:160.65pt;z-index:251661312;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D3yG1qqAQAAKgMAAA4AAABkcnMvZTJvRG9jLnhtbK1S&#10;S27bMBDdF8gdCO5jyYrtOILpoECQboo2QJID0BRpERA/5dCWfJoC3fUQPU7Ra3RIKXE/u6IbijN8&#10;ejPvzWxuB9ORowygnWV0PispkVa4Rts9o89P95drSiBy2/DOWcnoSQK93V682fS+lpVrXdfIQJDE&#10;Qt17RtsYfV0UIFppOMyclxYflQuGRwzDvmgC75HddEVVlquid6HxwQkJgNm78ZFuM79SUsSPSoGM&#10;pGMUe4v5DPncpbPYbni9D9y3Wkxt8H/ownBtsegr1R2PnByC/ovKaBEcOBVnwpnCKaWFzBpQzbz8&#10;Q81jy73MWtAc8K82wf+jFR+OD4HoBme3pMRygzP68fnr929fyHyR3Ok91Ah69A9higCvSeqggklf&#10;FEEGRhfV6rpCi0+MXlWr8rpajubKIRKB71W5KKslFhGIWK+vbhCMjMWZyAeI76QzJF0YDTi87Ck/&#10;voc4Ql8gqa5197rrMM/rzv6WQM4xI/MGTH8nJWPv6RaH3TAJ2rnmhCb0uAWMwqcDD8l0juC3h4hF&#10;cu30zwjEnlOAA8ndT8uTJv5rnFHnFd/+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pVqbnZAAAA&#10;CgEAAA8AAAAAAAAAAQAgAAAAIgAAAGRycy9kb3ducmV2LnhtbFBLAQIUABQAAAAIAIdO4kA98hta&#10;qgEAACoDAAAOAAAAAAAAAAEAIAAAACgBAABkcnMvZTJvRG9jLnhtbFBLBQYAAAAABgAGAFkBAABE&#10;BQAAAAA=&#10;">
            <v:path/>
            <v:fill on="f" focussize="0,0"/>
            <v:stroke on="f"/>
            <v:imagedata o:title=""/>
            <o:lock v:ext="edit"/>
            <v:textbox style="mso-fit-shape-to-text:t;">
              <w:txbxContent>
                <w:p>
                  <w:pPr>
                    <w:spacing w:line="360" w:lineRule="auto"/>
                    <w:jc w:val="center"/>
                    <w:rPr>
                      <w:kern w:val="0"/>
                      <w:sz w:val="28"/>
                      <w:szCs w:val="28"/>
                    </w:rPr>
                  </w:pPr>
                  <w:r>
                    <w:rPr>
                      <w:rFonts w:ascii="Yu Gothic UI Semibold" w:hAnsi="Yu Gothic UI Semibold" w:eastAsia="宋体"/>
                      <w:color w:val="FFFFFF"/>
                      <w:kern w:val="24"/>
                      <w:sz w:val="72"/>
                      <w:szCs w:val="72"/>
                    </w:rPr>
                    <w:t>2019</w:t>
                  </w:r>
                </w:p>
              </w:txbxContent>
            </v:textbox>
          </v:rect>
        </w:pict>
      </w:r>
      <w:r>
        <w:pict>
          <v:group id="_x0000_s1034" o:spid="_x0000_s1034" o:spt="203" style="position:absolute;left:0pt;margin-left:1.25pt;margin-top:821.7pt;height:21.45pt;width:595.25pt;z-index:251662336;mso-width-relative:page;mso-height-relative:page;" coordorigin="1483,16692" coordsize="11905,429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C65uoYfQIAAMAGAAAOAAAAZHJzL2Uyb0RvYy54bWzd&#10;Vc2O0zAQviPxDpbvND+0TRttuhIt3QuClRYewHWcH8l/sr1N986BI2+AxI1nWPE4K16DsZNmoewB&#10;LdoLPbixx5lv5vtmJmfnB8HRnhnbKlngZBJjxCRVZSvrAn94v32xwMg6IkvClWQFvmEWn6+ePzvr&#10;dM5S1SheMoPAibR5pwvcOKfzKLK0YYLYidJMgrFSRhAHW1NHpSEdeBc8SuN4HnXKlNooyqyF001v&#10;xKvgv6oYde+qyjKHeIEhNhdWE9adX6PVGclrQ3TT0iEM8ogoBGklgI6uNsQRdG3aP1yJlhplVeUm&#10;VIlIVVVLWcgBsknik2wujLrWIZc672o90gTUnvD0aLf07f7SoLYE7V5iJIkAjX7cfrz7/AnBAbDT&#10;6TqHSxdGX+lLMxzU/c4nfKiM8P+QCjoEXm9GXtnBIQqH2Wy2nGczjCjY0iydJrOeeNqAOv61ZLoA&#10;eLAm8/kyPRpfD+8nyTIe3p6mS2+N7oFZUPmNdf7YRzsG12moKXtPm/032q4aollQw3pGBtqykbUv&#10;3+6+f0VzH55HhisjYza3QN4DdD2U95G1JEnHpBcnSWtj3QVTAvmHAhuo81B+ZD8QQfLjFY9qFW/L&#10;bct52Jh6t+YG7Qn0xHbzap0kg/ffrnGJOtAjzWLoG0qgNytOHDwKDdViZY0R4TU0PXUmYEvlESD7&#10;HntDbNNjBLceguSiddDuvBUFXsT+NyBz6a0nUh5Z82zuVHkDjBvH16pvZSJpo6CTPXwvfVC7J//J&#10;ZYexNjRLL3vmY/hr2dN5DA6Gcg9tBskfiz3OFp5xsE7TJ9M92abL2bGV/g/dQ/PDmAzTYRjpfg7/&#10;ug8j4v7Ds/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01yfJdoAAAAMAQAADwAAAAAAAAABACAA&#10;AAAiAAAAZHJzL2Rvd25yZXYueG1sUEsBAhQAFAAAAAgAh07iQLrm6hh9AgAAwAYAAA4AAAAAAAAA&#10;AQAgAAAAKQEAAGRycy9lMm9Eb2MueG1sUEsFBgAAAAAGAAYAWQEAABgGAAAAAA==&#10;">
            <o:lock v:ext="edit"/>
            <v:rect id="矩形 6" o:spid="_x0000_s103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path/>
              <v:fill on="t" focussize="0,0"/>
              <v:stroke on="f" weight="1pt"/>
              <v:imagedata o:title=""/>
              <o:lock v:ext="edit"/>
            </v:rect>
            <v:rect id="矩形 7" o:spid="_x0000_s1035"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path/>
              <v:fill on="t" focussize="0,0"/>
              <v:stroke on="f" weight="1pt"/>
              <v:imagedata o:title=""/>
              <o:lock v:ext="edit"/>
            </v:rect>
          </v:group>
        </w:pict>
      </w:r>
      <w:r>
        <w:pict>
          <v:rect id="矩形 11" o:spid="_x0000_s1033" o:spt="1" style="position:absolute;left:0pt;margin-left:184.75pt;margin-top:286.6pt;height:31.25pt;width:339.65pt;mso-wrap-style:none;z-index:251663360;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cMDgn5cBAAAdAwAADgAAAGRycy9lMm9Eb2MueG1s&#10;rVJLTsMwEN0jcQfLe5qmpXyipggJwQYBEnAA17EbS/FHHtOkp0FixyE4DuIajJ1QfjvExvaMx2/e&#10;m+f5SacbshYelDUlzUdjSoThtlJmVdL7u/O9I0ogMFOxxhpR0o0AerLY3Zm3rhATW9umEp4giIGi&#10;dSWtQ3BFlgGvhWYwsk4YvJTWaxYw9Kus8qxFdN1kk/H4IGutr5y3XABg9qy/pIuEL6Xg4VpKEIE0&#10;JUVuIa0+rcu4Zos5K1aeuVrxgQb7AwvNlMGmW6gzFhh58OoXlFbcW7AyjLjVmZVScZE0oJp8/EPN&#10;bc2cSFpwOOC2Y4L/g+VX6xtPVIXeTSgxTKNHb4/Pry9PJM/jdFoHBRbduhs/RIDHKLWTXscdRZAu&#10;TXSznajoAuGY3J/m09lsRgnHu+nxwdHhLIJmn6+dh3AhrCbxUFKPjqVBsvUlhL70oyQ2M/ZcNQ3m&#10;WdGYbwnE7DMi2T68jvR7wvEUumU3qFjaaoPKW7S+pAb/ZuoK7vQhYIvUOb7oy5BxDNCDxH34L9Hk&#10;r3Gq+vzVi3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WZBfR2wAAAAwBAAAPAAAAAAAAAAEAIAAA&#10;ACIAAABkcnMvZG93bnJldi54bWxQSwECFAAUAAAACACHTuJAcMDgn5cBAAAdAwAADgAAAAAAAAAB&#10;ACAAAAAqAQAAZHJzL2Uyb0RvYy54bWxQSwUGAAAAAAYABgBZAQAAMwUAAAAA&#10;">
            <v:path/>
            <v:fill on="f" focussize="0,0"/>
            <v:stroke on="f"/>
            <v:imagedata o:title=""/>
            <o:lock v:ext="edit"/>
            <v:textbox style="mso-fit-shape-to-text:t;">
              <w:txbxContent>
                <w:p/>
              </w:txbxContent>
            </v:textbox>
          </v:rect>
        </w:pic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sz w:val="48"/>
          <w:szCs w:val="48"/>
        </w:rPr>
      </w:pPr>
      <w:r>
        <w:pict>
          <v:shape id="_x0000_s1052" o:spid="_x0000_s1052" o:spt="202" type="#_x0000_t202" style="position:absolute;left:0pt;margin-left:29.7pt;margin-top:384.8pt;height:97.55pt;width:404.15pt;z-index:251666432;mso-width-relative:page;mso-height-relative:page;" filled="f" stroked="f" coordsize="21600,21600">
            <v:path/>
            <v:fill on="f" focussize="0,0"/>
            <v:stroke on="f"/>
            <v:imagedata o:title=""/>
            <o:lock v:ext="edit" aspectratio="f"/>
            <v:textbox>
              <w:txbxContent>
                <w:p>
                  <w:pPr>
                    <w:jc w:val="center"/>
                    <w:rPr>
                      <w:rFonts w:ascii="楷体_GB2312" w:hAnsi="楷体_GB2312" w:eastAsia="楷体_GB2312" w:cs="楷体_GB2312"/>
                      <w:color w:val="000000"/>
                      <w:kern w:val="0"/>
                      <w:sz w:val="44"/>
                      <w:szCs w:val="44"/>
                    </w:rPr>
                  </w:pPr>
                  <w:r>
                    <w:rPr>
                      <w:rFonts w:hint="eastAsia" w:ascii="楷体_GB2312" w:hAnsi="楷体_GB2312" w:eastAsia="楷体_GB2312" w:cs="楷体_GB2312"/>
                      <w:color w:val="000000"/>
                      <w:kern w:val="0"/>
                      <w:sz w:val="44"/>
                      <w:szCs w:val="44"/>
                    </w:rPr>
                    <w:t>二〇二〇年八月</w:t>
                  </w:r>
                </w:p>
              </w:txbxContent>
            </v:textbox>
          </v:shape>
        </w:pict>
      </w:r>
      <w:r>
        <w:rPr>
          <w:rFonts w:ascii="黑体" w:hAnsi="Times New Roman" w:eastAsia="黑体"/>
          <w:sz w:val="48"/>
          <w:szCs w:val="48"/>
        </w:rPr>
        <w:br w:type="page"/>
      </w:r>
    </w:p>
    <w:p>
      <w:pPr>
        <w:tabs>
          <w:tab w:val="left" w:pos="2728"/>
        </w:tabs>
        <w:rPr>
          <w:rFonts w:ascii="黑体" w:hAnsi="Times New Roman" w:eastAsia="黑体"/>
          <w:sz w:val="48"/>
          <w:szCs w:val="48"/>
        </w:rPr>
      </w:pPr>
      <w:r>
        <w:rPr>
          <w:rFonts w:ascii="黑体" w:hAnsi="Times New Roman" w:eastAsia="黑体"/>
          <w:sz w:val="48"/>
          <w:szCs w:val="48"/>
        </w:rPr>
        <w:tab/>
      </w:r>
    </w:p>
    <w:p>
      <w:pPr>
        <w:jc w:val="center"/>
        <w:rPr>
          <w:rFonts w:ascii="黑体" w:hAnsi="黑体" w:eastAsia="黑体" w:cs="黑体"/>
          <w:b/>
          <w:bCs/>
          <w:sz w:val="72"/>
          <w:szCs w:val="96"/>
        </w:rPr>
      </w:pPr>
      <w:r>
        <w:rPr>
          <w:rFonts w:ascii="黑体" w:hAnsi="黑体" w:eastAsia="黑体" w:cs="黑体"/>
          <w:b/>
          <w:bCs/>
          <w:sz w:val="72"/>
          <w:szCs w:val="96"/>
        </w:rPr>
        <w:t>2019</w:t>
      </w:r>
      <w:r>
        <w:rPr>
          <w:rFonts w:hint="eastAsia" w:ascii="黑体" w:hAnsi="黑体" w:eastAsia="黑体" w:cs="黑体"/>
          <w:b/>
          <w:bCs/>
          <w:sz w:val="72"/>
          <w:szCs w:val="96"/>
        </w:rPr>
        <w:t>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r>
        <w:drawing>
          <wp:anchor distT="0" distB="0" distL="114300" distR="114300" simplePos="0" relativeHeight="251659264" behindDoc="0" locked="0" layoutInCell="1" allowOverlap="1">
            <wp:simplePos x="0" y="0"/>
            <wp:positionH relativeFrom="column">
              <wp:posOffset>1828165</wp:posOffset>
            </wp:positionH>
            <wp:positionV relativeFrom="paragraph">
              <wp:posOffset>225425</wp:posOffset>
            </wp:positionV>
            <wp:extent cx="1732280" cy="1747520"/>
            <wp:effectExtent l="0" t="0" r="0" b="5080"/>
            <wp:wrapNone/>
            <wp:docPr id="16" name="图片 82" descr="微信图片_20200219142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2" descr="微信图片_20200219142150"/>
                    <pic:cNvPicPr>
                      <a:picLocks noChangeAspect="1"/>
                    </pic:cNvPicPr>
                  </pic:nvPicPr>
                  <pic:blipFill>
                    <a:blip r:embed="rId11"/>
                    <a:stretch>
                      <a:fillRect/>
                    </a:stretch>
                  </pic:blipFill>
                  <pic:spPr>
                    <a:xfrm>
                      <a:off x="0" y="0"/>
                      <a:ext cx="1732280" cy="1747520"/>
                    </a:xfrm>
                    <a:prstGeom prst="rect">
                      <a:avLst/>
                    </a:prstGeom>
                    <a:noFill/>
                    <a:ln>
                      <a:noFill/>
                    </a:ln>
                  </pic:spPr>
                </pic:pic>
              </a:graphicData>
            </a:graphic>
          </wp:anchor>
        </w:drawing>
      </w:r>
    </w:p>
    <w:p>
      <w:pPr>
        <w:snapToGrid w:val="0"/>
        <w:spacing w:line="480" w:lineRule="auto"/>
        <w:jc w:val="center"/>
        <w:rPr>
          <w:rFonts w:ascii="楷体" w:hAnsi="楷体" w:eastAsia="楷体" w:cs="楷体"/>
          <w:sz w:val="44"/>
          <w:szCs w:val="44"/>
        </w:rPr>
      </w:pPr>
      <w:r>
        <w:rPr>
          <w:rFonts w:hint="eastAsia" w:ascii="楷体" w:hAnsi="楷体" w:eastAsia="楷体" w:cs="楷体"/>
          <w:sz w:val="44"/>
          <w:szCs w:val="44"/>
        </w:rPr>
        <w:t>遵化市堡子店镇人民政府</w:t>
      </w:r>
    </w:p>
    <w:p>
      <w:pPr>
        <w:snapToGrid w:val="0"/>
        <w:jc w:val="center"/>
        <w:rPr>
          <w:rFonts w:ascii="楷体_GB2312" w:hAnsi="楷体_GB2312" w:eastAsia="楷体_GB2312" w:cs="楷体_GB2312"/>
          <w:color w:val="000000"/>
          <w:kern w:val="0"/>
          <w:sz w:val="44"/>
          <w:szCs w:val="44"/>
        </w:rPr>
      </w:pPr>
      <w:r>
        <w:rPr>
          <w:rFonts w:hint="eastAsia" w:ascii="楷体_GB2312" w:hAnsi="楷体_GB2312" w:eastAsia="楷体_GB2312" w:cs="楷体_GB2312"/>
          <w:color w:val="000000"/>
          <w:kern w:val="0"/>
          <w:sz w:val="44"/>
          <w:szCs w:val="44"/>
        </w:rPr>
        <w:t>二〇二〇年八月</w:t>
      </w:r>
    </w:p>
    <w:p>
      <w:pPr>
        <w:snapToGrid w:val="0"/>
        <w:jc w:val="center"/>
        <w:rPr>
          <w:rFonts w:ascii="楷体_GB2312" w:hAnsi="楷体_GB2312" w:eastAsia="楷体_GB2312" w:cs="楷体_GB2312"/>
          <w:color w:val="000000"/>
          <w:kern w:val="0"/>
          <w:sz w:val="44"/>
          <w:szCs w:val="44"/>
        </w:rPr>
      </w:pPr>
    </w:p>
    <w:p>
      <w:pPr>
        <w:snapToGrid w:val="0"/>
        <w:jc w:val="center"/>
        <w:rPr>
          <w:rFonts w:ascii="楷体_GB2312" w:hAnsi="楷体_GB2312" w:eastAsia="楷体_GB2312" w:cs="楷体_GB2312"/>
          <w:color w:val="000000"/>
          <w:kern w:val="0"/>
          <w:sz w:val="44"/>
          <w:szCs w:val="44"/>
        </w:rPr>
      </w:pPr>
    </w:p>
    <w:p>
      <w:pPr>
        <w:snapToGrid w:val="0"/>
        <w:jc w:val="center"/>
        <w:rPr>
          <w:rFonts w:ascii="楷体_GB2312" w:hAnsi="楷体_GB2312" w:eastAsia="楷体_GB2312" w:cs="楷体_GB2312"/>
          <w:color w:val="000000"/>
          <w:kern w:val="0"/>
          <w:sz w:val="44"/>
          <w:szCs w:val="44"/>
        </w:rPr>
      </w:pPr>
    </w:p>
    <w:p>
      <w:pPr>
        <w:tabs>
          <w:tab w:val="left" w:pos="2728"/>
        </w:tabs>
        <w:jc w:val="center"/>
        <w:rPr>
          <w:rFonts w:ascii="黑体" w:hAnsi="Times New Roman" w:eastAsia="黑体"/>
          <w:sz w:val="48"/>
          <w:szCs w:val="48"/>
        </w:rPr>
      </w:pPr>
      <w:r>
        <w:rPr>
          <w:rFonts w:hint="eastAsia" w:ascii="黑体" w:hAnsi="Times New Roman" w:eastAsia="黑体"/>
          <w:sz w:val="48"/>
          <w:szCs w:val="48"/>
        </w:rPr>
        <w:t>目录</w:t>
      </w:r>
    </w:p>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仿宋_GB2312"/>
          <w:sz w:val="24"/>
          <w:szCs w:val="32"/>
        </w:rPr>
      </w:pPr>
      <w:r>
        <w:rPr>
          <w:rFonts w:hint="eastAsia" w:ascii="Times New Roman" w:hAnsi="Times New Roman" w:eastAsia="黑体"/>
          <w:sz w:val="32"/>
          <w:szCs w:val="32"/>
        </w:rPr>
        <w:t>第一部分部门概况</w:t>
      </w:r>
    </w:p>
    <w:p>
      <w:pPr>
        <w:widowControl/>
        <w:spacing w:after="160" w:line="580" w:lineRule="exact"/>
        <w:ind w:firstLine="1273" w:firstLineChars="398"/>
        <w:rPr>
          <w:rFonts w:ascii="Times New Roman" w:hAnsi="Times New Roman" w:eastAsia="仿宋_GB2312"/>
          <w:sz w:val="32"/>
          <w:szCs w:val="32"/>
        </w:rPr>
      </w:pPr>
      <w:r>
        <w:rPr>
          <w:rFonts w:hint="eastAsia" w:ascii="Times New Roman" w:hAnsi="Times New Roman" w:eastAsia="仿宋_GB2312"/>
          <w:sz w:val="32"/>
          <w:szCs w:val="32"/>
        </w:rPr>
        <w:t>一、部门职责</w:t>
      </w:r>
    </w:p>
    <w:p>
      <w:pPr>
        <w:widowControl/>
        <w:spacing w:after="160" w:line="580" w:lineRule="exact"/>
        <w:ind w:firstLine="1273" w:firstLineChars="398"/>
        <w:rPr>
          <w:rFonts w:ascii="Times New Roman" w:hAnsi="Times New Roman" w:eastAsia="仿宋_GB2312"/>
          <w:sz w:val="32"/>
          <w:szCs w:val="32"/>
        </w:rPr>
      </w:pPr>
      <w:r>
        <w:rPr>
          <w:rFonts w:hint="eastAsia" w:ascii="Times New Roman" w:hAnsi="Times New Roman" w:eastAsia="仿宋_GB2312"/>
          <w:sz w:val="32"/>
          <w:szCs w:val="32"/>
        </w:rPr>
        <w:t>二、机构设置</w:t>
      </w:r>
    </w:p>
    <w:p>
      <w:pPr>
        <w:widowControl/>
        <w:spacing w:after="160"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第二部分</w:t>
      </w:r>
      <w:r>
        <w:rPr>
          <w:rFonts w:ascii="Times New Roman" w:hAnsi="Times New Roman" w:eastAsia="黑体"/>
          <w:sz w:val="32"/>
          <w:szCs w:val="32"/>
        </w:rPr>
        <w:t xml:space="preserve">   2019</w:t>
      </w:r>
      <w:r>
        <w:rPr>
          <w:rFonts w:hint="eastAsia" w:ascii="Times New Roman" w:hAnsi="Times New Roman" w:eastAsia="黑体"/>
          <w:sz w:val="32"/>
          <w:szCs w:val="32"/>
        </w:rPr>
        <w:t>年部门决算情况说明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一、收入支出决算总体情况说明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二、收入决算情况说明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三、支出决算情况说明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五、一般公共预算</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经费支出决算情况说明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六、预算绩效情况说明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七、其他重要事项的说明</w:t>
      </w:r>
    </w:p>
    <w:p>
      <w:pPr>
        <w:widowControl/>
        <w:spacing w:after="160"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第三部分名词解释</w:t>
      </w:r>
    </w:p>
    <w:p>
      <w:pPr>
        <w:widowControl/>
        <w:spacing w:after="160" w:line="580" w:lineRule="exact"/>
        <w:ind w:firstLine="640" w:firstLineChars="200"/>
        <w:rPr>
          <w:rFonts w:ascii="Times New Roman" w:hAnsi="Times New Roman" w:eastAsia="仿宋_GB2312"/>
          <w:sz w:val="20"/>
          <w:szCs w:val="32"/>
        </w:rPr>
      </w:pPr>
      <w:r>
        <w:rPr>
          <w:rFonts w:hint="eastAsia" w:ascii="Times New Roman" w:hAnsi="Times New Roman" w:eastAsia="黑体"/>
          <w:sz w:val="32"/>
          <w:szCs w:val="32"/>
        </w:rPr>
        <w:t>第四部分</w:t>
      </w:r>
      <w:r>
        <w:rPr>
          <w:rFonts w:ascii="Times New Roman" w:hAnsi="Times New Roman" w:eastAsia="黑体"/>
          <w:sz w:val="32"/>
          <w:szCs w:val="32"/>
        </w:rPr>
        <w:t xml:space="preserve">  2019</w:t>
      </w:r>
      <w:r>
        <w:rPr>
          <w:rFonts w:hint="eastAsia" w:ascii="Times New Roman" w:hAnsi="Times New Roman" w:eastAsia="黑体"/>
          <w:sz w:val="32"/>
          <w:szCs w:val="32"/>
        </w:rPr>
        <w:t>年度部门决算报表</w:t>
      </w:r>
    </w:p>
    <w:p>
      <w:pPr>
        <w:widowControl/>
        <w:spacing w:line="580" w:lineRule="exact"/>
        <w:rPr>
          <w:rFonts w:eastAsia="仿宋_GB2312"/>
          <w:sz w:val="32"/>
          <w:szCs w:val="32"/>
        </w:rPr>
      </w:pPr>
    </w:p>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黑体"/>
          <w:sz w:val="32"/>
          <w:szCs w:val="32"/>
        </w:rPr>
        <w:sectPr>
          <w:headerReference r:id="rId5" w:type="first"/>
          <w:footerReference r:id="rId7" w:type="first"/>
          <w:headerReference r:id="rId4" w:type="default"/>
          <w:footerReference r:id="rId6"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jc w:val="center"/>
        <w:rPr>
          <w:rFonts w:ascii="黑体" w:hAnsi="黑体" w:eastAsia="黑体" w:cs="黑体"/>
          <w:color w:val="000000"/>
          <w:sz w:val="72"/>
          <w:szCs w:val="72"/>
        </w:rPr>
      </w:pPr>
      <w:r>
        <w:rPr>
          <w:rFonts w:hint="eastAsia" w:ascii="黑体" w:hAnsi="黑体" w:eastAsia="黑体" w:cs="黑体"/>
          <w:color w:val="000000"/>
          <w:sz w:val="72"/>
          <w:szCs w:val="72"/>
        </w:rPr>
        <w:t>第一部分部门概况</w:t>
      </w:r>
    </w:p>
    <w:p>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spacing w:line="560" w:lineRule="exact"/>
        <w:ind w:firstLine="640" w:firstLineChars="200"/>
        <w:rPr>
          <w:rFonts w:ascii="仿宋" w:hAnsi="仿宋" w:eastAsia="仿宋"/>
          <w:sz w:val="32"/>
          <w:szCs w:val="32"/>
        </w:rPr>
      </w:pPr>
      <w:r>
        <w:rPr>
          <w:rFonts w:hint="eastAsia" w:ascii="仿宋" w:hAnsi="仿宋" w:eastAsia="仿宋" w:cs="仿宋_GB2312"/>
          <w:sz w:val="32"/>
          <w:szCs w:val="32"/>
        </w:rPr>
        <w:t>根据《唐山市机构编制委员会关于印发〈遵化市乡镇机构改革方案〉的通知》（唐机编字［</w:t>
      </w:r>
      <w:r>
        <w:rPr>
          <w:rFonts w:ascii="仿宋" w:hAnsi="仿宋" w:eastAsia="仿宋" w:cs="仿宋_GB2312"/>
          <w:sz w:val="32"/>
          <w:szCs w:val="32"/>
        </w:rPr>
        <w:t>2011</w:t>
      </w:r>
      <w:r>
        <w:rPr>
          <w:rFonts w:hint="eastAsia" w:ascii="仿宋" w:hAnsi="仿宋" w:eastAsia="仿宋" w:cs="仿宋_GB2312"/>
          <w:sz w:val="32"/>
          <w:szCs w:val="32"/>
        </w:rPr>
        <w:t>］</w:t>
      </w:r>
      <w:r>
        <w:rPr>
          <w:rFonts w:ascii="仿宋" w:hAnsi="仿宋" w:eastAsia="仿宋" w:cs="仿宋_GB2312"/>
          <w:sz w:val="32"/>
          <w:szCs w:val="32"/>
        </w:rPr>
        <w:t>27</w:t>
      </w:r>
      <w:r>
        <w:rPr>
          <w:rFonts w:hint="eastAsia" w:ascii="仿宋" w:hAnsi="仿宋" w:eastAsia="仿宋" w:cs="仿宋_GB2312"/>
          <w:sz w:val="32"/>
          <w:szCs w:val="32"/>
        </w:rPr>
        <w:t>号）</w:t>
      </w:r>
      <w:r>
        <w:rPr>
          <w:rFonts w:hint="eastAsia" w:ascii="仿宋" w:hAnsi="仿宋" w:eastAsia="仿宋"/>
          <w:sz w:val="32"/>
          <w:szCs w:val="32"/>
        </w:rPr>
        <w:t>文件，我单位主要职责是：</w:t>
      </w:r>
    </w:p>
    <w:p>
      <w:pPr>
        <w:spacing w:line="560" w:lineRule="exact"/>
        <w:ind w:firstLine="639"/>
        <w:rPr>
          <w:rFonts w:ascii="仿宋" w:hAnsi="仿宋" w:eastAsia="仿宋" w:cs="仿宋_GB2312"/>
          <w:sz w:val="32"/>
          <w:szCs w:val="32"/>
        </w:rPr>
      </w:pPr>
      <w:r>
        <w:rPr>
          <w:rFonts w:ascii="仿宋" w:hAnsi="仿宋" w:eastAsia="仿宋"/>
          <w:sz w:val="32"/>
          <w:szCs w:val="32"/>
        </w:rPr>
        <w:t xml:space="preserve"> 1</w:t>
      </w:r>
      <w:r>
        <w:rPr>
          <w:rFonts w:hint="eastAsia" w:ascii="仿宋" w:hAnsi="仿宋" w:eastAsia="仿宋" w:cs="仿宋_GB2312"/>
          <w:sz w:val="32"/>
          <w:szCs w:val="32"/>
        </w:rPr>
        <w:t>、促进经济发展，增加农民收入。依据市国民经济和社会发展中长期规划及年度计划，结合本镇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镇化进程；营造良好的发展环境，提高经济发展的质量和水平，促进招商引资和项目建设工作。</w:t>
      </w:r>
    </w:p>
    <w:p>
      <w:pPr>
        <w:spacing w:line="560" w:lineRule="exact"/>
        <w:ind w:firstLine="639"/>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提供公共服务，着力改善民生。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pPr>
        <w:spacing w:line="560" w:lineRule="exact"/>
        <w:ind w:firstLine="639"/>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加强社会管理，维护农村稳定。组织、监督国家法律法规和基本公共政策在农村的实施，制定社会主义新农村和文明生态村建设的规划和措施；加强乡村财政资金监管和乡村建设等社会事务的行政管理，促进各项社会事业的发展；协助市直有关部门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pPr>
        <w:spacing w:line="560" w:lineRule="exact"/>
        <w:ind w:firstLine="639"/>
        <w:rPr>
          <w:rFonts w:ascii="仿宋" w:hAnsi="仿宋" w:eastAsia="仿宋" w:cs="仿宋_GB2312"/>
          <w:sz w:val="32"/>
          <w:szCs w:val="32"/>
        </w:rPr>
      </w:pPr>
      <w:r>
        <w:rPr>
          <w:rFonts w:ascii="仿宋" w:hAnsi="仿宋" w:eastAsia="仿宋" w:cs="仿宋_GB2312"/>
          <w:sz w:val="32"/>
          <w:szCs w:val="32"/>
        </w:rPr>
        <w:t>4</w:t>
      </w:r>
      <w:r>
        <w:rPr>
          <w:rFonts w:hint="eastAsia" w:ascii="仿宋" w:hAnsi="仿宋" w:eastAsia="仿宋" w:cs="仿宋_GB2312"/>
          <w:sz w:val="32"/>
          <w:szCs w:val="32"/>
        </w:rPr>
        <w:t>、推进基层民主，促进农村和谐。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pPr>
        <w:widowControl/>
        <w:spacing w:line="580" w:lineRule="exact"/>
        <w:ind w:firstLine="640" w:firstLineChars="200"/>
        <w:rPr>
          <w:rFonts w:ascii="仿宋_GB2312" w:hAnsi="Calibri" w:eastAsia="仿宋_GB2312" w:cs="ArialUnicodeMS"/>
          <w:kern w:val="0"/>
          <w:sz w:val="32"/>
          <w:szCs w:val="32"/>
        </w:rPr>
      </w:pP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w:t>
      </w:r>
      <w:r>
        <w:rPr>
          <w:rFonts w:ascii="仿宋_GB2312" w:hAnsi="Calibri" w:eastAsia="仿宋_GB2312" w:cs="ArialUnicodeMS"/>
          <w:kern w:val="0"/>
          <w:sz w:val="32"/>
          <w:szCs w:val="32"/>
        </w:rPr>
        <w:t xml:space="preserve">2019 </w:t>
      </w:r>
      <w:r>
        <w:rPr>
          <w:rFonts w:hint="eastAsia" w:ascii="仿宋_GB2312" w:hAnsi="Calibri" w:eastAsia="仿宋_GB2312" w:cs="ArialUnicodeMS"/>
          <w:kern w:val="0"/>
          <w:sz w:val="32"/>
          <w:szCs w:val="32"/>
        </w:rPr>
        <w:t>年度本部门决算汇编范围的独立核算单位（以下简称“单位”）共1个，具体情况如下：</w:t>
      </w:r>
    </w:p>
    <w:tbl>
      <w:tblPr>
        <w:tblStyle w:val="6"/>
        <w:tblW w:w="94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51"/>
        <w:gridCol w:w="1540"/>
        <w:gridCol w:w="1512"/>
        <w:gridCol w:w="2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551" w:type="dxa"/>
            <w:vMerge w:val="restart"/>
            <w:noWrap/>
            <w:vAlign w:val="center"/>
          </w:tcPr>
          <w:p>
            <w:pPr>
              <w:spacing w:line="300" w:lineRule="exact"/>
              <w:jc w:val="center"/>
              <w:rPr>
                <w:rFonts w:ascii="黑体" w:hAnsi="黑体" w:eastAsia="黑体" w:cs="黑体"/>
                <w:b/>
                <w:bCs/>
                <w:sz w:val="28"/>
                <w:szCs w:val="28"/>
              </w:rPr>
            </w:pPr>
            <w:r>
              <w:rPr>
                <w:rFonts w:hint="eastAsia" w:ascii="黑体" w:hAnsi="黑体" w:eastAsia="黑体" w:cs="黑体"/>
                <w:b/>
                <w:bCs/>
                <w:sz w:val="28"/>
                <w:szCs w:val="28"/>
              </w:rPr>
              <w:t>单位名称</w:t>
            </w:r>
          </w:p>
        </w:tc>
        <w:tc>
          <w:tcPr>
            <w:tcW w:w="1540" w:type="dxa"/>
            <w:vMerge w:val="restart"/>
            <w:noWrap/>
            <w:vAlign w:val="center"/>
          </w:tcPr>
          <w:p>
            <w:pPr>
              <w:spacing w:line="300" w:lineRule="exact"/>
              <w:jc w:val="center"/>
              <w:rPr>
                <w:rFonts w:ascii="黑体" w:hAnsi="黑体" w:eastAsia="黑体" w:cs="黑体"/>
                <w:b/>
                <w:bCs/>
                <w:sz w:val="28"/>
                <w:szCs w:val="28"/>
              </w:rPr>
            </w:pPr>
            <w:r>
              <w:rPr>
                <w:rFonts w:hint="eastAsia" w:ascii="黑体" w:hAnsi="黑体" w:eastAsia="黑体" w:cs="黑体"/>
                <w:b/>
                <w:bCs/>
                <w:sz w:val="28"/>
                <w:szCs w:val="28"/>
              </w:rPr>
              <w:t>单位性质</w:t>
            </w:r>
          </w:p>
        </w:tc>
        <w:tc>
          <w:tcPr>
            <w:tcW w:w="1512" w:type="dxa"/>
            <w:vMerge w:val="restart"/>
            <w:noWrap/>
            <w:vAlign w:val="center"/>
          </w:tcPr>
          <w:p>
            <w:pPr>
              <w:spacing w:line="300" w:lineRule="exact"/>
              <w:jc w:val="center"/>
              <w:rPr>
                <w:rFonts w:ascii="黑体" w:hAnsi="黑体" w:eastAsia="黑体" w:cs="黑体"/>
                <w:b/>
                <w:bCs/>
                <w:sz w:val="28"/>
                <w:szCs w:val="28"/>
              </w:rPr>
            </w:pPr>
            <w:r>
              <w:rPr>
                <w:rFonts w:hint="eastAsia" w:ascii="黑体" w:hAnsi="黑体" w:eastAsia="黑体" w:cs="黑体"/>
                <w:b/>
                <w:bCs/>
                <w:sz w:val="28"/>
                <w:szCs w:val="28"/>
              </w:rPr>
              <w:t>单位规格</w:t>
            </w:r>
          </w:p>
        </w:tc>
        <w:tc>
          <w:tcPr>
            <w:tcW w:w="2871" w:type="dxa"/>
            <w:vMerge w:val="restart"/>
            <w:noWrap/>
            <w:vAlign w:val="center"/>
          </w:tcPr>
          <w:p>
            <w:pPr>
              <w:spacing w:line="300" w:lineRule="exact"/>
              <w:jc w:val="center"/>
              <w:rPr>
                <w:rFonts w:ascii="黑体" w:hAnsi="黑体" w:eastAsia="黑体" w:cs="黑体"/>
                <w:b/>
                <w:bCs/>
                <w:sz w:val="28"/>
                <w:szCs w:val="28"/>
              </w:rPr>
            </w:pPr>
            <w:r>
              <w:rPr>
                <w:rFonts w:hint="eastAsia" w:ascii="黑体" w:hAnsi="黑体" w:eastAsia="黑体" w:cs="黑体"/>
                <w:b/>
                <w:bCs/>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551" w:type="dxa"/>
            <w:vMerge w:val="continue"/>
            <w:noWrap/>
            <w:vAlign w:val="center"/>
          </w:tcPr>
          <w:p>
            <w:pPr>
              <w:spacing w:line="300" w:lineRule="exact"/>
              <w:jc w:val="left"/>
              <w:outlineLvl w:val="0"/>
              <w:rPr>
                <w:rFonts w:ascii="黑体" w:hAnsi="黑体" w:eastAsia="黑体" w:cs="黑体"/>
                <w:sz w:val="28"/>
                <w:szCs w:val="28"/>
              </w:rPr>
            </w:pPr>
          </w:p>
        </w:tc>
        <w:tc>
          <w:tcPr>
            <w:tcW w:w="1540" w:type="dxa"/>
            <w:vMerge w:val="continue"/>
            <w:noWrap/>
            <w:vAlign w:val="center"/>
          </w:tcPr>
          <w:p>
            <w:pPr>
              <w:spacing w:line="300" w:lineRule="exact"/>
              <w:jc w:val="left"/>
              <w:outlineLvl w:val="0"/>
              <w:rPr>
                <w:rFonts w:ascii="黑体" w:hAnsi="黑体" w:eastAsia="黑体" w:cs="黑体"/>
                <w:sz w:val="28"/>
                <w:szCs w:val="28"/>
              </w:rPr>
            </w:pPr>
          </w:p>
        </w:tc>
        <w:tc>
          <w:tcPr>
            <w:tcW w:w="1512" w:type="dxa"/>
            <w:vMerge w:val="continue"/>
            <w:noWrap/>
            <w:vAlign w:val="center"/>
          </w:tcPr>
          <w:p>
            <w:pPr>
              <w:spacing w:line="300" w:lineRule="exact"/>
              <w:jc w:val="left"/>
              <w:outlineLvl w:val="0"/>
              <w:rPr>
                <w:rFonts w:ascii="黑体" w:hAnsi="黑体" w:eastAsia="黑体" w:cs="黑体"/>
                <w:sz w:val="28"/>
                <w:szCs w:val="28"/>
              </w:rPr>
            </w:pPr>
          </w:p>
        </w:tc>
        <w:tc>
          <w:tcPr>
            <w:tcW w:w="2871" w:type="dxa"/>
            <w:vMerge w:val="continue"/>
            <w:noWrap/>
            <w:vAlign w:val="center"/>
          </w:tcPr>
          <w:p>
            <w:pPr>
              <w:spacing w:line="300" w:lineRule="exact"/>
              <w:jc w:val="left"/>
              <w:outlineLvl w:val="0"/>
              <w:rPr>
                <w:rFonts w:ascii="黑体" w:hAnsi="黑体" w:eastAsia="黑体" w:cs="黑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51" w:type="dxa"/>
            <w:noWrap/>
            <w:vAlign w:val="center"/>
          </w:tcPr>
          <w:p>
            <w:pPr>
              <w:spacing w:line="300" w:lineRule="exact"/>
              <w:jc w:val="center"/>
              <w:rPr>
                <w:rFonts w:ascii="黑体" w:hAnsi="黑体" w:eastAsia="黑体" w:cs="黑体"/>
                <w:b/>
                <w:bCs/>
                <w:sz w:val="28"/>
                <w:szCs w:val="28"/>
              </w:rPr>
            </w:pPr>
            <w:r>
              <w:rPr>
                <w:rFonts w:hint="eastAsia" w:ascii="黑体" w:hAnsi="黑体" w:eastAsia="黑体" w:cs="黑体"/>
                <w:b/>
                <w:bCs/>
                <w:sz w:val="28"/>
                <w:szCs w:val="28"/>
              </w:rPr>
              <w:t>合    计</w:t>
            </w:r>
          </w:p>
        </w:tc>
        <w:tc>
          <w:tcPr>
            <w:tcW w:w="1540" w:type="dxa"/>
            <w:noWrap/>
            <w:vAlign w:val="center"/>
          </w:tcPr>
          <w:p>
            <w:pPr>
              <w:spacing w:line="300" w:lineRule="exact"/>
              <w:jc w:val="center"/>
              <w:rPr>
                <w:rFonts w:ascii="黑体" w:hAnsi="黑体" w:eastAsia="黑体" w:cs="黑体"/>
                <w:b/>
                <w:bCs/>
                <w:sz w:val="28"/>
                <w:szCs w:val="28"/>
              </w:rPr>
            </w:pPr>
          </w:p>
        </w:tc>
        <w:tc>
          <w:tcPr>
            <w:tcW w:w="1512" w:type="dxa"/>
            <w:noWrap/>
            <w:vAlign w:val="center"/>
          </w:tcPr>
          <w:p>
            <w:pPr>
              <w:spacing w:line="300" w:lineRule="exact"/>
              <w:jc w:val="center"/>
              <w:rPr>
                <w:rFonts w:ascii="黑体" w:hAnsi="黑体" w:eastAsia="黑体" w:cs="黑体"/>
                <w:b/>
                <w:bCs/>
                <w:sz w:val="28"/>
                <w:szCs w:val="28"/>
              </w:rPr>
            </w:pPr>
          </w:p>
        </w:tc>
        <w:tc>
          <w:tcPr>
            <w:tcW w:w="2871" w:type="dxa"/>
            <w:noWrap/>
            <w:vAlign w:val="center"/>
          </w:tcPr>
          <w:p>
            <w:pPr>
              <w:spacing w:line="300" w:lineRule="exact"/>
              <w:jc w:val="center"/>
              <w:rPr>
                <w:rFonts w:ascii="黑体" w:hAnsi="黑体" w:eastAsia="黑体" w:cs="黑体"/>
                <w:b/>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3551" w:type="dxa"/>
            <w:noWrap/>
            <w:vAlign w:val="center"/>
          </w:tcPr>
          <w:p>
            <w:pPr>
              <w:spacing w:line="300" w:lineRule="exact"/>
              <w:jc w:val="left"/>
              <w:rPr>
                <w:rFonts w:ascii="宋体" w:hAnsi="宋体" w:cs="黑体"/>
                <w:sz w:val="28"/>
                <w:szCs w:val="28"/>
              </w:rPr>
            </w:pPr>
            <w:r>
              <w:rPr>
                <w:rFonts w:hint="eastAsia" w:ascii="宋体" w:hAnsi="宋体" w:cs="黑体"/>
                <w:sz w:val="28"/>
                <w:szCs w:val="28"/>
              </w:rPr>
              <w:t>遵化市堡子店镇人民政府</w:t>
            </w:r>
          </w:p>
        </w:tc>
        <w:tc>
          <w:tcPr>
            <w:tcW w:w="1540" w:type="dxa"/>
            <w:noWrap/>
            <w:vAlign w:val="center"/>
          </w:tcPr>
          <w:p>
            <w:pPr>
              <w:spacing w:line="300" w:lineRule="exact"/>
              <w:jc w:val="center"/>
              <w:rPr>
                <w:rFonts w:ascii="宋体" w:hAnsi="宋体" w:cs="黑体"/>
                <w:sz w:val="28"/>
                <w:szCs w:val="28"/>
              </w:rPr>
            </w:pPr>
            <w:r>
              <w:rPr>
                <w:rFonts w:hint="eastAsia" w:ascii="宋体" w:hAnsi="宋体" w:cs="黑体"/>
                <w:sz w:val="28"/>
                <w:szCs w:val="28"/>
              </w:rPr>
              <w:t>行政</w:t>
            </w:r>
          </w:p>
        </w:tc>
        <w:tc>
          <w:tcPr>
            <w:tcW w:w="1512" w:type="dxa"/>
            <w:noWrap/>
            <w:vAlign w:val="center"/>
          </w:tcPr>
          <w:p>
            <w:pPr>
              <w:spacing w:line="300" w:lineRule="exact"/>
              <w:jc w:val="center"/>
              <w:rPr>
                <w:rFonts w:ascii="宋体" w:hAnsi="宋体" w:cs="黑体"/>
                <w:sz w:val="28"/>
                <w:szCs w:val="28"/>
              </w:rPr>
            </w:pPr>
            <w:r>
              <w:rPr>
                <w:rFonts w:hint="eastAsia" w:ascii="宋体" w:hAnsi="宋体" w:cs="黑体"/>
                <w:sz w:val="28"/>
                <w:szCs w:val="28"/>
              </w:rPr>
              <w:t>正科级</w:t>
            </w:r>
          </w:p>
        </w:tc>
        <w:tc>
          <w:tcPr>
            <w:tcW w:w="2871" w:type="dxa"/>
            <w:noWrap/>
            <w:vAlign w:val="center"/>
          </w:tcPr>
          <w:p>
            <w:pPr>
              <w:spacing w:line="300" w:lineRule="exact"/>
              <w:jc w:val="center"/>
              <w:rPr>
                <w:rFonts w:ascii="宋体" w:hAnsi="宋体" w:cs="黑体"/>
                <w:sz w:val="28"/>
                <w:szCs w:val="28"/>
              </w:rPr>
            </w:pPr>
            <w:r>
              <w:rPr>
                <w:rFonts w:hint="eastAsia" w:ascii="宋体" w:hAnsi="宋体"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51" w:type="dxa"/>
            <w:noWrap/>
            <w:vAlign w:val="center"/>
          </w:tcPr>
          <w:p>
            <w:pPr>
              <w:spacing w:line="300" w:lineRule="exact"/>
              <w:jc w:val="left"/>
              <w:rPr>
                <w:rFonts w:ascii="宋体" w:hAnsi="宋体" w:cs="黑体"/>
                <w:sz w:val="28"/>
                <w:szCs w:val="28"/>
              </w:rPr>
            </w:pPr>
            <w:r>
              <w:rPr>
                <w:rFonts w:hint="eastAsia" w:ascii="宋体" w:hAnsi="宋体" w:cs="黑体"/>
                <w:sz w:val="28"/>
                <w:szCs w:val="28"/>
              </w:rPr>
              <w:t>遵化市堡子店镇党政综合办公室</w:t>
            </w:r>
          </w:p>
        </w:tc>
        <w:tc>
          <w:tcPr>
            <w:tcW w:w="1540" w:type="dxa"/>
            <w:noWrap/>
            <w:vAlign w:val="center"/>
          </w:tcPr>
          <w:p>
            <w:pPr>
              <w:spacing w:line="300" w:lineRule="exact"/>
              <w:jc w:val="center"/>
              <w:rPr>
                <w:rFonts w:ascii="宋体" w:hAnsi="宋体" w:cs="黑体"/>
                <w:sz w:val="28"/>
                <w:szCs w:val="28"/>
              </w:rPr>
            </w:pPr>
            <w:r>
              <w:rPr>
                <w:rFonts w:hint="eastAsia" w:ascii="宋体" w:hAnsi="宋体" w:cs="黑体"/>
                <w:sz w:val="28"/>
                <w:szCs w:val="28"/>
              </w:rPr>
              <w:t>行政</w:t>
            </w:r>
          </w:p>
        </w:tc>
        <w:tc>
          <w:tcPr>
            <w:tcW w:w="1512" w:type="dxa"/>
            <w:noWrap/>
            <w:vAlign w:val="center"/>
          </w:tcPr>
          <w:p>
            <w:pPr>
              <w:spacing w:line="300" w:lineRule="exact"/>
              <w:jc w:val="center"/>
              <w:rPr>
                <w:rFonts w:ascii="宋体" w:hAnsi="宋体" w:cs="黑体"/>
                <w:sz w:val="28"/>
                <w:szCs w:val="28"/>
              </w:rPr>
            </w:pPr>
            <w:r>
              <w:rPr>
                <w:rFonts w:hint="eastAsia" w:ascii="宋体" w:hAnsi="宋体" w:cs="黑体"/>
                <w:sz w:val="28"/>
                <w:szCs w:val="28"/>
              </w:rPr>
              <w:t>正科级</w:t>
            </w:r>
          </w:p>
        </w:tc>
        <w:tc>
          <w:tcPr>
            <w:tcW w:w="2871" w:type="dxa"/>
            <w:noWrap/>
            <w:vAlign w:val="center"/>
          </w:tcPr>
          <w:p>
            <w:pPr>
              <w:spacing w:line="300" w:lineRule="exact"/>
              <w:jc w:val="center"/>
              <w:rPr>
                <w:rFonts w:ascii="宋体" w:hAnsi="宋体" w:cs="黑体"/>
                <w:sz w:val="28"/>
                <w:szCs w:val="28"/>
              </w:rPr>
            </w:pPr>
            <w:r>
              <w:rPr>
                <w:rFonts w:hint="eastAsia" w:ascii="宋体" w:hAnsi="宋体"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51" w:type="dxa"/>
            <w:noWrap/>
            <w:vAlign w:val="center"/>
          </w:tcPr>
          <w:p>
            <w:pPr>
              <w:spacing w:line="300" w:lineRule="exact"/>
              <w:jc w:val="left"/>
              <w:rPr>
                <w:rFonts w:ascii="宋体" w:hAnsi="宋体" w:cs="黑体"/>
                <w:sz w:val="28"/>
                <w:szCs w:val="28"/>
              </w:rPr>
            </w:pPr>
            <w:r>
              <w:rPr>
                <w:rFonts w:hint="eastAsia" w:ascii="宋体" w:hAnsi="宋体" w:cs="黑体"/>
                <w:sz w:val="28"/>
                <w:szCs w:val="28"/>
              </w:rPr>
              <w:t>遵化市堡子店镇社会事务办公室</w:t>
            </w:r>
          </w:p>
        </w:tc>
        <w:tc>
          <w:tcPr>
            <w:tcW w:w="1540" w:type="dxa"/>
            <w:noWrap/>
            <w:vAlign w:val="center"/>
          </w:tcPr>
          <w:p>
            <w:pPr>
              <w:spacing w:line="300" w:lineRule="exact"/>
              <w:jc w:val="center"/>
              <w:rPr>
                <w:rFonts w:ascii="宋体" w:hAnsi="宋体" w:cs="黑体"/>
                <w:sz w:val="28"/>
                <w:szCs w:val="28"/>
              </w:rPr>
            </w:pPr>
            <w:r>
              <w:rPr>
                <w:rFonts w:hint="eastAsia" w:ascii="宋体" w:hAnsi="宋体" w:cs="黑体"/>
                <w:sz w:val="28"/>
                <w:szCs w:val="28"/>
              </w:rPr>
              <w:t>行政</w:t>
            </w:r>
          </w:p>
        </w:tc>
        <w:tc>
          <w:tcPr>
            <w:tcW w:w="1512" w:type="dxa"/>
            <w:noWrap/>
            <w:vAlign w:val="center"/>
          </w:tcPr>
          <w:p>
            <w:pPr>
              <w:spacing w:line="300" w:lineRule="exact"/>
              <w:jc w:val="center"/>
              <w:rPr>
                <w:rFonts w:ascii="宋体" w:hAnsi="宋体" w:cs="黑体"/>
                <w:sz w:val="28"/>
                <w:szCs w:val="28"/>
              </w:rPr>
            </w:pPr>
            <w:r>
              <w:rPr>
                <w:rFonts w:hint="eastAsia" w:ascii="宋体" w:hAnsi="宋体" w:cs="黑体"/>
                <w:sz w:val="28"/>
                <w:szCs w:val="28"/>
              </w:rPr>
              <w:t>正科级</w:t>
            </w:r>
          </w:p>
        </w:tc>
        <w:tc>
          <w:tcPr>
            <w:tcW w:w="2871" w:type="dxa"/>
            <w:noWrap/>
            <w:vAlign w:val="center"/>
          </w:tcPr>
          <w:p>
            <w:pPr>
              <w:spacing w:line="300" w:lineRule="exact"/>
              <w:jc w:val="center"/>
              <w:rPr>
                <w:rFonts w:ascii="宋体" w:hAnsi="宋体" w:cs="黑体"/>
                <w:sz w:val="28"/>
                <w:szCs w:val="28"/>
              </w:rPr>
            </w:pPr>
            <w:r>
              <w:rPr>
                <w:rFonts w:hint="eastAsia" w:ascii="宋体" w:hAnsi="宋体"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3551" w:type="dxa"/>
            <w:noWrap/>
            <w:vAlign w:val="center"/>
          </w:tcPr>
          <w:p>
            <w:pPr>
              <w:spacing w:line="300" w:lineRule="exact"/>
              <w:jc w:val="left"/>
              <w:rPr>
                <w:rFonts w:ascii="宋体" w:hAnsi="宋体" w:cs="黑体"/>
                <w:sz w:val="28"/>
                <w:szCs w:val="28"/>
              </w:rPr>
            </w:pPr>
            <w:r>
              <w:rPr>
                <w:rFonts w:hint="eastAsia" w:ascii="宋体" w:hAnsi="宋体" w:cs="黑体"/>
                <w:sz w:val="28"/>
                <w:szCs w:val="28"/>
              </w:rPr>
              <w:t>遵化市堡子店镇经济发展办公室</w:t>
            </w:r>
          </w:p>
        </w:tc>
        <w:tc>
          <w:tcPr>
            <w:tcW w:w="1540" w:type="dxa"/>
            <w:noWrap/>
            <w:vAlign w:val="center"/>
          </w:tcPr>
          <w:p>
            <w:pPr>
              <w:spacing w:line="300" w:lineRule="exact"/>
              <w:jc w:val="center"/>
              <w:rPr>
                <w:rFonts w:ascii="宋体" w:hAnsi="宋体" w:cs="黑体"/>
                <w:sz w:val="28"/>
                <w:szCs w:val="28"/>
              </w:rPr>
            </w:pPr>
            <w:r>
              <w:rPr>
                <w:rFonts w:hint="eastAsia" w:ascii="宋体" w:hAnsi="宋体" w:cs="黑体"/>
                <w:sz w:val="28"/>
                <w:szCs w:val="28"/>
              </w:rPr>
              <w:t>行政</w:t>
            </w:r>
          </w:p>
        </w:tc>
        <w:tc>
          <w:tcPr>
            <w:tcW w:w="1512" w:type="dxa"/>
            <w:noWrap/>
            <w:vAlign w:val="center"/>
          </w:tcPr>
          <w:p>
            <w:pPr>
              <w:spacing w:line="300" w:lineRule="exact"/>
              <w:jc w:val="center"/>
              <w:rPr>
                <w:rFonts w:ascii="宋体" w:hAnsi="宋体" w:cs="黑体"/>
                <w:sz w:val="28"/>
                <w:szCs w:val="28"/>
              </w:rPr>
            </w:pPr>
            <w:r>
              <w:rPr>
                <w:rFonts w:hint="eastAsia" w:ascii="宋体" w:hAnsi="宋体" w:cs="黑体"/>
                <w:sz w:val="28"/>
                <w:szCs w:val="28"/>
              </w:rPr>
              <w:t>正科级</w:t>
            </w:r>
          </w:p>
        </w:tc>
        <w:tc>
          <w:tcPr>
            <w:tcW w:w="2871" w:type="dxa"/>
            <w:noWrap/>
            <w:vAlign w:val="center"/>
          </w:tcPr>
          <w:p>
            <w:pPr>
              <w:spacing w:line="300" w:lineRule="exact"/>
              <w:jc w:val="center"/>
              <w:rPr>
                <w:rFonts w:ascii="宋体" w:hAnsi="宋体" w:cs="黑体"/>
                <w:sz w:val="28"/>
                <w:szCs w:val="28"/>
              </w:rPr>
            </w:pPr>
            <w:r>
              <w:rPr>
                <w:rFonts w:hint="eastAsia" w:ascii="宋体" w:hAnsi="宋体"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51" w:type="dxa"/>
            <w:noWrap/>
            <w:vAlign w:val="center"/>
          </w:tcPr>
          <w:p>
            <w:pPr>
              <w:spacing w:line="300" w:lineRule="exact"/>
              <w:jc w:val="left"/>
              <w:rPr>
                <w:rFonts w:ascii="宋体" w:hAnsi="宋体" w:cs="黑体"/>
                <w:sz w:val="28"/>
                <w:szCs w:val="28"/>
              </w:rPr>
            </w:pPr>
            <w:r>
              <w:rPr>
                <w:rFonts w:hint="eastAsia" w:ascii="宋体" w:hAnsi="宋体" w:cs="黑体"/>
                <w:sz w:val="28"/>
                <w:szCs w:val="28"/>
              </w:rPr>
              <w:t>遵化市堡子店镇城镇建设办公室</w:t>
            </w:r>
          </w:p>
        </w:tc>
        <w:tc>
          <w:tcPr>
            <w:tcW w:w="1540" w:type="dxa"/>
            <w:noWrap/>
            <w:vAlign w:val="center"/>
          </w:tcPr>
          <w:p>
            <w:pPr>
              <w:spacing w:line="300" w:lineRule="exact"/>
              <w:jc w:val="center"/>
              <w:rPr>
                <w:rFonts w:ascii="宋体" w:hAnsi="宋体" w:cs="黑体"/>
                <w:sz w:val="28"/>
                <w:szCs w:val="28"/>
              </w:rPr>
            </w:pPr>
            <w:r>
              <w:rPr>
                <w:rFonts w:hint="eastAsia" w:ascii="宋体" w:hAnsi="宋体" w:cs="黑体"/>
                <w:sz w:val="28"/>
                <w:szCs w:val="28"/>
              </w:rPr>
              <w:t>行政</w:t>
            </w:r>
          </w:p>
        </w:tc>
        <w:tc>
          <w:tcPr>
            <w:tcW w:w="1512" w:type="dxa"/>
            <w:noWrap/>
            <w:vAlign w:val="center"/>
          </w:tcPr>
          <w:p>
            <w:pPr>
              <w:spacing w:line="300" w:lineRule="exact"/>
              <w:jc w:val="center"/>
              <w:rPr>
                <w:rFonts w:ascii="宋体" w:hAnsi="宋体" w:cs="黑体"/>
                <w:sz w:val="28"/>
                <w:szCs w:val="28"/>
              </w:rPr>
            </w:pPr>
            <w:r>
              <w:rPr>
                <w:rFonts w:hint="eastAsia" w:ascii="宋体" w:hAnsi="宋体" w:cs="黑体"/>
                <w:sz w:val="28"/>
                <w:szCs w:val="28"/>
              </w:rPr>
              <w:t>正科级</w:t>
            </w:r>
          </w:p>
        </w:tc>
        <w:tc>
          <w:tcPr>
            <w:tcW w:w="2871" w:type="dxa"/>
            <w:noWrap/>
            <w:vAlign w:val="center"/>
          </w:tcPr>
          <w:p>
            <w:pPr>
              <w:spacing w:line="300" w:lineRule="exact"/>
              <w:jc w:val="center"/>
              <w:rPr>
                <w:rFonts w:ascii="宋体" w:hAnsi="宋体" w:cs="黑体"/>
                <w:sz w:val="28"/>
                <w:szCs w:val="28"/>
              </w:rPr>
            </w:pPr>
            <w:r>
              <w:rPr>
                <w:rFonts w:hint="eastAsia" w:ascii="宋体" w:hAnsi="宋体"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51" w:type="dxa"/>
            <w:noWrap/>
            <w:vAlign w:val="center"/>
          </w:tcPr>
          <w:p>
            <w:pPr>
              <w:spacing w:line="300" w:lineRule="exact"/>
              <w:jc w:val="left"/>
              <w:rPr>
                <w:rFonts w:ascii="宋体" w:hAnsi="宋体" w:cs="黑体"/>
                <w:sz w:val="28"/>
                <w:szCs w:val="28"/>
              </w:rPr>
            </w:pPr>
            <w:r>
              <w:rPr>
                <w:rFonts w:hint="eastAsia" w:ascii="宋体" w:hAnsi="宋体" w:cs="黑体"/>
                <w:sz w:val="28"/>
                <w:szCs w:val="28"/>
              </w:rPr>
              <w:t>遵化市堡子店镇社会治安综合治理办公室</w:t>
            </w:r>
          </w:p>
        </w:tc>
        <w:tc>
          <w:tcPr>
            <w:tcW w:w="1540" w:type="dxa"/>
            <w:noWrap/>
            <w:vAlign w:val="center"/>
          </w:tcPr>
          <w:p>
            <w:pPr>
              <w:spacing w:line="300" w:lineRule="exact"/>
              <w:jc w:val="center"/>
              <w:rPr>
                <w:rFonts w:ascii="宋体" w:hAnsi="宋体" w:cs="黑体"/>
                <w:sz w:val="28"/>
                <w:szCs w:val="28"/>
              </w:rPr>
            </w:pPr>
            <w:r>
              <w:rPr>
                <w:rFonts w:hint="eastAsia" w:ascii="宋体" w:hAnsi="宋体" w:cs="黑体"/>
                <w:sz w:val="28"/>
                <w:szCs w:val="28"/>
              </w:rPr>
              <w:t>行政</w:t>
            </w:r>
          </w:p>
        </w:tc>
        <w:tc>
          <w:tcPr>
            <w:tcW w:w="1512" w:type="dxa"/>
            <w:noWrap/>
            <w:vAlign w:val="center"/>
          </w:tcPr>
          <w:p>
            <w:pPr>
              <w:spacing w:line="300" w:lineRule="exact"/>
              <w:jc w:val="center"/>
              <w:rPr>
                <w:rFonts w:ascii="宋体" w:hAnsi="宋体" w:cs="黑体"/>
                <w:sz w:val="28"/>
                <w:szCs w:val="28"/>
              </w:rPr>
            </w:pPr>
            <w:r>
              <w:rPr>
                <w:rFonts w:hint="eastAsia" w:ascii="宋体" w:hAnsi="宋体" w:cs="黑体"/>
                <w:sz w:val="28"/>
                <w:szCs w:val="28"/>
              </w:rPr>
              <w:t>正科级</w:t>
            </w:r>
          </w:p>
        </w:tc>
        <w:tc>
          <w:tcPr>
            <w:tcW w:w="2871" w:type="dxa"/>
            <w:noWrap/>
            <w:vAlign w:val="center"/>
          </w:tcPr>
          <w:p>
            <w:pPr>
              <w:spacing w:line="300" w:lineRule="exact"/>
              <w:jc w:val="center"/>
              <w:rPr>
                <w:rFonts w:ascii="宋体" w:hAnsi="宋体" w:cs="黑体"/>
                <w:sz w:val="28"/>
                <w:szCs w:val="28"/>
              </w:rPr>
            </w:pPr>
            <w:r>
              <w:rPr>
                <w:rFonts w:hint="eastAsia" w:ascii="宋体" w:hAnsi="宋体"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51" w:type="dxa"/>
            <w:noWrap/>
            <w:vAlign w:val="center"/>
          </w:tcPr>
          <w:p>
            <w:pPr>
              <w:spacing w:line="300" w:lineRule="exact"/>
              <w:jc w:val="left"/>
              <w:rPr>
                <w:rFonts w:ascii="宋体" w:hAnsi="宋体" w:cs="黑体"/>
                <w:sz w:val="28"/>
                <w:szCs w:val="28"/>
              </w:rPr>
            </w:pPr>
            <w:r>
              <w:rPr>
                <w:rFonts w:hint="eastAsia" w:ascii="宋体" w:hAnsi="宋体" w:cs="黑体"/>
                <w:sz w:val="28"/>
                <w:szCs w:val="28"/>
              </w:rPr>
              <w:t>遵化市堡子店镇财政所农村经营管理服务站</w:t>
            </w:r>
          </w:p>
        </w:tc>
        <w:tc>
          <w:tcPr>
            <w:tcW w:w="1540" w:type="dxa"/>
            <w:noWrap/>
            <w:vAlign w:val="center"/>
          </w:tcPr>
          <w:p>
            <w:pPr>
              <w:spacing w:line="300" w:lineRule="exact"/>
              <w:jc w:val="center"/>
              <w:rPr>
                <w:rFonts w:ascii="宋体" w:hAnsi="宋体" w:cs="黑体"/>
                <w:sz w:val="28"/>
                <w:szCs w:val="28"/>
              </w:rPr>
            </w:pPr>
            <w:r>
              <w:rPr>
                <w:rFonts w:hint="eastAsia" w:ascii="宋体" w:hAnsi="宋体" w:cs="黑体"/>
                <w:sz w:val="28"/>
                <w:szCs w:val="28"/>
              </w:rPr>
              <w:t>事业</w:t>
            </w:r>
          </w:p>
        </w:tc>
        <w:tc>
          <w:tcPr>
            <w:tcW w:w="1512" w:type="dxa"/>
            <w:noWrap/>
            <w:vAlign w:val="center"/>
          </w:tcPr>
          <w:p>
            <w:pPr>
              <w:spacing w:line="300" w:lineRule="exact"/>
              <w:jc w:val="center"/>
              <w:rPr>
                <w:rFonts w:ascii="宋体" w:hAnsi="宋体" w:cs="黑体"/>
                <w:sz w:val="28"/>
                <w:szCs w:val="28"/>
              </w:rPr>
            </w:pPr>
            <w:r>
              <w:rPr>
                <w:rFonts w:hint="eastAsia" w:ascii="宋体" w:hAnsi="宋体" w:cs="黑体"/>
                <w:sz w:val="28"/>
                <w:szCs w:val="28"/>
              </w:rPr>
              <w:t>正科级</w:t>
            </w:r>
          </w:p>
        </w:tc>
        <w:tc>
          <w:tcPr>
            <w:tcW w:w="2871" w:type="dxa"/>
            <w:noWrap/>
            <w:vAlign w:val="center"/>
          </w:tcPr>
          <w:p>
            <w:pPr>
              <w:spacing w:line="300" w:lineRule="exact"/>
              <w:jc w:val="center"/>
              <w:rPr>
                <w:rFonts w:ascii="宋体" w:hAnsi="宋体" w:cs="黑体"/>
                <w:sz w:val="28"/>
                <w:szCs w:val="28"/>
              </w:rPr>
            </w:pPr>
            <w:r>
              <w:rPr>
                <w:rFonts w:hint="eastAsia" w:ascii="宋体" w:hAnsi="宋体" w:cs="黑体"/>
                <w:sz w:val="28"/>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0" w:hRule="atLeast"/>
          <w:jc w:val="center"/>
        </w:trPr>
        <w:tc>
          <w:tcPr>
            <w:tcW w:w="3551" w:type="dxa"/>
            <w:noWrap/>
            <w:vAlign w:val="center"/>
          </w:tcPr>
          <w:p>
            <w:pPr>
              <w:spacing w:line="300" w:lineRule="exact"/>
              <w:jc w:val="left"/>
              <w:rPr>
                <w:rFonts w:ascii="宋体" w:hAnsi="宋体" w:cs="黑体"/>
                <w:sz w:val="28"/>
                <w:szCs w:val="28"/>
              </w:rPr>
            </w:pPr>
            <w:r>
              <w:rPr>
                <w:rFonts w:hint="eastAsia" w:ascii="宋体" w:hAnsi="宋体" w:cs="黑体"/>
                <w:sz w:val="28"/>
                <w:szCs w:val="28"/>
              </w:rPr>
              <w:t>遵化市堡子店镇人口和计划生育服务中心</w:t>
            </w:r>
          </w:p>
        </w:tc>
        <w:tc>
          <w:tcPr>
            <w:tcW w:w="1540" w:type="dxa"/>
            <w:noWrap/>
            <w:vAlign w:val="center"/>
          </w:tcPr>
          <w:p>
            <w:pPr>
              <w:spacing w:line="300" w:lineRule="exact"/>
              <w:jc w:val="center"/>
              <w:rPr>
                <w:rFonts w:ascii="宋体" w:hAnsi="宋体" w:cs="黑体"/>
                <w:sz w:val="28"/>
                <w:szCs w:val="28"/>
              </w:rPr>
            </w:pPr>
            <w:r>
              <w:rPr>
                <w:rFonts w:hint="eastAsia" w:ascii="宋体" w:hAnsi="宋体" w:cs="黑体"/>
                <w:sz w:val="28"/>
                <w:szCs w:val="28"/>
              </w:rPr>
              <w:t>事业</w:t>
            </w:r>
          </w:p>
        </w:tc>
        <w:tc>
          <w:tcPr>
            <w:tcW w:w="1512" w:type="dxa"/>
            <w:noWrap/>
            <w:vAlign w:val="center"/>
          </w:tcPr>
          <w:p>
            <w:pPr>
              <w:spacing w:line="300" w:lineRule="exact"/>
              <w:jc w:val="center"/>
              <w:rPr>
                <w:rFonts w:ascii="宋体" w:hAnsi="宋体" w:cs="黑体"/>
                <w:sz w:val="28"/>
                <w:szCs w:val="28"/>
              </w:rPr>
            </w:pPr>
            <w:r>
              <w:rPr>
                <w:rFonts w:hint="eastAsia" w:ascii="宋体" w:hAnsi="宋体" w:cs="黑体"/>
                <w:sz w:val="28"/>
                <w:szCs w:val="28"/>
              </w:rPr>
              <w:t>正科级</w:t>
            </w:r>
          </w:p>
        </w:tc>
        <w:tc>
          <w:tcPr>
            <w:tcW w:w="2871" w:type="dxa"/>
            <w:noWrap/>
            <w:vAlign w:val="center"/>
          </w:tcPr>
          <w:p>
            <w:pPr>
              <w:spacing w:line="300" w:lineRule="exact"/>
              <w:jc w:val="center"/>
              <w:rPr>
                <w:rFonts w:ascii="宋体" w:hAnsi="宋体" w:cs="黑体"/>
                <w:sz w:val="28"/>
                <w:szCs w:val="28"/>
              </w:rPr>
            </w:pPr>
            <w:r>
              <w:rPr>
                <w:rFonts w:hint="eastAsia" w:ascii="宋体" w:hAnsi="宋体" w:cs="黑体"/>
                <w:sz w:val="28"/>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51" w:type="dxa"/>
            <w:noWrap/>
            <w:vAlign w:val="center"/>
          </w:tcPr>
          <w:p>
            <w:pPr>
              <w:spacing w:line="300" w:lineRule="exact"/>
              <w:jc w:val="left"/>
              <w:rPr>
                <w:rFonts w:ascii="宋体" w:hAnsi="宋体" w:cs="黑体"/>
                <w:sz w:val="28"/>
                <w:szCs w:val="28"/>
              </w:rPr>
            </w:pPr>
            <w:r>
              <w:rPr>
                <w:rFonts w:hint="eastAsia" w:ascii="宋体" w:hAnsi="宋体" w:cs="黑体"/>
                <w:sz w:val="28"/>
                <w:szCs w:val="28"/>
              </w:rPr>
              <w:t>遵化市堡子店镇文化综合服务中心</w:t>
            </w:r>
          </w:p>
        </w:tc>
        <w:tc>
          <w:tcPr>
            <w:tcW w:w="1540" w:type="dxa"/>
            <w:noWrap/>
            <w:vAlign w:val="center"/>
          </w:tcPr>
          <w:p>
            <w:pPr>
              <w:spacing w:line="300" w:lineRule="exact"/>
              <w:jc w:val="center"/>
              <w:rPr>
                <w:rFonts w:ascii="宋体" w:hAnsi="宋体" w:cs="黑体"/>
                <w:sz w:val="28"/>
                <w:szCs w:val="28"/>
              </w:rPr>
            </w:pPr>
            <w:r>
              <w:rPr>
                <w:rFonts w:hint="eastAsia" w:ascii="宋体" w:hAnsi="宋体" w:cs="黑体"/>
                <w:sz w:val="28"/>
                <w:szCs w:val="28"/>
              </w:rPr>
              <w:t>事业</w:t>
            </w:r>
          </w:p>
        </w:tc>
        <w:tc>
          <w:tcPr>
            <w:tcW w:w="1512" w:type="dxa"/>
            <w:noWrap/>
            <w:vAlign w:val="center"/>
          </w:tcPr>
          <w:p>
            <w:pPr>
              <w:spacing w:line="300" w:lineRule="exact"/>
              <w:jc w:val="center"/>
              <w:rPr>
                <w:rFonts w:ascii="宋体" w:hAnsi="宋体" w:cs="黑体"/>
                <w:sz w:val="28"/>
                <w:szCs w:val="28"/>
              </w:rPr>
            </w:pPr>
            <w:r>
              <w:rPr>
                <w:rFonts w:hint="eastAsia" w:ascii="宋体" w:hAnsi="宋体" w:cs="黑体"/>
                <w:sz w:val="28"/>
                <w:szCs w:val="28"/>
              </w:rPr>
              <w:t>正科级</w:t>
            </w:r>
          </w:p>
        </w:tc>
        <w:tc>
          <w:tcPr>
            <w:tcW w:w="2871" w:type="dxa"/>
            <w:noWrap/>
            <w:vAlign w:val="center"/>
          </w:tcPr>
          <w:p>
            <w:pPr>
              <w:spacing w:line="300" w:lineRule="exact"/>
              <w:jc w:val="center"/>
              <w:rPr>
                <w:rFonts w:ascii="宋体" w:hAnsi="宋体" w:cs="黑体"/>
                <w:sz w:val="28"/>
                <w:szCs w:val="28"/>
              </w:rPr>
            </w:pPr>
            <w:r>
              <w:rPr>
                <w:rFonts w:hint="eastAsia" w:ascii="宋体" w:hAnsi="宋体" w:cs="黑体"/>
                <w:sz w:val="28"/>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3551" w:type="dxa"/>
            <w:noWrap/>
            <w:vAlign w:val="center"/>
          </w:tcPr>
          <w:p>
            <w:pPr>
              <w:spacing w:line="300" w:lineRule="exact"/>
              <w:jc w:val="left"/>
              <w:rPr>
                <w:rFonts w:ascii="宋体" w:hAnsi="宋体" w:cs="黑体"/>
                <w:sz w:val="28"/>
                <w:szCs w:val="28"/>
              </w:rPr>
            </w:pPr>
            <w:r>
              <w:rPr>
                <w:rFonts w:hint="eastAsia" w:ascii="宋体" w:hAnsi="宋体" w:cs="黑体"/>
                <w:sz w:val="28"/>
                <w:szCs w:val="28"/>
              </w:rPr>
              <w:t>遵化市堡子店镇劳动保障事务站</w:t>
            </w:r>
          </w:p>
        </w:tc>
        <w:tc>
          <w:tcPr>
            <w:tcW w:w="1540" w:type="dxa"/>
            <w:noWrap/>
            <w:vAlign w:val="center"/>
          </w:tcPr>
          <w:p>
            <w:pPr>
              <w:spacing w:line="300" w:lineRule="exact"/>
              <w:jc w:val="center"/>
              <w:rPr>
                <w:rFonts w:ascii="宋体" w:hAnsi="宋体" w:cs="黑体"/>
                <w:sz w:val="28"/>
                <w:szCs w:val="28"/>
              </w:rPr>
            </w:pPr>
            <w:r>
              <w:rPr>
                <w:rFonts w:hint="eastAsia" w:ascii="宋体" w:hAnsi="宋体" w:cs="黑体"/>
                <w:sz w:val="28"/>
                <w:szCs w:val="28"/>
              </w:rPr>
              <w:t>事业</w:t>
            </w:r>
          </w:p>
        </w:tc>
        <w:tc>
          <w:tcPr>
            <w:tcW w:w="1512" w:type="dxa"/>
            <w:noWrap/>
            <w:vAlign w:val="center"/>
          </w:tcPr>
          <w:p>
            <w:pPr>
              <w:spacing w:line="300" w:lineRule="exact"/>
              <w:jc w:val="center"/>
              <w:rPr>
                <w:rFonts w:ascii="宋体" w:hAnsi="宋体" w:cs="黑体"/>
                <w:sz w:val="28"/>
                <w:szCs w:val="28"/>
              </w:rPr>
            </w:pPr>
            <w:r>
              <w:rPr>
                <w:rFonts w:hint="eastAsia" w:ascii="宋体" w:hAnsi="宋体" w:cs="黑体"/>
                <w:sz w:val="28"/>
                <w:szCs w:val="28"/>
              </w:rPr>
              <w:t>正科级</w:t>
            </w:r>
          </w:p>
        </w:tc>
        <w:tc>
          <w:tcPr>
            <w:tcW w:w="2871" w:type="dxa"/>
            <w:noWrap/>
            <w:vAlign w:val="center"/>
          </w:tcPr>
          <w:p>
            <w:pPr>
              <w:spacing w:line="300" w:lineRule="exact"/>
              <w:jc w:val="center"/>
              <w:rPr>
                <w:rFonts w:ascii="宋体" w:hAnsi="宋体" w:cs="黑体"/>
                <w:sz w:val="28"/>
                <w:szCs w:val="28"/>
              </w:rPr>
            </w:pPr>
            <w:r>
              <w:rPr>
                <w:rFonts w:hint="eastAsia" w:ascii="宋体" w:hAnsi="宋体" w:cs="黑体"/>
                <w:sz w:val="28"/>
                <w:szCs w:val="28"/>
              </w:rPr>
              <w:t>财政性资金基本保证</w:t>
            </w:r>
          </w:p>
        </w:tc>
      </w:tr>
    </w:tbl>
    <w:p>
      <w:pPr>
        <w:spacing w:line="580" w:lineRule="exact"/>
        <w:ind w:firstLine="640" w:firstLineChars="200"/>
        <w:rPr>
          <w:rFonts w:ascii="仿宋_GB2312" w:hAnsi="Calibri" w:eastAsia="仿宋_GB2312" w:cs="ArialUnicodeMS"/>
          <w:kern w:val="0"/>
          <w:sz w:val="32"/>
          <w:szCs w:val="32"/>
        </w:rPr>
      </w:pPr>
    </w:p>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黑体"/>
          <w:sz w:val="32"/>
          <w:szCs w:val="32"/>
        </w:rPr>
        <w:sectPr>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sz w:val="32"/>
          <w:szCs w:val="32"/>
        </w:rPr>
        <w:sectPr>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420" w:firstLineChars="200"/>
        <w:rPr>
          <w:rFonts w:ascii="Times New Roman" w:hAnsi="Times New Roman" w:eastAsia="黑体"/>
          <w:sz w:val="32"/>
          <w:szCs w:val="32"/>
        </w:rPr>
        <w:sectPr>
          <w:pgSz w:w="11906" w:h="16838"/>
          <w:pgMar w:top="2041" w:right="1531" w:bottom="2041" w:left="1531" w:header="851" w:footer="992" w:gutter="0"/>
          <w:pgNumType w:fmt="numberInDash"/>
          <w:cols w:space="0" w:num="1"/>
          <w:titlePg/>
          <w:docGrid w:type="lines" w:linePitch="312" w:charSpace="0"/>
        </w:sectPr>
      </w:pPr>
      <w:r>
        <w:pict>
          <v:shape id="_x0000_s1031" o:spid="_x0000_s1031" o:spt="202" type="#_x0000_t202" style="position:absolute;left:0pt;margin-left:-85.7pt;margin-top:238.15pt;height:173.25pt;width:613.65pt;z-index:251664384;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1ZVcsScCAAArBAAADgAAAGRycy9lMm9Eb2Mu&#10;eG1srVPNjtMwEL4j8Q6W7zT9y5atmq7KroqQVuxKBXF2HbuJZHuM7TYpDwBvsCcu3HmuPgdjp+1W&#10;wAlxceYvM/PNfDO7abUiO+F8Daagg16fEmE4lLXZFPTjh+Wr15T4wEzJFBhR0L3w9Gb+8sWssVMx&#10;hApUKRzBJMZPG1vQKgQ7zTLPK6GZ74EVBp0SnGYBVbfJSscazK5VNuz3r7IGXGkdcOE9Wu86J52n&#10;/FIKHh6k9CIQVVDsLaTXpXcd32w+Y9ONY7aq+bEN9g9daFYbLHpOdccCI1tX/5FK19yBBxl6HHQG&#10;UtZcJAyIZtD/Dc2qYlYkLDgcb89j8v8vLX+/e3SkLnF3+YASwzQu6fD07fD95+HHVxKNOKLG+ilG&#10;rizGhvYNtBh+sns0RuStdDp+ERNBPw57fx6waAPhaJxMrkejPKeEo2+I+xtO8pgne/7dOh/eCtAk&#10;CgV1uME0WLa796ELPYXEagaWtVJpi8qQpqBXo7yffjh7MLkyMVYkPhzTREhd61EK7bo94lxDuUeY&#10;DjqueMuXNbZyz3x4ZA7JgciQ8OEBH6kAS8JRoqQC9+Vv9hiPO0MvJQ2SraD+85Y5QYl6Z3Cb14Px&#10;OLIzKeN8MkTFXXrWlx6z1beAfMZ9YXdJjPFBnUTpQH/Cu1jEquhihmPtgoaTeBu6E8C74mKxSEHI&#10;R8vCvVlZHlN3w11sA8g6zT2OqZsN7isqyMi0ueP1RMpf6inq+cbn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rro+T3gAAAA0BAAAPAAAAAAAAAAEAIAAAACIAAABkcnMvZG93bnJldi54bWxQSwEC&#10;FAAUAAAACACHTuJA1ZVcsScCAAArBAAADgAAAAAAAAABACAAAAAtAQAAZHJzL2Uyb0RvYy54bWxQ&#10;SwUGAAAAAAYABgBZAQAAxgUAAAAA&#10;">
            <v:path/>
            <v:fill on="f" focussize="0,0"/>
            <v:stroke on="f" weight="0.5pt" joinstyle="miter"/>
            <v:imagedata o:title=""/>
            <o:lock v:ext="edit"/>
            <v:textbox>
              <w:txbxContent>
                <w:p>
                  <w:pPr>
                    <w:widowControl/>
                    <w:jc w:val="center"/>
                    <w:rPr>
                      <w:rFonts w:ascii="黑体" w:hAnsi="黑体" w:eastAsia="黑体" w:cs="黑体"/>
                      <w:color w:val="000000"/>
                      <w:sz w:val="96"/>
                      <w:szCs w:val="96"/>
                    </w:rPr>
                  </w:pPr>
                </w:p>
                <w:p>
                  <w:pPr>
                    <w:widowControl/>
                    <w:jc w:val="center"/>
                    <w:rPr>
                      <w:rFonts w:ascii="黑体" w:hAnsi="黑体" w:eastAsia="黑体" w:cs="黑体"/>
                      <w:color w:val="000000"/>
                      <w:sz w:val="96"/>
                      <w:szCs w:val="96"/>
                    </w:rPr>
                  </w:pPr>
                </w:p>
              </w:txbxContent>
            </v:textbox>
          </v:shape>
        </w:pic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hint="eastAsia" w:ascii="黑体" w:hAnsi="黑体" w:eastAsia="黑体" w:cs="黑体"/>
          <w:sz w:val="72"/>
          <w:szCs w:val="72"/>
        </w:rPr>
      </w:pPr>
      <w:r>
        <w:rPr>
          <w:rFonts w:hint="eastAsia" w:ascii="黑体" w:hAnsi="黑体" w:eastAsia="黑体" w:cs="黑体"/>
          <w:sz w:val="72"/>
          <w:szCs w:val="72"/>
        </w:rPr>
        <w:t xml:space="preserve">第二部分 </w:t>
      </w:r>
    </w:p>
    <w:p>
      <w:pPr>
        <w:jc w:val="center"/>
        <w:rPr>
          <w:rFonts w:ascii="黑体" w:hAnsi="黑体" w:eastAsia="黑体" w:cs="黑体"/>
          <w:sz w:val="72"/>
          <w:szCs w:val="72"/>
        </w:rPr>
      </w:pPr>
      <w:r>
        <w:rPr>
          <w:rFonts w:hint="eastAsia" w:ascii="黑体" w:hAnsi="黑体" w:eastAsia="黑体" w:cs="黑体"/>
          <w:sz w:val="72"/>
          <w:szCs w:val="72"/>
        </w:rPr>
        <w:t>2019年部门决算情况说明</w: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一、收入</w:t>
      </w:r>
      <w:r>
        <w:rPr>
          <w:rFonts w:hint="eastAsia" w:ascii="黑体" w:hAnsi="Cambria" w:eastAsia="黑体" w:cs="黑体"/>
          <w:kern w:val="0"/>
          <w:sz w:val="32"/>
          <w:szCs w:val="32"/>
        </w:rPr>
        <w:t>支出</w:t>
      </w:r>
      <w:r>
        <w:rPr>
          <w:rFonts w:hint="eastAsia" w:ascii="黑体" w:hAnsi="Calibri" w:eastAsia="黑体"/>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年度收支总计（含结转和结余）888.60万元。与</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年度决算相比，收支各增加103.91万元，增长13.24</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，主要原因是增人及人员增资</w:t>
      </w:r>
      <w:r>
        <w:rPr>
          <w:rFonts w:hint="eastAsia" w:ascii="仿宋_GB2312" w:hAnsi="Times New Roman" w:eastAsia="仿宋_GB2312" w:cs="DengXian-Regular"/>
          <w:sz w:val="32"/>
          <w:szCs w:val="32"/>
          <w:lang w:val="en-US" w:eastAsia="zh-CN"/>
        </w:rPr>
        <w:t>和</w:t>
      </w:r>
      <w:r>
        <w:rPr>
          <w:rFonts w:hint="eastAsia" w:ascii="仿宋" w:hAnsi="仿宋" w:eastAsia="仿宋"/>
          <w:sz w:val="32"/>
          <w:szCs w:val="32"/>
        </w:rPr>
        <w:t>根据市政府乡镇财政体制《遵化市乡镇财政管理体制改革实施办法》的规定，乡镇税收超收按分成比例给与超收奖励，</w:t>
      </w:r>
      <w:r>
        <w:rPr>
          <w:rFonts w:hint="eastAsia" w:ascii="仿宋" w:hAnsi="仿宋" w:eastAsia="仿宋"/>
          <w:sz w:val="32"/>
          <w:szCs w:val="32"/>
          <w:lang w:val="en-US" w:eastAsia="zh-CN"/>
        </w:rPr>
        <w:t>因此</w:t>
      </w:r>
      <w:r>
        <w:rPr>
          <w:rFonts w:hint="eastAsia" w:ascii="仿宋_GB2312" w:hAnsi="Times New Roman" w:eastAsia="仿宋_GB2312" w:cs="DengXian-Regular"/>
          <w:sz w:val="32"/>
          <w:szCs w:val="32"/>
        </w:rPr>
        <w:t>加大了环境治理</w:t>
      </w:r>
      <w:r>
        <w:rPr>
          <w:rFonts w:hint="eastAsia" w:ascii="仿宋_GB2312" w:hAnsi="Times New Roman" w:eastAsia="仿宋_GB2312" w:cs="DengXian-Regular"/>
          <w:sz w:val="32"/>
          <w:szCs w:val="32"/>
          <w:lang w:val="en-US" w:eastAsia="zh-CN"/>
        </w:rPr>
        <w:t>等项目</w:t>
      </w:r>
      <w:r>
        <w:rPr>
          <w:rFonts w:hint="eastAsia" w:ascii="仿宋_GB2312" w:hAnsi="Times New Roman" w:eastAsia="仿宋_GB2312" w:cs="DengXian-Regular"/>
          <w:sz w:val="32"/>
          <w:szCs w:val="32"/>
        </w:rPr>
        <w:t>资金投入。</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年度本年收入合计888.60万元，其中：财政拨款收入888.60万元，占100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；事业收入0万元，占0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；经营收入0万元，占0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；其他收入0万元，占0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年度本年支出合计888.60万元，其中：基本支出649.2</w:t>
      </w:r>
      <w:r>
        <w:rPr>
          <w:rFonts w:hint="eastAsia" w:ascii="仿宋_GB2312" w:hAnsi="Times New Roman" w:eastAsia="仿宋_GB2312" w:cs="DengXian-Regular"/>
          <w:sz w:val="32"/>
          <w:szCs w:val="32"/>
          <w:lang w:val="en-US" w:eastAsia="zh-CN"/>
        </w:rPr>
        <w:t>5</w:t>
      </w:r>
      <w:r>
        <w:rPr>
          <w:rFonts w:hint="eastAsia" w:ascii="仿宋_GB2312" w:hAnsi="Times New Roman" w:eastAsia="仿宋_GB2312" w:cs="DengXian-Regular"/>
          <w:sz w:val="32"/>
          <w:szCs w:val="32"/>
        </w:rPr>
        <w:t>万元，占73.06</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；项目支出239.35万元，占26.94</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；经营支出0万元，占0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四、</w:t>
      </w:r>
      <w:r>
        <w:rPr>
          <w:rFonts w:hint="eastAsia" w:ascii="黑体" w:hAnsi="Cambria" w:eastAsia="黑体" w:cs="黑体"/>
          <w:kern w:val="0"/>
          <w:sz w:val="32"/>
          <w:szCs w:val="32"/>
        </w:rPr>
        <w:t>财政</w:t>
      </w:r>
      <w:r>
        <w:rPr>
          <w:rFonts w:hint="eastAsia" w:ascii="黑体" w:hAnsi="Calibri" w:eastAsia="黑体"/>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w:t>
      </w:r>
      <w:r>
        <w:rPr>
          <w:rFonts w:ascii="楷体_GB2312" w:hAnsi="Times New Roman" w:eastAsia="楷体_GB2312" w:cs="DengXian-Bold"/>
          <w:b/>
          <w:bCs/>
          <w:sz w:val="32"/>
          <w:szCs w:val="32"/>
        </w:rPr>
        <w:t xml:space="preserve">2018 </w:t>
      </w:r>
      <w:r>
        <w:rPr>
          <w:rFonts w:hint="eastAsia" w:ascii="楷体_GB2312" w:hAnsi="Times New Roman" w:eastAsia="楷体_GB2312" w:cs="DengXian-Bold"/>
          <w:b/>
          <w:bCs/>
          <w:sz w:val="32"/>
          <w:szCs w:val="32"/>
        </w:rPr>
        <w:t>年度决算对比情况</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年度形成的财政拨款收支均为一般公共预算财政拨款，其中本年收入888.60万元</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年度增加103.91万元，增长13.24</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，主要是增人及人员增资</w:t>
      </w:r>
      <w:r>
        <w:rPr>
          <w:rFonts w:hint="eastAsia" w:ascii="仿宋_GB2312" w:hAnsi="Times New Roman" w:eastAsia="仿宋_GB2312" w:cs="DengXian-Regular"/>
          <w:sz w:val="32"/>
          <w:szCs w:val="32"/>
          <w:lang w:val="en-US" w:eastAsia="zh-CN"/>
        </w:rPr>
        <w:t>和</w:t>
      </w:r>
      <w:r>
        <w:rPr>
          <w:rFonts w:hint="eastAsia" w:ascii="仿宋" w:hAnsi="仿宋" w:eastAsia="仿宋"/>
          <w:sz w:val="32"/>
          <w:szCs w:val="32"/>
        </w:rPr>
        <w:t>根据市政府乡镇财政体制《遵化市乡镇财政管理体制改革实施办法》的规定，乡镇税收超收按分成比例给与超收奖励，</w:t>
      </w:r>
      <w:r>
        <w:rPr>
          <w:rFonts w:hint="eastAsia" w:ascii="仿宋" w:hAnsi="仿宋" w:eastAsia="仿宋"/>
          <w:sz w:val="32"/>
          <w:szCs w:val="32"/>
          <w:lang w:val="en-US" w:eastAsia="zh-CN"/>
        </w:rPr>
        <w:t>因此</w:t>
      </w:r>
      <w:r>
        <w:rPr>
          <w:rFonts w:hint="eastAsia" w:ascii="仿宋_GB2312" w:hAnsi="Times New Roman" w:eastAsia="仿宋_GB2312" w:cs="DengXian-Regular"/>
          <w:sz w:val="32"/>
          <w:szCs w:val="32"/>
        </w:rPr>
        <w:t>加大了环境治理</w:t>
      </w:r>
      <w:r>
        <w:rPr>
          <w:rFonts w:hint="eastAsia" w:ascii="仿宋_GB2312" w:hAnsi="Times New Roman" w:eastAsia="仿宋_GB2312" w:cs="DengXian-Regular"/>
          <w:sz w:val="32"/>
          <w:szCs w:val="32"/>
          <w:lang w:val="en-US" w:eastAsia="zh-CN"/>
        </w:rPr>
        <w:t>等项目</w:t>
      </w:r>
      <w:r>
        <w:rPr>
          <w:rFonts w:hint="eastAsia" w:ascii="仿宋_GB2312" w:hAnsi="Times New Roman" w:eastAsia="仿宋_GB2312" w:cs="DengXian-Regular"/>
          <w:sz w:val="32"/>
          <w:szCs w:val="32"/>
        </w:rPr>
        <w:t>资金投入；本年支出888.60万元，增加103.91万元，增长13.24</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，主要是增人及人员增资</w:t>
      </w:r>
      <w:r>
        <w:rPr>
          <w:rFonts w:hint="eastAsia" w:ascii="仿宋_GB2312" w:hAnsi="Times New Roman" w:eastAsia="仿宋_GB2312" w:cs="DengXian-Regular"/>
          <w:sz w:val="32"/>
          <w:szCs w:val="32"/>
          <w:lang w:val="en-US" w:eastAsia="zh-CN"/>
        </w:rPr>
        <w:t>和</w:t>
      </w:r>
      <w:r>
        <w:rPr>
          <w:rFonts w:hint="eastAsia" w:ascii="仿宋" w:hAnsi="仿宋" w:eastAsia="仿宋"/>
          <w:sz w:val="32"/>
          <w:szCs w:val="32"/>
        </w:rPr>
        <w:t>根据市政府乡镇财政体制《遵化市乡镇财政管理体制改革实施办法》的规定，乡镇税收超收按分成比例给与超收奖励，</w:t>
      </w:r>
      <w:r>
        <w:rPr>
          <w:rFonts w:hint="eastAsia" w:ascii="仿宋" w:hAnsi="仿宋" w:eastAsia="仿宋"/>
          <w:sz w:val="32"/>
          <w:szCs w:val="32"/>
          <w:lang w:val="en-US" w:eastAsia="zh-CN"/>
        </w:rPr>
        <w:t>因此</w:t>
      </w:r>
      <w:r>
        <w:rPr>
          <w:rFonts w:hint="eastAsia" w:ascii="仿宋_GB2312" w:hAnsi="Times New Roman" w:eastAsia="仿宋_GB2312" w:cs="DengXian-Regular"/>
          <w:sz w:val="32"/>
          <w:szCs w:val="32"/>
        </w:rPr>
        <w:t>加大了环境治理</w:t>
      </w:r>
      <w:r>
        <w:rPr>
          <w:rFonts w:hint="eastAsia" w:ascii="仿宋_GB2312" w:hAnsi="Times New Roman" w:eastAsia="仿宋_GB2312" w:cs="DengXian-Regular"/>
          <w:sz w:val="32"/>
          <w:szCs w:val="32"/>
          <w:lang w:val="en-US" w:eastAsia="zh-CN"/>
        </w:rPr>
        <w:t>等项目</w:t>
      </w:r>
      <w:r>
        <w:rPr>
          <w:rFonts w:hint="eastAsia" w:ascii="仿宋_GB2312" w:hAnsi="Times New Roman" w:eastAsia="仿宋_GB2312" w:cs="DengXian-Regular"/>
          <w:sz w:val="32"/>
          <w:szCs w:val="32"/>
        </w:rPr>
        <w:t>资金投入</w:t>
      </w:r>
      <w:r>
        <w:rPr>
          <w:rFonts w:hint="eastAsia" w:ascii="仿宋_GB2312" w:hAnsi="Times New Roman" w:eastAsia="仿宋_GB2312" w:cs="DengXian-Regular"/>
          <w:sz w:val="32"/>
          <w:szCs w:val="32"/>
          <w:lang w:eastAsia="zh-CN"/>
        </w:rPr>
        <w:t>。</w:t>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年度一般公共预算财政拨款收入888.60万元，完成年初预算的133.19</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比年初预算增加221.41万元，决算数大于预算数，主要是增人及人员增资</w:t>
      </w:r>
      <w:r>
        <w:rPr>
          <w:rFonts w:hint="eastAsia" w:ascii="仿宋_GB2312" w:hAnsi="Times New Roman" w:eastAsia="仿宋_GB2312" w:cs="DengXian-Regular"/>
          <w:sz w:val="32"/>
          <w:szCs w:val="32"/>
          <w:lang w:val="en-US" w:eastAsia="zh-CN"/>
        </w:rPr>
        <w:t>和</w:t>
      </w:r>
      <w:r>
        <w:rPr>
          <w:rFonts w:hint="eastAsia" w:ascii="仿宋" w:hAnsi="仿宋" w:eastAsia="仿宋"/>
          <w:sz w:val="32"/>
          <w:szCs w:val="32"/>
        </w:rPr>
        <w:t>根据市政府乡镇财政体制《遵化市乡镇财政管理体制改革实施办法》的规定，乡镇税收超收按分成比例给与超收奖励，</w:t>
      </w:r>
      <w:r>
        <w:rPr>
          <w:rFonts w:hint="eastAsia" w:ascii="仿宋" w:hAnsi="仿宋" w:eastAsia="仿宋"/>
          <w:sz w:val="32"/>
          <w:szCs w:val="32"/>
          <w:lang w:val="en-US" w:eastAsia="zh-CN"/>
        </w:rPr>
        <w:t>因此</w:t>
      </w:r>
      <w:r>
        <w:rPr>
          <w:rFonts w:hint="eastAsia" w:ascii="仿宋_GB2312" w:hAnsi="Times New Roman" w:eastAsia="仿宋_GB2312" w:cs="DengXian-Regular"/>
          <w:sz w:val="32"/>
          <w:szCs w:val="32"/>
        </w:rPr>
        <w:t>加大了环境治理</w:t>
      </w:r>
      <w:r>
        <w:rPr>
          <w:rFonts w:hint="eastAsia" w:ascii="仿宋_GB2312" w:hAnsi="Times New Roman" w:eastAsia="仿宋_GB2312" w:cs="DengXian-Regular"/>
          <w:sz w:val="32"/>
          <w:szCs w:val="32"/>
          <w:lang w:val="en-US" w:eastAsia="zh-CN"/>
        </w:rPr>
        <w:t>等项目</w:t>
      </w:r>
      <w:r>
        <w:rPr>
          <w:rFonts w:hint="eastAsia" w:ascii="仿宋_GB2312" w:hAnsi="Times New Roman" w:eastAsia="仿宋_GB2312" w:cs="DengXian-Regular"/>
          <w:sz w:val="32"/>
          <w:szCs w:val="32"/>
        </w:rPr>
        <w:t>资金投入</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；本年支出888.60万元，完成年初预算的133.19</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比年初预算增加221.41万元，决算数大于预算数，主要是增人及人员增资</w:t>
      </w:r>
      <w:r>
        <w:rPr>
          <w:rFonts w:hint="eastAsia" w:ascii="仿宋_GB2312" w:hAnsi="Times New Roman" w:eastAsia="仿宋_GB2312" w:cs="DengXian-Regular"/>
          <w:sz w:val="32"/>
          <w:szCs w:val="32"/>
          <w:lang w:val="en-US" w:eastAsia="zh-CN"/>
        </w:rPr>
        <w:t>和</w:t>
      </w:r>
      <w:r>
        <w:rPr>
          <w:rFonts w:hint="eastAsia" w:ascii="仿宋" w:hAnsi="仿宋" w:eastAsia="仿宋"/>
          <w:sz w:val="32"/>
          <w:szCs w:val="32"/>
        </w:rPr>
        <w:t>根据市政府乡镇财政体制《遵化市乡镇财政管理体制改革实施办法》的规定，乡镇税收超收按分成比例给与超收奖励，</w:t>
      </w:r>
      <w:r>
        <w:rPr>
          <w:rFonts w:hint="eastAsia" w:ascii="仿宋" w:hAnsi="仿宋" w:eastAsia="仿宋"/>
          <w:sz w:val="32"/>
          <w:szCs w:val="32"/>
          <w:lang w:val="en-US" w:eastAsia="zh-CN"/>
        </w:rPr>
        <w:t>因此</w:t>
      </w:r>
      <w:r>
        <w:rPr>
          <w:rFonts w:hint="eastAsia" w:ascii="仿宋_GB2312" w:hAnsi="Times New Roman" w:eastAsia="仿宋_GB2312" w:cs="DengXian-Regular"/>
          <w:sz w:val="32"/>
          <w:szCs w:val="32"/>
        </w:rPr>
        <w:t>加大了环境治理</w:t>
      </w:r>
      <w:r>
        <w:rPr>
          <w:rFonts w:hint="eastAsia" w:ascii="仿宋_GB2312" w:hAnsi="Times New Roman" w:eastAsia="仿宋_GB2312" w:cs="DengXian-Regular"/>
          <w:sz w:val="32"/>
          <w:szCs w:val="32"/>
          <w:lang w:val="en-US" w:eastAsia="zh-CN"/>
        </w:rPr>
        <w:t>等项目</w:t>
      </w:r>
      <w:r>
        <w:rPr>
          <w:rFonts w:hint="eastAsia" w:ascii="仿宋_GB2312" w:hAnsi="Times New Roman" w:eastAsia="仿宋_GB2312" w:cs="DengXian-Regular"/>
          <w:sz w:val="32"/>
          <w:szCs w:val="32"/>
        </w:rPr>
        <w:t>资金投入</w:t>
      </w:r>
      <w:r>
        <w:rPr>
          <w:rFonts w:hint="eastAsia" w:ascii="仿宋_GB2312" w:hAnsi="Times New Roman" w:eastAsia="仿宋_GB2312" w:cs="DengXian-Regular"/>
          <w:sz w:val="32"/>
          <w:szCs w:val="32"/>
          <w:lang w:eastAsia="zh-CN"/>
        </w:rPr>
        <w:t>。</w:t>
      </w: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2019 </w:t>
      </w:r>
      <w:r>
        <w:rPr>
          <w:rFonts w:hint="eastAsia" w:ascii="仿宋_GB2312" w:hAnsi="Times New Roman" w:eastAsia="仿宋_GB2312" w:cs="DengXian-Regular"/>
          <w:sz w:val="32"/>
          <w:szCs w:val="32"/>
        </w:rPr>
        <w:t>年度财政拨款支出888.60万元，主要用于以下方面：一般公共服务支出629.81万元，占70.88</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；卫生健康支出15.38万元，占1.73</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；城乡社区支出15万元，占1.69</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；农林水支出228.4</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万元，占25.7</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2019 </w:t>
      </w:r>
      <w:r>
        <w:rPr>
          <w:rFonts w:hint="eastAsia" w:ascii="仿宋_GB2312" w:hAnsi="Times New Roman" w:eastAsia="仿宋_GB2312" w:cs="DengXian-Regular"/>
          <w:sz w:val="32"/>
          <w:szCs w:val="32"/>
        </w:rPr>
        <w:t>年度财政拨款基本支出649.2</w:t>
      </w:r>
      <w:r>
        <w:rPr>
          <w:rFonts w:hint="eastAsia" w:ascii="仿宋_GB2312" w:hAnsi="Times New Roman" w:eastAsia="仿宋_GB2312" w:cs="DengXian-Regular"/>
          <w:sz w:val="32"/>
          <w:szCs w:val="32"/>
          <w:lang w:val="en-US" w:eastAsia="zh-CN"/>
        </w:rPr>
        <w:t>5</w:t>
      </w:r>
      <w:r>
        <w:rPr>
          <w:rFonts w:hint="eastAsia" w:ascii="仿宋_GB2312" w:hAnsi="Times New Roman" w:eastAsia="仿宋_GB2312" w:cs="DengXian-Regular"/>
          <w:sz w:val="32"/>
          <w:szCs w:val="32"/>
        </w:rPr>
        <w:t>万元，其中：人员经费504.2</w:t>
      </w:r>
      <w:r>
        <w:rPr>
          <w:rFonts w:hint="eastAsia" w:ascii="仿宋_GB2312" w:hAnsi="Times New Roman" w:eastAsia="仿宋_GB2312" w:cs="DengXian-Regular"/>
          <w:sz w:val="32"/>
          <w:szCs w:val="32"/>
          <w:lang w:val="en-US" w:eastAsia="zh-CN"/>
        </w:rPr>
        <w:t>5</w:t>
      </w:r>
      <w:r>
        <w:rPr>
          <w:rFonts w:hint="eastAsia" w:ascii="仿宋_GB2312" w:hAnsi="Times New Roman" w:eastAsia="仿宋_GB2312" w:cs="DengXian-Regular"/>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145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五、一般公共预算“三公”经费支出决算情况说明</w:t>
      </w:r>
    </w:p>
    <w:p>
      <w:pPr>
        <w:snapToGrid w:val="0"/>
        <w:spacing w:line="52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年度“三公”经费支出共计6.22万元，完成预算的36.59</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较预算减少10.78万元，降低63.41</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，主要是认真落实中央</w:t>
      </w:r>
      <w:bookmarkStart w:id="0" w:name="_GoBack"/>
      <w:bookmarkEnd w:id="0"/>
      <w:r>
        <w:rPr>
          <w:rFonts w:hint="eastAsia" w:ascii="仿宋_GB2312" w:hAnsi="Times New Roman" w:eastAsia="仿宋_GB2312" w:cs="DengXian-Regular"/>
          <w:sz w:val="32"/>
          <w:szCs w:val="32"/>
        </w:rPr>
        <w:t>八项规定精神和厉行节约要求，管理制度不断完善，三公经费支出得以有效控制，实现了只减不增目标；较</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年度减少0.02万元，降低0.32</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，主要是严格按管理制度执行，杜绝超标超预算。具体情况如下：</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（一）因公出国（境）费支出0万元。</w:t>
      </w:r>
      <w:r>
        <w:rPr>
          <w:rFonts w:hint="eastAsia" w:ascii="仿宋" w:hAnsi="仿宋" w:eastAsia="仿宋" w:cs="DengXian-Regular"/>
          <w:sz w:val="32"/>
          <w:szCs w:val="32"/>
        </w:rPr>
        <w:t>本部门</w:t>
      </w:r>
      <w:r>
        <w:rPr>
          <w:rFonts w:ascii="仿宋" w:hAnsi="仿宋" w:eastAsia="仿宋" w:cs="DengXian-Regular"/>
          <w:sz w:val="32"/>
          <w:szCs w:val="32"/>
        </w:rPr>
        <w:t>2019</w:t>
      </w:r>
      <w:r>
        <w:rPr>
          <w:rFonts w:hint="eastAsia" w:ascii="仿宋" w:hAnsi="仿宋" w:eastAsia="仿宋" w:cs="DengXian-Regular"/>
          <w:sz w:val="32"/>
          <w:szCs w:val="32"/>
        </w:rPr>
        <w:t>年度因公出国（境）团组0个、共0人参加其他单位组织的因公出国（境）团组0个、共0人，无本单位组织的出国（境）团组。</w:t>
      </w:r>
      <w:r>
        <w:rPr>
          <w:rFonts w:hint="eastAsia" w:ascii="仿宋" w:hAnsi="仿宋" w:eastAsia="仿宋" w:cs="方正仿宋简体"/>
          <w:sz w:val="32"/>
          <w:szCs w:val="32"/>
        </w:rPr>
        <w:t>因公出国</w:t>
      </w:r>
      <w:r>
        <w:rPr>
          <w:rFonts w:hint="eastAsia" w:ascii="仿宋" w:hAnsi="仿宋" w:eastAsia="仿宋" w:cs="DengXian-Regular"/>
          <w:sz w:val="32"/>
          <w:szCs w:val="32"/>
        </w:rPr>
        <w:t>(境)费支出较年初预算无增减变化,较上年无增减变化。主要是严格</w:t>
      </w:r>
      <w:r>
        <w:rPr>
          <w:rFonts w:hint="eastAsia" w:ascii="仿宋" w:hAnsi="仿宋" w:eastAsia="仿宋" w:cs="宋体"/>
          <w:sz w:val="32"/>
          <w:szCs w:val="32"/>
        </w:rPr>
        <w:t>执行中央八项规定，严格控制支出厉行节约原则</w:t>
      </w:r>
      <w:r>
        <w:rPr>
          <w:rFonts w:hint="eastAsia" w:ascii="仿宋_GB2312" w:hAnsi="Times New Roman" w:eastAsia="仿宋_GB2312" w:cs="DengXian-Regular"/>
          <w:sz w:val="32"/>
          <w:szCs w:val="32"/>
        </w:rPr>
        <w:t>。</w:t>
      </w:r>
    </w:p>
    <w:p>
      <w:pPr>
        <w:snapToGrid w:val="0"/>
        <w:spacing w:line="52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（二）公务用车购置及运行维护费支出5.24万元。</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年度公务用车购置及运行维护费较预算减少10.76万元，降低63.41</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主要是公车运行维护费严格按管理制度执行, 定点维修、定点加油、统一保险和统一保养，节假日严格执行公务车辆封存制度，</w:t>
      </w:r>
      <w:r>
        <w:rPr>
          <w:rFonts w:hint="eastAsia" w:ascii="仿宋" w:hAnsi="仿宋" w:eastAsia="仿宋"/>
          <w:sz w:val="32"/>
          <w:szCs w:val="32"/>
        </w:rPr>
        <w:t>不存在超标准配备公车或装饰公车行为</w:t>
      </w:r>
      <w:r>
        <w:rPr>
          <w:rFonts w:hint="eastAsia" w:ascii="仿宋" w:hAnsi="仿宋" w:eastAsia="仿宋"/>
          <w:sz w:val="32"/>
          <w:szCs w:val="32"/>
          <w:lang w:eastAsia="zh-CN"/>
        </w:rPr>
        <w:t>，</w:t>
      </w:r>
      <w:r>
        <w:rPr>
          <w:rFonts w:hint="eastAsia" w:ascii="仿宋_GB2312" w:hAnsi="Times New Roman" w:eastAsia="仿宋_GB2312" w:cs="DengXian-Regular"/>
          <w:sz w:val="32"/>
          <w:szCs w:val="32"/>
        </w:rPr>
        <w:t>降低了公车运行维护费。</w:t>
      </w:r>
    </w:p>
    <w:p>
      <w:pPr>
        <w:snapToGrid w:val="0"/>
        <w:spacing w:line="52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较上年减少0.01万元，降低0.19</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主要是公车运行维护费严格按管理制度执行, 定点维修、定点加油、统一保险和统一保养，节假日严格执行公务车辆封存制度，</w:t>
      </w:r>
      <w:r>
        <w:rPr>
          <w:rFonts w:hint="eastAsia" w:ascii="仿宋" w:hAnsi="仿宋" w:eastAsia="仿宋"/>
          <w:sz w:val="32"/>
          <w:szCs w:val="32"/>
        </w:rPr>
        <w:t>不存在超标准配备公车或装饰公车行为</w:t>
      </w:r>
      <w:r>
        <w:rPr>
          <w:rFonts w:hint="eastAsia" w:ascii="仿宋" w:hAnsi="仿宋" w:eastAsia="仿宋"/>
          <w:sz w:val="32"/>
          <w:szCs w:val="32"/>
          <w:lang w:eastAsia="zh-CN"/>
        </w:rPr>
        <w:t>，</w:t>
      </w:r>
      <w:r>
        <w:rPr>
          <w:rFonts w:hint="eastAsia" w:ascii="仿宋_GB2312" w:hAnsi="Times New Roman" w:eastAsia="仿宋_GB2312" w:cs="DengXian-Regular"/>
          <w:sz w:val="32"/>
          <w:szCs w:val="32"/>
        </w:rPr>
        <w:t>降低了公车运行维护费。</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仿宋_GB2312" w:hAnsi="Times New Roman" w:eastAsia="仿宋_GB2312" w:cs="DengXian-Bold"/>
          <w:b/>
          <w:bCs/>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年度公务用车购置量0辆，未发生“公务用车购置”经费支出，公务用车购置费支出较年初预算无增减变化，</w:t>
      </w:r>
      <w:r>
        <w:rPr>
          <w:rFonts w:hint="eastAsia" w:ascii="仿宋" w:hAnsi="仿宋" w:eastAsia="仿宋" w:cs="DengXian-Regular"/>
          <w:sz w:val="32"/>
          <w:szCs w:val="32"/>
        </w:rPr>
        <w:t>与2018年度决算支出持平。主要是严格</w:t>
      </w:r>
      <w:r>
        <w:rPr>
          <w:rFonts w:hint="eastAsia" w:ascii="仿宋" w:hAnsi="仿宋" w:eastAsia="仿宋" w:cs="宋体"/>
          <w:sz w:val="32"/>
          <w:szCs w:val="32"/>
        </w:rPr>
        <w:t>执行中央八项规定，严格控制支出厉行节约原则。</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年度单位公务用车保有量4辆。公车运行维护费支出较预算减少10.76万元，降低63.41</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主要是公务用车保有量4辆，实际能正常运行的是2辆，有2辆已报废手续未批回。另公车运行维护费严格按管理制度执行, 定点维修、定点加油、统一保险和统一保养，节假日严格执行公务车辆封存制度，降低了公车运行维护费；较上年减少0.01万元，降低0.19</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，主要是公车运行维护费严格按管理制度执行, 定点维修、定点加油、统一保险和统一保养，节假日严格执行公务车辆封存制度，降低了公车运行维护费。</w:t>
      </w:r>
    </w:p>
    <w:p>
      <w:pPr>
        <w:adjustRightInd w:val="0"/>
        <w:snapToGrid w:val="0"/>
        <w:spacing w:line="580" w:lineRule="exact"/>
        <w:ind w:firstLine="643" w:firstLineChars="200"/>
        <w:rPr>
          <w:rFonts w:ascii="仿宋_GB2312" w:hAnsi="Times New Roman" w:eastAsia="仿宋_GB2312" w:cs="DengXian-Regular"/>
          <w:color w:val="000000" w:themeColor="text1"/>
          <w:sz w:val="32"/>
          <w:szCs w:val="32"/>
        </w:rPr>
      </w:pPr>
      <w:r>
        <w:rPr>
          <w:rFonts w:hint="eastAsia" w:ascii="楷体_GB2312" w:hAnsi="Times New Roman" w:eastAsia="楷体_GB2312" w:cs="DengXian-Bold"/>
          <w:b/>
          <w:bCs/>
          <w:color w:val="000000" w:themeColor="text1"/>
          <w:sz w:val="32"/>
          <w:szCs w:val="32"/>
        </w:rPr>
        <w:t>（三）公务接待费支出0.98万元。</w:t>
      </w:r>
      <w:r>
        <w:rPr>
          <w:rFonts w:hint="eastAsia" w:ascii="仿宋_GB2312" w:hAnsi="Times New Roman" w:eastAsia="仿宋_GB2312" w:cs="DengXian-Regular"/>
          <w:color w:val="000000" w:themeColor="text1"/>
          <w:sz w:val="32"/>
          <w:szCs w:val="32"/>
        </w:rPr>
        <w:t>本部门</w:t>
      </w:r>
      <w:r>
        <w:rPr>
          <w:rFonts w:ascii="仿宋_GB2312" w:hAnsi="Times New Roman" w:eastAsia="仿宋_GB2312" w:cs="DengXian-Regular"/>
          <w:color w:val="000000" w:themeColor="text1"/>
          <w:sz w:val="32"/>
          <w:szCs w:val="32"/>
        </w:rPr>
        <w:t>2019</w:t>
      </w:r>
      <w:r>
        <w:rPr>
          <w:rFonts w:hint="eastAsia" w:ascii="仿宋_GB2312" w:hAnsi="Times New Roman" w:eastAsia="仿宋_GB2312" w:cs="DengXian-Regular"/>
          <w:color w:val="000000" w:themeColor="text1"/>
          <w:sz w:val="32"/>
          <w:szCs w:val="32"/>
        </w:rPr>
        <w:t>年度公务接待共</w:t>
      </w:r>
      <w:r>
        <w:rPr>
          <w:rFonts w:hint="eastAsia" w:ascii="仿宋_GB2312" w:hAnsi="Times New Roman" w:eastAsia="仿宋_GB2312" w:cs="DengXian-Regular"/>
          <w:color w:val="000000" w:themeColor="text1"/>
          <w:sz w:val="32"/>
          <w:szCs w:val="32"/>
          <w:lang w:val="en-US" w:eastAsia="zh-CN"/>
        </w:rPr>
        <w:t>23</w:t>
      </w:r>
      <w:r>
        <w:rPr>
          <w:rFonts w:hint="eastAsia" w:ascii="仿宋_GB2312" w:hAnsi="Times New Roman" w:eastAsia="仿宋_GB2312" w:cs="DengXian-Regular"/>
          <w:color w:val="000000" w:themeColor="text1"/>
          <w:sz w:val="32"/>
          <w:szCs w:val="32"/>
        </w:rPr>
        <w:t>批次、2</w:t>
      </w:r>
      <w:r>
        <w:rPr>
          <w:rFonts w:hint="eastAsia" w:ascii="仿宋_GB2312" w:hAnsi="Times New Roman" w:eastAsia="仿宋_GB2312" w:cs="DengXian-Regular"/>
          <w:color w:val="000000" w:themeColor="text1"/>
          <w:sz w:val="32"/>
          <w:szCs w:val="32"/>
          <w:lang w:val="en-US" w:eastAsia="zh-CN"/>
        </w:rPr>
        <w:t>93</w:t>
      </w:r>
      <w:r>
        <w:rPr>
          <w:rFonts w:hint="eastAsia" w:ascii="仿宋_GB2312" w:hAnsi="Times New Roman" w:eastAsia="仿宋_GB2312" w:cs="DengXian-Regular"/>
          <w:color w:val="000000" w:themeColor="text1"/>
          <w:sz w:val="32"/>
          <w:szCs w:val="32"/>
        </w:rPr>
        <w:t>人次。公务接待费支出较预算减少0.01万元，降低1</w:t>
      </w:r>
      <w:r>
        <w:rPr>
          <w:rFonts w:ascii="仿宋_GB2312" w:hAnsi="Times New Roman" w:eastAsia="仿宋_GB2312" w:cs="DengXian-Regular"/>
          <w:color w:val="000000" w:themeColor="text1"/>
          <w:sz w:val="32"/>
          <w:szCs w:val="32"/>
        </w:rPr>
        <w:t>%,</w:t>
      </w:r>
      <w:r>
        <w:rPr>
          <w:rFonts w:hint="eastAsia" w:ascii="仿宋_GB2312" w:hAnsi="Times New Roman" w:eastAsia="仿宋_GB2312" w:cs="DengXian-Regular"/>
          <w:color w:val="000000" w:themeColor="text1"/>
          <w:sz w:val="32"/>
          <w:szCs w:val="32"/>
        </w:rPr>
        <w:t>主要是</w:t>
      </w:r>
      <w:r>
        <w:rPr>
          <w:rFonts w:ascii="仿宋_GB2312" w:hAnsi="Times New Roman" w:eastAsia="仿宋_GB2312" w:cs="DengXian-Regular"/>
          <w:color w:val="000000" w:themeColor="text1"/>
          <w:sz w:val="32"/>
          <w:szCs w:val="32"/>
        </w:rPr>
        <w:t>严格执行八项规定</w:t>
      </w:r>
      <w:r>
        <w:rPr>
          <w:rFonts w:hint="eastAsia" w:ascii="仿宋_GB2312" w:hAnsi="Times New Roman" w:eastAsia="仿宋_GB2312" w:cs="DengXian-Regular"/>
          <w:color w:val="000000" w:themeColor="text1"/>
          <w:sz w:val="32"/>
          <w:szCs w:val="32"/>
        </w:rPr>
        <w:t>，</w:t>
      </w:r>
      <w:r>
        <w:rPr>
          <w:rFonts w:ascii="仿宋_GB2312" w:hAnsi="Times New Roman" w:eastAsia="仿宋_GB2312" w:cs="DengXian-Regular"/>
          <w:color w:val="000000" w:themeColor="text1"/>
          <w:sz w:val="32"/>
          <w:szCs w:val="32"/>
        </w:rPr>
        <w:t>严格控制公务费接待标准及费用</w:t>
      </w:r>
      <w:r>
        <w:rPr>
          <w:rFonts w:hint="eastAsia" w:ascii="仿宋_GB2312" w:hAnsi="Times New Roman" w:eastAsia="仿宋_GB2312" w:cs="DengXian-Regular"/>
          <w:color w:val="000000" w:themeColor="text1"/>
          <w:sz w:val="32"/>
          <w:szCs w:val="32"/>
        </w:rPr>
        <w:t>，较上年度无增减变化</w:t>
      </w:r>
      <w:r>
        <w:rPr>
          <w:rFonts w:hint="eastAsia" w:ascii="仿宋_GB2312" w:hAnsi="Times New Roman" w:eastAsia="仿宋_GB2312" w:cs="DengXian-Regular"/>
          <w:color w:val="000000" w:themeColor="text1"/>
          <w:sz w:val="32"/>
          <w:szCs w:val="32"/>
          <w:lang w:eastAsia="zh-CN"/>
        </w:rPr>
        <w:t>，</w:t>
      </w:r>
      <w:r>
        <w:rPr>
          <w:rFonts w:hint="eastAsia" w:ascii="仿宋" w:hAnsi="仿宋" w:eastAsia="仿宋" w:cs="DengXian-Regular"/>
          <w:sz w:val="32"/>
          <w:szCs w:val="32"/>
        </w:rPr>
        <w:t>主要是</w:t>
      </w:r>
      <w:r>
        <w:rPr>
          <w:rFonts w:hint="eastAsia" w:ascii="仿宋" w:hAnsi="仿宋" w:eastAsia="仿宋"/>
          <w:sz w:val="32"/>
          <w:szCs w:val="32"/>
        </w:rPr>
        <w:t>我单位公务接待严格执行市委</w:t>
      </w:r>
      <w:r>
        <w:rPr>
          <w:rFonts w:hint="eastAsia" w:ascii="仿宋" w:hAnsi="仿宋" w:eastAsia="MS Mincho" w:cs="MS Mincho"/>
          <w:sz w:val="32"/>
          <w:szCs w:val="32"/>
        </w:rPr>
        <w:t>､</w:t>
      </w:r>
      <w:r>
        <w:rPr>
          <w:rFonts w:hint="eastAsia" w:ascii="仿宋" w:hAnsi="仿宋" w:eastAsia="仿宋" w:cs="方正仿宋简体"/>
          <w:sz w:val="32"/>
          <w:szCs w:val="32"/>
        </w:rPr>
        <w:t>市政府要求</w:t>
      </w:r>
      <w:r>
        <w:rPr>
          <w:rFonts w:hint="eastAsia" w:ascii="仿宋" w:hAnsi="仿宋" w:eastAsia="仿宋"/>
          <w:sz w:val="32"/>
          <w:szCs w:val="32"/>
        </w:rPr>
        <w:t>,厉行节约</w:t>
      </w:r>
      <w:r>
        <w:rPr>
          <w:rFonts w:hint="eastAsia" w:ascii="仿宋" w:hAnsi="仿宋" w:eastAsia="MS Mincho" w:cs="MS Mincho"/>
          <w:sz w:val="32"/>
          <w:szCs w:val="32"/>
        </w:rPr>
        <w:t>､</w:t>
      </w:r>
      <w:r>
        <w:rPr>
          <w:rFonts w:hint="eastAsia" w:ascii="仿宋" w:hAnsi="仿宋" w:eastAsia="仿宋" w:cs="方正仿宋简体"/>
          <w:sz w:val="32"/>
          <w:szCs w:val="32"/>
        </w:rPr>
        <w:t>艰苦奋斗</w:t>
      </w:r>
      <w:r>
        <w:rPr>
          <w:rFonts w:hint="eastAsia" w:ascii="仿宋" w:hAnsi="仿宋" w:eastAsia="仿宋"/>
          <w:sz w:val="32"/>
          <w:szCs w:val="32"/>
        </w:rPr>
        <w:t>,严格执行招待报批程序,实行对口接待,控制陪餐人员,从严掌握招待标准,不存在利用公款互相宴请客送礼等问题。</w:t>
      </w:r>
    </w:p>
    <w:p>
      <w:pPr>
        <w:adjustRightInd w:val="0"/>
        <w:snapToGrid w:val="0"/>
        <w:spacing w:line="580" w:lineRule="exact"/>
        <w:ind w:firstLine="640" w:firstLineChars="200"/>
        <w:rPr>
          <w:rFonts w:ascii="黑体" w:hAnsi="Times New Roman" w:eastAsia="黑体"/>
          <w:sz w:val="32"/>
          <w:szCs w:val="40"/>
        </w:rPr>
      </w:pPr>
      <w:r>
        <w:rPr>
          <w:rFonts w:hint="eastAsia" w:ascii="黑体" w:hAnsi="Times New Roman" w:eastAsia="黑体"/>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1. </w:t>
      </w:r>
      <w:r>
        <w:rPr>
          <w:rFonts w:hint="eastAsia" w:ascii="仿宋_GB2312" w:hAnsi="仿宋_GB2312" w:eastAsia="仿宋_GB2312" w:cs="仿宋_GB2312"/>
          <w:b/>
          <w:bCs/>
          <w:sz w:val="32"/>
          <w:szCs w:val="32"/>
        </w:rPr>
        <w:t>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一般公共预算项目支出全面开展绩效自评，项目3个，共涉及资金239.35万元，占一般公共预算项目支出总额的100%。通过绩效管理大大提高了财政资金使用效益，推动了我镇经济和社会各项事业持续健康发展。力促我镇村容村貌大幅改观，使人民生活质量、幸福指数得以明显提高。</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2. </w:t>
      </w:r>
      <w:r>
        <w:rPr>
          <w:rFonts w:hint="eastAsia" w:ascii="仿宋_GB2312" w:hAnsi="仿宋_GB2312" w:eastAsia="仿宋_GB2312" w:cs="仿宋_GB2312"/>
          <w:b/>
          <w:bCs/>
          <w:sz w:val="32"/>
          <w:szCs w:val="32"/>
        </w:rPr>
        <w:t>部门决算中项目绩效自评结果。</w:t>
      </w:r>
    </w:p>
    <w:p>
      <w:pPr>
        <w:adjustRightInd w:val="0"/>
        <w:snapToGrid w:val="0"/>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组织有关人员，讨论确定指标标准值，通过对基础资料进行核实、分析、整理，采取查阅政府相关统计数据、抽查各项目执行记录、对服务对象的跟踪调查、测验数据等途径，获得各项绩效指标实际值。此次绩效评价坚持科学、客观、公正和实事求是的原则，以定量评价方法为主，结合定性分析，从政策实施、项目管理、项目实施、综合效益等方面，对各个项目开展情况进行考评计分。全部项目中最高分98分，最低分94分，平均得分96分。</w:t>
      </w:r>
    </w:p>
    <w:p>
      <w:pPr>
        <w:adjustRightInd w:val="0"/>
        <w:snapToGrid w:val="0"/>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本部门在今年部门决算公开中反映</w:t>
      </w:r>
      <w:r>
        <w:rPr>
          <w:rFonts w:ascii="仿宋_GB2312" w:hAnsi="仿宋_GB2312" w:eastAsia="仿宋_GB2312" w:cs="仿宋_GB2312"/>
          <w:color w:val="000000" w:themeColor="text1"/>
          <w:sz w:val="32"/>
          <w:szCs w:val="32"/>
        </w:rPr>
        <w:t xml:space="preserve"> 城乡社区环境卫生</w:t>
      </w:r>
      <w:r>
        <w:rPr>
          <w:rFonts w:hint="eastAsia" w:ascii="仿宋_GB2312" w:hAnsi="仿宋_GB2312" w:eastAsia="仿宋_GB2312" w:cs="仿宋_GB2312"/>
          <w:color w:val="000000" w:themeColor="text1"/>
          <w:sz w:val="32"/>
          <w:szCs w:val="32"/>
        </w:rPr>
        <w:t>等3个项目绩效自评结果。</w:t>
      </w:r>
    </w:p>
    <w:p>
      <w:pPr>
        <w:numPr>
          <w:ilvl w:val="0"/>
          <w:numId w:val="2"/>
        </w:numPr>
        <w:adjustRightInd w:val="0"/>
        <w:snapToGrid w:val="0"/>
        <w:spacing w:line="58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城乡社区环境卫生</w:t>
      </w:r>
      <w:r>
        <w:rPr>
          <w:rFonts w:hint="eastAsia" w:ascii="仿宋_GB2312" w:hAnsi="仿宋_GB2312" w:eastAsia="仿宋_GB2312" w:cs="仿宋_GB2312"/>
          <w:color w:val="000000" w:themeColor="text1"/>
          <w:sz w:val="32"/>
          <w:szCs w:val="32"/>
        </w:rPr>
        <w:t>项目绩效自评综述：</w:t>
      </w:r>
      <w:r>
        <w:rPr>
          <w:rFonts w:ascii="仿宋" w:hAnsi="仿宋" w:eastAsia="仿宋" w:cs="仿宋_GB2312"/>
          <w:sz w:val="32"/>
          <w:szCs w:val="32"/>
        </w:rPr>
        <w:t>城乡社区环境卫生</w:t>
      </w:r>
      <w:r>
        <w:rPr>
          <w:rFonts w:hint="eastAsia" w:ascii="仿宋" w:hAnsi="仿宋" w:eastAsia="仿宋" w:cs="仿宋_GB2312"/>
          <w:sz w:val="32"/>
          <w:szCs w:val="32"/>
        </w:rPr>
        <w:t>项目绩效自评得分94分。全年预算数</w:t>
      </w:r>
      <w:r>
        <w:rPr>
          <w:rFonts w:hint="eastAsia" w:ascii="仿宋" w:hAnsi="仿宋" w:eastAsia="仿宋" w:cs="仿宋_GB2312"/>
          <w:sz w:val="32"/>
          <w:szCs w:val="32"/>
          <w:lang w:val="en-US" w:eastAsia="zh-CN"/>
        </w:rPr>
        <w:t>15</w:t>
      </w:r>
      <w:r>
        <w:rPr>
          <w:rFonts w:hint="eastAsia" w:ascii="仿宋" w:hAnsi="仿宋" w:eastAsia="仿宋" w:cs="仿宋_GB2312"/>
          <w:sz w:val="32"/>
          <w:szCs w:val="32"/>
        </w:rPr>
        <w:t>万元，实际执行</w:t>
      </w:r>
      <w:r>
        <w:rPr>
          <w:rFonts w:hint="eastAsia" w:ascii="仿宋" w:hAnsi="仿宋" w:eastAsia="仿宋" w:cs="仿宋_GB2312"/>
          <w:sz w:val="32"/>
          <w:szCs w:val="32"/>
          <w:lang w:val="en-US" w:eastAsia="zh-CN"/>
        </w:rPr>
        <w:t>15</w:t>
      </w:r>
      <w:r>
        <w:rPr>
          <w:rFonts w:hint="eastAsia" w:ascii="仿宋" w:hAnsi="仿宋" w:eastAsia="仿宋" w:cs="仿宋_GB2312"/>
          <w:sz w:val="32"/>
          <w:szCs w:val="32"/>
        </w:rPr>
        <w:t>万元，完成100%。通过环境治理，较好地改善了百姓的生活环境，提高了百姓的幸福指数。群众满意度大于90%，公众满意度大于90%，验收通过率大于90%，绩效评价为优。发现的主要问题及原因:缺乏体现项目实施长期效益的指标。下一步改进措施:进一步推进项目绩效评价指标体系的建设，提高项目绩效指标评价准确性，持续加强对项目实施后的长期跟踪评价。</w:t>
      </w:r>
    </w:p>
    <w:p>
      <w:pPr>
        <w:numPr>
          <w:ilvl w:val="0"/>
          <w:numId w:val="2"/>
        </w:numPr>
        <w:adjustRightInd w:val="0"/>
        <w:snapToGrid w:val="0"/>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农村社会事业项目自评综述：</w:t>
      </w:r>
      <w:r>
        <w:rPr>
          <w:rFonts w:hint="eastAsia" w:ascii="仿宋" w:hAnsi="仿宋" w:eastAsia="仿宋" w:cs="仿宋_GB2312"/>
          <w:sz w:val="32"/>
          <w:szCs w:val="32"/>
        </w:rPr>
        <w:t>农村公益事业项目绩效自评得分9</w:t>
      </w:r>
      <w:r>
        <w:rPr>
          <w:rFonts w:hint="eastAsia" w:ascii="仿宋" w:hAnsi="仿宋" w:eastAsia="仿宋" w:cs="仿宋_GB2312"/>
          <w:sz w:val="32"/>
          <w:szCs w:val="32"/>
          <w:lang w:val="en-US" w:eastAsia="zh-CN"/>
        </w:rPr>
        <w:t>6</w:t>
      </w:r>
      <w:r>
        <w:rPr>
          <w:rFonts w:hint="eastAsia" w:ascii="仿宋" w:hAnsi="仿宋" w:eastAsia="仿宋" w:cs="仿宋_GB2312"/>
          <w:sz w:val="32"/>
          <w:szCs w:val="32"/>
        </w:rPr>
        <w:t>分。全年预算数</w:t>
      </w:r>
      <w:r>
        <w:rPr>
          <w:rFonts w:hint="eastAsia" w:ascii="仿宋" w:hAnsi="仿宋" w:eastAsia="仿宋" w:cs="仿宋_GB2312"/>
          <w:sz w:val="32"/>
          <w:szCs w:val="32"/>
          <w:lang w:val="en-US" w:eastAsia="zh-CN"/>
        </w:rPr>
        <w:t>214.49</w:t>
      </w:r>
      <w:r>
        <w:rPr>
          <w:rFonts w:hint="eastAsia" w:ascii="仿宋" w:hAnsi="仿宋" w:eastAsia="仿宋" w:cs="仿宋_GB2312"/>
          <w:sz w:val="32"/>
          <w:szCs w:val="32"/>
        </w:rPr>
        <w:t>万元，实际执行</w:t>
      </w:r>
      <w:r>
        <w:rPr>
          <w:rFonts w:hint="eastAsia" w:ascii="仿宋" w:hAnsi="仿宋" w:eastAsia="仿宋" w:cs="仿宋_GB2312"/>
          <w:sz w:val="32"/>
          <w:szCs w:val="32"/>
          <w:lang w:val="en-US" w:eastAsia="zh-CN"/>
        </w:rPr>
        <w:t>214.49</w:t>
      </w:r>
      <w:r>
        <w:rPr>
          <w:rFonts w:hint="eastAsia" w:ascii="仿宋" w:hAnsi="仿宋" w:eastAsia="仿宋" w:cs="仿宋_GB2312"/>
          <w:sz w:val="32"/>
          <w:szCs w:val="32"/>
        </w:rPr>
        <w:t>万元，完成100%。</w:t>
      </w:r>
      <w:r>
        <w:rPr>
          <w:rFonts w:hint="eastAsia" w:ascii="仿宋" w:hAnsi="仿宋" w:eastAsia="仿宋" w:cs="仿宋_GB2312"/>
          <w:sz w:val="32"/>
          <w:szCs w:val="32"/>
          <w:lang w:val="en-US" w:eastAsia="zh-CN"/>
        </w:rPr>
        <w:t>主要</w:t>
      </w:r>
      <w:r>
        <w:rPr>
          <w:rFonts w:hint="eastAsia" w:ascii="仿宋_GB2312" w:hAnsi="仿宋_GB2312" w:eastAsia="仿宋_GB2312" w:cs="仿宋_GB2312"/>
          <w:color w:val="000000" w:themeColor="text1"/>
          <w:sz w:val="32"/>
          <w:szCs w:val="32"/>
        </w:rPr>
        <w:t>用于治理我镇街道、河道、公路周边、公共厕所等卫生死角，对村委会集中安置点，主干道等区域配齐环卫设施，推进户分类、组收集、村运转、乡处理模式，足额落实环保经费，运用激励手段开展卫生检查评比等，力促村容村貌大幅改观；建设小型空气站，实时监测空气质量，有效控制或消减大气污染排放量，实现科学治霾，让百姓看到了蓝天白云。通过农村环境治理和大气污染治理，较好地改善了百姓的生活环境，提高了百姓的幸福指数。群众满意度大于90%，公众满意度大于90%，验收通过率大于90%，绩效评价为优。</w:t>
      </w:r>
    </w:p>
    <w:p>
      <w:pPr>
        <w:autoSpaceDE w:val="0"/>
        <w:autoSpaceDN w:val="0"/>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（3）乡镇维稳项目自评综述：乡镇维稳项目自评</w:t>
      </w:r>
      <w:r>
        <w:rPr>
          <w:rFonts w:hint="eastAsia" w:ascii="仿宋" w:hAnsi="仿宋" w:eastAsia="仿宋" w:cs="仿宋_GB2312"/>
          <w:sz w:val="32"/>
          <w:szCs w:val="32"/>
        </w:rPr>
        <w:t>得分9</w:t>
      </w:r>
      <w:r>
        <w:rPr>
          <w:rFonts w:hint="eastAsia" w:ascii="仿宋" w:hAnsi="仿宋" w:eastAsia="仿宋" w:cs="仿宋_GB2312"/>
          <w:sz w:val="32"/>
          <w:szCs w:val="32"/>
          <w:lang w:val="en-US" w:eastAsia="zh-CN"/>
        </w:rPr>
        <w:t>8</w:t>
      </w:r>
      <w:r>
        <w:rPr>
          <w:rFonts w:hint="eastAsia" w:ascii="仿宋" w:hAnsi="仿宋" w:eastAsia="仿宋" w:cs="仿宋_GB2312"/>
          <w:sz w:val="32"/>
          <w:szCs w:val="32"/>
        </w:rPr>
        <w:t>分</w:t>
      </w:r>
      <w:r>
        <w:rPr>
          <w:rFonts w:hint="eastAsia" w:ascii="仿宋" w:hAnsi="仿宋" w:eastAsia="仿宋" w:cs="仿宋_GB2312"/>
          <w:sz w:val="32"/>
          <w:szCs w:val="32"/>
          <w:lang w:eastAsia="zh-CN"/>
        </w:rPr>
        <w:t>。</w:t>
      </w:r>
      <w:r>
        <w:rPr>
          <w:rFonts w:hint="eastAsia" w:ascii="仿宋" w:hAnsi="仿宋" w:eastAsia="仿宋" w:cs="仿宋_GB2312"/>
          <w:sz w:val="32"/>
          <w:szCs w:val="32"/>
        </w:rPr>
        <w:t>全年预算数</w:t>
      </w:r>
      <w:r>
        <w:rPr>
          <w:rFonts w:hint="eastAsia" w:ascii="仿宋" w:hAnsi="仿宋" w:eastAsia="仿宋" w:cs="仿宋_GB2312"/>
          <w:sz w:val="32"/>
          <w:szCs w:val="32"/>
          <w:lang w:val="en-US" w:eastAsia="zh-CN"/>
        </w:rPr>
        <w:t>9.86</w:t>
      </w:r>
      <w:r>
        <w:rPr>
          <w:rFonts w:hint="eastAsia" w:ascii="仿宋" w:hAnsi="仿宋" w:eastAsia="仿宋" w:cs="仿宋_GB2312"/>
          <w:sz w:val="32"/>
          <w:szCs w:val="32"/>
        </w:rPr>
        <w:t>万元，实际执行</w:t>
      </w:r>
      <w:r>
        <w:rPr>
          <w:rFonts w:hint="eastAsia" w:ascii="仿宋" w:hAnsi="仿宋" w:eastAsia="仿宋" w:cs="仿宋_GB2312"/>
          <w:sz w:val="32"/>
          <w:szCs w:val="32"/>
          <w:lang w:val="en-US" w:eastAsia="zh-CN"/>
        </w:rPr>
        <w:t>9.86</w:t>
      </w:r>
      <w:r>
        <w:rPr>
          <w:rFonts w:hint="eastAsia" w:ascii="仿宋" w:hAnsi="仿宋" w:eastAsia="仿宋" w:cs="仿宋_GB2312"/>
          <w:sz w:val="32"/>
          <w:szCs w:val="32"/>
        </w:rPr>
        <w:t>万元，完成100%。</w:t>
      </w:r>
      <w:r>
        <w:rPr>
          <w:rFonts w:hint="eastAsia" w:ascii="仿宋" w:hAnsi="仿宋" w:eastAsia="仿宋" w:cs="仿宋"/>
          <w:sz w:val="32"/>
          <w:lang w:val="zh-CN"/>
        </w:rPr>
        <w:t>专项用于我镇社会治安、综合治理、统一受理、调解、分流、处理各类矛盾纠纷和群众来信来访，协调处置各类突发性和群众性事件。积极参与配合专项斗争，组织排查，协调整治治安混乱地区和突发治安问题。归正人员安置帮教、社区矫正、禁毒和反邪教等工各项综治工作。组织开展法制宣传和综治维稳及平安创建宣传活动，基层综治工作和群防群治队伍的教育、管理和培训工作。开展社会不安定因素和矛盾纠纷排查，指导和督促有关部门，充分发挥人民调解、行政调解、司法调节，认真做好调处化解工作，统一受理分流各类矛盾纠纷。同时对重大安全事故防范维稳资金全力保障，确保保障社会稳定和谐发展，保障居民安居乐业，健康有序，</w:t>
      </w:r>
      <w:r>
        <w:rPr>
          <w:rFonts w:hint="eastAsia" w:ascii="仿宋" w:hAnsi="仿宋" w:eastAsia="仿宋" w:cs="仿宋"/>
          <w:color w:val="000000" w:themeColor="text1"/>
          <w:sz w:val="32"/>
          <w:szCs w:val="32"/>
        </w:rPr>
        <w:t>促进了我镇经济和社会的持续健康发展。群众满意度大于90%，公众满意度大于90%，验收通过率大于90%，绩效评价为优。</w:t>
      </w:r>
    </w:p>
    <w:p>
      <w:pPr>
        <w:keepNext/>
        <w:keepLines/>
        <w:snapToGrid w:val="0"/>
        <w:spacing w:line="58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七、其他重要事项的说明</w:t>
      </w:r>
    </w:p>
    <w:p>
      <w:pPr>
        <w:keepNext/>
        <w:keepLines/>
        <w:snapToGrid w:val="0"/>
        <w:spacing w:line="580" w:lineRule="exact"/>
        <w:ind w:firstLine="643" w:firstLineChars="200"/>
        <w:outlineLvl w:val="2"/>
        <w:rPr>
          <w:rFonts w:ascii="仿宋" w:hAnsi="仿宋" w:eastAsia="仿宋" w:cs="仿宋"/>
          <w:b/>
          <w:bCs/>
          <w:sz w:val="32"/>
          <w:szCs w:val="32"/>
        </w:rPr>
      </w:pPr>
      <w:r>
        <w:rPr>
          <w:rFonts w:hint="eastAsia" w:ascii="仿宋" w:hAnsi="仿宋" w:eastAsia="仿宋" w:cs="仿宋"/>
          <w:b/>
          <w:bCs/>
          <w:sz w:val="32"/>
          <w:szCs w:val="32"/>
        </w:rPr>
        <w:t>（一）机关运行经费情况</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仿宋"/>
          <w:sz w:val="32"/>
          <w:szCs w:val="32"/>
        </w:rPr>
        <w:t>我单位性质是其他单位，机关运行经费支出0万元，与上年持平，较年初预算无增减变化</w:t>
      </w:r>
      <w:r>
        <w:rPr>
          <w:rFonts w:hint="eastAsia" w:ascii="仿宋" w:hAnsi="仿宋" w:eastAsia="仿宋" w:cs="DengXian-Regular"/>
          <w:sz w:val="32"/>
          <w:szCs w:val="32"/>
        </w:rPr>
        <w:t>。</w:t>
      </w:r>
    </w:p>
    <w:p>
      <w:pPr>
        <w:keepNext/>
        <w:keepLines/>
        <w:snapToGrid w:val="0"/>
        <w:spacing w:line="580" w:lineRule="exact"/>
        <w:ind w:firstLine="643" w:firstLineChars="200"/>
        <w:outlineLvl w:val="2"/>
        <w:rPr>
          <w:rFonts w:ascii="仿宋" w:hAnsi="仿宋" w:eastAsia="仿宋" w:cs="仿宋"/>
          <w:b/>
          <w:bCs/>
          <w:sz w:val="32"/>
          <w:szCs w:val="32"/>
        </w:rPr>
      </w:pPr>
      <w:r>
        <w:rPr>
          <w:rFonts w:hint="eastAsia" w:ascii="仿宋" w:hAnsi="仿宋" w:eastAsia="仿宋" w:cs="仿宋"/>
          <w:b/>
          <w:bCs/>
          <w:sz w:val="32"/>
          <w:szCs w:val="32"/>
        </w:rPr>
        <w:t>（二）政府采购情况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年度政府采购支出总额0万元，从采购类型来看，</w:t>
      </w:r>
      <w:r>
        <w:rPr>
          <w:rFonts w:hint="eastAsia" w:ascii="仿宋_GB2312" w:hAnsi="仿宋_GB2312" w:eastAsia="仿宋_GB2312" w:cs="仿宋_GB2312"/>
          <w:color w:val="000000"/>
          <w:kern w:val="0"/>
          <w:sz w:val="32"/>
          <w:szCs w:val="32"/>
        </w:rPr>
        <w:t>政府采购货物支出0万元、政府采购工程支出0万元、政府采购服务支出0万元。授予中小企业合同金0万元，占政府采购支出总额的0</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，其中授予小微企业合同金额0万元，占政府采购支出总额的0</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w:t>
      </w:r>
      <w:r>
        <w:rPr>
          <w:rFonts w:ascii="仿宋_GB2312" w:hAnsi="Times New Roman" w:eastAsia="仿宋_GB2312" w:cs="DengXian-Regular"/>
          <w:sz w:val="32"/>
          <w:szCs w:val="32"/>
        </w:rPr>
        <w:t>12</w:t>
      </w:r>
      <w:r>
        <w:rPr>
          <w:rFonts w:hint="eastAsia" w:ascii="仿宋_GB2312" w:hAnsi="Times New Roman" w:eastAsia="仿宋_GB2312" w:cs="DengXian-Regular"/>
          <w:sz w:val="32"/>
          <w:szCs w:val="32"/>
        </w:rPr>
        <w:t>月</w:t>
      </w:r>
      <w:r>
        <w:rPr>
          <w:rFonts w:ascii="仿宋_GB2312" w:hAnsi="Times New Roman" w:eastAsia="仿宋_GB2312" w:cs="DengXian-Regular"/>
          <w:sz w:val="32"/>
          <w:szCs w:val="32"/>
        </w:rPr>
        <w:t>31</w:t>
      </w:r>
      <w:r>
        <w:rPr>
          <w:rFonts w:hint="eastAsia" w:ascii="仿宋_GB2312" w:hAnsi="Times New Roman" w:eastAsia="仿宋_GB2312" w:cs="DengXian-Regular"/>
          <w:sz w:val="32"/>
          <w:szCs w:val="32"/>
        </w:rPr>
        <w:t>日，本部门共有车辆4辆，较年初预算无增减变化，较2018年度决算无增减变化。其中，副部（省）级及以上领导用车0辆，主要领导干部用车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辆，机要通信用车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辆，应急保障用车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辆，执法执勤用车0辆，特种专业技术用车0辆，离退休干部用车0辆，其他用车</w:t>
      </w:r>
      <w:r>
        <w:rPr>
          <w:rFonts w:hint="eastAsia" w:ascii="仿宋_GB2312" w:hAnsi="Times New Roman" w:eastAsia="仿宋_GB2312" w:cs="DengXian-Regular"/>
          <w:sz w:val="32"/>
          <w:szCs w:val="32"/>
          <w:lang w:val="en-US" w:eastAsia="zh-CN"/>
        </w:rPr>
        <w:t>4</w:t>
      </w:r>
      <w:r>
        <w:rPr>
          <w:rFonts w:hint="eastAsia" w:ascii="仿宋_GB2312" w:hAnsi="Times New Roman" w:eastAsia="仿宋_GB2312" w:cs="DengXian-Regular"/>
          <w:sz w:val="32"/>
          <w:szCs w:val="32"/>
        </w:rPr>
        <w:t>辆。</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万元以上通用设备0台，比上年无增减变化</w:t>
      </w:r>
      <w:r>
        <w:rPr>
          <w:rFonts w:hint="eastAsia" w:ascii="仿宋_GB2312" w:hAnsi="Times New Roman" w:eastAsia="仿宋_GB2312" w:cs="DengXian-Regular"/>
          <w:sz w:val="32"/>
          <w:szCs w:val="32"/>
          <w:lang w:eastAsia="zh-CN"/>
        </w:rPr>
        <w:t>，</w:t>
      </w:r>
      <w:r>
        <w:rPr>
          <w:rFonts w:hint="eastAsia" w:ascii="仿宋" w:hAnsi="仿宋" w:eastAsia="仿宋" w:cs="DengXian-Regular"/>
          <w:sz w:val="32"/>
          <w:szCs w:val="32"/>
        </w:rPr>
        <w:t>主要是坚持厉行节约的原则</w:t>
      </w:r>
      <w:r>
        <w:rPr>
          <w:rFonts w:hint="eastAsia" w:ascii="仿宋_GB2312" w:hAnsi="Times New Roman" w:eastAsia="仿宋_GB2312" w:cs="DengXian-Regular"/>
          <w:sz w:val="32"/>
          <w:szCs w:val="32"/>
        </w:rPr>
        <w:t>。单位价值</w:t>
      </w:r>
      <w:r>
        <w:rPr>
          <w:rFonts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万元以上专用设备0台，比上年无增减变化</w:t>
      </w:r>
      <w:r>
        <w:rPr>
          <w:rFonts w:hint="eastAsia" w:ascii="仿宋_GB2312" w:hAnsi="Times New Roman" w:eastAsia="仿宋_GB2312" w:cs="DengXian-Regular"/>
          <w:sz w:val="32"/>
          <w:szCs w:val="32"/>
          <w:lang w:eastAsia="zh-CN"/>
        </w:rPr>
        <w:t>，</w:t>
      </w:r>
      <w:r>
        <w:rPr>
          <w:rFonts w:hint="eastAsia" w:ascii="仿宋" w:hAnsi="仿宋" w:eastAsia="仿宋" w:cs="DengXian-Regular"/>
          <w:sz w:val="32"/>
          <w:szCs w:val="32"/>
        </w:rPr>
        <w:t>主要是坚持厉行节约的原则</w:t>
      </w:r>
      <w:r>
        <w:rPr>
          <w:rFonts w:hint="eastAsia" w:ascii="仿宋_GB2312" w:hAnsi="Times New Roman" w:eastAsia="仿宋_GB2312" w:cs="DengXian-Regular"/>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1. </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w:t>
      </w:r>
      <w:r>
        <w:rPr>
          <w:rFonts w:ascii="仿宋_GB2312" w:hAnsi="Times New Roman" w:eastAsia="仿宋_GB2312" w:cs="DengXian-Regular"/>
          <w:sz w:val="32"/>
          <w:szCs w:val="32"/>
        </w:rPr>
        <w:t>政府性基金预算财政拨款收入支出决算表</w:t>
      </w:r>
      <w:r>
        <w:rPr>
          <w:rFonts w:hint="eastAsia" w:ascii="仿宋_GB2312" w:hAnsi="Times New Roman" w:eastAsia="仿宋_GB2312" w:cs="DengXian-Regular"/>
          <w:sz w:val="32"/>
          <w:szCs w:val="32"/>
        </w:rPr>
        <w:t>”，无收支及结转结余情况，故“</w:t>
      </w:r>
      <w:r>
        <w:rPr>
          <w:rFonts w:ascii="仿宋_GB2312" w:hAnsi="Times New Roman" w:eastAsia="仿宋_GB2312" w:cs="DengXian-Regular"/>
          <w:sz w:val="32"/>
          <w:szCs w:val="32"/>
        </w:rPr>
        <w:t>政府性基金预算财政拨款收入支出决算表</w:t>
      </w:r>
      <w:r>
        <w:rPr>
          <w:rFonts w:hint="eastAsia" w:ascii="仿宋_GB2312" w:hAnsi="Times New Roman" w:eastAsia="仿宋_GB2312" w:cs="DengXian-Regular"/>
          <w:sz w:val="32"/>
          <w:szCs w:val="32"/>
        </w:rPr>
        <w:t>”以空表列示。本部门2019年度“国有资本经营预算财政拨款支出决算表”无相关支出情况，故以空表列示。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2. </w:t>
      </w:r>
      <w:r>
        <w:rPr>
          <w:rFonts w:hint="eastAsia" w:ascii="仿宋_GB2312" w:hAnsi="Times New Roman" w:eastAsia="仿宋_GB2312" w:cs="DengXian-Regular"/>
          <w:sz w:val="32"/>
          <w:szCs w:val="32"/>
        </w:rPr>
        <w:t>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rPr>
          <w:rFonts w:ascii="黑体" w:hAnsi="黑体" w:eastAsia="黑体" w:cs="黑体"/>
          <w:sz w:val="56"/>
          <w:szCs w:val="72"/>
        </w:rPr>
      </w:pPr>
    </w:p>
    <w:p>
      <w:pPr>
        <w:jc w:val="center"/>
        <w:rPr>
          <w:rFonts w:ascii="黑体" w:hAnsi="黑体" w:eastAsia="黑体" w:cs="黑体"/>
          <w:sz w:val="56"/>
          <w:szCs w:val="72"/>
        </w:rPr>
      </w:pPr>
    </w:p>
    <w:p>
      <w:pPr>
        <w:jc w:val="center"/>
        <w:rPr>
          <w:sz w:val="72"/>
        </w:rPr>
      </w:pPr>
    </w:p>
    <w:p/>
    <w:p>
      <w:pPr>
        <w:ind w:firstLine="720" w:firstLineChars="100"/>
        <w:jc w:val="left"/>
        <w:rPr>
          <w:sz w:val="72"/>
          <w:szCs w:val="72"/>
        </w:rPr>
      </w:pPr>
      <w:r>
        <w:rPr>
          <w:rFonts w:hint="eastAsia" w:ascii="黑体" w:hAnsi="黑体" w:eastAsia="黑体" w:cs="黑体"/>
          <w:color w:val="000000"/>
          <w:sz w:val="72"/>
          <w:szCs w:val="72"/>
        </w:rPr>
        <w:t>第三部分</w:t>
      </w:r>
      <w:r>
        <w:rPr>
          <w:rFonts w:hint="eastAsia" w:ascii="黑体" w:hAnsi="黑体" w:eastAsia="黑体" w:cs="黑体"/>
          <w:color w:val="000000"/>
          <w:sz w:val="72"/>
          <w:szCs w:val="72"/>
          <w:lang w:val="en-US" w:eastAsia="zh-CN"/>
        </w:rPr>
        <w:t xml:space="preserve">  </w:t>
      </w:r>
      <w:r>
        <w:rPr>
          <w:rFonts w:hint="eastAsia" w:ascii="黑体" w:hAnsi="黑体" w:eastAsia="黑体" w:cs="黑体"/>
          <w:color w:val="000000"/>
          <w:sz w:val="72"/>
          <w:szCs w:val="72"/>
        </w:rPr>
        <w:t>相关名词解释</w:t>
      </w:r>
    </w:p>
    <w:p/>
    <w:p/>
    <w:p/>
    <w:p/>
    <w:p/>
    <w:p/>
    <w:p/>
    <w:p/>
    <w:p/>
    <w:p/>
    <w:p/>
    <w:p>
      <w:pPr>
        <w:tabs>
          <w:tab w:val="left" w:pos="886"/>
        </w:tabs>
        <w:jc w:val="left"/>
        <w:sectPr>
          <w:headerReference r:id="rId8" w:type="first"/>
          <w:pgSz w:w="11906" w:h="16838"/>
          <w:pgMar w:top="2041" w:right="1531" w:bottom="2041" w:left="1531" w:header="851" w:footer="992" w:gutter="0"/>
          <w:pgNumType w:fmt="numberInDash"/>
          <w:cols w:space="0" w:num="1"/>
          <w:titlePg/>
          <w:docGrid w:type="lines" w:linePitch="312" w:charSpace="0"/>
        </w:sectPr>
      </w:pPr>
    </w:p>
    <w:p>
      <w:pPr>
        <w:ind w:firstLine="640" w:firstLineChars="200"/>
        <w:rPr>
          <w:rFonts w:ascii="仿宋_GB2312" w:hAnsi="宋体" w:eastAsia="仿宋_GB2312"/>
          <w:color w:val="000000"/>
          <w:kern w:val="0"/>
          <w:sz w:val="32"/>
          <w:szCs w:val="32"/>
        </w:rPr>
      </w:pPr>
      <w:r>
        <w:rPr>
          <w:rFonts w:ascii="仿宋_GB2312" w:hAnsi="宋体" w:eastAsia="仿宋_GB2312" w:cs="ArialUnicodeMS"/>
          <w:sz w:val="32"/>
          <w:szCs w:val="32"/>
          <w:highlight w:val="yellow"/>
        </w:rPr>
        <w:br w:type="page"/>
      </w:r>
      <w:r>
        <w:rPr>
          <w:rFonts w:hint="eastAsia" w:ascii="仿宋_GB2312" w:hAnsi="宋体" w:eastAsia="仿宋_GB2312"/>
          <w:b/>
          <w:bCs/>
          <w:color w:val="000000"/>
          <w:kern w:val="0"/>
          <w:sz w:val="32"/>
          <w:szCs w:val="32"/>
        </w:rPr>
        <w:t>（一）财政拨款收入：</w:t>
      </w:r>
      <w:r>
        <w:rPr>
          <w:rFonts w:hint="eastAsia" w:ascii="仿宋_GB2312" w:hAnsi="宋体" w:eastAsia="仿宋_GB2312"/>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（二）事业收入：</w:t>
      </w:r>
      <w:r>
        <w:rPr>
          <w:rFonts w:hint="eastAsia" w:ascii="仿宋_GB2312" w:hAnsi="宋体" w:eastAsia="仿宋_GB2312"/>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（三）其他收入：</w:t>
      </w:r>
      <w:r>
        <w:rPr>
          <w:rFonts w:hint="eastAsia" w:ascii="仿宋_GB2312" w:hAnsi="宋体" w:eastAsia="仿宋_GB2312"/>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（四）用事业基金弥补收支差额：</w:t>
      </w:r>
      <w:r>
        <w:rPr>
          <w:rFonts w:hint="eastAsia" w:ascii="仿宋_GB2312" w:hAnsi="宋体"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（五）年初结转和结余：</w:t>
      </w:r>
      <w:r>
        <w:rPr>
          <w:rFonts w:hint="eastAsia" w:ascii="仿宋_GB2312" w:hAnsi="宋体" w:eastAsia="仿宋_GB2312"/>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（六）结余分配：</w:t>
      </w:r>
      <w:r>
        <w:rPr>
          <w:rFonts w:hint="eastAsia" w:ascii="仿宋_GB2312" w:hAnsi="宋体" w:eastAsia="仿宋_GB2312"/>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（七）年末结转和结余：</w:t>
      </w:r>
      <w:r>
        <w:rPr>
          <w:rFonts w:hint="eastAsia" w:ascii="仿宋_GB2312" w:hAnsi="宋体" w:eastAsia="仿宋_GB2312"/>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（八）基本支出：</w:t>
      </w:r>
      <w:r>
        <w:rPr>
          <w:rFonts w:hint="eastAsia" w:ascii="仿宋_GB2312" w:hAnsi="宋体" w:eastAsia="仿宋_GB2312"/>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（九）项目支出：</w:t>
      </w:r>
      <w:r>
        <w:rPr>
          <w:rFonts w:hint="eastAsia" w:ascii="仿宋_GB2312" w:hAnsi="宋体" w:eastAsia="仿宋_GB2312"/>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（十）基本建设支出：</w:t>
      </w:r>
      <w:r>
        <w:rPr>
          <w:rFonts w:hint="eastAsia" w:ascii="仿宋_GB2312" w:hAnsi="宋体" w:eastAsia="仿宋_GB2312"/>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（十一）其他资本性支出：</w:t>
      </w:r>
      <w:r>
        <w:rPr>
          <w:rFonts w:hint="eastAsia" w:ascii="仿宋_GB2312" w:hAnsi="宋体" w:eastAsia="仿宋_GB2312"/>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（十二）“三公”经费：</w:t>
      </w:r>
      <w:r>
        <w:rPr>
          <w:rFonts w:hint="eastAsia" w:ascii="仿宋_GB2312" w:hAnsi="宋体"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（十三）其他交通费用：</w:t>
      </w:r>
      <w:r>
        <w:rPr>
          <w:rFonts w:hint="eastAsia" w:ascii="仿宋_GB2312" w:hAnsi="宋体" w:eastAsia="仿宋_GB2312"/>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（十四）公务用车购置：</w:t>
      </w:r>
      <w:r>
        <w:rPr>
          <w:rFonts w:hint="eastAsia" w:ascii="仿宋_GB2312" w:hAnsi="宋体" w:eastAsia="仿宋_GB2312"/>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（十五）其他交通工具购置：</w:t>
      </w:r>
      <w:r>
        <w:rPr>
          <w:rFonts w:hint="eastAsia" w:ascii="仿宋_GB2312" w:hAnsi="宋体" w:eastAsia="仿宋_GB2312"/>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（十六）机关运行经费：</w:t>
      </w:r>
      <w:r>
        <w:rPr>
          <w:rFonts w:hint="eastAsia" w:ascii="仿宋_GB2312" w:hAnsi="宋体"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b/>
          <w:bCs/>
          <w:color w:val="000000"/>
          <w:kern w:val="0"/>
          <w:sz w:val="32"/>
          <w:szCs w:val="32"/>
        </w:rPr>
        <w:t>（十七）经费形式</w:t>
      </w:r>
      <w:r>
        <w:rPr>
          <w:rFonts w:ascii="仿宋_GB2312" w:hAnsi="宋体" w:eastAsia="仿宋_GB2312"/>
          <w:b/>
          <w:bCs/>
          <w:color w:val="000000"/>
          <w:kern w:val="0"/>
          <w:sz w:val="32"/>
          <w:szCs w:val="32"/>
        </w:rPr>
        <w:t>:</w:t>
      </w:r>
      <w:r>
        <w:rPr>
          <w:rFonts w:hint="eastAsia" w:ascii="仿宋_GB2312" w:hAnsi="宋体" w:eastAsia="仿宋_GB2312"/>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
      <w:pPr>
        <w:jc w:val="left"/>
        <w:sectPr>
          <w:headerReference r:id="rId9" w:type="default"/>
          <w:type w:val="continuous"/>
          <w:pgSz w:w="11906" w:h="16838"/>
          <w:pgMar w:top="2098" w:right="1474" w:bottom="1985" w:left="1588" w:header="851" w:footer="992" w:gutter="0"/>
          <w:pgNumType w:fmt="numberInDash"/>
          <w:cols w:space="425" w:num="1"/>
          <w:docGrid w:type="lines" w:linePitch="312" w:charSpace="0"/>
        </w:sectPr>
      </w:pPr>
    </w:p>
    <w:p>
      <w:pPr>
        <w:widowControl/>
        <w:jc w:val="center"/>
        <w:rPr>
          <w:rFonts w:hint="eastAsia" w:ascii="黑体" w:hAnsi="黑体" w:eastAsia="黑体" w:cs="黑体"/>
          <w:color w:val="000000"/>
          <w:sz w:val="72"/>
          <w:szCs w:val="72"/>
        </w:rPr>
      </w:pPr>
    </w:p>
    <w:p>
      <w:pPr>
        <w:widowControl/>
        <w:jc w:val="both"/>
        <w:rPr>
          <w:rFonts w:hint="eastAsia" w:ascii="黑体" w:hAnsi="黑体" w:eastAsia="黑体" w:cs="黑体"/>
          <w:color w:val="000000"/>
          <w:sz w:val="72"/>
          <w:szCs w:val="72"/>
        </w:rPr>
      </w:pPr>
    </w:p>
    <w:p>
      <w:pPr>
        <w:widowControl/>
        <w:jc w:val="center"/>
        <w:rPr>
          <w:rFonts w:hint="eastAsia" w:ascii="黑体" w:hAnsi="黑体" w:eastAsia="黑体" w:cs="黑体"/>
          <w:color w:val="000000"/>
          <w:sz w:val="72"/>
          <w:szCs w:val="72"/>
        </w:rPr>
      </w:pPr>
    </w:p>
    <w:p>
      <w:pPr>
        <w:widowControl/>
        <w:ind w:firstLine="2880" w:firstLineChars="400"/>
        <w:jc w:val="both"/>
        <w:rPr>
          <w:rFonts w:ascii="黑体" w:hAnsi="黑体" w:eastAsia="黑体" w:cs="黑体"/>
          <w:color w:val="000000"/>
          <w:sz w:val="72"/>
          <w:szCs w:val="72"/>
        </w:rPr>
      </w:pPr>
      <w:r>
        <w:rPr>
          <w:rFonts w:hint="eastAsia" w:ascii="黑体" w:hAnsi="黑体" w:eastAsia="黑体" w:cs="黑体"/>
          <w:color w:val="000000"/>
          <w:sz w:val="72"/>
          <w:szCs w:val="72"/>
        </w:rPr>
        <w:t>第四部分</w:t>
      </w:r>
    </w:p>
    <w:p>
      <w:pPr>
        <w:tabs>
          <w:tab w:val="left" w:pos="235"/>
        </w:tabs>
        <w:ind w:firstLine="720" w:firstLineChars="100"/>
        <w:jc w:val="left"/>
        <w:rPr>
          <w:sz w:val="72"/>
          <w:szCs w:val="72"/>
        </w:rPr>
        <w:sectPr>
          <w:pgSz w:w="11906" w:h="16838"/>
          <w:pgMar w:top="2098" w:right="1474" w:bottom="1985" w:left="1588" w:header="851" w:footer="992" w:gutter="0"/>
          <w:pgNumType w:fmt="numberInDash"/>
          <w:cols w:space="425" w:num="1"/>
          <w:docGrid w:type="lines" w:linePitch="312" w:charSpace="0"/>
        </w:sectPr>
      </w:pPr>
      <w:r>
        <w:rPr>
          <w:rFonts w:ascii="黑体" w:hAnsi="黑体" w:eastAsia="黑体" w:cs="黑体"/>
          <w:color w:val="000000"/>
          <w:sz w:val="72"/>
          <w:szCs w:val="72"/>
        </w:rPr>
        <w:t>2019</w:t>
      </w:r>
      <w:r>
        <w:rPr>
          <w:rFonts w:hint="eastAsia" w:ascii="黑体" w:hAnsi="黑体" w:eastAsia="黑体" w:cs="黑体"/>
          <w:color w:val="000000"/>
          <w:sz w:val="72"/>
          <w:szCs w:val="72"/>
        </w:rPr>
        <w:t>年度部门决算报表</w:t>
      </w:r>
    </w:p>
    <w:p>
      <w:pPr>
        <w:tabs>
          <w:tab w:val="left" w:pos="886"/>
        </w:tabs>
        <w:jc w:val="left"/>
      </w:pPr>
    </w:p>
    <w:p>
      <w:pPr>
        <w:jc w:val="left"/>
      </w:pPr>
    </w:p>
    <w:tbl>
      <w:tblPr>
        <w:tblStyle w:val="6"/>
        <w:tblpPr w:leftFromText="180" w:rightFromText="180" w:vertAnchor="text" w:horzAnchor="page" w:tblpXSpec="center" w:tblpY="31"/>
        <w:tblOverlap w:val="never"/>
        <w:tblW w:w="9517" w:type="dxa"/>
        <w:jc w:val="center"/>
        <w:tblLayout w:type="fixed"/>
        <w:tblCellMar>
          <w:top w:w="0" w:type="dxa"/>
          <w:left w:w="0" w:type="dxa"/>
          <w:bottom w:w="0" w:type="dxa"/>
          <w:right w:w="0" w:type="dxa"/>
        </w:tblCellMar>
      </w:tblPr>
      <w:tblGrid>
        <w:gridCol w:w="3236"/>
        <w:gridCol w:w="731"/>
        <w:gridCol w:w="691"/>
        <w:gridCol w:w="35"/>
        <w:gridCol w:w="3439"/>
        <w:gridCol w:w="541"/>
        <w:gridCol w:w="844"/>
      </w:tblGrid>
      <w:tr>
        <w:tblPrEx>
          <w:tblCellMar>
            <w:top w:w="0" w:type="dxa"/>
            <w:left w:w="0" w:type="dxa"/>
            <w:bottom w:w="0" w:type="dxa"/>
            <w:right w:w="0" w:type="dxa"/>
          </w:tblCellMar>
        </w:tblPrEx>
        <w:trPr>
          <w:trHeight w:val="489" w:hRule="atLeast"/>
          <w:jc w:val="center"/>
        </w:trPr>
        <w:tc>
          <w:tcPr>
            <w:tcW w:w="9517" w:type="dxa"/>
            <w:gridSpan w:val="7"/>
            <w:tcBorders>
              <w:top w:val="nil"/>
              <w:left w:val="nil"/>
              <w:bottom w:val="nil"/>
              <w:right w:val="nil"/>
            </w:tcBorders>
            <w:noWrap/>
            <w:tcMar>
              <w:top w:w="15" w:type="dxa"/>
              <w:left w:w="15" w:type="dxa"/>
              <w:right w:w="15" w:type="dxa"/>
            </w:tcMar>
            <w:vAlign w:val="bottom"/>
          </w:tcPr>
          <w:p>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tblPrEx>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73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859" w:type="dxa"/>
            <w:gridSpan w:val="4"/>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01</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部门：遵化市堡子店镇人民政府</w:t>
            </w:r>
          </w:p>
        </w:tc>
        <w:tc>
          <w:tcPr>
            <w:tcW w:w="73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859" w:type="dxa"/>
            <w:gridSpan w:val="4"/>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284" w:hRule="atLeast"/>
          <w:jc w:val="center"/>
        </w:trPr>
        <w:tc>
          <w:tcPr>
            <w:tcW w:w="465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859" w:type="dxa"/>
            <w:gridSpan w:val="4"/>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888.60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29</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629.81</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30</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31</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32</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72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3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33</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34</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35</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36</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9</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37</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15.38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10</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38</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11</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39</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15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12</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40</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228.41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13</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41</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14</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42</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15</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43</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16</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44</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17</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45</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18</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46</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19</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47</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20</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48</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21</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49</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22</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50</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23</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51</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24</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888.60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52</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888.60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25</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53</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26</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54</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27</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55</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28</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888.60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56</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888.60　</w:t>
            </w:r>
          </w:p>
        </w:tc>
      </w:tr>
      <w:tr>
        <w:tblPrEx>
          <w:tblCellMar>
            <w:top w:w="0" w:type="dxa"/>
            <w:left w:w="0" w:type="dxa"/>
            <w:bottom w:w="0" w:type="dxa"/>
            <w:right w:w="0" w:type="dxa"/>
          </w:tblCellMar>
        </w:tblPrEx>
        <w:trPr>
          <w:trHeight w:val="213" w:hRule="atLeast"/>
          <w:jc w:val="center"/>
        </w:trPr>
        <w:tc>
          <w:tcPr>
            <w:tcW w:w="9517" w:type="dxa"/>
            <w:gridSpan w:val="7"/>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pPr>
              <w:widowControl/>
              <w:jc w:val="left"/>
              <w:textAlignment w:val="center"/>
              <w:rPr>
                <w:rFonts w:ascii="宋体" w:hAnsi="宋体" w:eastAsia="宋体" w:cs="宋体"/>
                <w:color w:val="000000"/>
                <w:kern w:val="0"/>
                <w:sz w:val="22"/>
              </w:rPr>
            </w:pPr>
          </w:p>
          <w:p>
            <w:pPr>
              <w:widowControl/>
              <w:jc w:val="left"/>
              <w:textAlignment w:val="center"/>
              <w:rPr>
                <w:rFonts w:ascii="宋体" w:hAnsi="宋体" w:eastAsia="宋体" w:cs="宋体"/>
                <w:color w:val="000000"/>
                <w:kern w:val="0"/>
                <w:sz w:val="22"/>
              </w:rPr>
            </w:pPr>
          </w:p>
        </w:tc>
      </w:tr>
    </w:tbl>
    <w:tbl>
      <w:tblPr>
        <w:tblStyle w:val="6"/>
        <w:tblW w:w="10393" w:type="dxa"/>
        <w:jc w:val="center"/>
        <w:tblLayout w:type="autofit"/>
        <w:tblCellMar>
          <w:top w:w="0" w:type="dxa"/>
          <w:left w:w="0" w:type="dxa"/>
          <w:bottom w:w="0" w:type="dxa"/>
          <w:right w:w="0" w:type="dxa"/>
        </w:tblCellMar>
      </w:tblPr>
      <w:tblGrid>
        <w:gridCol w:w="2830"/>
        <w:gridCol w:w="36"/>
        <w:gridCol w:w="36"/>
        <w:gridCol w:w="3330"/>
        <w:gridCol w:w="1005"/>
        <w:gridCol w:w="1002"/>
        <w:gridCol w:w="362"/>
        <w:gridCol w:w="362"/>
        <w:gridCol w:w="471"/>
        <w:gridCol w:w="477"/>
        <w:gridCol w:w="482"/>
      </w:tblGrid>
      <w:tr>
        <w:tblPrEx>
          <w:tblCellMar>
            <w:top w:w="0" w:type="dxa"/>
            <w:left w:w="0" w:type="dxa"/>
            <w:bottom w:w="0" w:type="dxa"/>
            <w:right w:w="0" w:type="dxa"/>
          </w:tblCellMar>
        </w:tblPrEx>
        <w:trPr>
          <w:trHeight w:val="670" w:hRule="atLeast"/>
          <w:jc w:val="center"/>
        </w:trPr>
        <w:tc>
          <w:tcPr>
            <w:tcW w:w="10393" w:type="dxa"/>
            <w:gridSpan w:val="11"/>
            <w:tcBorders>
              <w:top w:val="nil"/>
              <w:left w:val="nil"/>
              <w:bottom w:val="nil"/>
              <w:right w:val="nil"/>
            </w:tcBorders>
            <w:noWrap/>
            <w:tcMar>
              <w:top w:w="15" w:type="dxa"/>
              <w:left w:w="15" w:type="dxa"/>
              <w:right w:w="15" w:type="dxa"/>
            </w:tcMar>
            <w:vAlign w:val="bottom"/>
          </w:tcPr>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00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00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36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36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02</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部门：遵化市堡子店镇人民政府</w:t>
            </w: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00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00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36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36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85"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05"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1002"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362"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362"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47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477"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482"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tblPrEx>
          <w:tblCellMar>
            <w:top w:w="0" w:type="dxa"/>
            <w:left w:w="0" w:type="dxa"/>
            <w:bottom w:w="0" w:type="dxa"/>
            <w:right w:w="0" w:type="dxa"/>
          </w:tblCellMar>
        </w:tblPrEx>
        <w:trPr>
          <w:trHeight w:val="380" w:hRule="atLeast"/>
          <w:jc w:val="center"/>
        </w:trPr>
        <w:tc>
          <w:tcPr>
            <w:tcW w:w="2902"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00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00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36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36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7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7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8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2902"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00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00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36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36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7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7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8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2902"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00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00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36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36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7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7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8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1002"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362"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362"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47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c>
          <w:tcPr>
            <w:tcW w:w="482"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w:t>
            </w:r>
          </w:p>
        </w:tc>
      </w:tr>
      <w:tr>
        <w:tblPrEx>
          <w:tblCellMar>
            <w:top w:w="0" w:type="dxa"/>
            <w:left w:w="0" w:type="dxa"/>
            <w:bottom w:w="0" w:type="dxa"/>
            <w:right w:w="0" w:type="dxa"/>
          </w:tblCellMar>
        </w:tblPrEx>
        <w:trPr>
          <w:trHeight w:val="385"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888.60</w:t>
            </w:r>
          </w:p>
        </w:tc>
        <w:tc>
          <w:tcPr>
            <w:tcW w:w="10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888.60</w:t>
            </w: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一般公共服务支出</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629.81</w:t>
            </w:r>
          </w:p>
        </w:tc>
        <w:tc>
          <w:tcPr>
            <w:tcW w:w="10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629.81</w:t>
            </w: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政府办公厅</w:t>
            </w:r>
            <w:r>
              <w:rPr>
                <w:rFonts w:hint="eastAsia" w:ascii="宋体" w:hAnsi="宋体" w:eastAsia="宋体" w:cs="宋体"/>
                <w:color w:val="000000"/>
                <w:sz w:val="22"/>
              </w:rPr>
              <w:t>（室）及相关机构事务</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505.15</w:t>
            </w:r>
          </w:p>
        </w:tc>
        <w:tc>
          <w:tcPr>
            <w:tcW w:w="10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505.15</w:t>
            </w: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2010301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行政运行</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350.29</w:t>
            </w:r>
          </w:p>
        </w:tc>
        <w:tc>
          <w:tcPr>
            <w:tcW w:w="10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350.29</w:t>
            </w: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2010302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一般行政管理事务</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154.86</w:t>
            </w:r>
          </w:p>
        </w:tc>
        <w:tc>
          <w:tcPr>
            <w:tcW w:w="10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154.86</w:t>
            </w: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财政事务</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34.79</w:t>
            </w:r>
          </w:p>
        </w:tc>
        <w:tc>
          <w:tcPr>
            <w:tcW w:w="10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34.79</w:t>
            </w: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2010601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行政运行</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34.79</w:t>
            </w:r>
          </w:p>
        </w:tc>
        <w:tc>
          <w:tcPr>
            <w:tcW w:w="10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34.79</w:t>
            </w: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20131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党委办公厅</w:t>
            </w:r>
            <w:r>
              <w:rPr>
                <w:rFonts w:hint="eastAsia" w:ascii="宋体" w:hAnsi="宋体" w:eastAsia="宋体" w:cs="宋体"/>
                <w:color w:val="000000"/>
                <w:sz w:val="22"/>
              </w:rPr>
              <w:t>（室）及相关机构事务</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89.87</w:t>
            </w:r>
          </w:p>
        </w:tc>
        <w:tc>
          <w:tcPr>
            <w:tcW w:w="10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89.87</w:t>
            </w: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2013101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行政运行</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89.87</w:t>
            </w:r>
          </w:p>
        </w:tc>
        <w:tc>
          <w:tcPr>
            <w:tcW w:w="10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89.87</w:t>
            </w: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卫生健康支出</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15.38</w:t>
            </w:r>
          </w:p>
        </w:tc>
        <w:tc>
          <w:tcPr>
            <w:tcW w:w="10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15.38</w:t>
            </w: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卫生健康管理事务</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15.38</w:t>
            </w:r>
          </w:p>
        </w:tc>
        <w:tc>
          <w:tcPr>
            <w:tcW w:w="10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15.38</w:t>
            </w: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2100101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行政运行</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15.38</w:t>
            </w:r>
          </w:p>
        </w:tc>
        <w:tc>
          <w:tcPr>
            <w:tcW w:w="10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15.38</w:t>
            </w: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节能环保支出</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21199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其他节能环保支出</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2119901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其他节能环保支出</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城乡社区支出</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w:t>
            </w:r>
          </w:p>
        </w:tc>
        <w:tc>
          <w:tcPr>
            <w:tcW w:w="10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w:t>
            </w: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21205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城乡社区环境卫生</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w:t>
            </w:r>
          </w:p>
        </w:tc>
        <w:tc>
          <w:tcPr>
            <w:tcW w:w="10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w:t>
            </w: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2120501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城乡社区环境卫生</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w:t>
            </w:r>
          </w:p>
        </w:tc>
        <w:tc>
          <w:tcPr>
            <w:tcW w:w="10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w:t>
            </w: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农林水支出</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2"/>
                <w:lang w:val="en-US" w:eastAsia="zh-CN"/>
              </w:rPr>
            </w:pPr>
            <w:r>
              <w:rPr>
                <w:rFonts w:hint="eastAsia" w:ascii="宋体" w:hAnsi="宋体" w:eastAsia="宋体" w:cs="宋体"/>
                <w:color w:val="000000"/>
                <w:sz w:val="22"/>
              </w:rPr>
              <w:t>228.4</w:t>
            </w:r>
            <w:r>
              <w:rPr>
                <w:rFonts w:hint="eastAsia" w:ascii="宋体" w:hAnsi="宋体" w:eastAsia="宋体" w:cs="宋体"/>
                <w:color w:val="000000"/>
                <w:sz w:val="22"/>
                <w:lang w:val="en-US" w:eastAsia="zh-CN"/>
              </w:rPr>
              <w:t>1</w:t>
            </w:r>
          </w:p>
        </w:tc>
        <w:tc>
          <w:tcPr>
            <w:tcW w:w="10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228.41</w:t>
            </w: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农业</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2"/>
                <w:lang w:val="en-US" w:eastAsia="zh-CN"/>
              </w:rPr>
            </w:pPr>
            <w:r>
              <w:rPr>
                <w:rFonts w:hint="eastAsia" w:ascii="宋体" w:hAnsi="宋体" w:eastAsia="宋体" w:cs="宋体"/>
                <w:color w:val="000000"/>
                <w:sz w:val="22"/>
              </w:rPr>
              <w:t>228.4</w:t>
            </w:r>
            <w:r>
              <w:rPr>
                <w:rFonts w:hint="eastAsia" w:ascii="宋体" w:hAnsi="宋体" w:eastAsia="宋体" w:cs="宋体"/>
                <w:color w:val="000000"/>
                <w:sz w:val="22"/>
                <w:lang w:val="en-US" w:eastAsia="zh-CN"/>
              </w:rPr>
              <w:t>1</w:t>
            </w:r>
          </w:p>
        </w:tc>
        <w:tc>
          <w:tcPr>
            <w:tcW w:w="10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228.41</w:t>
            </w: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行政运行</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13.92</w:t>
            </w:r>
          </w:p>
        </w:tc>
        <w:tc>
          <w:tcPr>
            <w:tcW w:w="10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13.92</w:t>
            </w: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2130126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农村公益事业</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214.49</w:t>
            </w:r>
          </w:p>
        </w:tc>
        <w:tc>
          <w:tcPr>
            <w:tcW w:w="10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214.49</w:t>
            </w: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11"/>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bl>
    <w:p/>
    <w:tbl>
      <w:tblPr>
        <w:tblStyle w:val="6"/>
        <w:tblW w:w="9533" w:type="dxa"/>
        <w:jc w:val="center"/>
        <w:tblLayout w:type="fixed"/>
        <w:tblCellMar>
          <w:top w:w="0" w:type="dxa"/>
          <w:left w:w="0" w:type="dxa"/>
          <w:bottom w:w="0" w:type="dxa"/>
          <w:right w:w="0" w:type="dxa"/>
        </w:tblCellMar>
      </w:tblPr>
      <w:tblGrid>
        <w:gridCol w:w="585"/>
        <w:gridCol w:w="672"/>
        <w:gridCol w:w="1164"/>
        <w:gridCol w:w="564"/>
        <w:gridCol w:w="923"/>
        <w:gridCol w:w="277"/>
        <w:gridCol w:w="623"/>
        <w:gridCol w:w="277"/>
        <w:gridCol w:w="593"/>
        <w:gridCol w:w="277"/>
        <w:gridCol w:w="731"/>
        <w:gridCol w:w="277"/>
        <w:gridCol w:w="650"/>
        <w:gridCol w:w="277"/>
        <w:gridCol w:w="548"/>
        <w:gridCol w:w="1095"/>
      </w:tblGrid>
      <w:tr>
        <w:tblPrEx>
          <w:tblCellMar>
            <w:top w:w="0" w:type="dxa"/>
            <w:left w:w="0" w:type="dxa"/>
            <w:bottom w:w="0" w:type="dxa"/>
            <w:right w:w="0" w:type="dxa"/>
          </w:tblCellMar>
        </w:tblPrEx>
        <w:trPr>
          <w:trHeight w:val="399" w:hRule="atLeast"/>
          <w:jc w:val="center"/>
        </w:trPr>
        <w:tc>
          <w:tcPr>
            <w:tcW w:w="9533" w:type="dxa"/>
            <w:gridSpan w:val="16"/>
            <w:tcBorders>
              <w:top w:val="nil"/>
              <w:left w:val="nil"/>
              <w:bottom w:val="nil"/>
              <w:right w:val="nil"/>
            </w:tcBorders>
            <w:noWrap/>
            <w:tcMar>
              <w:top w:w="15" w:type="dxa"/>
              <w:left w:w="15" w:type="dxa"/>
              <w:right w:w="15" w:type="dxa"/>
            </w:tcMar>
            <w:vAlign w:val="center"/>
          </w:tcPr>
          <w:p>
            <w:pPr>
              <w:widowControl/>
              <w:ind w:firstLine="3840" w:firstLineChars="1200"/>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tblPrEx>
          <w:tblCellMar>
            <w:top w:w="0" w:type="dxa"/>
            <w:left w:w="0" w:type="dxa"/>
            <w:bottom w:w="0" w:type="dxa"/>
            <w:right w:w="0" w:type="dxa"/>
          </w:tblCellMar>
        </w:tblPrEx>
        <w:trPr>
          <w:trHeight w:val="235" w:hRule="atLeast"/>
          <w:jc w:val="center"/>
        </w:trPr>
        <w:tc>
          <w:tcPr>
            <w:tcW w:w="58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836" w:type="dxa"/>
            <w:gridSpan w:val="2"/>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564"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200" w:type="dxa"/>
            <w:gridSpan w:val="2"/>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00" w:type="dxa"/>
            <w:gridSpan w:val="2"/>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870" w:type="dxa"/>
            <w:gridSpan w:val="2"/>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008" w:type="dxa"/>
            <w:gridSpan w:val="2"/>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27" w:type="dxa"/>
            <w:gridSpan w:val="2"/>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548"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095"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03</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411" w:hRule="atLeast"/>
          <w:jc w:val="center"/>
        </w:trPr>
        <w:tc>
          <w:tcPr>
            <w:tcW w:w="585" w:type="dxa"/>
            <w:tcBorders>
              <w:top w:val="nil"/>
              <w:left w:val="nil"/>
              <w:bottom w:val="nil"/>
              <w:right w:val="nil"/>
            </w:tcBorders>
            <w:noWrap/>
            <w:tcMar>
              <w:top w:w="15" w:type="dxa"/>
              <w:left w:w="15" w:type="dxa"/>
              <w:right w:w="15" w:type="dxa"/>
            </w:tcMar>
            <w:vAlign w:val="bottom"/>
          </w:tcPr>
          <w:p>
            <w:pPr>
              <w:widowControl/>
              <w:jc w:val="left"/>
              <w:textAlignment w:val="bottom"/>
              <w:rPr>
                <w:rFonts w:hint="eastAsia" w:ascii="宋体" w:hAnsi="宋体" w:eastAsia="宋体" w:cs="宋体"/>
                <w:color w:val="000000"/>
                <w:sz w:val="20"/>
                <w:szCs w:val="20"/>
                <w:lang w:val="en-US" w:eastAsia="zh-CN"/>
              </w:rPr>
            </w:pPr>
            <w:r>
              <w:rPr>
                <w:rFonts w:ascii="宋体" w:hAnsi="宋体" w:eastAsia="宋体" w:cs="宋体"/>
                <w:color w:val="000000"/>
                <w:sz w:val="20"/>
                <w:szCs w:val="20"/>
              </w:rPr>
              <w:t>部门</w:t>
            </w:r>
            <w:r>
              <w:rPr>
                <w:rFonts w:hint="eastAsia" w:ascii="宋体" w:hAnsi="宋体" w:eastAsia="宋体" w:cs="宋体"/>
                <w:color w:val="000000"/>
                <w:sz w:val="20"/>
                <w:szCs w:val="20"/>
              </w:rPr>
              <w:t>：</w:t>
            </w:r>
          </w:p>
        </w:tc>
        <w:tc>
          <w:tcPr>
            <w:tcW w:w="1836" w:type="dxa"/>
            <w:gridSpan w:val="2"/>
            <w:tcBorders>
              <w:top w:val="nil"/>
              <w:left w:val="nil"/>
              <w:bottom w:val="nil"/>
              <w:right w:val="nil"/>
            </w:tcBorders>
            <w:noWrap/>
            <w:tcMar>
              <w:top w:w="15" w:type="dxa"/>
              <w:left w:w="15" w:type="dxa"/>
              <w:right w:w="15" w:type="dxa"/>
            </w:tcMar>
            <w:vAlign w:val="bottom"/>
          </w:tcPr>
          <w:p>
            <w:pP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遵化市堡子店镇人民</w:t>
            </w:r>
          </w:p>
        </w:tc>
        <w:tc>
          <w:tcPr>
            <w:tcW w:w="564" w:type="dxa"/>
            <w:tcBorders>
              <w:top w:val="nil"/>
              <w:left w:val="nil"/>
              <w:bottom w:val="nil"/>
              <w:right w:val="nil"/>
            </w:tcBorders>
            <w:noWrap/>
            <w:tcMar>
              <w:top w:w="15" w:type="dxa"/>
              <w:left w:w="15" w:type="dxa"/>
              <w:right w:w="15" w:type="dxa"/>
            </w:tcMar>
            <w:vAlign w:val="bottom"/>
          </w:tcPr>
          <w:p>
            <w:pP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政府</w:t>
            </w:r>
          </w:p>
        </w:tc>
        <w:tc>
          <w:tcPr>
            <w:tcW w:w="1200" w:type="dxa"/>
            <w:gridSpan w:val="2"/>
            <w:tcBorders>
              <w:top w:val="nil"/>
              <w:left w:val="nil"/>
              <w:bottom w:val="nil"/>
              <w:right w:val="nil"/>
            </w:tcBorders>
            <w:noWrap/>
            <w:tcMar>
              <w:top w:w="15" w:type="dxa"/>
              <w:left w:w="15" w:type="dxa"/>
              <w:right w:w="15" w:type="dxa"/>
            </w:tcMar>
            <w:vAlign w:val="bottom"/>
          </w:tcPr>
          <w:p>
            <w:pPr>
              <w:rPr>
                <w:rFonts w:ascii="宋体" w:hAnsi="宋体" w:eastAsia="宋体" w:cs="宋体"/>
                <w:color w:val="000000"/>
                <w:kern w:val="0"/>
                <w:sz w:val="20"/>
                <w:szCs w:val="20"/>
              </w:rPr>
            </w:pPr>
          </w:p>
        </w:tc>
        <w:tc>
          <w:tcPr>
            <w:tcW w:w="900" w:type="dxa"/>
            <w:gridSpan w:val="2"/>
            <w:tcBorders>
              <w:top w:val="nil"/>
              <w:left w:val="nil"/>
              <w:bottom w:val="nil"/>
              <w:right w:val="nil"/>
            </w:tcBorders>
            <w:noWrap/>
            <w:tcMar>
              <w:top w:w="15" w:type="dxa"/>
              <w:left w:w="15" w:type="dxa"/>
              <w:right w:w="15" w:type="dxa"/>
            </w:tcMar>
            <w:vAlign w:val="bottom"/>
          </w:tcPr>
          <w:p>
            <w:pPr>
              <w:rPr>
                <w:rFonts w:ascii="宋体" w:hAnsi="宋体" w:eastAsia="宋体" w:cs="宋体"/>
                <w:color w:val="000000"/>
                <w:kern w:val="0"/>
                <w:sz w:val="20"/>
                <w:szCs w:val="20"/>
              </w:rPr>
            </w:pPr>
          </w:p>
        </w:tc>
        <w:tc>
          <w:tcPr>
            <w:tcW w:w="870" w:type="dxa"/>
            <w:gridSpan w:val="2"/>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008" w:type="dxa"/>
            <w:gridSpan w:val="2"/>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27" w:type="dxa"/>
            <w:gridSpan w:val="2"/>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643"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23" w:hRule="atLeast"/>
          <w:jc w:val="center"/>
        </w:trPr>
        <w:tc>
          <w:tcPr>
            <w:tcW w:w="3908"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900" w:type="dxa"/>
            <w:gridSpan w:val="2"/>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870" w:type="dxa"/>
            <w:gridSpan w:val="2"/>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008" w:type="dxa"/>
            <w:gridSpan w:val="2"/>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927" w:type="dxa"/>
            <w:gridSpan w:val="2"/>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825" w:type="dxa"/>
            <w:gridSpan w:val="2"/>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1095"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tblPrEx>
          <w:tblCellMar>
            <w:top w:w="0" w:type="dxa"/>
            <w:left w:w="0" w:type="dxa"/>
            <w:bottom w:w="0" w:type="dxa"/>
            <w:right w:w="0" w:type="dxa"/>
          </w:tblCellMar>
        </w:tblPrEx>
        <w:trPr>
          <w:trHeight w:val="319" w:hRule="atLeast"/>
          <w:jc w:val="center"/>
        </w:trPr>
        <w:tc>
          <w:tcPr>
            <w:tcW w:w="1257" w:type="dxa"/>
            <w:gridSpan w:val="2"/>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2651" w:type="dxa"/>
            <w:gridSpan w:val="3"/>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00"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870"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008"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27"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825"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09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257"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651" w:type="dxa"/>
            <w:gridSpan w:val="3"/>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900"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870"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008"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27"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825"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09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257"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651" w:type="dxa"/>
            <w:gridSpan w:val="3"/>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900"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870"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008"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27"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825"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09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3908" w:type="dxa"/>
            <w:gridSpan w:val="5"/>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900"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870"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100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92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82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109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r>
      <w:tr>
        <w:tblPrEx>
          <w:tblCellMar>
            <w:top w:w="0" w:type="dxa"/>
            <w:left w:w="0" w:type="dxa"/>
            <w:bottom w:w="0" w:type="dxa"/>
            <w:right w:w="0" w:type="dxa"/>
          </w:tblCellMar>
        </w:tblPrEx>
        <w:trPr>
          <w:trHeight w:val="323" w:hRule="atLeast"/>
          <w:jc w:val="center"/>
        </w:trPr>
        <w:tc>
          <w:tcPr>
            <w:tcW w:w="3908" w:type="dxa"/>
            <w:gridSpan w:val="5"/>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90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888.60</w:t>
            </w:r>
          </w:p>
        </w:tc>
        <w:tc>
          <w:tcPr>
            <w:tcW w:w="87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649.25</w:t>
            </w:r>
          </w:p>
        </w:tc>
        <w:tc>
          <w:tcPr>
            <w:tcW w:w="100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239.35</w:t>
            </w:r>
          </w:p>
        </w:tc>
        <w:tc>
          <w:tcPr>
            <w:tcW w:w="92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82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109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23" w:hRule="atLeast"/>
          <w:jc w:val="center"/>
        </w:trPr>
        <w:tc>
          <w:tcPr>
            <w:tcW w:w="1257"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w:t>
            </w:r>
          </w:p>
        </w:tc>
        <w:tc>
          <w:tcPr>
            <w:tcW w:w="2651"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一般公共服务支出</w:t>
            </w:r>
          </w:p>
        </w:tc>
        <w:tc>
          <w:tcPr>
            <w:tcW w:w="90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629.81</w:t>
            </w:r>
          </w:p>
        </w:tc>
        <w:tc>
          <w:tcPr>
            <w:tcW w:w="87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619.95</w:t>
            </w:r>
          </w:p>
        </w:tc>
        <w:tc>
          <w:tcPr>
            <w:tcW w:w="100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9.86</w:t>
            </w:r>
          </w:p>
        </w:tc>
        <w:tc>
          <w:tcPr>
            <w:tcW w:w="92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2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9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57"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20103</w:t>
            </w:r>
          </w:p>
        </w:tc>
        <w:tc>
          <w:tcPr>
            <w:tcW w:w="2651"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政府办公厅</w:t>
            </w:r>
            <w:r>
              <w:rPr>
                <w:rFonts w:hint="eastAsia" w:ascii="宋体" w:hAnsi="宋体" w:eastAsia="宋体" w:cs="宋体"/>
                <w:color w:val="000000"/>
                <w:sz w:val="22"/>
              </w:rPr>
              <w:t>（室）及相关机构事务</w:t>
            </w:r>
          </w:p>
        </w:tc>
        <w:tc>
          <w:tcPr>
            <w:tcW w:w="90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505.15</w:t>
            </w:r>
          </w:p>
        </w:tc>
        <w:tc>
          <w:tcPr>
            <w:tcW w:w="87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495.29</w:t>
            </w:r>
          </w:p>
        </w:tc>
        <w:tc>
          <w:tcPr>
            <w:tcW w:w="100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9.86</w:t>
            </w:r>
          </w:p>
        </w:tc>
        <w:tc>
          <w:tcPr>
            <w:tcW w:w="92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2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9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57"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2010301</w:t>
            </w:r>
          </w:p>
        </w:tc>
        <w:tc>
          <w:tcPr>
            <w:tcW w:w="2651"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行政运行</w:t>
            </w:r>
          </w:p>
        </w:tc>
        <w:tc>
          <w:tcPr>
            <w:tcW w:w="90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350.29</w:t>
            </w:r>
          </w:p>
        </w:tc>
        <w:tc>
          <w:tcPr>
            <w:tcW w:w="87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350.29</w:t>
            </w:r>
          </w:p>
        </w:tc>
        <w:tc>
          <w:tcPr>
            <w:tcW w:w="100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2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2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9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57"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2010302</w:t>
            </w:r>
          </w:p>
        </w:tc>
        <w:tc>
          <w:tcPr>
            <w:tcW w:w="2651"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一般行政管理事务</w:t>
            </w:r>
          </w:p>
        </w:tc>
        <w:tc>
          <w:tcPr>
            <w:tcW w:w="90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154.86</w:t>
            </w:r>
          </w:p>
        </w:tc>
        <w:tc>
          <w:tcPr>
            <w:tcW w:w="87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145.00</w:t>
            </w:r>
          </w:p>
        </w:tc>
        <w:tc>
          <w:tcPr>
            <w:tcW w:w="100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9.86</w:t>
            </w:r>
          </w:p>
        </w:tc>
        <w:tc>
          <w:tcPr>
            <w:tcW w:w="92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2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9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57"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20106</w:t>
            </w:r>
          </w:p>
        </w:tc>
        <w:tc>
          <w:tcPr>
            <w:tcW w:w="2651"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财政事务</w:t>
            </w:r>
          </w:p>
        </w:tc>
        <w:tc>
          <w:tcPr>
            <w:tcW w:w="90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34.79</w:t>
            </w:r>
          </w:p>
        </w:tc>
        <w:tc>
          <w:tcPr>
            <w:tcW w:w="87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34.79</w:t>
            </w:r>
          </w:p>
        </w:tc>
        <w:tc>
          <w:tcPr>
            <w:tcW w:w="100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2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2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9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57"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2010601</w:t>
            </w:r>
          </w:p>
        </w:tc>
        <w:tc>
          <w:tcPr>
            <w:tcW w:w="2651"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行政运行</w:t>
            </w:r>
          </w:p>
        </w:tc>
        <w:tc>
          <w:tcPr>
            <w:tcW w:w="90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34.79</w:t>
            </w:r>
          </w:p>
        </w:tc>
        <w:tc>
          <w:tcPr>
            <w:tcW w:w="87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34.79</w:t>
            </w:r>
          </w:p>
        </w:tc>
        <w:tc>
          <w:tcPr>
            <w:tcW w:w="100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2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2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9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57"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20131</w:t>
            </w:r>
          </w:p>
        </w:tc>
        <w:tc>
          <w:tcPr>
            <w:tcW w:w="2651"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党委办公厅</w:t>
            </w:r>
            <w:r>
              <w:rPr>
                <w:rFonts w:hint="eastAsia" w:ascii="宋体" w:hAnsi="宋体" w:eastAsia="宋体" w:cs="宋体"/>
                <w:color w:val="000000"/>
                <w:sz w:val="22"/>
              </w:rPr>
              <w:t>（室）及相关机构事务</w:t>
            </w:r>
          </w:p>
        </w:tc>
        <w:tc>
          <w:tcPr>
            <w:tcW w:w="90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89.87</w:t>
            </w:r>
          </w:p>
        </w:tc>
        <w:tc>
          <w:tcPr>
            <w:tcW w:w="87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89.87</w:t>
            </w:r>
          </w:p>
        </w:tc>
        <w:tc>
          <w:tcPr>
            <w:tcW w:w="100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2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2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9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57"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2013101</w:t>
            </w:r>
          </w:p>
        </w:tc>
        <w:tc>
          <w:tcPr>
            <w:tcW w:w="2651"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行政运行</w:t>
            </w:r>
          </w:p>
        </w:tc>
        <w:tc>
          <w:tcPr>
            <w:tcW w:w="90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89.87</w:t>
            </w:r>
          </w:p>
        </w:tc>
        <w:tc>
          <w:tcPr>
            <w:tcW w:w="87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89.87</w:t>
            </w:r>
          </w:p>
        </w:tc>
        <w:tc>
          <w:tcPr>
            <w:tcW w:w="100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2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2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9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57"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w:t>
            </w:r>
          </w:p>
        </w:tc>
        <w:tc>
          <w:tcPr>
            <w:tcW w:w="2651"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卫生健康支出</w:t>
            </w:r>
          </w:p>
        </w:tc>
        <w:tc>
          <w:tcPr>
            <w:tcW w:w="90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15.38</w:t>
            </w:r>
          </w:p>
        </w:tc>
        <w:tc>
          <w:tcPr>
            <w:tcW w:w="87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15.38</w:t>
            </w:r>
          </w:p>
        </w:tc>
        <w:tc>
          <w:tcPr>
            <w:tcW w:w="100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2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2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9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57"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21001</w:t>
            </w:r>
          </w:p>
        </w:tc>
        <w:tc>
          <w:tcPr>
            <w:tcW w:w="2651"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卫生健康管理事务</w:t>
            </w:r>
          </w:p>
        </w:tc>
        <w:tc>
          <w:tcPr>
            <w:tcW w:w="90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15.38</w:t>
            </w:r>
          </w:p>
        </w:tc>
        <w:tc>
          <w:tcPr>
            <w:tcW w:w="87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15.38</w:t>
            </w:r>
          </w:p>
        </w:tc>
        <w:tc>
          <w:tcPr>
            <w:tcW w:w="100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2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2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9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57"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2100101</w:t>
            </w:r>
          </w:p>
        </w:tc>
        <w:tc>
          <w:tcPr>
            <w:tcW w:w="2651"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行政运行</w:t>
            </w:r>
          </w:p>
        </w:tc>
        <w:tc>
          <w:tcPr>
            <w:tcW w:w="90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15.38</w:t>
            </w:r>
          </w:p>
        </w:tc>
        <w:tc>
          <w:tcPr>
            <w:tcW w:w="87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15.38</w:t>
            </w:r>
          </w:p>
        </w:tc>
        <w:tc>
          <w:tcPr>
            <w:tcW w:w="100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2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2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9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57"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211</w:t>
            </w:r>
          </w:p>
        </w:tc>
        <w:tc>
          <w:tcPr>
            <w:tcW w:w="2651"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节能环保支出</w:t>
            </w:r>
          </w:p>
        </w:tc>
        <w:tc>
          <w:tcPr>
            <w:tcW w:w="90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7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0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2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2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9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57"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21199</w:t>
            </w:r>
          </w:p>
        </w:tc>
        <w:tc>
          <w:tcPr>
            <w:tcW w:w="2651"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其他节能环保支出</w:t>
            </w:r>
          </w:p>
        </w:tc>
        <w:tc>
          <w:tcPr>
            <w:tcW w:w="90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7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0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2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2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9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504" w:hRule="atLeast"/>
          <w:jc w:val="center"/>
        </w:trPr>
        <w:tc>
          <w:tcPr>
            <w:tcW w:w="1257"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2119901</w:t>
            </w:r>
          </w:p>
        </w:tc>
        <w:tc>
          <w:tcPr>
            <w:tcW w:w="2651"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其他节能环保支出</w:t>
            </w:r>
          </w:p>
        </w:tc>
        <w:tc>
          <w:tcPr>
            <w:tcW w:w="90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7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0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2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2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9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57"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w:t>
            </w:r>
          </w:p>
        </w:tc>
        <w:tc>
          <w:tcPr>
            <w:tcW w:w="2651"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城乡社区支出</w:t>
            </w:r>
          </w:p>
        </w:tc>
        <w:tc>
          <w:tcPr>
            <w:tcW w:w="90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w:t>
            </w:r>
          </w:p>
        </w:tc>
        <w:tc>
          <w:tcPr>
            <w:tcW w:w="87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0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w:t>
            </w:r>
          </w:p>
        </w:tc>
        <w:tc>
          <w:tcPr>
            <w:tcW w:w="92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2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9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57"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21205</w:t>
            </w:r>
          </w:p>
        </w:tc>
        <w:tc>
          <w:tcPr>
            <w:tcW w:w="2651"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城乡社区环境卫生</w:t>
            </w:r>
          </w:p>
        </w:tc>
        <w:tc>
          <w:tcPr>
            <w:tcW w:w="90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w:t>
            </w:r>
          </w:p>
        </w:tc>
        <w:tc>
          <w:tcPr>
            <w:tcW w:w="87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0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w:t>
            </w:r>
          </w:p>
        </w:tc>
        <w:tc>
          <w:tcPr>
            <w:tcW w:w="92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2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9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57"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2120501</w:t>
            </w:r>
          </w:p>
        </w:tc>
        <w:tc>
          <w:tcPr>
            <w:tcW w:w="2651"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城乡社区环境卫生</w:t>
            </w:r>
          </w:p>
        </w:tc>
        <w:tc>
          <w:tcPr>
            <w:tcW w:w="90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w:t>
            </w:r>
          </w:p>
        </w:tc>
        <w:tc>
          <w:tcPr>
            <w:tcW w:w="87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0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w:t>
            </w:r>
          </w:p>
        </w:tc>
        <w:tc>
          <w:tcPr>
            <w:tcW w:w="92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2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9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57"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w:t>
            </w:r>
          </w:p>
        </w:tc>
        <w:tc>
          <w:tcPr>
            <w:tcW w:w="2651"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农林水支出</w:t>
            </w:r>
          </w:p>
        </w:tc>
        <w:tc>
          <w:tcPr>
            <w:tcW w:w="90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228.41</w:t>
            </w:r>
          </w:p>
        </w:tc>
        <w:tc>
          <w:tcPr>
            <w:tcW w:w="87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13.92</w:t>
            </w:r>
          </w:p>
        </w:tc>
        <w:tc>
          <w:tcPr>
            <w:tcW w:w="100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214.49</w:t>
            </w:r>
          </w:p>
        </w:tc>
        <w:tc>
          <w:tcPr>
            <w:tcW w:w="92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2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9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57"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w:t>
            </w:r>
          </w:p>
        </w:tc>
        <w:tc>
          <w:tcPr>
            <w:tcW w:w="2651"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农业</w:t>
            </w:r>
          </w:p>
        </w:tc>
        <w:tc>
          <w:tcPr>
            <w:tcW w:w="90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228.41</w:t>
            </w:r>
          </w:p>
        </w:tc>
        <w:tc>
          <w:tcPr>
            <w:tcW w:w="87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13.92</w:t>
            </w:r>
          </w:p>
        </w:tc>
        <w:tc>
          <w:tcPr>
            <w:tcW w:w="100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214.49</w:t>
            </w:r>
          </w:p>
        </w:tc>
        <w:tc>
          <w:tcPr>
            <w:tcW w:w="92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2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9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57"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2130101</w:t>
            </w:r>
          </w:p>
        </w:tc>
        <w:tc>
          <w:tcPr>
            <w:tcW w:w="2651"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行政运行</w:t>
            </w:r>
          </w:p>
        </w:tc>
        <w:tc>
          <w:tcPr>
            <w:tcW w:w="90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13.92</w:t>
            </w:r>
          </w:p>
        </w:tc>
        <w:tc>
          <w:tcPr>
            <w:tcW w:w="87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13.92</w:t>
            </w:r>
          </w:p>
        </w:tc>
        <w:tc>
          <w:tcPr>
            <w:tcW w:w="100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2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2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9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57"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2130126</w:t>
            </w:r>
          </w:p>
        </w:tc>
        <w:tc>
          <w:tcPr>
            <w:tcW w:w="2651"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农村</w:t>
            </w:r>
            <w:r>
              <w:rPr>
                <w:rFonts w:hint="eastAsia" w:ascii="宋体" w:hAnsi="宋体" w:eastAsia="宋体" w:cs="宋体"/>
                <w:color w:val="000000"/>
                <w:sz w:val="22"/>
              </w:rPr>
              <w:t>社会</w:t>
            </w:r>
            <w:r>
              <w:rPr>
                <w:rFonts w:ascii="宋体" w:hAnsi="宋体" w:eastAsia="宋体" w:cs="宋体"/>
                <w:color w:val="000000"/>
                <w:sz w:val="22"/>
              </w:rPr>
              <w:t>事业</w:t>
            </w:r>
          </w:p>
        </w:tc>
        <w:tc>
          <w:tcPr>
            <w:tcW w:w="90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214.49</w:t>
            </w:r>
          </w:p>
        </w:tc>
        <w:tc>
          <w:tcPr>
            <w:tcW w:w="87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0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214.49</w:t>
            </w:r>
          </w:p>
        </w:tc>
        <w:tc>
          <w:tcPr>
            <w:tcW w:w="92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2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9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9533" w:type="dxa"/>
            <w:gridSpan w:val="16"/>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p>
      <w:r>
        <w:br w:type="page"/>
      </w:r>
    </w:p>
    <w:tbl>
      <w:tblPr>
        <w:tblStyle w:val="6"/>
        <w:tblW w:w="9971" w:type="dxa"/>
        <w:jc w:val="center"/>
        <w:tblLayout w:type="fixed"/>
        <w:tblCellMar>
          <w:top w:w="0" w:type="dxa"/>
          <w:left w:w="0" w:type="dxa"/>
          <w:bottom w:w="0" w:type="dxa"/>
          <w:right w:w="0" w:type="dxa"/>
        </w:tblCellMar>
      </w:tblPr>
      <w:tblGrid>
        <w:gridCol w:w="2922"/>
        <w:gridCol w:w="425"/>
        <w:gridCol w:w="846"/>
        <w:gridCol w:w="2977"/>
        <w:gridCol w:w="403"/>
        <w:gridCol w:w="767"/>
        <w:gridCol w:w="792"/>
        <w:gridCol w:w="839"/>
      </w:tblGrid>
      <w:tr>
        <w:tblPrEx>
          <w:tblCellMar>
            <w:top w:w="0" w:type="dxa"/>
            <w:left w:w="0" w:type="dxa"/>
            <w:bottom w:w="0" w:type="dxa"/>
            <w:right w:w="0" w:type="dxa"/>
          </w:tblCellMar>
        </w:tblPrEx>
        <w:trPr>
          <w:trHeight w:val="406" w:hRule="atLeast"/>
          <w:jc w:val="center"/>
        </w:trPr>
        <w:tc>
          <w:tcPr>
            <w:tcW w:w="9971" w:type="dxa"/>
            <w:gridSpan w:val="8"/>
            <w:tcBorders>
              <w:top w:val="nil"/>
              <w:left w:val="nil"/>
              <w:bottom w:val="nil"/>
              <w:right w:val="nil"/>
            </w:tcBorders>
            <w:noWrap/>
            <w:tcMar>
              <w:top w:w="15" w:type="dxa"/>
              <w:left w:w="15" w:type="dxa"/>
              <w:right w:w="15" w:type="dxa"/>
            </w:tcMar>
            <w:vAlign w:val="bottom"/>
          </w:tcPr>
          <w:p>
            <w:pPr>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2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84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977"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0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398"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04</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noWrap/>
            <w:tcMar>
              <w:top w:w="15" w:type="dxa"/>
              <w:left w:w="15" w:type="dxa"/>
              <w:right w:w="15" w:type="dxa"/>
            </w:tcMar>
            <w:vAlign w:val="bottom"/>
          </w:tcPr>
          <w:p>
            <w:pPr>
              <w:widowControl/>
              <w:jc w:val="left"/>
              <w:textAlignment w:val="bottom"/>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部门：遵化市堡子店镇人民</w:t>
            </w:r>
            <w:r>
              <w:rPr>
                <w:rFonts w:hint="eastAsia" w:ascii="宋体" w:hAnsi="宋体" w:eastAsia="宋体" w:cs="宋体"/>
                <w:color w:val="000000"/>
                <w:kern w:val="0"/>
                <w:sz w:val="20"/>
                <w:szCs w:val="20"/>
                <w:lang w:val="en-US" w:eastAsia="zh-CN"/>
              </w:rPr>
              <w:t>政府</w:t>
            </w:r>
          </w:p>
        </w:tc>
        <w:tc>
          <w:tcPr>
            <w:tcW w:w="425" w:type="dxa"/>
            <w:tcBorders>
              <w:top w:val="nil"/>
              <w:left w:val="nil"/>
              <w:bottom w:val="nil"/>
              <w:right w:val="nil"/>
            </w:tcBorders>
            <w:noWrap/>
            <w:tcMar>
              <w:top w:w="15" w:type="dxa"/>
              <w:left w:w="15" w:type="dxa"/>
              <w:right w:w="15" w:type="dxa"/>
            </w:tcMar>
            <w:vAlign w:val="bottom"/>
          </w:tcPr>
          <w:p>
            <w:pPr>
              <w:rPr>
                <w:rFonts w:ascii="宋体" w:hAnsi="宋体" w:eastAsia="宋体" w:cs="宋体"/>
                <w:color w:val="000000"/>
                <w:kern w:val="0"/>
                <w:sz w:val="20"/>
                <w:szCs w:val="20"/>
              </w:rPr>
            </w:pPr>
          </w:p>
        </w:tc>
        <w:tc>
          <w:tcPr>
            <w:tcW w:w="84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977"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0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398"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90" w:hRule="atLeast"/>
          <w:jc w:val="center"/>
        </w:trPr>
        <w:tc>
          <w:tcPr>
            <w:tcW w:w="419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5778" w:type="dxa"/>
            <w:gridSpan w:val="5"/>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CellMar>
            <w:top w:w="0" w:type="dxa"/>
            <w:left w:w="0" w:type="dxa"/>
            <w:bottom w:w="0" w:type="dxa"/>
            <w:right w:w="0" w:type="dxa"/>
          </w:tblCellMar>
        </w:tblPrEx>
        <w:trPr>
          <w:trHeight w:val="312" w:hRule="atLeast"/>
          <w:jc w:val="center"/>
        </w:trPr>
        <w:tc>
          <w:tcPr>
            <w:tcW w:w="2922"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2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6"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2977"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03"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767" w:type="dxa"/>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79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839"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r>
      <w:tr>
        <w:tblPrEx>
          <w:tblCellMar>
            <w:top w:w="0" w:type="dxa"/>
            <w:left w:w="0" w:type="dxa"/>
            <w:bottom w:w="0" w:type="dxa"/>
            <w:right w:w="0" w:type="dxa"/>
          </w:tblCellMar>
        </w:tblPrEx>
        <w:trPr>
          <w:trHeight w:val="312" w:hRule="atLeast"/>
          <w:jc w:val="center"/>
        </w:trPr>
        <w:tc>
          <w:tcPr>
            <w:tcW w:w="292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2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84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97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0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67"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79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83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栏次</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79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83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888.60</w:t>
            </w: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30</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629.81</w:t>
            </w:r>
          </w:p>
        </w:tc>
        <w:tc>
          <w:tcPr>
            <w:tcW w:w="7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629.81</w:t>
            </w:r>
          </w:p>
        </w:tc>
        <w:tc>
          <w:tcPr>
            <w:tcW w:w="83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31</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3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32</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3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33</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3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34</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3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35</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3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36</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3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37</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3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9</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38</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15.38</w:t>
            </w:r>
          </w:p>
        </w:tc>
        <w:tc>
          <w:tcPr>
            <w:tcW w:w="7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15.38</w:t>
            </w:r>
          </w:p>
        </w:tc>
        <w:tc>
          <w:tcPr>
            <w:tcW w:w="83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10</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39</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3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11</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40</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w:t>
            </w:r>
          </w:p>
        </w:tc>
        <w:tc>
          <w:tcPr>
            <w:tcW w:w="7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w:t>
            </w:r>
          </w:p>
        </w:tc>
        <w:tc>
          <w:tcPr>
            <w:tcW w:w="83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12</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41</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228.41</w:t>
            </w:r>
          </w:p>
        </w:tc>
        <w:tc>
          <w:tcPr>
            <w:tcW w:w="7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228.41</w:t>
            </w:r>
          </w:p>
        </w:tc>
        <w:tc>
          <w:tcPr>
            <w:tcW w:w="83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13</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42</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3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14</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43</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3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15</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44</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3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16</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45</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3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17</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46</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3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18</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Cs w:val="21"/>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十八、自然资源海洋气象等支出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47</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3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19</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48</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3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20</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49</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3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21</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0"/>
                <w:szCs w:val="20"/>
              </w:rPr>
              <w:t>二十一、灾害防治及应急管理支出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50</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3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22</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51</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3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23</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52</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3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24</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888.60</w:t>
            </w: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53</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888.60</w:t>
            </w:r>
          </w:p>
        </w:tc>
        <w:tc>
          <w:tcPr>
            <w:tcW w:w="7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888.60</w:t>
            </w:r>
          </w:p>
        </w:tc>
        <w:tc>
          <w:tcPr>
            <w:tcW w:w="83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25</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年末财政拨款结转和结余</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54</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3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26</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55</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3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27</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56</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3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28</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57</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3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29</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888.60</w:t>
            </w: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58</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888.60</w:t>
            </w:r>
          </w:p>
        </w:tc>
        <w:tc>
          <w:tcPr>
            <w:tcW w:w="7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888.60</w:t>
            </w:r>
          </w:p>
        </w:tc>
        <w:tc>
          <w:tcPr>
            <w:tcW w:w="83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9971" w:type="dxa"/>
            <w:gridSpan w:val="8"/>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bl>
    <w:p>
      <w:r>
        <w:br w:type="page"/>
      </w:r>
    </w:p>
    <w:tbl>
      <w:tblPr>
        <w:tblStyle w:val="6"/>
        <w:tblW w:w="10089" w:type="dxa"/>
        <w:jc w:val="center"/>
        <w:tblLayout w:type="autofit"/>
        <w:tblCellMar>
          <w:top w:w="0" w:type="dxa"/>
          <w:left w:w="0" w:type="dxa"/>
          <w:bottom w:w="0" w:type="dxa"/>
          <w:right w:w="0" w:type="dxa"/>
        </w:tblCellMar>
      </w:tblPr>
      <w:tblGrid>
        <w:gridCol w:w="718"/>
        <w:gridCol w:w="41"/>
        <w:gridCol w:w="41"/>
        <w:gridCol w:w="3595"/>
        <w:gridCol w:w="1448"/>
        <w:gridCol w:w="2144"/>
        <w:gridCol w:w="2144"/>
      </w:tblGrid>
      <w:tr>
        <w:tblPrEx>
          <w:tblCellMar>
            <w:top w:w="0" w:type="dxa"/>
            <w:left w:w="0" w:type="dxa"/>
            <w:bottom w:w="0" w:type="dxa"/>
            <w:right w:w="0" w:type="dxa"/>
          </w:tblCellMar>
        </w:tblPrEx>
        <w:trPr>
          <w:trHeight w:val="600" w:hRule="atLeast"/>
          <w:jc w:val="center"/>
        </w:trPr>
        <w:tc>
          <w:tcPr>
            <w:tcW w:w="10089" w:type="dxa"/>
            <w:gridSpan w:val="7"/>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05</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r>
              <w:rPr>
                <w:rFonts w:ascii="Arial" w:hAnsi="Arial" w:cs="Arial"/>
                <w:color w:val="000000"/>
                <w:sz w:val="20"/>
                <w:szCs w:val="20"/>
              </w:rPr>
              <w:t>遵化市</w:t>
            </w:r>
            <w:r>
              <w:rPr>
                <w:rFonts w:hint="eastAsia" w:ascii="Arial" w:hAnsi="Arial" w:cs="Arial"/>
                <w:color w:val="000000"/>
                <w:sz w:val="20"/>
                <w:szCs w:val="20"/>
              </w:rPr>
              <w:t>堡子店镇</w:t>
            </w:r>
            <w:r>
              <w:rPr>
                <w:rFonts w:ascii="Arial" w:hAnsi="Arial" w:cs="Arial"/>
                <w:color w:val="000000"/>
                <w:sz w:val="20"/>
                <w:szCs w:val="20"/>
              </w:rPr>
              <w:t>人民政府</w:t>
            </w: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959"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312" w:hRule="atLeast"/>
          <w:jc w:val="center"/>
        </w:trPr>
        <w:tc>
          <w:tcPr>
            <w:tcW w:w="800"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986"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986"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987"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12" w:hRule="atLeast"/>
          <w:jc w:val="center"/>
        </w:trPr>
        <w:tc>
          <w:tcPr>
            <w:tcW w:w="800"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98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98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98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800"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98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98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98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198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888.60</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649.25</w:t>
            </w:r>
          </w:p>
        </w:tc>
        <w:tc>
          <w:tcPr>
            <w:tcW w:w="198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239.35</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一般公共服务支出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629.81</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619.95</w:t>
            </w:r>
          </w:p>
        </w:tc>
        <w:tc>
          <w:tcPr>
            <w:tcW w:w="198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9.86</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政府办公厅</w:t>
            </w:r>
            <w:r>
              <w:rPr>
                <w:rFonts w:hint="eastAsia" w:ascii="宋体" w:hAnsi="宋体" w:eastAsia="宋体" w:cs="宋体"/>
                <w:color w:val="000000"/>
                <w:sz w:val="22"/>
              </w:rPr>
              <w:t>（室）及相关机构事务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505.15</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495.29</w:t>
            </w:r>
          </w:p>
        </w:tc>
        <w:tc>
          <w:tcPr>
            <w:tcW w:w="198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9.86</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2010301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行政运行</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350.29</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350.29</w:t>
            </w:r>
          </w:p>
        </w:tc>
        <w:tc>
          <w:tcPr>
            <w:tcW w:w="198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2010302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一般行政管理事务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154.86</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145.00</w:t>
            </w:r>
          </w:p>
        </w:tc>
        <w:tc>
          <w:tcPr>
            <w:tcW w:w="198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9.86</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财政事务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34.79</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34.79</w:t>
            </w:r>
          </w:p>
        </w:tc>
        <w:tc>
          <w:tcPr>
            <w:tcW w:w="198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2010601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行政运行</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34.79</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34.79</w:t>
            </w:r>
          </w:p>
        </w:tc>
        <w:tc>
          <w:tcPr>
            <w:tcW w:w="198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20131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党委办公厅</w:t>
            </w:r>
            <w:r>
              <w:rPr>
                <w:rFonts w:hint="eastAsia" w:ascii="宋体" w:hAnsi="宋体" w:eastAsia="宋体" w:cs="宋体"/>
                <w:color w:val="000000"/>
                <w:sz w:val="22"/>
              </w:rPr>
              <w:t>（室）及相关机构事务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89.87</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89.87</w:t>
            </w:r>
          </w:p>
        </w:tc>
        <w:tc>
          <w:tcPr>
            <w:tcW w:w="198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2013101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行政运行</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89.87</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89.87</w:t>
            </w:r>
          </w:p>
        </w:tc>
        <w:tc>
          <w:tcPr>
            <w:tcW w:w="198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卫生健康支出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15.38</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15.38</w:t>
            </w:r>
          </w:p>
        </w:tc>
        <w:tc>
          <w:tcPr>
            <w:tcW w:w="198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卫生健康管理事务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15.38</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15.38</w:t>
            </w:r>
          </w:p>
        </w:tc>
        <w:tc>
          <w:tcPr>
            <w:tcW w:w="198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2100101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行政运行</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15.38</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15.38</w:t>
            </w:r>
          </w:p>
        </w:tc>
        <w:tc>
          <w:tcPr>
            <w:tcW w:w="198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节能环保支出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98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21199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其他节能环保支出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98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2119901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其他节能环保支出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98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城乡社区支出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98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21205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城乡社区环境卫生</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98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2120501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城乡社区环境卫生</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98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农林水支出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228.41</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13.92</w:t>
            </w:r>
          </w:p>
        </w:tc>
        <w:tc>
          <w:tcPr>
            <w:tcW w:w="198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214.49</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农业</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228.41</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13.92</w:t>
            </w:r>
          </w:p>
        </w:tc>
        <w:tc>
          <w:tcPr>
            <w:tcW w:w="198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214.49</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行政运行</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13.92</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13.92</w:t>
            </w:r>
          </w:p>
        </w:tc>
        <w:tc>
          <w:tcPr>
            <w:tcW w:w="198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2130126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农村</w:t>
            </w:r>
            <w:r>
              <w:rPr>
                <w:rFonts w:hint="eastAsia" w:ascii="宋体" w:hAnsi="宋体" w:eastAsia="宋体" w:cs="宋体"/>
                <w:color w:val="000000"/>
                <w:sz w:val="22"/>
              </w:rPr>
              <w:t>社会</w:t>
            </w:r>
            <w:r>
              <w:rPr>
                <w:rFonts w:ascii="宋体" w:hAnsi="宋体" w:eastAsia="宋体" w:cs="宋体"/>
                <w:color w:val="000000"/>
                <w:sz w:val="22"/>
              </w:rPr>
              <w:t>事业</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214.49</w:t>
            </w:r>
          </w:p>
        </w:tc>
        <w:tc>
          <w:tcPr>
            <w:tcW w:w="198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98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214.49</w:t>
            </w:r>
          </w:p>
        </w:tc>
      </w:tr>
    </w:tbl>
    <w:p>
      <w:r>
        <w:br w:type="page"/>
      </w:r>
    </w:p>
    <w:tbl>
      <w:tblPr>
        <w:tblStyle w:val="6"/>
        <w:tblW w:w="10020" w:type="dxa"/>
        <w:jc w:val="center"/>
        <w:tblLayout w:type="fixed"/>
        <w:tblCellMar>
          <w:top w:w="0" w:type="dxa"/>
          <w:left w:w="0" w:type="dxa"/>
          <w:bottom w:w="0" w:type="dxa"/>
          <w:right w:w="0" w:type="dxa"/>
        </w:tblCellMar>
      </w:tblPr>
      <w:tblGrid>
        <w:gridCol w:w="792"/>
        <w:gridCol w:w="2112"/>
        <w:gridCol w:w="780"/>
        <w:gridCol w:w="684"/>
        <w:gridCol w:w="1497"/>
        <w:gridCol w:w="788"/>
        <w:gridCol w:w="744"/>
        <w:gridCol w:w="1891"/>
        <w:gridCol w:w="732"/>
      </w:tblGrid>
      <w:tr>
        <w:tblPrEx>
          <w:tblCellMar>
            <w:top w:w="0" w:type="dxa"/>
            <w:left w:w="0" w:type="dxa"/>
            <w:bottom w:w="0" w:type="dxa"/>
            <w:right w:w="0" w:type="dxa"/>
          </w:tblCellMar>
        </w:tblPrEx>
        <w:trPr>
          <w:trHeight w:val="662" w:hRule="atLeast"/>
          <w:jc w:val="center"/>
        </w:trPr>
        <w:tc>
          <w:tcPr>
            <w:tcW w:w="10020" w:type="dxa"/>
            <w:gridSpan w:val="9"/>
            <w:tcBorders>
              <w:top w:val="nil"/>
              <w:left w:val="nil"/>
              <w:bottom w:val="nil"/>
              <w:right w:val="nil"/>
            </w:tcBorders>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一般公共预算财政拨款基本支出决算表</w:t>
            </w:r>
          </w:p>
        </w:tc>
      </w:tr>
      <w:tr>
        <w:tblPrEx>
          <w:tblCellMar>
            <w:top w:w="0" w:type="dxa"/>
            <w:left w:w="0" w:type="dxa"/>
            <w:bottom w:w="0" w:type="dxa"/>
            <w:right w:w="0" w:type="dxa"/>
          </w:tblCellMar>
        </w:tblPrEx>
        <w:trPr>
          <w:trHeight w:val="339" w:hRule="atLeast"/>
          <w:jc w:val="center"/>
        </w:trPr>
        <w:tc>
          <w:tcPr>
            <w:tcW w:w="79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11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8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684"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49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88"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w:t>
            </w:r>
            <w:r>
              <w:rPr>
                <w:rFonts w:ascii="宋体" w:hAnsi="宋体" w:eastAsia="宋体" w:cs="宋体"/>
                <w:color w:val="000000"/>
                <w:kern w:val="0"/>
                <w:sz w:val="18"/>
                <w:szCs w:val="18"/>
              </w:rPr>
              <w:t>06</w:t>
            </w:r>
            <w:r>
              <w:rPr>
                <w:rFonts w:hint="eastAsia" w:ascii="宋体" w:hAnsi="宋体" w:eastAsia="宋体" w:cs="宋体"/>
                <w:color w:val="000000"/>
                <w:kern w:val="0"/>
                <w:sz w:val="18"/>
                <w:szCs w:val="18"/>
              </w:rPr>
              <w:t>表</w:t>
            </w:r>
          </w:p>
        </w:tc>
      </w:tr>
      <w:tr>
        <w:tblPrEx>
          <w:tblCellMar>
            <w:top w:w="0" w:type="dxa"/>
            <w:left w:w="0" w:type="dxa"/>
            <w:bottom w:w="0" w:type="dxa"/>
            <w:right w:w="0" w:type="dxa"/>
          </w:tblCellMar>
        </w:tblPrEx>
        <w:trPr>
          <w:trHeight w:val="339" w:hRule="atLeast"/>
          <w:jc w:val="center"/>
        </w:trPr>
        <w:tc>
          <w:tcPr>
            <w:tcW w:w="792"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部门：遵</w:t>
            </w:r>
          </w:p>
        </w:tc>
        <w:tc>
          <w:tcPr>
            <w:tcW w:w="2112" w:type="dxa"/>
            <w:tcBorders>
              <w:top w:val="nil"/>
              <w:left w:val="nil"/>
              <w:bottom w:val="nil"/>
              <w:right w:val="nil"/>
            </w:tcBorders>
            <w:tcMar>
              <w:top w:w="15" w:type="dxa"/>
              <w:left w:w="15" w:type="dxa"/>
              <w:right w:w="15" w:type="dxa"/>
            </w:tcMar>
            <w:vAlign w:val="bottom"/>
          </w:tcPr>
          <w:p>
            <w:pPr>
              <w:rPr>
                <w:rFonts w:hint="eastAsia" w:ascii="宋体" w:hAnsi="宋体" w:eastAsia="宋体" w:cs="宋体"/>
                <w:color w:val="000000"/>
                <w:kern w:val="0"/>
                <w:sz w:val="20"/>
                <w:szCs w:val="20"/>
                <w:lang w:val="en-US" w:eastAsia="zh-CN"/>
              </w:rPr>
            </w:pPr>
            <w:r>
              <w:rPr>
                <w:rFonts w:ascii="宋体" w:hAnsi="宋体" w:eastAsia="宋体" w:cs="宋体"/>
                <w:color w:val="000000"/>
                <w:kern w:val="0"/>
                <w:sz w:val="20"/>
                <w:szCs w:val="20"/>
              </w:rPr>
              <w:t>化市</w:t>
            </w:r>
            <w:r>
              <w:rPr>
                <w:rFonts w:hint="eastAsia" w:ascii="宋体" w:hAnsi="宋体" w:eastAsia="宋体" w:cs="宋体"/>
                <w:color w:val="000000"/>
                <w:kern w:val="0"/>
                <w:sz w:val="20"/>
                <w:szCs w:val="20"/>
              </w:rPr>
              <w:t>堡子店镇</w:t>
            </w:r>
            <w:r>
              <w:rPr>
                <w:rFonts w:ascii="宋体" w:hAnsi="宋体" w:eastAsia="宋体" w:cs="宋体"/>
                <w:color w:val="000000"/>
                <w:kern w:val="0"/>
                <w:sz w:val="20"/>
                <w:szCs w:val="20"/>
              </w:rPr>
              <w:t>人民</w:t>
            </w:r>
            <w:r>
              <w:rPr>
                <w:rFonts w:hint="eastAsia" w:ascii="宋体" w:hAnsi="宋体" w:eastAsia="宋体" w:cs="宋体"/>
                <w:color w:val="000000"/>
                <w:kern w:val="0"/>
                <w:sz w:val="20"/>
                <w:szCs w:val="20"/>
                <w:lang w:val="en-US" w:eastAsia="zh-CN"/>
              </w:rPr>
              <w:t>政府</w:t>
            </w:r>
          </w:p>
        </w:tc>
        <w:tc>
          <w:tcPr>
            <w:tcW w:w="780" w:type="dxa"/>
            <w:tcBorders>
              <w:top w:val="nil"/>
              <w:left w:val="nil"/>
              <w:bottom w:val="nil"/>
              <w:right w:val="nil"/>
            </w:tcBorders>
            <w:noWrap/>
            <w:tcMar>
              <w:top w:w="15" w:type="dxa"/>
              <w:left w:w="15" w:type="dxa"/>
              <w:right w:w="15" w:type="dxa"/>
            </w:tcMar>
            <w:vAlign w:val="bottom"/>
          </w:tcPr>
          <w:p>
            <w:pPr>
              <w:rPr>
                <w:rFonts w:ascii="宋体" w:hAnsi="宋体" w:eastAsia="宋体" w:cs="宋体"/>
                <w:color w:val="000000"/>
                <w:kern w:val="0"/>
                <w:sz w:val="20"/>
                <w:szCs w:val="20"/>
              </w:rPr>
            </w:pPr>
          </w:p>
        </w:tc>
        <w:tc>
          <w:tcPr>
            <w:tcW w:w="684"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49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88"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CellMar>
            <w:top w:w="0" w:type="dxa"/>
            <w:left w:w="0" w:type="dxa"/>
            <w:bottom w:w="0" w:type="dxa"/>
            <w:right w:w="0" w:type="dxa"/>
          </w:tblCellMar>
        </w:tblPrEx>
        <w:trPr>
          <w:trHeight w:val="362" w:hRule="atLeast"/>
          <w:jc w:val="center"/>
        </w:trPr>
        <w:tc>
          <w:tcPr>
            <w:tcW w:w="36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336" w:type="dxa"/>
            <w:gridSpan w:val="6"/>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tblPrEx>
          <w:tblCellMar>
            <w:top w:w="0" w:type="dxa"/>
            <w:left w:w="0" w:type="dxa"/>
            <w:bottom w:w="0" w:type="dxa"/>
            <w:right w:w="0" w:type="dxa"/>
          </w:tblCellMar>
        </w:tblPrEx>
        <w:trPr>
          <w:trHeight w:val="362" w:hRule="atLeast"/>
          <w:jc w:val="center"/>
        </w:trPr>
        <w:tc>
          <w:tcPr>
            <w:tcW w:w="792"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211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8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84"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497"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88"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891"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3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349" w:hRule="atLeast"/>
          <w:jc w:val="center"/>
        </w:trPr>
        <w:tc>
          <w:tcPr>
            <w:tcW w:w="79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11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8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84"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49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8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82" w:hRule="atLeast"/>
          <w:jc w:val="center"/>
        </w:trPr>
        <w:tc>
          <w:tcPr>
            <w:tcW w:w="7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w:t>
            </w:r>
          </w:p>
        </w:tc>
        <w:tc>
          <w:tcPr>
            <w:tcW w:w="211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78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499.37</w:t>
            </w: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w:t>
            </w:r>
          </w:p>
        </w:tc>
        <w:tc>
          <w:tcPr>
            <w:tcW w:w="149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145.00</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307</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7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30101</w:t>
            </w:r>
          </w:p>
        </w:tc>
        <w:tc>
          <w:tcPr>
            <w:tcW w:w="211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基本工资</w:t>
            </w:r>
          </w:p>
        </w:tc>
        <w:tc>
          <w:tcPr>
            <w:tcW w:w="78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162.49</w:t>
            </w: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30201</w:t>
            </w:r>
          </w:p>
        </w:tc>
        <w:tc>
          <w:tcPr>
            <w:tcW w:w="149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30.57</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30701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国内债务付息</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7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30102</w:t>
            </w:r>
          </w:p>
        </w:tc>
        <w:tc>
          <w:tcPr>
            <w:tcW w:w="211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津贴补贴</w:t>
            </w:r>
          </w:p>
        </w:tc>
        <w:tc>
          <w:tcPr>
            <w:tcW w:w="78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172.21</w:t>
            </w: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30202</w:t>
            </w:r>
          </w:p>
        </w:tc>
        <w:tc>
          <w:tcPr>
            <w:tcW w:w="149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印刷费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30702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国外债务付息</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7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30103</w:t>
            </w:r>
          </w:p>
        </w:tc>
        <w:tc>
          <w:tcPr>
            <w:tcW w:w="211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奖金</w:t>
            </w:r>
          </w:p>
        </w:tc>
        <w:tc>
          <w:tcPr>
            <w:tcW w:w="78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8.12</w:t>
            </w: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30203</w:t>
            </w:r>
          </w:p>
        </w:tc>
        <w:tc>
          <w:tcPr>
            <w:tcW w:w="149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咨询费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7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30106</w:t>
            </w:r>
          </w:p>
        </w:tc>
        <w:tc>
          <w:tcPr>
            <w:tcW w:w="211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伙食补助费</w:t>
            </w:r>
          </w:p>
        </w:tc>
        <w:tc>
          <w:tcPr>
            <w:tcW w:w="78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30204</w:t>
            </w:r>
          </w:p>
        </w:tc>
        <w:tc>
          <w:tcPr>
            <w:tcW w:w="149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手续费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房屋建筑物购建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7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30107</w:t>
            </w:r>
          </w:p>
        </w:tc>
        <w:tc>
          <w:tcPr>
            <w:tcW w:w="211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绩效工资</w:t>
            </w:r>
          </w:p>
        </w:tc>
        <w:tc>
          <w:tcPr>
            <w:tcW w:w="78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13.51</w:t>
            </w: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30205</w:t>
            </w:r>
          </w:p>
        </w:tc>
        <w:tc>
          <w:tcPr>
            <w:tcW w:w="149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办公设备购置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7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30108</w:t>
            </w:r>
          </w:p>
        </w:tc>
        <w:tc>
          <w:tcPr>
            <w:tcW w:w="211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机关事业单位基本养老保险缴费</w:t>
            </w:r>
          </w:p>
        </w:tc>
        <w:tc>
          <w:tcPr>
            <w:tcW w:w="78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36.32</w:t>
            </w: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30206</w:t>
            </w:r>
          </w:p>
        </w:tc>
        <w:tc>
          <w:tcPr>
            <w:tcW w:w="149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电费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6.23</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31003</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专用设备购置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7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30109</w:t>
            </w:r>
          </w:p>
        </w:tc>
        <w:tc>
          <w:tcPr>
            <w:tcW w:w="211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职业年金缴费</w:t>
            </w:r>
          </w:p>
        </w:tc>
        <w:tc>
          <w:tcPr>
            <w:tcW w:w="78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30207</w:t>
            </w:r>
          </w:p>
        </w:tc>
        <w:tc>
          <w:tcPr>
            <w:tcW w:w="149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邮电费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2.77</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31005</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基础设施建设</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7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30110</w:t>
            </w:r>
          </w:p>
        </w:tc>
        <w:tc>
          <w:tcPr>
            <w:tcW w:w="211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职工基本医疗保险缴费</w:t>
            </w:r>
          </w:p>
        </w:tc>
        <w:tc>
          <w:tcPr>
            <w:tcW w:w="78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61.70</w:t>
            </w: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30208</w:t>
            </w:r>
          </w:p>
        </w:tc>
        <w:tc>
          <w:tcPr>
            <w:tcW w:w="149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取暖费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24.76</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31006</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大型修缮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7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30111</w:t>
            </w:r>
          </w:p>
        </w:tc>
        <w:tc>
          <w:tcPr>
            <w:tcW w:w="211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公务员医疗补助缴费</w:t>
            </w:r>
          </w:p>
        </w:tc>
        <w:tc>
          <w:tcPr>
            <w:tcW w:w="78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30209</w:t>
            </w:r>
          </w:p>
        </w:tc>
        <w:tc>
          <w:tcPr>
            <w:tcW w:w="149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物业管理费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31007</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信息网络及软件购置更新</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7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30112</w:t>
            </w:r>
          </w:p>
        </w:tc>
        <w:tc>
          <w:tcPr>
            <w:tcW w:w="211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其他社会保障缴费</w:t>
            </w:r>
          </w:p>
        </w:tc>
        <w:tc>
          <w:tcPr>
            <w:tcW w:w="78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1.40</w:t>
            </w: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30211</w:t>
            </w:r>
          </w:p>
        </w:tc>
        <w:tc>
          <w:tcPr>
            <w:tcW w:w="149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差旅费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0.78</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31008</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物资储备</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7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30113</w:t>
            </w:r>
          </w:p>
        </w:tc>
        <w:tc>
          <w:tcPr>
            <w:tcW w:w="211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住房公积金</w:t>
            </w:r>
          </w:p>
        </w:tc>
        <w:tc>
          <w:tcPr>
            <w:tcW w:w="78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37.56</w:t>
            </w: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30212</w:t>
            </w:r>
          </w:p>
        </w:tc>
        <w:tc>
          <w:tcPr>
            <w:tcW w:w="149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因公出国（境）费用</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土地补偿</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7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30114</w:t>
            </w:r>
          </w:p>
        </w:tc>
        <w:tc>
          <w:tcPr>
            <w:tcW w:w="211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医疗费</w:t>
            </w:r>
          </w:p>
        </w:tc>
        <w:tc>
          <w:tcPr>
            <w:tcW w:w="78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30213</w:t>
            </w:r>
          </w:p>
        </w:tc>
        <w:tc>
          <w:tcPr>
            <w:tcW w:w="149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维修（护）费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18.80</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31010</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安置补助</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7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30199</w:t>
            </w:r>
          </w:p>
        </w:tc>
        <w:tc>
          <w:tcPr>
            <w:tcW w:w="211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其他工资福利支出</w:t>
            </w:r>
          </w:p>
        </w:tc>
        <w:tc>
          <w:tcPr>
            <w:tcW w:w="78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6.06</w:t>
            </w: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30214</w:t>
            </w:r>
          </w:p>
        </w:tc>
        <w:tc>
          <w:tcPr>
            <w:tcW w:w="149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租赁费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地上附着物和青苗补偿</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7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w:t>
            </w:r>
          </w:p>
        </w:tc>
        <w:tc>
          <w:tcPr>
            <w:tcW w:w="211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78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4.88</w:t>
            </w: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30215</w:t>
            </w:r>
          </w:p>
        </w:tc>
        <w:tc>
          <w:tcPr>
            <w:tcW w:w="149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会议费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拆迁补偿</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7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30301</w:t>
            </w:r>
          </w:p>
        </w:tc>
        <w:tc>
          <w:tcPr>
            <w:tcW w:w="211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离休费</w:t>
            </w:r>
          </w:p>
        </w:tc>
        <w:tc>
          <w:tcPr>
            <w:tcW w:w="78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30216</w:t>
            </w:r>
          </w:p>
        </w:tc>
        <w:tc>
          <w:tcPr>
            <w:tcW w:w="149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培训费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31013</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公务用车购置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7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30302</w:t>
            </w:r>
          </w:p>
        </w:tc>
        <w:tc>
          <w:tcPr>
            <w:tcW w:w="211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退休费</w:t>
            </w:r>
          </w:p>
        </w:tc>
        <w:tc>
          <w:tcPr>
            <w:tcW w:w="78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49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公务接待费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0.98</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其他交通工具购置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7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30303</w:t>
            </w:r>
          </w:p>
        </w:tc>
        <w:tc>
          <w:tcPr>
            <w:tcW w:w="211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退职（役）费</w:t>
            </w:r>
          </w:p>
        </w:tc>
        <w:tc>
          <w:tcPr>
            <w:tcW w:w="78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30218</w:t>
            </w:r>
          </w:p>
        </w:tc>
        <w:tc>
          <w:tcPr>
            <w:tcW w:w="149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专用材料费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31021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文物和陈列品购置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7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30304</w:t>
            </w:r>
          </w:p>
        </w:tc>
        <w:tc>
          <w:tcPr>
            <w:tcW w:w="211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抚恤金</w:t>
            </w:r>
          </w:p>
        </w:tc>
        <w:tc>
          <w:tcPr>
            <w:tcW w:w="78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4.88</w:t>
            </w: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30224</w:t>
            </w:r>
          </w:p>
        </w:tc>
        <w:tc>
          <w:tcPr>
            <w:tcW w:w="149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被装购置费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31022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无形资产购置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7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30305</w:t>
            </w:r>
          </w:p>
        </w:tc>
        <w:tc>
          <w:tcPr>
            <w:tcW w:w="211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生活补助</w:t>
            </w:r>
          </w:p>
        </w:tc>
        <w:tc>
          <w:tcPr>
            <w:tcW w:w="78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30225</w:t>
            </w:r>
          </w:p>
        </w:tc>
        <w:tc>
          <w:tcPr>
            <w:tcW w:w="149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专用燃料费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31099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其他资本性支出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7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30306</w:t>
            </w:r>
          </w:p>
        </w:tc>
        <w:tc>
          <w:tcPr>
            <w:tcW w:w="211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救济费</w:t>
            </w:r>
          </w:p>
        </w:tc>
        <w:tc>
          <w:tcPr>
            <w:tcW w:w="78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30226</w:t>
            </w:r>
          </w:p>
        </w:tc>
        <w:tc>
          <w:tcPr>
            <w:tcW w:w="149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劳务费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32.17</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7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30307</w:t>
            </w:r>
          </w:p>
        </w:tc>
        <w:tc>
          <w:tcPr>
            <w:tcW w:w="211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医疗费补助</w:t>
            </w:r>
          </w:p>
        </w:tc>
        <w:tc>
          <w:tcPr>
            <w:tcW w:w="78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30227</w:t>
            </w:r>
          </w:p>
        </w:tc>
        <w:tc>
          <w:tcPr>
            <w:tcW w:w="149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委托业务费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39906</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赠与</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7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30308</w:t>
            </w:r>
          </w:p>
        </w:tc>
        <w:tc>
          <w:tcPr>
            <w:tcW w:w="211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助学金</w:t>
            </w:r>
          </w:p>
        </w:tc>
        <w:tc>
          <w:tcPr>
            <w:tcW w:w="78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30228</w:t>
            </w:r>
          </w:p>
        </w:tc>
        <w:tc>
          <w:tcPr>
            <w:tcW w:w="149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工会经费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39907</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国家赔偿费用支出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7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30309</w:t>
            </w:r>
          </w:p>
        </w:tc>
        <w:tc>
          <w:tcPr>
            <w:tcW w:w="211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奖励金</w:t>
            </w:r>
          </w:p>
        </w:tc>
        <w:tc>
          <w:tcPr>
            <w:tcW w:w="78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30229</w:t>
            </w:r>
          </w:p>
        </w:tc>
        <w:tc>
          <w:tcPr>
            <w:tcW w:w="149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福利费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2.98</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39908</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18"/>
                <w:szCs w:val="18"/>
              </w:rPr>
              <w:t>对民间非营利组织和群众性自治组织补贴</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7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30310</w:t>
            </w:r>
          </w:p>
        </w:tc>
        <w:tc>
          <w:tcPr>
            <w:tcW w:w="211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个人农业生产补贴</w:t>
            </w:r>
          </w:p>
        </w:tc>
        <w:tc>
          <w:tcPr>
            <w:tcW w:w="78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30231</w:t>
            </w:r>
          </w:p>
        </w:tc>
        <w:tc>
          <w:tcPr>
            <w:tcW w:w="149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公务用车运行维护费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5.24</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39999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7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30399</w:t>
            </w:r>
          </w:p>
        </w:tc>
        <w:tc>
          <w:tcPr>
            <w:tcW w:w="211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其他对个人和家庭的补助</w:t>
            </w:r>
          </w:p>
        </w:tc>
        <w:tc>
          <w:tcPr>
            <w:tcW w:w="78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30239</w:t>
            </w:r>
          </w:p>
        </w:tc>
        <w:tc>
          <w:tcPr>
            <w:tcW w:w="149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其他交通费用</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19.71</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7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2112"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30240</w:t>
            </w:r>
          </w:p>
        </w:tc>
        <w:tc>
          <w:tcPr>
            <w:tcW w:w="149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税金及附加费用</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7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2112"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30299</w:t>
            </w:r>
          </w:p>
        </w:tc>
        <w:tc>
          <w:tcPr>
            <w:tcW w:w="149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其他商品和服务支出</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17" w:hRule="atLeast"/>
          <w:jc w:val="center"/>
        </w:trPr>
        <w:tc>
          <w:tcPr>
            <w:tcW w:w="2904"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78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504.25</w:t>
            </w:r>
          </w:p>
        </w:tc>
        <w:tc>
          <w:tcPr>
            <w:tcW w:w="5604" w:type="dxa"/>
            <w:gridSpan w:val="5"/>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145.00</w:t>
            </w:r>
          </w:p>
        </w:tc>
      </w:tr>
    </w:tbl>
    <w:p>
      <w:r>
        <w:br w:type="page"/>
      </w:r>
    </w:p>
    <w:tbl>
      <w:tblPr>
        <w:tblStyle w:val="6"/>
        <w:tblW w:w="9220" w:type="dxa"/>
        <w:jc w:val="center"/>
        <w:tblLayout w:type="autofit"/>
        <w:tblCellMar>
          <w:top w:w="0" w:type="dxa"/>
          <w:left w:w="0" w:type="dxa"/>
          <w:bottom w:w="0" w:type="dxa"/>
          <w:right w:w="0" w:type="dxa"/>
        </w:tblCellMar>
      </w:tblPr>
      <w:tblGrid>
        <w:gridCol w:w="2830"/>
        <w:gridCol w:w="1623"/>
        <w:gridCol w:w="963"/>
        <w:gridCol w:w="963"/>
        <w:gridCol w:w="1269"/>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07</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部门：遵化市堡子店镇人民政府</w:t>
            </w: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1686"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r>
      <w:tr>
        <w:tblPrEx>
          <w:tblCellMar>
            <w:top w:w="0" w:type="dxa"/>
            <w:left w:w="0" w:type="dxa"/>
            <w:bottom w:w="0" w:type="dxa"/>
            <w:right w:w="0" w:type="dxa"/>
          </w:tblCellMar>
        </w:tblPrEx>
        <w:trPr>
          <w:trHeight w:val="417" w:hRule="atLeast"/>
          <w:jc w:val="center"/>
        </w:trPr>
        <w:tc>
          <w:tcPr>
            <w:tcW w:w="0" w:type="auto"/>
            <w:tcBorders>
              <w:top w:val="nil"/>
              <w:left w:val="single" w:color="auto"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17</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16</w:t>
            </w:r>
          </w:p>
        </w:tc>
        <w:tc>
          <w:tcPr>
            <w:tcW w:w="0" w:type="auto"/>
            <w:tcBorders>
              <w:top w:val="nil"/>
              <w:left w:val="nil"/>
              <w:bottom w:val="single" w:color="000000" w:sz="4" w:space="0"/>
              <w:right w:val="single" w:color="auto"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w:t>
            </w:r>
          </w:p>
        </w:tc>
        <w:tc>
          <w:tcPr>
            <w:tcW w:w="1686"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9</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10</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12</w:t>
            </w:r>
          </w:p>
        </w:tc>
      </w:tr>
      <w:tr>
        <w:tblPrEx>
          <w:tblCellMar>
            <w:top w:w="0" w:type="dxa"/>
            <w:left w:w="0" w:type="dxa"/>
            <w:bottom w:w="0" w:type="dxa"/>
            <w:right w:w="0" w:type="dxa"/>
          </w:tblCellMar>
        </w:tblPrEx>
        <w:trPr>
          <w:trHeight w:val="447" w:hRule="atLeast"/>
          <w:jc w:val="center"/>
        </w:trPr>
        <w:tc>
          <w:tcPr>
            <w:tcW w:w="0" w:type="auto"/>
            <w:tcBorders>
              <w:top w:val="nil"/>
              <w:left w:val="single" w:color="auto" w:sz="4" w:space="0"/>
              <w:bottom w:val="single" w:color="auto"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6.22</w:t>
            </w:r>
          </w:p>
        </w:tc>
        <w:tc>
          <w:tcPr>
            <w:tcW w:w="0" w:type="auto"/>
            <w:tcBorders>
              <w:top w:val="nil"/>
              <w:left w:val="nil"/>
              <w:bottom w:val="single" w:color="auto"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auto"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auto"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auto"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5.24</w:t>
            </w: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0.98</w:t>
            </w:r>
          </w:p>
        </w:tc>
      </w:tr>
    </w:tbl>
    <w:p>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hAnsi="仿宋_GB2312" w:eastAsia="仿宋_GB2312" w:cs="仿宋_GB2312"/>
        </w:rPr>
        <w:tab/>
      </w:r>
      <w:r>
        <w:tab/>
      </w:r>
      <w:r>
        <w:tab/>
      </w:r>
      <w:r>
        <w:tab/>
      </w:r>
      <w:r>
        <w:tab/>
      </w:r>
      <w:r>
        <w:tab/>
      </w:r>
      <w:r>
        <w:tab/>
      </w:r>
      <w:r>
        <w:tab/>
      </w:r>
      <w:r>
        <w:tab/>
      </w:r>
      <w:r>
        <w:tab/>
      </w:r>
      <w:r>
        <w:tab/>
      </w:r>
      <w:r>
        <w:br w:type="page"/>
      </w:r>
    </w:p>
    <w:tbl>
      <w:tblPr>
        <w:tblStyle w:val="6"/>
        <w:tblW w:w="9510" w:type="dxa"/>
        <w:jc w:val="center"/>
        <w:tblLayout w:type="autofit"/>
        <w:tblCellMar>
          <w:top w:w="0" w:type="dxa"/>
          <w:left w:w="0" w:type="dxa"/>
          <w:bottom w:w="0" w:type="dxa"/>
          <w:right w:w="0" w:type="dxa"/>
        </w:tblCellMar>
      </w:tblPr>
      <w:tblGrid>
        <w:gridCol w:w="2830"/>
        <w:gridCol w:w="36"/>
        <w:gridCol w:w="36"/>
        <w:gridCol w:w="910"/>
        <w:gridCol w:w="950"/>
        <w:gridCol w:w="950"/>
        <w:gridCol w:w="950"/>
        <w:gridCol w:w="950"/>
        <w:gridCol w:w="950"/>
        <w:gridCol w:w="950"/>
      </w:tblGrid>
      <w:tr>
        <w:tblPrEx>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08</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部门：遵化市堡子店镇人民政府</w:t>
            </w: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7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117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3510"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117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CellMar>
            <w:top w:w="0" w:type="dxa"/>
            <w:left w:w="0" w:type="dxa"/>
            <w:bottom w:w="0" w:type="dxa"/>
            <w:right w:w="0" w:type="dxa"/>
          </w:tblCellMar>
        </w:tblPrEx>
        <w:trPr>
          <w:trHeight w:val="312" w:hRule="atLeast"/>
          <w:jc w:val="center"/>
        </w:trPr>
        <w:tc>
          <w:tcPr>
            <w:tcW w:w="990"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7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17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7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990"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990"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bl>
    <w:p>
      <w:r>
        <w:t>注</w:t>
      </w:r>
      <w:r>
        <w:rPr>
          <w:rFonts w:hint="eastAsia"/>
        </w:rPr>
        <w:t>：本部门本年度</w:t>
      </w:r>
      <w:r>
        <w:t>无收支及结转结余情况</w:t>
      </w:r>
      <w:r>
        <w:rPr>
          <w:rFonts w:hint="eastAsia"/>
        </w:rPr>
        <w:t>，以按要求以空表列示</w:t>
      </w:r>
      <w:r>
        <w:br w:type="page"/>
      </w:r>
    </w:p>
    <w:tbl>
      <w:tblPr>
        <w:tblStyle w:val="6"/>
        <w:tblW w:w="9915" w:type="dxa"/>
        <w:jc w:val="center"/>
        <w:tblLayout w:type="autofit"/>
        <w:tblCellMar>
          <w:top w:w="0" w:type="dxa"/>
          <w:left w:w="0" w:type="dxa"/>
          <w:bottom w:w="0" w:type="dxa"/>
          <w:right w:w="0" w:type="dxa"/>
        </w:tblCellMar>
      </w:tblPr>
      <w:tblGrid>
        <w:gridCol w:w="3980"/>
        <w:gridCol w:w="51"/>
        <w:gridCol w:w="51"/>
        <w:gridCol w:w="2613"/>
        <w:gridCol w:w="661"/>
        <w:gridCol w:w="1280"/>
        <w:gridCol w:w="1279"/>
      </w:tblGrid>
      <w:tr>
        <w:tblPrEx>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09</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部门：遵化市堡子店镇人民政府</w:t>
            </w: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0" w:type="auto"/>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615" w:hRule="atLeast"/>
          <w:jc w:val="center"/>
        </w:trPr>
        <w:tc>
          <w:tcPr>
            <w:tcW w:w="171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bl>
    <w:p>
      <w:r>
        <w:t>注</w:t>
      </w:r>
      <w:r>
        <w:rPr>
          <w:rFonts w:hint="eastAsia"/>
        </w:rPr>
        <w:t>：本部门本年度</w:t>
      </w:r>
      <w:r>
        <w:t>无相关支出情况</w:t>
      </w:r>
      <w:r>
        <w:rPr>
          <w:rFonts w:hint="eastAsia"/>
        </w:rPr>
        <w:t>，按要求以</w:t>
      </w:r>
      <w:r>
        <w:t>空表列示</w:t>
      </w:r>
    </w:p>
    <w:p/>
    <w:p/>
    <w:p/>
    <w:p/>
    <w:p/>
    <w:p/>
    <w:p/>
    <w:p/>
    <w:p/>
    <w:p/>
    <w:p/>
    <w:p/>
    <w:p/>
    <w:sectPr>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思源黑体 HW Bold">
    <w:altName w:val="黑体"/>
    <w:panose1 w:val="00000000000000000000"/>
    <w:charset w:val="86"/>
    <w:family w:val="swiss"/>
    <w:pitch w:val="default"/>
    <w:sig w:usb0="00000000" w:usb1="00000000" w:usb2="00000010" w:usb3="00000000" w:csb0="00040000" w:csb1="00000000"/>
  </w:font>
  <w:font w:name="Yu Gothic UI Semibold">
    <w:panose1 w:val="020B0700000000000000"/>
    <w:charset w:val="80"/>
    <w:family w:val="swiss"/>
    <w:pitch w:val="default"/>
    <w:sig w:usb0="E00002FF" w:usb1="2AC7FDFF" w:usb2="00000016" w:usb3="00000000" w:csb0="200200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0" w:csb1="0000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0" w:csb1="00000000"/>
  </w:font>
  <w:font w:name="DengXian-Bold">
    <w:altName w:val="宋体"/>
    <w:panose1 w:val="00000000000000000000"/>
    <w:charset w:val="86"/>
    <w:family w:val="auto"/>
    <w:pitch w:val="default"/>
    <w:sig w:usb0="00000000" w:usb1="00000000" w:usb2="00000010" w:usb3="00000000" w:csb0="00040000" w:csb1="00000000"/>
  </w:font>
  <w:font w:name="方正仿宋简体">
    <w:panose1 w:val="03000509000000000000"/>
    <w:charset w:val="86"/>
    <w:family w:val="script"/>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cs="Times New Roman"/>
      </w:rPr>
    </w:lvl>
  </w:abstractNum>
  <w:abstractNum w:abstractNumId="1">
    <w:nsid w:val="5F222FFA"/>
    <w:multiLevelType w:val="singleLevel"/>
    <w:tmpl w:val="5F222FFA"/>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attachedTemplate r:id="rId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1"/>
  </w:compat>
  <w:docVars>
    <w:docVar w:name="commondata" w:val="eyJoZGlkIjoiZTBlY2VhODhmMGEwODYzMGM4NGZlMjViODdkYzgxNGUifQ=="/>
  </w:docVars>
  <w:rsids>
    <w:rsidRoot w:val="6AAF1C96"/>
    <w:rsid w:val="00011BBA"/>
    <w:rsid w:val="00015029"/>
    <w:rsid w:val="00026F97"/>
    <w:rsid w:val="00041C68"/>
    <w:rsid w:val="00045556"/>
    <w:rsid w:val="00046B2B"/>
    <w:rsid w:val="00065778"/>
    <w:rsid w:val="00067629"/>
    <w:rsid w:val="0007063E"/>
    <w:rsid w:val="00071557"/>
    <w:rsid w:val="00073392"/>
    <w:rsid w:val="00073F4E"/>
    <w:rsid w:val="00086C89"/>
    <w:rsid w:val="000A2845"/>
    <w:rsid w:val="000A39FB"/>
    <w:rsid w:val="000C6989"/>
    <w:rsid w:val="000E04C9"/>
    <w:rsid w:val="000E592E"/>
    <w:rsid w:val="001063D1"/>
    <w:rsid w:val="00117746"/>
    <w:rsid w:val="00140474"/>
    <w:rsid w:val="00144AD0"/>
    <w:rsid w:val="001500BE"/>
    <w:rsid w:val="00163F95"/>
    <w:rsid w:val="001751B3"/>
    <w:rsid w:val="00180A9A"/>
    <w:rsid w:val="001829C0"/>
    <w:rsid w:val="00184809"/>
    <w:rsid w:val="001903E7"/>
    <w:rsid w:val="00192112"/>
    <w:rsid w:val="001A7FA5"/>
    <w:rsid w:val="001B0127"/>
    <w:rsid w:val="001C12D5"/>
    <w:rsid w:val="001C69F7"/>
    <w:rsid w:val="001C7DE0"/>
    <w:rsid w:val="001E3C12"/>
    <w:rsid w:val="00210477"/>
    <w:rsid w:val="00247E5C"/>
    <w:rsid w:val="002650EC"/>
    <w:rsid w:val="002667E8"/>
    <w:rsid w:val="00275446"/>
    <w:rsid w:val="00276B49"/>
    <w:rsid w:val="00293312"/>
    <w:rsid w:val="00296A31"/>
    <w:rsid w:val="002A5482"/>
    <w:rsid w:val="002A6C46"/>
    <w:rsid w:val="002C027D"/>
    <w:rsid w:val="002C19B5"/>
    <w:rsid w:val="002C36EE"/>
    <w:rsid w:val="002D42F0"/>
    <w:rsid w:val="00340FFC"/>
    <w:rsid w:val="00344155"/>
    <w:rsid w:val="003458DF"/>
    <w:rsid w:val="00362852"/>
    <w:rsid w:val="00386536"/>
    <w:rsid w:val="003A4EE8"/>
    <w:rsid w:val="003B6466"/>
    <w:rsid w:val="003B6913"/>
    <w:rsid w:val="003E28B7"/>
    <w:rsid w:val="003E6C53"/>
    <w:rsid w:val="00431372"/>
    <w:rsid w:val="004429FA"/>
    <w:rsid w:val="00442CC2"/>
    <w:rsid w:val="00446244"/>
    <w:rsid w:val="00473C20"/>
    <w:rsid w:val="004B0A35"/>
    <w:rsid w:val="004D61CB"/>
    <w:rsid w:val="005011D6"/>
    <w:rsid w:val="00503F2E"/>
    <w:rsid w:val="00521A74"/>
    <w:rsid w:val="00521BC0"/>
    <w:rsid w:val="0053224B"/>
    <w:rsid w:val="00541D41"/>
    <w:rsid w:val="00543CBA"/>
    <w:rsid w:val="00552226"/>
    <w:rsid w:val="00557101"/>
    <w:rsid w:val="0056358B"/>
    <w:rsid w:val="00564889"/>
    <w:rsid w:val="00566120"/>
    <w:rsid w:val="005677C5"/>
    <w:rsid w:val="00575C1F"/>
    <w:rsid w:val="00582E6D"/>
    <w:rsid w:val="00584C43"/>
    <w:rsid w:val="00592668"/>
    <w:rsid w:val="005954D5"/>
    <w:rsid w:val="005957D3"/>
    <w:rsid w:val="00595939"/>
    <w:rsid w:val="00596F8F"/>
    <w:rsid w:val="005A53FA"/>
    <w:rsid w:val="005A742D"/>
    <w:rsid w:val="005C47BF"/>
    <w:rsid w:val="005D1293"/>
    <w:rsid w:val="006069EF"/>
    <w:rsid w:val="00621648"/>
    <w:rsid w:val="0062397C"/>
    <w:rsid w:val="00624924"/>
    <w:rsid w:val="006346CD"/>
    <w:rsid w:val="00644CDF"/>
    <w:rsid w:val="00644D5F"/>
    <w:rsid w:val="00665692"/>
    <w:rsid w:val="006727AD"/>
    <w:rsid w:val="006750EE"/>
    <w:rsid w:val="00691425"/>
    <w:rsid w:val="00694893"/>
    <w:rsid w:val="006A516E"/>
    <w:rsid w:val="006A6635"/>
    <w:rsid w:val="006B0830"/>
    <w:rsid w:val="006B4D31"/>
    <w:rsid w:val="006D164E"/>
    <w:rsid w:val="006E127C"/>
    <w:rsid w:val="006F1FB8"/>
    <w:rsid w:val="00716E2B"/>
    <w:rsid w:val="007319D3"/>
    <w:rsid w:val="00732F4D"/>
    <w:rsid w:val="0073570F"/>
    <w:rsid w:val="00750766"/>
    <w:rsid w:val="00753C5B"/>
    <w:rsid w:val="00756CC7"/>
    <w:rsid w:val="00770F18"/>
    <w:rsid w:val="00773B74"/>
    <w:rsid w:val="00781D06"/>
    <w:rsid w:val="0078290C"/>
    <w:rsid w:val="007A0C79"/>
    <w:rsid w:val="007A7966"/>
    <w:rsid w:val="007B60FA"/>
    <w:rsid w:val="007C06CA"/>
    <w:rsid w:val="007C2232"/>
    <w:rsid w:val="007D0D72"/>
    <w:rsid w:val="007D53AC"/>
    <w:rsid w:val="007E2724"/>
    <w:rsid w:val="007F36FC"/>
    <w:rsid w:val="008030EF"/>
    <w:rsid w:val="00803C9D"/>
    <w:rsid w:val="00813CB4"/>
    <w:rsid w:val="008163FB"/>
    <w:rsid w:val="0081696B"/>
    <w:rsid w:val="00824B9E"/>
    <w:rsid w:val="0082605B"/>
    <w:rsid w:val="00844297"/>
    <w:rsid w:val="00855C36"/>
    <w:rsid w:val="00857DBE"/>
    <w:rsid w:val="008701BC"/>
    <w:rsid w:val="00883D92"/>
    <w:rsid w:val="0089774D"/>
    <w:rsid w:val="008A5362"/>
    <w:rsid w:val="008B50AC"/>
    <w:rsid w:val="008D062A"/>
    <w:rsid w:val="008D2268"/>
    <w:rsid w:val="008E3C5C"/>
    <w:rsid w:val="008F0054"/>
    <w:rsid w:val="008F21F1"/>
    <w:rsid w:val="008F221B"/>
    <w:rsid w:val="008F5A2D"/>
    <w:rsid w:val="00921602"/>
    <w:rsid w:val="00921E90"/>
    <w:rsid w:val="00922623"/>
    <w:rsid w:val="00944F3A"/>
    <w:rsid w:val="00957EA1"/>
    <w:rsid w:val="009610D4"/>
    <w:rsid w:val="00966595"/>
    <w:rsid w:val="00966E5B"/>
    <w:rsid w:val="00971FA9"/>
    <w:rsid w:val="0097234C"/>
    <w:rsid w:val="0097241F"/>
    <w:rsid w:val="009A0977"/>
    <w:rsid w:val="009B17D9"/>
    <w:rsid w:val="009B4EF0"/>
    <w:rsid w:val="009C095F"/>
    <w:rsid w:val="009C7F05"/>
    <w:rsid w:val="009D271F"/>
    <w:rsid w:val="009F5219"/>
    <w:rsid w:val="00A15B84"/>
    <w:rsid w:val="00A26277"/>
    <w:rsid w:val="00A30E36"/>
    <w:rsid w:val="00A57A4D"/>
    <w:rsid w:val="00A84A2D"/>
    <w:rsid w:val="00A86124"/>
    <w:rsid w:val="00A929C2"/>
    <w:rsid w:val="00AB0538"/>
    <w:rsid w:val="00AC5EA8"/>
    <w:rsid w:val="00AD097F"/>
    <w:rsid w:val="00AF1E3F"/>
    <w:rsid w:val="00AF4F6D"/>
    <w:rsid w:val="00B51F66"/>
    <w:rsid w:val="00B6060C"/>
    <w:rsid w:val="00B76EAB"/>
    <w:rsid w:val="00B844F4"/>
    <w:rsid w:val="00BA06A1"/>
    <w:rsid w:val="00BA770A"/>
    <w:rsid w:val="00C003D9"/>
    <w:rsid w:val="00C054DE"/>
    <w:rsid w:val="00C123CB"/>
    <w:rsid w:val="00C21116"/>
    <w:rsid w:val="00C32E9D"/>
    <w:rsid w:val="00C4188B"/>
    <w:rsid w:val="00C45032"/>
    <w:rsid w:val="00C679A9"/>
    <w:rsid w:val="00C7541C"/>
    <w:rsid w:val="00C8481E"/>
    <w:rsid w:val="00CC0FAA"/>
    <w:rsid w:val="00CD0736"/>
    <w:rsid w:val="00CD4163"/>
    <w:rsid w:val="00D00ADC"/>
    <w:rsid w:val="00D1570F"/>
    <w:rsid w:val="00D213A7"/>
    <w:rsid w:val="00D21CAB"/>
    <w:rsid w:val="00D23D05"/>
    <w:rsid w:val="00D24398"/>
    <w:rsid w:val="00D3105D"/>
    <w:rsid w:val="00D32830"/>
    <w:rsid w:val="00D43887"/>
    <w:rsid w:val="00D46160"/>
    <w:rsid w:val="00D50FEA"/>
    <w:rsid w:val="00D70526"/>
    <w:rsid w:val="00D85C12"/>
    <w:rsid w:val="00D945FD"/>
    <w:rsid w:val="00DA31CD"/>
    <w:rsid w:val="00DB0B6D"/>
    <w:rsid w:val="00DB7153"/>
    <w:rsid w:val="00DB7F05"/>
    <w:rsid w:val="00DC0507"/>
    <w:rsid w:val="00E028C3"/>
    <w:rsid w:val="00E123CA"/>
    <w:rsid w:val="00E14F77"/>
    <w:rsid w:val="00E3076B"/>
    <w:rsid w:val="00E3176E"/>
    <w:rsid w:val="00E36978"/>
    <w:rsid w:val="00E45981"/>
    <w:rsid w:val="00E64159"/>
    <w:rsid w:val="00E82A1E"/>
    <w:rsid w:val="00E84B62"/>
    <w:rsid w:val="00EB0F29"/>
    <w:rsid w:val="00EB58F8"/>
    <w:rsid w:val="00EC06F4"/>
    <w:rsid w:val="00ED08B4"/>
    <w:rsid w:val="00ED5379"/>
    <w:rsid w:val="00EE4E36"/>
    <w:rsid w:val="00EF2997"/>
    <w:rsid w:val="00EF6428"/>
    <w:rsid w:val="00F03B82"/>
    <w:rsid w:val="00F053EC"/>
    <w:rsid w:val="00F13BA1"/>
    <w:rsid w:val="00F2522B"/>
    <w:rsid w:val="00F6525A"/>
    <w:rsid w:val="00F665F4"/>
    <w:rsid w:val="00F70934"/>
    <w:rsid w:val="00FA2EF4"/>
    <w:rsid w:val="00FC05E7"/>
    <w:rsid w:val="00FD225F"/>
    <w:rsid w:val="04210B29"/>
    <w:rsid w:val="0ACA73B9"/>
    <w:rsid w:val="0BE74D47"/>
    <w:rsid w:val="0C4B6757"/>
    <w:rsid w:val="0CBC0BFB"/>
    <w:rsid w:val="0F5446EE"/>
    <w:rsid w:val="12AC49E9"/>
    <w:rsid w:val="154E43B0"/>
    <w:rsid w:val="1A7E1B83"/>
    <w:rsid w:val="1AA33ABC"/>
    <w:rsid w:val="1C114681"/>
    <w:rsid w:val="1DE84255"/>
    <w:rsid w:val="1EFD7757"/>
    <w:rsid w:val="250E2DFE"/>
    <w:rsid w:val="28985BA8"/>
    <w:rsid w:val="31C2036A"/>
    <w:rsid w:val="320D02A5"/>
    <w:rsid w:val="348E566F"/>
    <w:rsid w:val="3A226944"/>
    <w:rsid w:val="3AEE6A48"/>
    <w:rsid w:val="3C1620AA"/>
    <w:rsid w:val="3CDC62BF"/>
    <w:rsid w:val="3D8F080F"/>
    <w:rsid w:val="44CE1FA4"/>
    <w:rsid w:val="479C7BB5"/>
    <w:rsid w:val="487F73ED"/>
    <w:rsid w:val="4A347EAE"/>
    <w:rsid w:val="4CD47D2A"/>
    <w:rsid w:val="4DF32F55"/>
    <w:rsid w:val="52600405"/>
    <w:rsid w:val="529B4319"/>
    <w:rsid w:val="57773DD6"/>
    <w:rsid w:val="578B79AB"/>
    <w:rsid w:val="588D43BB"/>
    <w:rsid w:val="59E573A5"/>
    <w:rsid w:val="5C3B645D"/>
    <w:rsid w:val="5CCD3FD5"/>
    <w:rsid w:val="5DD142F8"/>
    <w:rsid w:val="61FA5F9D"/>
    <w:rsid w:val="64CD6910"/>
    <w:rsid w:val="6789158D"/>
    <w:rsid w:val="67D81BA4"/>
    <w:rsid w:val="68E46C23"/>
    <w:rsid w:val="6AAF1C96"/>
    <w:rsid w:val="6D963908"/>
    <w:rsid w:val="6EAC67A4"/>
    <w:rsid w:val="6EF21E52"/>
    <w:rsid w:val="75681757"/>
    <w:rsid w:val="75A346A8"/>
    <w:rsid w:val="79B9382C"/>
    <w:rsid w:val="7B043B76"/>
    <w:rsid w:val="7C041A6A"/>
    <w:rsid w:val="7E327570"/>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9"/>
    <w:qFormat/>
    <w:uiPriority w:val="9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qFormat/>
    <w:uiPriority w:val="99"/>
    <w:rPr>
      <w:rFonts w:ascii="仿宋_GB2312" w:hAnsi="仿宋_GB2312" w:eastAsia="仿宋_GB2312" w:cs="仿宋_GB2312"/>
      <w:sz w:val="32"/>
      <w:szCs w:val="32"/>
      <w:lang w:val="zh-CN"/>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basedOn w:val="6"/>
    <w:qFormat/>
    <w:uiPriority w:val="99"/>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标题 1 Char"/>
    <w:basedOn w:val="8"/>
    <w:link w:val="2"/>
    <w:qFormat/>
    <w:uiPriority w:val="9"/>
    <w:rPr>
      <w:rFonts w:ascii="等线" w:hAnsi="等线" w:eastAsia="等线"/>
      <w:b/>
      <w:bCs/>
      <w:kern w:val="44"/>
      <w:sz w:val="44"/>
      <w:szCs w:val="44"/>
    </w:rPr>
  </w:style>
  <w:style w:type="character" w:customStyle="1" w:styleId="10">
    <w:name w:val="正文文本 Char"/>
    <w:basedOn w:val="8"/>
    <w:link w:val="3"/>
    <w:semiHidden/>
    <w:qFormat/>
    <w:uiPriority w:val="99"/>
    <w:rPr>
      <w:rFonts w:ascii="等线" w:hAnsi="等线" w:eastAsia="等线"/>
    </w:rPr>
  </w:style>
  <w:style w:type="character" w:customStyle="1" w:styleId="11">
    <w:name w:val="页脚 Char"/>
    <w:basedOn w:val="8"/>
    <w:link w:val="4"/>
    <w:qFormat/>
    <w:locked/>
    <w:uiPriority w:val="99"/>
    <w:rPr>
      <w:rFonts w:cs="Times New Roman"/>
      <w:sz w:val="18"/>
      <w:szCs w:val="18"/>
    </w:rPr>
  </w:style>
  <w:style w:type="character" w:customStyle="1" w:styleId="12">
    <w:name w:val="页眉 Char"/>
    <w:basedOn w:val="8"/>
    <w:link w:val="5"/>
    <w:qFormat/>
    <w:locked/>
    <w:uiPriority w:val="99"/>
    <w:rPr>
      <w:rFonts w:ascii="等线" w:hAnsi="等线" w:eastAsia="等线" w:cs="Times New Roman"/>
      <w:sz w:val="18"/>
      <w:szCs w:val="18"/>
    </w:rPr>
  </w:style>
  <w:style w:type="paragraph" w:customStyle="1" w:styleId="13">
    <w:name w:val="List Paragraph1"/>
    <w:basedOn w:val="1"/>
    <w:qFormat/>
    <w:uiPriority w:val="99"/>
    <w:pPr>
      <w:spacing w:before="2"/>
      <w:ind w:left="119" w:right="434" w:firstLine="643"/>
    </w:pPr>
    <w:rPr>
      <w:rFonts w:ascii="仿宋_GB2312" w:hAnsi="仿宋_GB2312" w:eastAsia="仿宋_GB2312" w:cs="仿宋_GB2312"/>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43"/>
    <customShpInfo spid="_x0000_s1044"/>
    <customShpInfo spid="_x0000_s1045"/>
    <customShpInfo spid="_x0000_s1053"/>
    <customShpInfo spid="_x0000_s1051"/>
    <customShpInfo spid="_x0000_s1047"/>
    <customShpInfo spid="_x0000_s1046"/>
    <customShpInfo spid="_x0000_s1026"/>
    <customShpInfo spid="_x0000_s1042"/>
    <customShpInfo spid="_x0000_s1041"/>
    <customShpInfo spid="_x0000_s1039"/>
    <customShpInfo spid="_x0000_s1038"/>
    <customShpInfo spid="_x0000_s1036"/>
    <customShpInfo spid="_x0000_s1035"/>
    <customShpInfo spid="_x0000_s1034"/>
    <customShpInfo spid="_x0000_s1033"/>
    <customShpInfo spid="_x0000_s105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简约文档封面模板.docx</Template>
  <Pages>33</Pages>
  <Words>9457</Words>
  <Characters>4033</Characters>
  <Lines>33</Lines>
  <Paragraphs>26</Paragraphs>
  <TotalTime>6</TotalTime>
  <ScaleCrop>false</ScaleCrop>
  <LinksUpToDate>false</LinksUpToDate>
  <CharactersWithSpaces>13464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Administrator</cp:lastModifiedBy>
  <cp:lastPrinted>2020-08-28T05:48:00Z</cp:lastPrinted>
  <dcterms:modified xsi:type="dcterms:W3CDTF">2024-03-19T01:33:47Z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ACAF256486BC4508A01C6924E0D20201</vt:lpwstr>
  </property>
</Properties>
</file>