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ectPr>
          <w:headerReference r:id="rId5" w:type="first"/>
          <w:footerReference r:id="rId8" w:type="first"/>
          <w:headerReference r:id="rId3" w:type="default"/>
          <w:footerReference r:id="rId6" w:type="default"/>
          <w:headerReference r:id="rId4" w:type="even"/>
          <w:footerReference r:id="rId7" w:type="even"/>
          <w:pgSz w:w="11906" w:h="16838"/>
          <w:pgMar w:top="0" w:right="0" w:bottom="0" w:left="0" w:header="851" w:footer="992" w:gutter="0"/>
          <w:cols w:space="425" w:num="1"/>
          <w:titlePg/>
          <w:docGrid w:type="lines" w:linePitch="312" w:charSpace="0"/>
        </w:sectPr>
      </w:pPr>
      <w:r>
        <w:pict>
          <v:group id="_x0000_s1090" o:spid="_x0000_s1090" o:spt="203" style="position:absolute;left:0pt;margin-left:0.5pt;margin-top:1.5pt;height:308.5pt;width:600.25pt;z-index:-251644928;mso-width-relative:page;mso-height-relative:page;" coordorigin="13622,283" coordsize="12005,6170"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o:lock v:ext="edit"/>
            <v:rect id="矩形 5" o:spid="_x0000_s1091"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path/>
              <v:fill on="t" focussize="0,0"/>
              <v:stroke on="f" weight="1pt"/>
              <v:imagedata o:title=""/>
              <o:lock v:ext="edit"/>
            </v:rect>
            <v:shape id="_x0000_s1092" o:spid="_x0000_s1092" o:spt="202" type="#_x0000_t202" style="position:absolute;left:17229;top:5021;height:1392;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path/>
              <v:fill on="f" focussize="0,0"/>
              <v:stroke on="f" joinstyle="miter"/>
              <v:imagedata o:title=""/>
              <o:lock v:ext="edit"/>
              <v:textbox style="mso-fit-shape-to-text:t;">
                <w:txbxContent>
                  <w:p>
                    <w:pPr>
                      <w:jc w:val="left"/>
                      <w:rPr>
                        <w:color w:val="000000"/>
                        <w:kern w:val="0"/>
                        <w:sz w:val="92"/>
                        <w:szCs w:val="92"/>
                      </w:rPr>
                    </w:pPr>
                    <w:r>
                      <w:rPr>
                        <w:rFonts w:hint="eastAsia" w:ascii="思源黑体 HW Bold" w:hAnsi="思源黑体 HW Bold" w:eastAsia="思源黑体 HW Bold"/>
                        <w:color w:val="000000"/>
                        <w:kern w:val="24"/>
                        <w:sz w:val="92"/>
                        <w:szCs w:val="92"/>
                      </w:rPr>
                      <w:t>部门决算公开文本</w:t>
                    </w:r>
                  </w:p>
                </w:txbxContent>
              </v:textbox>
            </v:shape>
          </v:group>
        </w:pict>
      </w:r>
      <w:r>
        <w:pict>
          <v:shape id="文本框 10" o:spid="_x0000_s1033" o:spt="202" type="#_x0000_t202" style="position:absolute;left:0pt;margin-left:106.25pt;margin-top:693.55pt;height:79.95pt;width:404.15pt;z-index:251659264;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v:path/>
            <v:fill on="f" focussize="0,0"/>
            <v:stroke on="f" joinstyle="miter"/>
            <v:imagedata o:title=""/>
            <o:lock v:ext="edit"/>
            <v:textbox style="mso-fit-shape-to-text:t;">
              <w:txbxContent>
                <w:p>
                  <w:pPr>
                    <w:jc w:val="center"/>
                    <w:rPr>
                      <w:rFonts w:ascii="楷体_GB2312" w:hAnsi="楷体_GB2312" w:eastAsia="楷体_GB2312" w:cs="楷体_GB2312"/>
                      <w:color w:val="000000"/>
                      <w:kern w:val="0"/>
                      <w:sz w:val="44"/>
                      <w:szCs w:val="44"/>
                    </w:rPr>
                  </w:pPr>
                  <w:r>
                    <w:rPr>
                      <w:rFonts w:hint="eastAsia" w:ascii="楷体_GB2312" w:hAnsi="楷体_GB2312" w:eastAsia="楷体_GB2312" w:cs="楷体_GB2312"/>
                      <w:color w:val="000000"/>
                      <w:kern w:val="0"/>
                      <w:sz w:val="44"/>
                      <w:szCs w:val="44"/>
                    </w:rPr>
                    <w:t>二〇二〇年八月</w:t>
                  </w:r>
                </w:p>
              </w:txbxContent>
            </v:textbox>
          </v:shape>
        </w:pict>
      </w:r>
      <w:r>
        <w:pict>
          <v:shape id="椭圆 8" o:spid="_x0000_s1034" o:spt="3" type="#_x0000_t3" style="position:absolute;left:0pt;margin-left:53.5pt;margin-top:232.45pt;height:121.95pt;width:121.95pt;z-index:251660288;v-text-anchor:middle;mso-width-relative:page;mso-height-relative:page;"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slzntkAAAALAQAADwAAAAAAAAABACAAAAAi&#10;AAAAZHJzL2Rvd25yZXYueG1sUEsBAhQAFAAAAAgAh07iQM5yFTvQAQAAfAMAAA4AAAAAAAAAAQAg&#10;AAAAKAEAAGRycy9lMm9Eb2MueG1sUEsFBgAAAAAGAAYAWQEAAGoFAAAAAA==&#10;">
            <v:path/>
            <v:fill focussize="0,0"/>
            <v:stroke on="f" weight="1pt" joinstyle="miter"/>
            <v:imagedata o:title=""/>
            <o:lock v:ext="edit"/>
          </v:shape>
        </w:pict>
      </w:r>
      <w:r>
        <w:pict>
          <v:rect id="矩形 14" o:spid="_x0000_s1035" o:spt="1" style="position:absolute;left:0pt;margin-left:33.6pt;margin-top:256.75pt;height:69.6pt;width:160.65pt;z-index:251661312;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qVam52QAAAAoBAAAPAAAAAAAAAAEAIAAAACIA&#10;AABkcnMvZG93bnJldi54bWxQSwECFAAUAAAACACHTuJAUowsHJYBAAD5AgAADgAAAAAAAAABACAA&#10;AAAoAQAAZHJzL2Uyb0RvYy54bWxQSwUGAAAAAAYABgBZAQAAMAUAAAAA&#10;">
            <v:path/>
            <v:fill on="f" focussize="0,0"/>
            <v:stroke on="f"/>
            <v:imagedata o:title=""/>
            <o:lock v:ext="edit"/>
            <v:textbox style="mso-fit-shape-to-text:t;">
              <w:txbxContent>
                <w:p>
                  <w:pPr>
                    <w:spacing w:line="360" w:lineRule="auto"/>
                    <w:jc w:val="center"/>
                    <w:rPr>
                      <w:kern w:val="0"/>
                      <w:sz w:val="28"/>
                      <w:szCs w:val="28"/>
                    </w:rPr>
                  </w:pPr>
                  <w:r>
                    <w:rPr>
                      <w:rFonts w:ascii="Yu Gothic UI Semibold" w:hAnsi="Yu Gothic UI Semibold" w:eastAsia="宋体"/>
                      <w:color w:val="FFFFFF"/>
                      <w:kern w:val="24"/>
                      <w:sz w:val="72"/>
                      <w:szCs w:val="72"/>
                    </w:rPr>
                    <w:t>2019</w:t>
                  </w:r>
                </w:p>
              </w:txbxContent>
            </v:textbox>
          </v:rect>
        </w:pict>
      </w:r>
      <w:r>
        <w:pict>
          <v:group id="_x0000_s1037" o:spid="_x0000_s1037" o:spt="203" style="position:absolute;left:0pt;margin-left:1.25pt;margin-top:821.7pt;height:21.45pt;width:595.25pt;z-index:251663360;mso-width-relative:page;mso-height-relative:page;" coordorigin="1483,16692" coordsize="11905,429203"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o:lock v:ext="edit"/>
            <v:rect id="矩形 6" o:spid="_x0000_s1038"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path/>
              <v:fill on="t" focussize="0,0"/>
              <v:stroke on="f" weight="1pt"/>
              <v:imagedata o:title=""/>
              <o:lock v:ext="edit"/>
            </v:rect>
            <v:rect id="矩形 7" o:spid="_x0000_s1039"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path/>
              <v:fill on="t" focussize="0,0"/>
              <v:stroke on="f" weight="1pt"/>
              <v:imagedata o:title=""/>
              <o:lock v:ext="edit"/>
            </v:rect>
          </v:group>
        </w:pict>
      </w:r>
      <w:r>
        <w:pict>
          <v:group id="_x0000_s1040" o:spid="_x0000_s1040" o:spt="203" style="position:absolute;left:0pt;margin-left:-2.5pt;margin-top:0pt;height:308.5pt;width:600.25pt;z-index:-251646976;mso-width-relative:page;mso-height-relative:page;" coordorigin="13622,283" coordsize="12005,6170203"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o:lock v:ext="edit"/>
            <v:rect id="矩形 5" o:spid="_x0000_s1041"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path/>
              <v:fill on="t" focussize="0,0"/>
              <v:stroke on="f" weight="1pt"/>
              <v:imagedata o:title=""/>
              <o:lock v:ext="edit"/>
            </v:rect>
            <v:shape id="_x0000_s1042" o:spid="_x0000_s1042" o:spt="202" type="#_x0000_t202" style="position:absolute;left:17229;top:5021;height:1392;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path/>
              <v:fill on="f" focussize="0,0"/>
              <v:stroke on="f" joinstyle="miter"/>
              <v:imagedata o:title=""/>
              <o:lock v:ext="edit"/>
              <v:textbox style="mso-fit-shape-to-text:t;">
                <w:txbxContent>
                  <w:p>
                    <w:pPr>
                      <w:jc w:val="left"/>
                      <w:rPr>
                        <w:color w:val="000000"/>
                        <w:kern w:val="0"/>
                        <w:sz w:val="92"/>
                        <w:szCs w:val="92"/>
                      </w:rPr>
                    </w:pPr>
                    <w:r>
                      <w:rPr>
                        <w:rFonts w:hint="eastAsia" w:ascii="思源黑体 HW Bold" w:hAnsi="思源黑体 HW Bold" w:eastAsia="思源黑体 HW Bold"/>
                        <w:color w:val="000000"/>
                        <w:kern w:val="24"/>
                        <w:sz w:val="92"/>
                        <w:szCs w:val="92"/>
                      </w:rPr>
                      <w:t>部门决算公开文本</w:t>
                    </w:r>
                  </w:p>
                </w:txbxContent>
              </v:textbox>
            </v:shape>
          </v:group>
        </w:pict>
      </w:r>
      <w:r>
        <w:pict>
          <v:rect id="矩形 11" o:spid="_x0000_s1043" o:spt="1" style="position:absolute;left:0pt;margin-left:184.75pt;margin-top:286.6pt;height:31.25pt;width:339.65pt;mso-wrap-style:none;z-index:251664384;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JZkF9HbAAAADAEAAA8AAAAAAAAAAQAgAAAAIgAAAGRycy9kb3ducmV2Lnht&#10;bFBLAQIUABQAAAAIAIdO4kDFNb7JhAEAAOwCAAAOAAAAAAAAAAEAIAAAACoBAABkcnMvZTJvRG9j&#10;LnhtbFBLBQYAAAAABgAGAFkBAAAgBQAAAAA=&#10;">
            <v:path/>
            <v:fill on="f" focussize="0,0"/>
            <v:stroke on="f"/>
            <v:imagedata o:title=""/>
            <o:lock v:ext="edit"/>
            <v:textbox style="mso-fit-shape-to-text:t;">
              <w:txbxContent>
                <w:p/>
              </w:txbxContent>
            </v:textbox>
          </v:rect>
        </w:pict>
      </w:r>
    </w:p>
    <w:p/>
    <w:p>
      <w:pPr>
        <w:jc w:val="center"/>
        <w:rPr>
          <w:rFonts w:ascii="黑体" w:hAnsi="黑体" w:eastAsia="黑体" w:cs="黑体"/>
          <w:sz w:val="56"/>
          <w:szCs w:val="72"/>
        </w:rPr>
      </w:pPr>
    </w:p>
    <w:p>
      <w:pPr>
        <w:jc w:val="center"/>
        <w:rPr>
          <w:rFonts w:ascii="黑体" w:hAnsi="黑体" w:eastAsia="黑体" w:cs="黑体"/>
          <w:sz w:val="56"/>
          <w:szCs w:val="72"/>
        </w:rPr>
      </w:pPr>
    </w:p>
    <w:p>
      <w:pPr>
        <w:rPr>
          <w:rFonts w:ascii="黑体" w:hAnsi="Times New Roman" w:eastAsia="黑体"/>
          <w:sz w:val="48"/>
          <w:szCs w:val="48"/>
        </w:rPr>
        <w:sectPr>
          <w:headerReference r:id="rId10" w:type="first"/>
          <w:footerReference r:id="rId11" w:type="first"/>
          <w:headerReference r:id="rId9" w:type="default"/>
          <w:type w:val="continuous"/>
          <w:pgSz w:w="11906" w:h="16838"/>
          <w:pgMar w:top="2041" w:right="1531" w:bottom="2041" w:left="1531" w:header="851" w:footer="992" w:gutter="0"/>
          <w:cols w:space="0" w:num="1"/>
          <w:titlePg/>
          <w:docGrid w:type="lines" w:linePitch="312" w:charSpace="0"/>
        </w:sectPr>
      </w:pPr>
      <w:r>
        <w:rPr>
          <w:color w:val="000000" w:themeColor="text1"/>
        </w:rPr>
        <w:pict>
          <v:shape id="椭圆 9" o:spid="_x0000_s1036" o:spt="3" type="#_x0000_t3" style="position:absolute;left:0pt;margin-left:-22.65pt;margin-top:108.95pt;height:112.45pt;width:120.6pt;z-index:251662336;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0Chgu2AAAAAsBAAAP&#10;AAAAAAAAAAEAIAAAACIAAABkcnMvZG93bnJldi54bWxQSwECFAAUAAAACACHTuJAurh2Fd8BAACI&#10;AwAADgAAAAAAAAABACAAAAAnAQAAZHJzL2Uyb0RvYy54bWxQSwUGAAAAAAYABgBZAQAAeAUAAAAA&#10;">
            <v:path/>
            <v:fill on="t" color2="#FFFFFF" focussize="0,0"/>
            <v:stroke on="f" weight="1pt"/>
            <v:imagedata o:title=""/>
            <o:lock v:ext="edit" aspectratio="f"/>
            <v:textbox>
              <w:txbxContent>
                <w:p>
                  <w:pPr>
                    <w:jc w:val="center"/>
                    <w:rPr>
                      <w:rFonts w:hint="eastAsia"/>
                      <w:sz w:val="60"/>
                      <w:szCs w:val="60"/>
                    </w:rPr>
                  </w:pPr>
                  <w:r>
                    <w:rPr>
                      <w:rFonts w:hint="eastAsia"/>
                      <w:sz w:val="60"/>
                      <w:szCs w:val="60"/>
                    </w:rPr>
                    <w:t>2019</w:t>
                  </w:r>
                </w:p>
                <w:p>
                  <w:pPr>
                    <w:rPr>
                      <w:sz w:val="200"/>
                      <w:szCs w:val="200"/>
                    </w:rPr>
                  </w:pPr>
                </w:p>
              </w:txbxContent>
            </v:textbox>
          </v:shape>
        </w:pict>
      </w:r>
      <w:r>
        <w:rPr>
          <w:rFonts w:ascii="黑体" w:hAnsi="Times New Roman" w:eastAsia="黑体"/>
          <w:sz w:val="48"/>
          <w:szCs w:val="48"/>
        </w:rPr>
        <w:br w:type="page"/>
      </w:r>
      <w:r>
        <w:rPr>
          <w:rFonts w:ascii="黑体" w:hAnsi="Times New Roman" w:eastAsia="黑体"/>
          <w:sz w:val="48"/>
          <w:szCs w:val="48"/>
        </w:rPr>
        <w:pict>
          <v:shape id="_x0000_i1025" o:spt="75" alt="123" type="#_x0000_t75" style="height:613.55pt;width:442.15pt;" filled="f" o:preferrelative="t" stroked="f" coordsize="21600,21600">
            <v:path/>
            <v:fill on="f" focussize="0,0"/>
            <v:stroke on="f" joinstyle="miter"/>
            <v:imagedata r:id="rId19" cropright="-37f" cropbottom="1263f" o:title="123"/>
            <o:lock v:ext="edit" aspectratio="t"/>
            <w10:wrap type="none"/>
            <w10:anchorlock/>
          </v:shape>
        </w:pict>
      </w:r>
    </w:p>
    <w:p>
      <w:pPr>
        <w:rPr>
          <w:rFonts w:ascii="黑体" w:hAnsi="Times New Roman" w:eastAsia="黑体"/>
          <w:sz w:val="48"/>
          <w:szCs w:val="48"/>
        </w:rPr>
      </w:pPr>
    </w:p>
    <w:p>
      <w:pPr>
        <w:snapToGrid w:val="0"/>
        <w:jc w:val="center"/>
        <w:rPr>
          <w:rFonts w:ascii="楷体_GB2312" w:hAnsi="楷体_GB2312" w:eastAsia="楷体_GB2312" w:cs="楷体_GB2312"/>
          <w:color w:val="000000"/>
          <w:kern w:val="0"/>
          <w:sz w:val="44"/>
          <w:szCs w:val="44"/>
        </w:rPr>
        <w:sectPr>
          <w:pgSz w:w="11906" w:h="16838"/>
          <w:pgMar w:top="2041" w:right="1531" w:bottom="2041" w:left="1531" w:header="851" w:footer="992" w:gutter="0"/>
          <w:cols w:space="0" w:num="1"/>
          <w:titlePg/>
          <w:docGrid w:type="lines" w:linePitch="312" w:charSpace="0"/>
        </w:sectPr>
      </w:pPr>
    </w:p>
    <w:p>
      <w:pPr>
        <w:widowControl/>
        <w:spacing w:line="600" w:lineRule="exact"/>
        <w:jc w:val="left"/>
        <w:rPr>
          <w:rFonts w:ascii="黑体" w:hAnsi="黑体" w:eastAsia="黑体" w:cs="黑体"/>
          <w:bCs/>
          <w:sz w:val="32"/>
          <w:szCs w:val="32"/>
          <w:highlight w:val="yellow"/>
        </w:rPr>
      </w:pPr>
    </w:p>
    <w:p>
      <w:pPr>
        <w:tabs>
          <w:tab w:val="left" w:pos="2728"/>
        </w:tabs>
        <w:jc w:val="center"/>
        <w:rPr>
          <w:rFonts w:ascii="黑体" w:hAnsi="Times New Roman" w:eastAsia="黑体"/>
          <w:sz w:val="48"/>
          <w:szCs w:val="48"/>
        </w:rPr>
      </w:pPr>
    </w:p>
    <w:p>
      <w:pPr>
        <w:tabs>
          <w:tab w:val="left" w:pos="2728"/>
        </w:tabs>
        <w:jc w:val="center"/>
        <w:rPr>
          <w:rFonts w:ascii="黑体" w:hAnsi="Times New Roman" w:eastAsia="黑体"/>
          <w:sz w:val="48"/>
          <w:szCs w:val="48"/>
        </w:rPr>
      </w:pPr>
      <w:r>
        <w:rPr>
          <w:rFonts w:hint="eastAsia" w:ascii="黑体" w:hAnsi="Times New Roman" w:eastAsia="黑体"/>
          <w:sz w:val="48"/>
          <w:szCs w:val="48"/>
        </w:rPr>
        <w:t>目</w:t>
      </w:r>
      <w:r>
        <w:rPr>
          <w:rFonts w:ascii="黑体" w:hAnsi="Times New Roman" w:eastAsia="黑体"/>
          <w:sz w:val="48"/>
          <w:szCs w:val="48"/>
        </w:rPr>
        <w:t xml:space="preserve">    </w:t>
      </w:r>
      <w:r>
        <w:rPr>
          <w:rFonts w:hint="eastAsia" w:ascii="黑体" w:hAnsi="Times New Roman" w:eastAsia="黑体"/>
          <w:sz w:val="48"/>
          <w:szCs w:val="48"/>
        </w:rPr>
        <w:t>录</w:t>
      </w:r>
    </w:p>
    <w:p>
      <w:pPr>
        <w:widowControl/>
        <w:spacing w:after="160" w:line="580" w:lineRule="exact"/>
        <w:ind w:firstLine="640" w:firstLineChars="200"/>
        <w:rPr>
          <w:rFonts w:ascii="Times New Roman" w:hAnsi="Times New Roman" w:eastAsia="黑体"/>
          <w:sz w:val="32"/>
          <w:szCs w:val="32"/>
        </w:rPr>
      </w:pPr>
    </w:p>
    <w:p>
      <w:pPr>
        <w:widowControl/>
        <w:spacing w:after="160" w:line="580" w:lineRule="exact"/>
        <w:ind w:firstLine="640" w:firstLineChars="200"/>
        <w:rPr>
          <w:rFonts w:ascii="Times New Roman" w:hAnsi="Times New Roman" w:eastAsia="仿宋_GB2312"/>
          <w:sz w:val="24"/>
          <w:szCs w:val="32"/>
        </w:rPr>
      </w:pPr>
      <w:r>
        <w:rPr>
          <w:rFonts w:hint="eastAsia" w:ascii="Times New Roman" w:hAnsi="Times New Roman" w:eastAsia="黑体"/>
          <w:sz w:val="32"/>
          <w:szCs w:val="32"/>
        </w:rPr>
        <w:t>第一部分</w:t>
      </w:r>
      <w:r>
        <w:rPr>
          <w:rFonts w:ascii="Times New Roman" w:hAnsi="Times New Roman" w:eastAsia="黑体"/>
          <w:sz w:val="32"/>
          <w:szCs w:val="32"/>
        </w:rPr>
        <w:t xml:space="preserve">   </w:t>
      </w:r>
      <w:r>
        <w:rPr>
          <w:rFonts w:hint="eastAsia" w:ascii="Times New Roman" w:hAnsi="Times New Roman" w:eastAsia="黑体"/>
          <w:sz w:val="32"/>
          <w:szCs w:val="32"/>
        </w:rPr>
        <w:t>部门概况</w:t>
      </w:r>
    </w:p>
    <w:p>
      <w:pPr>
        <w:widowControl/>
        <w:spacing w:after="160" w:line="580" w:lineRule="exact"/>
        <w:ind w:firstLine="1273" w:firstLineChars="398"/>
        <w:rPr>
          <w:rFonts w:ascii="Times New Roman" w:hAnsi="Times New Roman" w:eastAsia="仿宋_GB2312"/>
          <w:sz w:val="32"/>
          <w:szCs w:val="32"/>
        </w:rPr>
      </w:pPr>
      <w:r>
        <w:rPr>
          <w:rFonts w:hint="eastAsia" w:ascii="Times New Roman" w:hAnsi="Times New Roman" w:eastAsia="仿宋_GB2312"/>
          <w:sz w:val="32"/>
          <w:szCs w:val="32"/>
        </w:rPr>
        <w:t>一、部门职责</w:t>
      </w:r>
    </w:p>
    <w:p>
      <w:pPr>
        <w:widowControl/>
        <w:spacing w:after="160" w:line="580" w:lineRule="exact"/>
        <w:ind w:firstLine="1273" w:firstLineChars="398"/>
        <w:rPr>
          <w:rFonts w:ascii="Times New Roman" w:hAnsi="Times New Roman" w:eastAsia="仿宋_GB2312"/>
          <w:sz w:val="32"/>
          <w:szCs w:val="32"/>
        </w:rPr>
      </w:pPr>
      <w:r>
        <w:rPr>
          <w:rFonts w:hint="eastAsia" w:ascii="Times New Roman" w:hAnsi="Times New Roman" w:eastAsia="仿宋_GB2312"/>
          <w:sz w:val="32"/>
          <w:szCs w:val="32"/>
        </w:rPr>
        <w:t>二、机构设置</w:t>
      </w:r>
    </w:p>
    <w:p>
      <w:pPr>
        <w:widowControl/>
        <w:spacing w:after="160"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第二部分</w:t>
      </w:r>
      <w:r>
        <w:rPr>
          <w:rFonts w:ascii="Times New Roman" w:hAnsi="Times New Roman" w:eastAsia="黑体"/>
          <w:sz w:val="32"/>
          <w:szCs w:val="32"/>
        </w:rPr>
        <w:t xml:space="preserve">   2019</w:t>
      </w:r>
      <w:r>
        <w:rPr>
          <w:rFonts w:hint="eastAsia" w:ascii="Times New Roman" w:hAnsi="Times New Roman" w:eastAsia="黑体"/>
          <w:sz w:val="32"/>
          <w:szCs w:val="32"/>
        </w:rPr>
        <w:t>年部门决算情况说明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一、收入支出决算总体情况说明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二、收入决算情况说明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三、支出决算情况说明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五、一般公共预算</w:t>
      </w:r>
      <w:r>
        <w:rPr>
          <w:rFonts w:ascii="Times New Roman" w:hAnsi="Times New Roman" w:eastAsia="仿宋_GB2312"/>
          <w:sz w:val="32"/>
          <w:szCs w:val="32"/>
        </w:rPr>
        <w:t>“</w:t>
      </w:r>
      <w:r>
        <w:rPr>
          <w:rFonts w:hint="eastAsia" w:ascii="Times New Roman" w:hAnsi="Times New Roman" w:eastAsia="仿宋_GB2312"/>
          <w:sz w:val="32"/>
          <w:szCs w:val="32"/>
        </w:rPr>
        <w:t>三公</w:t>
      </w:r>
      <w:r>
        <w:rPr>
          <w:rFonts w:ascii="Times New Roman" w:hAnsi="Times New Roman" w:eastAsia="仿宋_GB2312"/>
          <w:sz w:val="32"/>
          <w:szCs w:val="32"/>
        </w:rPr>
        <w:t>”</w:t>
      </w:r>
      <w:r>
        <w:rPr>
          <w:rFonts w:hint="eastAsia" w:ascii="Times New Roman" w:hAnsi="Times New Roman" w:eastAsia="仿宋_GB2312"/>
          <w:sz w:val="32"/>
          <w:szCs w:val="32"/>
        </w:rPr>
        <w:t>经费支出决算情况说明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六、预算绩效情况说明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七、其他重要事项的说明</w:t>
      </w:r>
    </w:p>
    <w:p>
      <w:pPr>
        <w:widowControl/>
        <w:spacing w:after="160"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第三部分</w:t>
      </w:r>
      <w:r>
        <w:rPr>
          <w:rFonts w:ascii="Times New Roman" w:hAnsi="Times New Roman" w:eastAsia="黑体"/>
          <w:sz w:val="32"/>
          <w:szCs w:val="32"/>
        </w:rPr>
        <w:t xml:space="preserve">  </w:t>
      </w:r>
      <w:r>
        <w:rPr>
          <w:rFonts w:hint="eastAsia" w:ascii="Times New Roman" w:hAnsi="Times New Roman" w:eastAsia="黑体"/>
          <w:sz w:val="32"/>
          <w:szCs w:val="32"/>
        </w:rPr>
        <w:t>名词解释</w:t>
      </w:r>
    </w:p>
    <w:p>
      <w:pPr>
        <w:widowControl/>
        <w:spacing w:after="160" w:line="580" w:lineRule="exact"/>
        <w:ind w:firstLine="640" w:firstLineChars="200"/>
        <w:rPr>
          <w:rFonts w:ascii="Times New Roman" w:hAnsi="Times New Roman" w:eastAsia="仿宋_GB2312"/>
          <w:sz w:val="20"/>
          <w:szCs w:val="32"/>
        </w:rPr>
      </w:pPr>
      <w:r>
        <w:rPr>
          <w:rFonts w:hint="eastAsia" w:ascii="Times New Roman" w:hAnsi="Times New Roman" w:eastAsia="黑体"/>
          <w:sz w:val="32"/>
          <w:szCs w:val="32"/>
        </w:rPr>
        <w:t>第四部分</w:t>
      </w:r>
      <w:r>
        <w:rPr>
          <w:rFonts w:ascii="Times New Roman" w:hAnsi="Times New Roman" w:eastAsia="黑体"/>
          <w:sz w:val="32"/>
          <w:szCs w:val="32"/>
        </w:rPr>
        <w:t xml:space="preserve">  2019</w:t>
      </w:r>
      <w:r>
        <w:rPr>
          <w:rFonts w:hint="eastAsia" w:ascii="Times New Roman" w:hAnsi="Times New Roman" w:eastAsia="黑体"/>
          <w:sz w:val="32"/>
          <w:szCs w:val="32"/>
        </w:rPr>
        <w:t>年度部门决算报表</w:t>
      </w:r>
    </w:p>
    <w:p>
      <w:pPr>
        <w:widowControl/>
        <w:spacing w:after="160" w:line="580" w:lineRule="exact"/>
        <w:ind w:firstLine="640" w:firstLineChars="200"/>
        <w:rPr>
          <w:rFonts w:ascii="Times New Roman" w:hAnsi="Times New Roman" w:eastAsia="黑体"/>
          <w:sz w:val="32"/>
          <w:szCs w:val="32"/>
        </w:rPr>
        <w:sectPr>
          <w:headerReference r:id="rId13" w:type="first"/>
          <w:footerReference r:id="rId15" w:type="first"/>
          <w:headerReference r:id="rId12" w:type="default"/>
          <w:footerReference r:id="rId14"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pict>
          <v:shape id="_x0000_s1053" o:spid="_x0000_s1053" o:spt="202" type="#_x0000_t202" style="position:absolute;left:0pt;margin-left:-85.7pt;margin-top:80.7pt;height:263.1pt;width:613.65pt;z-index:251665408;v-text-anchor:middle;mso-width-relative:page;mso-height-relative:page;" filled="f" stroked="f" coordsize="21600,21600">
            <v:path/>
            <v:fill on="f" focussize="0,0"/>
            <v:stroke on="f" weight="0pt" joinstyle="round" dashstyle="1 1" endcap="round"/>
            <v:imagedata o:title=""/>
            <o:lock v:ext="edit"/>
            <v:textbox>
              <w:txbxContent>
                <w:p>
                  <w:pPr>
                    <w:widowControl/>
                    <w:jc w:val="center"/>
                    <w:rPr>
                      <w:rFonts w:ascii="黑体" w:hAnsi="黑体" w:eastAsia="黑体" w:cs="黑体"/>
                      <w:color w:val="000000"/>
                      <w:sz w:val="96"/>
                      <w:szCs w:val="96"/>
                    </w:rPr>
                  </w:pPr>
                  <w:r>
                    <w:rPr>
                      <w:rFonts w:hint="eastAsia" w:ascii="黑体" w:hAnsi="黑体" w:eastAsia="黑体" w:cs="黑体"/>
                      <w:color w:val="000000"/>
                      <w:sz w:val="96"/>
                      <w:szCs w:val="96"/>
                    </w:rPr>
                    <w:t>第一部分</w:t>
                  </w:r>
                  <w:r>
                    <w:rPr>
                      <w:rFonts w:ascii="黑体" w:hAnsi="黑体" w:eastAsia="黑体" w:cs="黑体"/>
                      <w:color w:val="000000"/>
                      <w:sz w:val="96"/>
                      <w:szCs w:val="96"/>
                    </w:rPr>
                    <w:t xml:space="preserve">  </w:t>
                  </w:r>
                  <w:r>
                    <w:rPr>
                      <w:rFonts w:hint="eastAsia" w:ascii="黑体" w:hAnsi="黑体" w:eastAsia="黑体" w:cs="黑体"/>
                      <w:color w:val="000000"/>
                      <w:sz w:val="96"/>
                      <w:szCs w:val="96"/>
                    </w:rPr>
                    <w:t>部门概况</w:t>
                  </w:r>
                </w:p>
              </w:txbxContent>
            </v:textbox>
          </v:shape>
        </w:pict>
      </w:r>
      <w: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spacing w:line="616" w:lineRule="atLeast"/>
        <w:rPr>
          <w:rFonts w:ascii="仿宋" w:hAnsi="仿宋" w:eastAsia="仿宋" w:cs="宋体"/>
          <w:color w:val="000000"/>
          <w:kern w:val="0"/>
          <w:sz w:val="32"/>
          <w:szCs w:val="32"/>
        </w:rPr>
      </w:pPr>
      <w:r>
        <w:rPr>
          <w:rFonts w:hint="eastAsia" w:ascii="仿宋" w:hAnsi="仿宋" w:eastAsia="仿宋" w:cs="宋体"/>
          <w:b/>
          <w:color w:val="000000"/>
          <w:kern w:val="0"/>
          <w:sz w:val="32"/>
          <w:szCs w:val="32"/>
        </w:rPr>
        <w:t>（一）促进经济发展，增加农民收入。</w:t>
      </w:r>
      <w:r>
        <w:rPr>
          <w:rFonts w:hint="eastAsia" w:ascii="仿宋" w:hAnsi="仿宋" w:eastAsia="仿宋" w:cs="宋体"/>
          <w:color w:val="000000"/>
          <w:kern w:val="0"/>
          <w:sz w:val="32"/>
          <w:szCs w:val="32"/>
        </w:rPr>
        <w:t>依据市国民经济和社会发展中长期规划及年度计划，结合本镇实际，科学制定经济和社会发展规划及发展模式；以市场为导向，积极组织、引导农民进行产业结构调整，培育主导产业，促进农民持续稳定增产、增收；加强新型农村服务体系建设，落实强农惠农措施，培育和发展农民专业合作组织和中介组织，着力解决农民生产生活中的突出问题；大力发展民营经济，壮大第二、第三产业，加快城镇化进程；营造良好的发展环境，提高经济发展的质量和水平，促进招商引资和项目建设工作。</w:t>
      </w:r>
    </w:p>
    <w:p>
      <w:pPr>
        <w:spacing w:line="616" w:lineRule="atLeast"/>
        <w:rPr>
          <w:rFonts w:ascii="仿宋" w:hAnsi="仿宋" w:eastAsia="仿宋" w:cs="黑体"/>
          <w:sz w:val="32"/>
          <w:szCs w:val="32"/>
        </w:rPr>
      </w:pPr>
      <w:r>
        <w:rPr>
          <w:rFonts w:hint="eastAsia" w:ascii="仿宋" w:hAnsi="仿宋" w:eastAsia="仿宋" w:cs="黑体"/>
          <w:sz w:val="28"/>
          <w:szCs w:val="28"/>
        </w:rPr>
        <w:t xml:space="preserve">   </w:t>
      </w:r>
      <w:r>
        <w:rPr>
          <w:rFonts w:hint="eastAsia" w:ascii="仿宋" w:hAnsi="仿宋" w:eastAsia="仿宋" w:cs="黑体"/>
          <w:b/>
          <w:sz w:val="32"/>
          <w:szCs w:val="32"/>
        </w:rPr>
        <w:t>（二）提供公共服务，着力改善民生。</w:t>
      </w:r>
      <w:r>
        <w:rPr>
          <w:rFonts w:hint="eastAsia" w:ascii="仿宋" w:hAnsi="仿宋" w:eastAsia="仿宋" w:cs="黑体"/>
          <w:sz w:val="32"/>
          <w:szCs w:val="32"/>
        </w:rPr>
        <w:t>发展农村义务教育、公共卫生、文化体育、广播电视等各项事业，促进农村经济社会协调发展；落实计划生育基本国策，推进优生优育，稳定农村低生育水平，做好生殖健康检查和育龄妇女普查等计划生育服务工作；加强农田水利基本建设，增强农业抗御自然灾害的能力；组织好科技和信息服务工作，提高农民现代信息技术水平；加强对农村劳动力的职业技能培训，扩大农村富余劳动力就业；加强农村市场设施建设和管理，增强市场服务功能；做好防灾减灾、优抚安置、低保、扶贫救济等社会救助工作，发展农村老龄服务，加强农村残疾预防和残疾人康复工作；加强农村基础设施建设，改善农民生活环境，积极稳妥有序推进农村新民居建设；建立健全农村社会保障体系，解除农民后顾之忧。</w:t>
      </w:r>
    </w:p>
    <w:p>
      <w:pPr>
        <w:spacing w:line="616" w:lineRule="atLeast"/>
        <w:ind w:firstLine="218" w:firstLineChars="78"/>
        <w:rPr>
          <w:rFonts w:ascii="仿宋" w:hAnsi="仿宋" w:eastAsia="仿宋" w:cs="黑体"/>
          <w:sz w:val="32"/>
          <w:szCs w:val="32"/>
        </w:rPr>
      </w:pPr>
      <w:r>
        <w:rPr>
          <w:rFonts w:hint="eastAsia" w:ascii="仿宋" w:hAnsi="仿宋" w:eastAsia="仿宋" w:cs="黑体"/>
          <w:sz w:val="28"/>
          <w:szCs w:val="28"/>
        </w:rPr>
        <w:t xml:space="preserve"> </w:t>
      </w:r>
      <w:r>
        <w:rPr>
          <w:rFonts w:hint="eastAsia" w:ascii="仿宋" w:hAnsi="仿宋" w:eastAsia="仿宋" w:cs="黑体"/>
          <w:b/>
          <w:sz w:val="32"/>
          <w:szCs w:val="32"/>
        </w:rPr>
        <w:t xml:space="preserve"> （三）加强社会管理，维护农村稳定。</w:t>
      </w:r>
      <w:r>
        <w:rPr>
          <w:rFonts w:hint="eastAsia" w:ascii="仿宋" w:hAnsi="仿宋" w:eastAsia="仿宋" w:cs="黑体"/>
          <w:sz w:val="32"/>
          <w:szCs w:val="32"/>
        </w:rPr>
        <w:t>组织、监督国家法律法规和基本公共政策在农村的实施，制定社会主义新农村和文明生态村建设的规划和措施；加强镇村财政资金监管和镇村建设等社会事务的行政管理，促进各项社会事业的发展；协助市直有关部门做好国土资源管理、环境保护和农村普法宣传教育等工作；加强社会治安综合治理，维护社会安全秩序；认真做好人民群众的来信来访工作，维护、保障人民群众的合法权益；建立完善协调联动机制，搞好农村矛盾纠纷排查调处，及时化解农村社会矛盾；完善预警机制，妥善处理公共性、突发性、群体性事件；加强安全生产管理，做好各项安全生产工作的监督检查、隐患排查，落实安全生产责任制。</w:t>
      </w:r>
    </w:p>
    <w:p>
      <w:pPr>
        <w:widowControl/>
        <w:spacing w:line="580" w:lineRule="exact"/>
        <w:ind w:firstLine="643" w:firstLineChars="200"/>
        <w:rPr>
          <w:rFonts w:ascii="仿宋" w:hAnsi="仿宋" w:eastAsia="仿宋" w:cs="黑体"/>
          <w:sz w:val="32"/>
          <w:szCs w:val="32"/>
        </w:rPr>
        <w:sectPr>
          <w:pgSz w:w="11906" w:h="16838"/>
          <w:pgMar w:top="2041" w:right="1531" w:bottom="2041" w:left="1531" w:header="851" w:footer="992" w:gutter="0"/>
          <w:pgNumType w:fmt="numberInDash" w:start="1"/>
          <w:cols w:space="0" w:num="1"/>
          <w:titlePg/>
          <w:docGrid w:type="lines" w:linePitch="312" w:charSpace="0"/>
        </w:sectPr>
      </w:pPr>
      <w:r>
        <w:rPr>
          <w:rFonts w:hint="eastAsia" w:ascii="仿宋" w:hAnsi="仿宋" w:eastAsia="仿宋" w:cs="黑体"/>
          <w:b/>
          <w:sz w:val="32"/>
          <w:szCs w:val="32"/>
        </w:rPr>
        <w:t>（四）推进基层民主，促进农村和谐。</w:t>
      </w:r>
      <w:r>
        <w:rPr>
          <w:rFonts w:hint="eastAsia" w:ascii="仿宋" w:hAnsi="仿宋" w:eastAsia="仿宋" w:cs="黑体"/>
          <w:sz w:val="32"/>
          <w:szCs w:val="32"/>
        </w:rPr>
        <w:t>加强农村党的基层组织建设、农村基层干部队伍建设、农村党员队伍建设；保障法律法规赋予公民的经济、政治、文化权利，落实公民在选举、决策、管理和监督方面的民主权利，依法行政；加强农村文化宣传及统战工作，抓好农村的思想政治建设和精神文明建设；依法推进村民组织自治，完善民主议事制度，推进村务公开、财务公开，引导农民有序参与村级事务管理，推动农村社区建设，促进社会组织健康发展，增强社会自治功能。</w:t>
      </w:r>
    </w:p>
    <w:p>
      <w:pPr>
        <w:widowControl/>
        <w:spacing w:line="580" w:lineRule="exact"/>
        <w:ind w:firstLine="640" w:firstLineChars="200"/>
        <w:rPr>
          <w:rFonts w:ascii="仿宋" w:hAnsi="仿宋" w:eastAsia="仿宋" w:cs="黑体"/>
          <w:sz w:val="32"/>
          <w:szCs w:val="32"/>
        </w:rPr>
      </w:pPr>
    </w:p>
    <w:p>
      <w:pPr>
        <w:keepNext/>
        <w:keepLines/>
        <w:spacing w:line="580" w:lineRule="exact"/>
        <w:ind w:firstLine="640" w:firstLineChars="200"/>
        <w:jc w:val="left"/>
        <w:outlineLvl w:val="0"/>
        <w:rPr>
          <w:rFonts w:ascii="仿宋" w:hAnsi="仿宋" w:eastAsia="仿宋" w:cs="黑体"/>
          <w:kern w:val="0"/>
          <w:sz w:val="32"/>
          <w:szCs w:val="32"/>
        </w:rPr>
      </w:pPr>
      <w:r>
        <w:rPr>
          <w:rFonts w:hint="eastAsia" w:ascii="仿宋" w:hAnsi="仿宋" w:eastAsia="仿宋"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w:t>
      </w:r>
      <w:r>
        <w:rPr>
          <w:rFonts w:ascii="仿宋_GB2312" w:hAnsi="Calibri" w:eastAsia="仿宋_GB2312" w:cs="ArialUnicodeMS"/>
          <w:kern w:val="0"/>
          <w:sz w:val="32"/>
          <w:szCs w:val="32"/>
        </w:rPr>
        <w:t xml:space="preserve">2019 </w:t>
      </w:r>
      <w:r>
        <w:rPr>
          <w:rFonts w:hint="eastAsia" w:ascii="仿宋_GB2312" w:hAnsi="Calibri" w:eastAsia="仿宋_GB2312" w:cs="ArialUnicodeMS"/>
          <w:kern w:val="0"/>
          <w:sz w:val="32"/>
          <w:szCs w:val="32"/>
        </w:rPr>
        <w:t>年度本部门决算汇编范围的独立核算单位（以下简称“单位”）共1个，具体情况如下：</w:t>
      </w:r>
    </w:p>
    <w:p>
      <w:pPr>
        <w:jc w:val="center"/>
        <w:outlineLvl w:val="0"/>
        <w:rPr>
          <w:rFonts w:ascii="黑体" w:hAnsi="黑体" w:eastAsia="黑体" w:cs="黑体"/>
          <w:kern w:val="0"/>
          <w:sz w:val="36"/>
          <w:szCs w:val="36"/>
        </w:rPr>
      </w:pPr>
      <w:r>
        <w:rPr>
          <w:rFonts w:hint="eastAsia" w:ascii="黑体" w:hAnsi="黑体" w:eastAsia="黑体" w:cs="黑体"/>
          <w:b/>
          <w:sz w:val="36"/>
          <w:szCs w:val="36"/>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536"/>
        <w:gridCol w:w="1180"/>
        <w:gridCol w:w="1180"/>
        <w:gridCol w:w="16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0" w:type="auto"/>
            <w:vMerge w:val="restart"/>
            <w:vAlign w:val="center"/>
          </w:tcPr>
          <w:p>
            <w:pPr>
              <w:spacing w:line="300" w:lineRule="exact"/>
              <w:jc w:val="center"/>
              <w:rPr>
                <w:rFonts w:ascii="宋体" w:hAnsi="宋体" w:eastAsia="宋体" w:cs="宋体"/>
                <w:b/>
                <w:bCs/>
                <w:sz w:val="24"/>
                <w:szCs w:val="24"/>
              </w:rPr>
            </w:pPr>
            <w:r>
              <w:rPr>
                <w:rFonts w:hint="eastAsia" w:ascii="宋体" w:hAnsi="宋体" w:eastAsia="宋体" w:cs="宋体"/>
                <w:b/>
                <w:bCs/>
                <w:sz w:val="24"/>
                <w:szCs w:val="24"/>
              </w:rPr>
              <w:t>单位名称</w:t>
            </w:r>
          </w:p>
        </w:tc>
        <w:tc>
          <w:tcPr>
            <w:tcW w:w="0" w:type="auto"/>
            <w:vMerge w:val="restart"/>
            <w:vAlign w:val="center"/>
          </w:tcPr>
          <w:p>
            <w:pPr>
              <w:spacing w:line="300" w:lineRule="exact"/>
              <w:jc w:val="center"/>
              <w:rPr>
                <w:rFonts w:ascii="宋体" w:hAnsi="宋体" w:eastAsia="宋体" w:cs="宋体"/>
                <w:b/>
                <w:bCs/>
                <w:sz w:val="24"/>
                <w:szCs w:val="24"/>
              </w:rPr>
            </w:pPr>
            <w:r>
              <w:rPr>
                <w:rFonts w:hint="eastAsia" w:ascii="宋体" w:hAnsi="宋体" w:eastAsia="宋体" w:cs="宋体"/>
                <w:b/>
                <w:bCs/>
                <w:sz w:val="24"/>
                <w:szCs w:val="24"/>
              </w:rPr>
              <w:t>单位性质</w:t>
            </w:r>
          </w:p>
        </w:tc>
        <w:tc>
          <w:tcPr>
            <w:tcW w:w="0" w:type="auto"/>
            <w:vMerge w:val="restart"/>
            <w:vAlign w:val="center"/>
          </w:tcPr>
          <w:p>
            <w:pPr>
              <w:spacing w:line="300" w:lineRule="exact"/>
              <w:jc w:val="center"/>
              <w:rPr>
                <w:rFonts w:ascii="宋体" w:hAnsi="宋体" w:eastAsia="宋体" w:cs="宋体"/>
                <w:b/>
                <w:bCs/>
                <w:sz w:val="24"/>
                <w:szCs w:val="24"/>
              </w:rPr>
            </w:pPr>
            <w:r>
              <w:rPr>
                <w:rFonts w:hint="eastAsia" w:ascii="宋体" w:hAnsi="宋体" w:eastAsia="宋体" w:cs="宋体"/>
                <w:b/>
                <w:bCs/>
                <w:sz w:val="24"/>
                <w:szCs w:val="24"/>
              </w:rPr>
              <w:t>单位规格</w:t>
            </w:r>
          </w:p>
        </w:tc>
        <w:tc>
          <w:tcPr>
            <w:tcW w:w="0" w:type="auto"/>
            <w:vMerge w:val="restart"/>
            <w:vAlign w:val="center"/>
          </w:tcPr>
          <w:p>
            <w:pPr>
              <w:spacing w:line="300" w:lineRule="exact"/>
              <w:jc w:val="center"/>
              <w:rPr>
                <w:rFonts w:ascii="宋体" w:hAnsi="宋体" w:eastAsia="宋体" w:cs="宋体"/>
                <w:b/>
                <w:bCs/>
                <w:sz w:val="24"/>
                <w:szCs w:val="24"/>
              </w:rPr>
            </w:pPr>
            <w:r>
              <w:rPr>
                <w:rFonts w:hint="eastAsia" w:ascii="宋体" w:hAnsi="宋体" w:eastAsia="宋体" w:cs="宋体"/>
                <w:b/>
                <w:bCs/>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0" w:type="auto"/>
            <w:vMerge w:val="continue"/>
            <w:vAlign w:val="center"/>
          </w:tcPr>
          <w:p>
            <w:pPr>
              <w:spacing w:line="300" w:lineRule="exact"/>
              <w:jc w:val="left"/>
              <w:outlineLvl w:val="0"/>
              <w:rPr>
                <w:rFonts w:ascii="宋体" w:hAnsi="宋体" w:eastAsia="宋体" w:cs="宋体"/>
                <w:sz w:val="24"/>
                <w:szCs w:val="24"/>
              </w:rPr>
            </w:pPr>
          </w:p>
        </w:tc>
        <w:tc>
          <w:tcPr>
            <w:tcW w:w="0" w:type="auto"/>
            <w:vMerge w:val="continue"/>
            <w:vAlign w:val="center"/>
          </w:tcPr>
          <w:p>
            <w:pPr>
              <w:spacing w:line="300" w:lineRule="exact"/>
              <w:jc w:val="left"/>
              <w:outlineLvl w:val="0"/>
              <w:rPr>
                <w:rFonts w:ascii="宋体" w:hAnsi="宋体" w:eastAsia="宋体" w:cs="宋体"/>
                <w:sz w:val="24"/>
                <w:szCs w:val="24"/>
              </w:rPr>
            </w:pPr>
          </w:p>
        </w:tc>
        <w:tc>
          <w:tcPr>
            <w:tcW w:w="0" w:type="auto"/>
            <w:vMerge w:val="continue"/>
            <w:vAlign w:val="center"/>
          </w:tcPr>
          <w:p>
            <w:pPr>
              <w:spacing w:line="300" w:lineRule="exact"/>
              <w:jc w:val="left"/>
              <w:outlineLvl w:val="0"/>
              <w:rPr>
                <w:rFonts w:ascii="宋体" w:hAnsi="宋体" w:eastAsia="宋体" w:cs="宋体"/>
                <w:sz w:val="24"/>
                <w:szCs w:val="24"/>
              </w:rPr>
            </w:pPr>
          </w:p>
        </w:tc>
        <w:tc>
          <w:tcPr>
            <w:tcW w:w="0" w:type="auto"/>
            <w:vMerge w:val="continue"/>
            <w:vAlign w:val="center"/>
          </w:tcPr>
          <w:p>
            <w:pPr>
              <w:spacing w:line="300" w:lineRule="exact"/>
              <w:jc w:val="left"/>
              <w:outlineLvl w:val="0"/>
              <w:rPr>
                <w:rFonts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spacing w:line="300" w:lineRule="exact"/>
              <w:jc w:val="center"/>
              <w:rPr>
                <w:rFonts w:ascii="宋体" w:hAnsi="宋体" w:eastAsia="宋体" w:cs="宋体"/>
                <w:b/>
                <w:bCs/>
                <w:sz w:val="24"/>
                <w:szCs w:val="24"/>
              </w:rPr>
            </w:pPr>
            <w:r>
              <w:rPr>
                <w:rFonts w:hint="eastAsia" w:ascii="宋体" w:hAnsi="宋体" w:eastAsia="宋体" w:cs="宋体"/>
                <w:b/>
                <w:bCs/>
                <w:sz w:val="24"/>
                <w:szCs w:val="24"/>
              </w:rPr>
              <w:t>合    计</w:t>
            </w:r>
          </w:p>
        </w:tc>
        <w:tc>
          <w:tcPr>
            <w:tcW w:w="0" w:type="auto"/>
            <w:vAlign w:val="center"/>
          </w:tcPr>
          <w:p>
            <w:pPr>
              <w:spacing w:line="300" w:lineRule="exact"/>
              <w:jc w:val="center"/>
              <w:rPr>
                <w:rFonts w:ascii="宋体" w:hAnsi="宋体" w:eastAsia="宋体" w:cs="宋体"/>
                <w:b/>
                <w:bCs/>
                <w:sz w:val="24"/>
                <w:szCs w:val="24"/>
              </w:rPr>
            </w:pPr>
          </w:p>
        </w:tc>
        <w:tc>
          <w:tcPr>
            <w:tcW w:w="0" w:type="auto"/>
            <w:vAlign w:val="center"/>
          </w:tcPr>
          <w:p>
            <w:pPr>
              <w:spacing w:line="300" w:lineRule="exact"/>
              <w:jc w:val="center"/>
              <w:rPr>
                <w:rFonts w:ascii="宋体" w:hAnsi="宋体" w:eastAsia="宋体" w:cs="宋体"/>
                <w:b/>
                <w:bCs/>
                <w:sz w:val="24"/>
                <w:szCs w:val="24"/>
              </w:rPr>
            </w:pPr>
          </w:p>
        </w:tc>
        <w:tc>
          <w:tcPr>
            <w:tcW w:w="0" w:type="auto"/>
            <w:vAlign w:val="center"/>
          </w:tcPr>
          <w:p>
            <w:pPr>
              <w:spacing w:line="300" w:lineRule="exact"/>
              <w:jc w:val="center"/>
              <w:rPr>
                <w:rFonts w:ascii="宋体" w:hAnsi="宋体" w:eastAsia="宋体" w:cs="宋体"/>
                <w:b/>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spacing w:line="300" w:lineRule="exact"/>
              <w:jc w:val="left"/>
              <w:rPr>
                <w:rFonts w:ascii="宋体" w:hAnsi="宋体" w:eastAsia="宋体" w:cs="宋体"/>
                <w:sz w:val="24"/>
                <w:szCs w:val="24"/>
              </w:rPr>
            </w:pPr>
            <w:r>
              <w:rPr>
                <w:rFonts w:hint="eastAsia" w:ascii="宋体" w:hAnsi="宋体" w:eastAsia="宋体" w:cs="宋体"/>
                <w:sz w:val="24"/>
                <w:szCs w:val="24"/>
              </w:rPr>
              <w:t>遵化市建明镇人民政府</w:t>
            </w:r>
          </w:p>
        </w:tc>
        <w:tc>
          <w:tcPr>
            <w:tcW w:w="0" w:type="auto"/>
            <w:vAlign w:val="center"/>
          </w:tcPr>
          <w:p>
            <w:pPr>
              <w:spacing w:line="300" w:lineRule="exact"/>
              <w:jc w:val="center"/>
              <w:rPr>
                <w:rFonts w:ascii="宋体" w:hAnsi="宋体" w:eastAsia="宋体" w:cs="宋体"/>
                <w:sz w:val="24"/>
                <w:szCs w:val="24"/>
              </w:rPr>
            </w:pPr>
            <w:r>
              <w:rPr>
                <w:rFonts w:hint="eastAsia" w:ascii="宋体" w:hAnsi="宋体" w:eastAsia="宋体" w:cs="宋体"/>
                <w:sz w:val="24"/>
                <w:szCs w:val="24"/>
              </w:rPr>
              <w:t>行政</w:t>
            </w:r>
          </w:p>
        </w:tc>
        <w:tc>
          <w:tcPr>
            <w:tcW w:w="0" w:type="auto"/>
            <w:vAlign w:val="center"/>
          </w:tcPr>
          <w:p>
            <w:pPr>
              <w:spacing w:line="300" w:lineRule="exact"/>
              <w:jc w:val="center"/>
              <w:rPr>
                <w:rFonts w:ascii="宋体" w:hAnsi="宋体" w:eastAsia="宋体" w:cs="宋体"/>
                <w:sz w:val="24"/>
                <w:szCs w:val="24"/>
              </w:rPr>
            </w:pPr>
            <w:r>
              <w:rPr>
                <w:rFonts w:hint="eastAsia" w:ascii="宋体" w:hAnsi="宋体" w:eastAsia="宋体" w:cs="宋体"/>
                <w:sz w:val="24"/>
                <w:szCs w:val="24"/>
              </w:rPr>
              <w:t>正科级</w:t>
            </w:r>
          </w:p>
        </w:tc>
        <w:tc>
          <w:tcPr>
            <w:tcW w:w="0" w:type="auto"/>
            <w:vAlign w:val="center"/>
          </w:tcPr>
          <w:p>
            <w:pPr>
              <w:spacing w:line="300" w:lineRule="exact"/>
              <w:jc w:val="center"/>
              <w:rPr>
                <w:rFonts w:ascii="宋体" w:hAnsi="宋体" w:eastAsia="宋体" w:cs="宋体"/>
                <w:sz w:val="24"/>
                <w:szCs w:val="24"/>
              </w:rPr>
            </w:pPr>
            <w:r>
              <w:rPr>
                <w:rFonts w:hint="eastAsia" w:ascii="宋体" w:hAnsi="宋体" w:eastAsia="宋体" w:cs="宋体"/>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spacing w:line="300" w:lineRule="exact"/>
              <w:jc w:val="left"/>
              <w:rPr>
                <w:rFonts w:ascii="宋体" w:hAnsi="宋体" w:eastAsia="宋体" w:cs="宋体"/>
                <w:sz w:val="24"/>
                <w:szCs w:val="24"/>
              </w:rPr>
            </w:pPr>
            <w:r>
              <w:rPr>
                <w:rFonts w:hint="eastAsia" w:ascii="宋体" w:hAnsi="宋体" w:eastAsia="宋体" w:cs="宋体"/>
                <w:sz w:val="24"/>
                <w:szCs w:val="24"/>
              </w:rPr>
              <w:t>遵化市建明镇党政综合办公室</w:t>
            </w:r>
          </w:p>
        </w:tc>
        <w:tc>
          <w:tcPr>
            <w:tcW w:w="0" w:type="auto"/>
            <w:vAlign w:val="center"/>
          </w:tcPr>
          <w:p>
            <w:pPr>
              <w:spacing w:line="300" w:lineRule="exact"/>
              <w:jc w:val="center"/>
              <w:rPr>
                <w:rFonts w:ascii="宋体" w:hAnsi="宋体" w:eastAsia="宋体" w:cs="宋体"/>
                <w:sz w:val="24"/>
                <w:szCs w:val="24"/>
              </w:rPr>
            </w:pPr>
            <w:r>
              <w:rPr>
                <w:rFonts w:hint="eastAsia" w:ascii="宋体" w:hAnsi="宋体" w:eastAsia="宋体" w:cs="宋体"/>
                <w:sz w:val="24"/>
                <w:szCs w:val="24"/>
              </w:rPr>
              <w:t>行政</w:t>
            </w:r>
          </w:p>
        </w:tc>
        <w:tc>
          <w:tcPr>
            <w:tcW w:w="0" w:type="auto"/>
            <w:vAlign w:val="center"/>
          </w:tcPr>
          <w:p>
            <w:pPr>
              <w:spacing w:line="300" w:lineRule="exact"/>
              <w:jc w:val="center"/>
              <w:rPr>
                <w:rFonts w:ascii="宋体" w:hAnsi="宋体" w:eastAsia="宋体" w:cs="宋体"/>
                <w:sz w:val="24"/>
                <w:szCs w:val="24"/>
              </w:rPr>
            </w:pPr>
            <w:r>
              <w:rPr>
                <w:rFonts w:hint="eastAsia" w:ascii="宋体" w:hAnsi="宋体" w:eastAsia="宋体" w:cs="宋体"/>
                <w:sz w:val="24"/>
                <w:szCs w:val="24"/>
              </w:rPr>
              <w:t>股级</w:t>
            </w:r>
          </w:p>
        </w:tc>
        <w:tc>
          <w:tcPr>
            <w:tcW w:w="0" w:type="auto"/>
            <w:vAlign w:val="center"/>
          </w:tcPr>
          <w:p>
            <w:pPr>
              <w:spacing w:line="300" w:lineRule="exact"/>
              <w:jc w:val="center"/>
              <w:rPr>
                <w:rFonts w:ascii="宋体" w:hAnsi="宋体" w:eastAsia="宋体" w:cs="宋体"/>
                <w:sz w:val="24"/>
                <w:szCs w:val="24"/>
              </w:rPr>
            </w:pPr>
            <w:r>
              <w:rPr>
                <w:rFonts w:hint="eastAsia" w:ascii="宋体" w:hAnsi="宋体" w:eastAsia="宋体" w:cs="宋体"/>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spacing w:line="300" w:lineRule="exact"/>
              <w:jc w:val="left"/>
              <w:rPr>
                <w:rFonts w:ascii="宋体" w:hAnsi="宋体" w:eastAsia="宋体" w:cs="宋体"/>
                <w:sz w:val="24"/>
                <w:szCs w:val="24"/>
              </w:rPr>
            </w:pPr>
            <w:r>
              <w:rPr>
                <w:rFonts w:hint="eastAsia" w:ascii="宋体" w:hAnsi="宋体" w:eastAsia="宋体" w:cs="宋体"/>
                <w:sz w:val="24"/>
                <w:szCs w:val="24"/>
              </w:rPr>
              <w:t>遵化市建明镇社会事务办公室</w:t>
            </w:r>
          </w:p>
        </w:tc>
        <w:tc>
          <w:tcPr>
            <w:tcW w:w="0" w:type="auto"/>
            <w:vAlign w:val="center"/>
          </w:tcPr>
          <w:p>
            <w:pPr>
              <w:spacing w:line="300" w:lineRule="exact"/>
              <w:jc w:val="center"/>
              <w:rPr>
                <w:rFonts w:ascii="宋体" w:hAnsi="宋体" w:eastAsia="宋体" w:cs="宋体"/>
                <w:sz w:val="24"/>
                <w:szCs w:val="24"/>
              </w:rPr>
            </w:pPr>
            <w:r>
              <w:rPr>
                <w:rFonts w:hint="eastAsia" w:ascii="宋体" w:hAnsi="宋体" w:eastAsia="宋体" w:cs="宋体"/>
                <w:sz w:val="24"/>
                <w:szCs w:val="24"/>
              </w:rPr>
              <w:t>行政</w:t>
            </w:r>
          </w:p>
        </w:tc>
        <w:tc>
          <w:tcPr>
            <w:tcW w:w="0" w:type="auto"/>
            <w:vAlign w:val="center"/>
          </w:tcPr>
          <w:p>
            <w:pPr>
              <w:spacing w:line="300" w:lineRule="exact"/>
              <w:jc w:val="center"/>
              <w:rPr>
                <w:rFonts w:ascii="宋体" w:hAnsi="宋体" w:eastAsia="宋体" w:cs="宋体"/>
                <w:sz w:val="24"/>
                <w:szCs w:val="24"/>
              </w:rPr>
            </w:pPr>
            <w:r>
              <w:rPr>
                <w:rFonts w:hint="eastAsia" w:ascii="宋体" w:hAnsi="宋体" w:eastAsia="宋体" w:cs="宋体"/>
                <w:sz w:val="24"/>
                <w:szCs w:val="24"/>
              </w:rPr>
              <w:t>股级</w:t>
            </w:r>
          </w:p>
        </w:tc>
        <w:tc>
          <w:tcPr>
            <w:tcW w:w="0" w:type="auto"/>
            <w:vAlign w:val="center"/>
          </w:tcPr>
          <w:p>
            <w:pPr>
              <w:spacing w:line="300" w:lineRule="exact"/>
              <w:jc w:val="center"/>
              <w:rPr>
                <w:rFonts w:ascii="宋体" w:hAnsi="宋体" w:eastAsia="宋体" w:cs="宋体"/>
                <w:sz w:val="24"/>
                <w:szCs w:val="24"/>
              </w:rPr>
            </w:pPr>
            <w:r>
              <w:rPr>
                <w:rFonts w:hint="eastAsia" w:ascii="宋体" w:hAnsi="宋体" w:eastAsia="宋体" w:cs="宋体"/>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spacing w:line="300" w:lineRule="exact"/>
              <w:jc w:val="left"/>
              <w:rPr>
                <w:rFonts w:ascii="宋体" w:hAnsi="宋体" w:eastAsia="宋体" w:cs="宋体"/>
                <w:sz w:val="24"/>
                <w:szCs w:val="24"/>
              </w:rPr>
            </w:pPr>
            <w:r>
              <w:rPr>
                <w:rFonts w:hint="eastAsia" w:ascii="宋体" w:hAnsi="宋体" w:eastAsia="宋体" w:cs="宋体"/>
                <w:sz w:val="24"/>
                <w:szCs w:val="24"/>
              </w:rPr>
              <w:t>遵化市建明镇经济发展办公室</w:t>
            </w:r>
          </w:p>
        </w:tc>
        <w:tc>
          <w:tcPr>
            <w:tcW w:w="0" w:type="auto"/>
            <w:vAlign w:val="center"/>
          </w:tcPr>
          <w:p>
            <w:pPr>
              <w:spacing w:line="300" w:lineRule="exact"/>
              <w:jc w:val="center"/>
              <w:rPr>
                <w:rFonts w:ascii="宋体" w:hAnsi="宋体" w:eastAsia="宋体" w:cs="宋体"/>
                <w:sz w:val="24"/>
                <w:szCs w:val="24"/>
              </w:rPr>
            </w:pPr>
            <w:r>
              <w:rPr>
                <w:rFonts w:hint="eastAsia" w:ascii="宋体" w:hAnsi="宋体" w:eastAsia="宋体" w:cs="宋体"/>
                <w:sz w:val="24"/>
                <w:szCs w:val="24"/>
              </w:rPr>
              <w:t>行政</w:t>
            </w:r>
          </w:p>
        </w:tc>
        <w:tc>
          <w:tcPr>
            <w:tcW w:w="0" w:type="auto"/>
            <w:vAlign w:val="center"/>
          </w:tcPr>
          <w:p>
            <w:pPr>
              <w:spacing w:line="300" w:lineRule="exact"/>
              <w:jc w:val="center"/>
              <w:rPr>
                <w:rFonts w:ascii="宋体" w:hAnsi="宋体" w:eastAsia="宋体" w:cs="宋体"/>
                <w:sz w:val="24"/>
                <w:szCs w:val="24"/>
              </w:rPr>
            </w:pPr>
            <w:r>
              <w:rPr>
                <w:rFonts w:hint="eastAsia" w:ascii="宋体" w:hAnsi="宋体" w:eastAsia="宋体" w:cs="宋体"/>
                <w:sz w:val="24"/>
                <w:szCs w:val="24"/>
              </w:rPr>
              <w:t>股级</w:t>
            </w:r>
          </w:p>
        </w:tc>
        <w:tc>
          <w:tcPr>
            <w:tcW w:w="0" w:type="auto"/>
            <w:vAlign w:val="center"/>
          </w:tcPr>
          <w:p>
            <w:pPr>
              <w:spacing w:line="300" w:lineRule="exact"/>
              <w:jc w:val="center"/>
              <w:rPr>
                <w:rFonts w:ascii="宋体" w:hAnsi="宋体" w:eastAsia="宋体" w:cs="宋体"/>
                <w:sz w:val="24"/>
                <w:szCs w:val="24"/>
              </w:rPr>
            </w:pPr>
            <w:r>
              <w:rPr>
                <w:rFonts w:hint="eastAsia" w:ascii="宋体" w:hAnsi="宋体" w:eastAsia="宋体" w:cs="宋体"/>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spacing w:line="300" w:lineRule="exact"/>
              <w:jc w:val="left"/>
              <w:rPr>
                <w:rFonts w:ascii="宋体" w:hAnsi="宋体" w:eastAsia="宋体" w:cs="宋体"/>
                <w:sz w:val="24"/>
                <w:szCs w:val="24"/>
              </w:rPr>
            </w:pPr>
            <w:r>
              <w:rPr>
                <w:rFonts w:hint="eastAsia" w:ascii="宋体" w:hAnsi="宋体" w:eastAsia="宋体" w:cs="宋体"/>
                <w:sz w:val="24"/>
                <w:szCs w:val="24"/>
              </w:rPr>
              <w:t>遵化市建明镇城镇建设办公室</w:t>
            </w:r>
          </w:p>
        </w:tc>
        <w:tc>
          <w:tcPr>
            <w:tcW w:w="0" w:type="auto"/>
            <w:vAlign w:val="center"/>
          </w:tcPr>
          <w:p>
            <w:pPr>
              <w:spacing w:line="300" w:lineRule="exact"/>
              <w:jc w:val="center"/>
              <w:rPr>
                <w:rFonts w:ascii="宋体" w:hAnsi="宋体" w:eastAsia="宋体" w:cs="宋体"/>
                <w:sz w:val="24"/>
                <w:szCs w:val="24"/>
              </w:rPr>
            </w:pPr>
            <w:r>
              <w:rPr>
                <w:rFonts w:hint="eastAsia" w:ascii="宋体" w:hAnsi="宋体" w:eastAsia="宋体" w:cs="宋体"/>
                <w:sz w:val="24"/>
                <w:szCs w:val="24"/>
              </w:rPr>
              <w:t>行政</w:t>
            </w:r>
          </w:p>
        </w:tc>
        <w:tc>
          <w:tcPr>
            <w:tcW w:w="0" w:type="auto"/>
            <w:vAlign w:val="center"/>
          </w:tcPr>
          <w:p>
            <w:pPr>
              <w:spacing w:line="300" w:lineRule="exact"/>
              <w:jc w:val="center"/>
              <w:rPr>
                <w:rFonts w:ascii="宋体" w:hAnsi="宋体" w:eastAsia="宋体" w:cs="宋体"/>
                <w:sz w:val="24"/>
                <w:szCs w:val="24"/>
              </w:rPr>
            </w:pPr>
            <w:r>
              <w:rPr>
                <w:rFonts w:hint="eastAsia" w:ascii="宋体" w:hAnsi="宋体" w:eastAsia="宋体" w:cs="宋体"/>
                <w:sz w:val="24"/>
                <w:szCs w:val="24"/>
              </w:rPr>
              <w:t>股级</w:t>
            </w:r>
          </w:p>
        </w:tc>
        <w:tc>
          <w:tcPr>
            <w:tcW w:w="0" w:type="auto"/>
            <w:vAlign w:val="center"/>
          </w:tcPr>
          <w:p>
            <w:pPr>
              <w:spacing w:line="300" w:lineRule="exact"/>
              <w:jc w:val="center"/>
              <w:rPr>
                <w:rFonts w:ascii="宋体" w:hAnsi="宋体" w:eastAsia="宋体" w:cs="宋体"/>
                <w:sz w:val="24"/>
                <w:szCs w:val="24"/>
              </w:rPr>
            </w:pPr>
            <w:r>
              <w:rPr>
                <w:rFonts w:hint="eastAsia" w:ascii="宋体" w:hAnsi="宋体" w:eastAsia="宋体" w:cs="宋体"/>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spacing w:line="300" w:lineRule="exact"/>
              <w:jc w:val="left"/>
              <w:rPr>
                <w:rFonts w:ascii="宋体" w:hAnsi="宋体" w:eastAsia="宋体" w:cs="宋体"/>
                <w:sz w:val="24"/>
                <w:szCs w:val="24"/>
              </w:rPr>
            </w:pPr>
            <w:r>
              <w:rPr>
                <w:rFonts w:hint="eastAsia" w:ascii="宋体" w:hAnsi="宋体" w:eastAsia="宋体" w:cs="宋体"/>
                <w:sz w:val="24"/>
                <w:szCs w:val="24"/>
              </w:rPr>
              <w:t>遵化市建明镇社会治安综合治理办公室</w:t>
            </w:r>
          </w:p>
        </w:tc>
        <w:tc>
          <w:tcPr>
            <w:tcW w:w="0" w:type="auto"/>
            <w:vAlign w:val="center"/>
          </w:tcPr>
          <w:p>
            <w:pPr>
              <w:spacing w:line="300" w:lineRule="exact"/>
              <w:jc w:val="center"/>
              <w:rPr>
                <w:rFonts w:ascii="宋体" w:hAnsi="宋体" w:eastAsia="宋体" w:cs="宋体"/>
                <w:sz w:val="24"/>
                <w:szCs w:val="24"/>
              </w:rPr>
            </w:pPr>
            <w:r>
              <w:rPr>
                <w:rFonts w:hint="eastAsia" w:ascii="宋体" w:hAnsi="宋体" w:eastAsia="宋体" w:cs="宋体"/>
                <w:sz w:val="24"/>
                <w:szCs w:val="24"/>
              </w:rPr>
              <w:t>行政</w:t>
            </w:r>
          </w:p>
        </w:tc>
        <w:tc>
          <w:tcPr>
            <w:tcW w:w="0" w:type="auto"/>
            <w:vAlign w:val="center"/>
          </w:tcPr>
          <w:p>
            <w:pPr>
              <w:spacing w:line="300" w:lineRule="exact"/>
              <w:jc w:val="center"/>
              <w:rPr>
                <w:rFonts w:ascii="宋体" w:hAnsi="宋体" w:eastAsia="宋体" w:cs="宋体"/>
                <w:sz w:val="24"/>
                <w:szCs w:val="24"/>
              </w:rPr>
            </w:pPr>
            <w:r>
              <w:rPr>
                <w:rFonts w:hint="eastAsia" w:ascii="宋体" w:hAnsi="宋体" w:eastAsia="宋体" w:cs="宋体"/>
                <w:sz w:val="24"/>
                <w:szCs w:val="24"/>
              </w:rPr>
              <w:t>股级</w:t>
            </w:r>
          </w:p>
        </w:tc>
        <w:tc>
          <w:tcPr>
            <w:tcW w:w="0" w:type="auto"/>
            <w:vAlign w:val="center"/>
          </w:tcPr>
          <w:p>
            <w:pPr>
              <w:spacing w:line="300" w:lineRule="exact"/>
              <w:jc w:val="center"/>
              <w:rPr>
                <w:rFonts w:ascii="宋体" w:hAnsi="宋体" w:eastAsia="宋体" w:cs="宋体"/>
                <w:sz w:val="24"/>
                <w:szCs w:val="24"/>
              </w:rPr>
            </w:pPr>
            <w:r>
              <w:rPr>
                <w:rFonts w:hint="eastAsia" w:ascii="宋体" w:hAnsi="宋体" w:eastAsia="宋体" w:cs="宋体"/>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spacing w:line="300" w:lineRule="exact"/>
              <w:jc w:val="left"/>
              <w:rPr>
                <w:rFonts w:ascii="宋体" w:hAnsi="宋体" w:eastAsia="宋体" w:cs="宋体"/>
                <w:sz w:val="24"/>
                <w:szCs w:val="24"/>
              </w:rPr>
            </w:pPr>
            <w:r>
              <w:rPr>
                <w:rFonts w:hint="eastAsia" w:ascii="宋体" w:hAnsi="宋体" w:eastAsia="宋体" w:cs="宋体"/>
                <w:sz w:val="24"/>
                <w:szCs w:val="24"/>
              </w:rPr>
              <w:t>遵化市建明镇财政所农村经营管理服务站</w:t>
            </w:r>
          </w:p>
        </w:tc>
        <w:tc>
          <w:tcPr>
            <w:tcW w:w="0" w:type="auto"/>
            <w:vAlign w:val="center"/>
          </w:tcPr>
          <w:p>
            <w:pPr>
              <w:spacing w:line="300" w:lineRule="exact"/>
              <w:jc w:val="center"/>
              <w:rPr>
                <w:rFonts w:ascii="宋体" w:hAnsi="宋体" w:eastAsia="宋体" w:cs="宋体"/>
                <w:sz w:val="24"/>
                <w:szCs w:val="24"/>
              </w:rPr>
            </w:pPr>
            <w:r>
              <w:rPr>
                <w:rFonts w:hint="eastAsia" w:ascii="宋体" w:hAnsi="宋体" w:eastAsia="宋体" w:cs="宋体"/>
                <w:sz w:val="24"/>
                <w:szCs w:val="24"/>
              </w:rPr>
              <w:t>事业</w:t>
            </w:r>
          </w:p>
        </w:tc>
        <w:tc>
          <w:tcPr>
            <w:tcW w:w="0" w:type="auto"/>
            <w:vAlign w:val="center"/>
          </w:tcPr>
          <w:p>
            <w:pPr>
              <w:spacing w:line="300" w:lineRule="exact"/>
              <w:jc w:val="center"/>
              <w:rPr>
                <w:rFonts w:ascii="宋体" w:hAnsi="宋体" w:eastAsia="宋体" w:cs="宋体"/>
                <w:sz w:val="24"/>
                <w:szCs w:val="24"/>
              </w:rPr>
            </w:pPr>
            <w:r>
              <w:rPr>
                <w:rFonts w:hint="eastAsia" w:ascii="宋体" w:hAnsi="宋体" w:eastAsia="宋体" w:cs="宋体"/>
                <w:sz w:val="24"/>
                <w:szCs w:val="24"/>
              </w:rPr>
              <w:t>股级</w:t>
            </w:r>
          </w:p>
        </w:tc>
        <w:tc>
          <w:tcPr>
            <w:tcW w:w="0" w:type="auto"/>
            <w:vAlign w:val="center"/>
          </w:tcPr>
          <w:p>
            <w:pPr>
              <w:spacing w:line="300" w:lineRule="exact"/>
              <w:jc w:val="center"/>
              <w:rPr>
                <w:rFonts w:ascii="宋体" w:hAnsi="宋体" w:eastAsia="宋体" w:cs="宋体"/>
                <w:sz w:val="24"/>
                <w:szCs w:val="24"/>
              </w:rPr>
            </w:pPr>
            <w:r>
              <w:rPr>
                <w:rFonts w:hint="eastAsia" w:ascii="宋体" w:hAnsi="宋体" w:eastAsia="宋体" w:cs="宋体"/>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spacing w:line="300" w:lineRule="exact"/>
              <w:jc w:val="left"/>
              <w:rPr>
                <w:rFonts w:ascii="宋体" w:hAnsi="宋体" w:eastAsia="宋体" w:cs="宋体"/>
                <w:sz w:val="24"/>
                <w:szCs w:val="24"/>
              </w:rPr>
            </w:pPr>
            <w:r>
              <w:rPr>
                <w:rFonts w:hint="eastAsia" w:ascii="宋体" w:hAnsi="宋体" w:eastAsia="宋体" w:cs="宋体"/>
                <w:sz w:val="24"/>
                <w:szCs w:val="24"/>
              </w:rPr>
              <w:t>遵化市建明镇人口和计划生育服务中心</w:t>
            </w:r>
          </w:p>
        </w:tc>
        <w:tc>
          <w:tcPr>
            <w:tcW w:w="0" w:type="auto"/>
            <w:vAlign w:val="center"/>
          </w:tcPr>
          <w:p>
            <w:pPr>
              <w:spacing w:line="300" w:lineRule="exact"/>
              <w:jc w:val="center"/>
              <w:rPr>
                <w:rFonts w:ascii="宋体" w:hAnsi="宋体" w:eastAsia="宋体" w:cs="宋体"/>
                <w:sz w:val="24"/>
                <w:szCs w:val="24"/>
              </w:rPr>
            </w:pPr>
            <w:r>
              <w:rPr>
                <w:rFonts w:hint="eastAsia" w:ascii="宋体" w:hAnsi="宋体" w:eastAsia="宋体" w:cs="宋体"/>
                <w:sz w:val="24"/>
                <w:szCs w:val="24"/>
              </w:rPr>
              <w:t>事业</w:t>
            </w:r>
          </w:p>
        </w:tc>
        <w:tc>
          <w:tcPr>
            <w:tcW w:w="0" w:type="auto"/>
            <w:vAlign w:val="center"/>
          </w:tcPr>
          <w:p>
            <w:pPr>
              <w:spacing w:line="300" w:lineRule="exact"/>
              <w:jc w:val="center"/>
              <w:rPr>
                <w:rFonts w:ascii="宋体" w:hAnsi="宋体" w:eastAsia="宋体" w:cs="宋体"/>
                <w:sz w:val="24"/>
                <w:szCs w:val="24"/>
              </w:rPr>
            </w:pPr>
            <w:r>
              <w:rPr>
                <w:rFonts w:hint="eastAsia" w:ascii="宋体" w:hAnsi="宋体" w:eastAsia="宋体" w:cs="宋体"/>
                <w:sz w:val="24"/>
                <w:szCs w:val="24"/>
              </w:rPr>
              <w:t>股级</w:t>
            </w:r>
          </w:p>
        </w:tc>
        <w:tc>
          <w:tcPr>
            <w:tcW w:w="0" w:type="auto"/>
            <w:vAlign w:val="center"/>
          </w:tcPr>
          <w:p>
            <w:pPr>
              <w:spacing w:line="300" w:lineRule="exact"/>
              <w:jc w:val="center"/>
              <w:rPr>
                <w:rFonts w:ascii="宋体" w:hAnsi="宋体" w:eastAsia="宋体" w:cs="宋体"/>
                <w:sz w:val="24"/>
                <w:szCs w:val="24"/>
              </w:rPr>
            </w:pPr>
            <w:r>
              <w:rPr>
                <w:rFonts w:hint="eastAsia" w:ascii="宋体" w:hAnsi="宋体" w:eastAsia="宋体" w:cs="宋体"/>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spacing w:line="300" w:lineRule="exact"/>
              <w:jc w:val="left"/>
              <w:rPr>
                <w:rFonts w:ascii="宋体" w:hAnsi="宋体" w:eastAsia="宋体" w:cs="宋体"/>
                <w:sz w:val="24"/>
                <w:szCs w:val="24"/>
              </w:rPr>
            </w:pPr>
            <w:r>
              <w:rPr>
                <w:rFonts w:hint="eastAsia" w:ascii="宋体" w:hAnsi="宋体" w:eastAsia="宋体" w:cs="宋体"/>
                <w:sz w:val="24"/>
                <w:szCs w:val="24"/>
              </w:rPr>
              <w:t>遵化市建明镇文化综合服务中心</w:t>
            </w:r>
          </w:p>
        </w:tc>
        <w:tc>
          <w:tcPr>
            <w:tcW w:w="0" w:type="auto"/>
            <w:vAlign w:val="center"/>
          </w:tcPr>
          <w:p>
            <w:pPr>
              <w:spacing w:line="300" w:lineRule="exact"/>
              <w:jc w:val="center"/>
              <w:rPr>
                <w:rFonts w:ascii="宋体" w:hAnsi="宋体" w:eastAsia="宋体" w:cs="宋体"/>
                <w:sz w:val="24"/>
                <w:szCs w:val="24"/>
              </w:rPr>
            </w:pPr>
            <w:r>
              <w:rPr>
                <w:rFonts w:hint="eastAsia" w:ascii="宋体" w:hAnsi="宋体" w:eastAsia="宋体" w:cs="宋体"/>
                <w:sz w:val="24"/>
                <w:szCs w:val="24"/>
              </w:rPr>
              <w:t>事业</w:t>
            </w:r>
          </w:p>
        </w:tc>
        <w:tc>
          <w:tcPr>
            <w:tcW w:w="0" w:type="auto"/>
            <w:vAlign w:val="center"/>
          </w:tcPr>
          <w:p>
            <w:pPr>
              <w:spacing w:line="300" w:lineRule="exact"/>
              <w:jc w:val="center"/>
              <w:rPr>
                <w:rFonts w:ascii="宋体" w:hAnsi="宋体" w:eastAsia="宋体" w:cs="宋体"/>
                <w:sz w:val="24"/>
                <w:szCs w:val="24"/>
              </w:rPr>
            </w:pPr>
            <w:r>
              <w:rPr>
                <w:rFonts w:hint="eastAsia" w:ascii="宋体" w:hAnsi="宋体" w:eastAsia="宋体" w:cs="宋体"/>
                <w:sz w:val="24"/>
                <w:szCs w:val="24"/>
              </w:rPr>
              <w:t>股级</w:t>
            </w:r>
          </w:p>
        </w:tc>
        <w:tc>
          <w:tcPr>
            <w:tcW w:w="0" w:type="auto"/>
            <w:vAlign w:val="center"/>
          </w:tcPr>
          <w:p>
            <w:pPr>
              <w:spacing w:line="300" w:lineRule="exact"/>
              <w:jc w:val="center"/>
              <w:rPr>
                <w:rFonts w:ascii="宋体" w:hAnsi="宋体" w:eastAsia="宋体" w:cs="宋体"/>
                <w:sz w:val="24"/>
                <w:szCs w:val="24"/>
              </w:rPr>
            </w:pPr>
            <w:r>
              <w:rPr>
                <w:rFonts w:hint="eastAsia" w:ascii="宋体" w:hAnsi="宋体" w:eastAsia="宋体" w:cs="宋体"/>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spacing w:line="300" w:lineRule="exact"/>
              <w:jc w:val="left"/>
              <w:rPr>
                <w:rFonts w:ascii="宋体" w:hAnsi="宋体" w:eastAsia="宋体" w:cs="宋体"/>
                <w:sz w:val="24"/>
                <w:szCs w:val="24"/>
              </w:rPr>
            </w:pPr>
            <w:r>
              <w:rPr>
                <w:rFonts w:hint="eastAsia" w:ascii="宋体" w:hAnsi="宋体" w:eastAsia="宋体" w:cs="宋体"/>
                <w:sz w:val="24"/>
                <w:szCs w:val="24"/>
              </w:rPr>
              <w:t>遵化市建明镇劳动保障事务站</w:t>
            </w:r>
          </w:p>
        </w:tc>
        <w:tc>
          <w:tcPr>
            <w:tcW w:w="0" w:type="auto"/>
            <w:vAlign w:val="center"/>
          </w:tcPr>
          <w:p>
            <w:pPr>
              <w:spacing w:line="300" w:lineRule="exact"/>
              <w:jc w:val="center"/>
              <w:rPr>
                <w:rFonts w:ascii="宋体" w:hAnsi="宋体" w:eastAsia="宋体" w:cs="宋体"/>
                <w:sz w:val="24"/>
                <w:szCs w:val="24"/>
              </w:rPr>
            </w:pPr>
            <w:r>
              <w:rPr>
                <w:rFonts w:hint="eastAsia" w:ascii="宋体" w:hAnsi="宋体" w:eastAsia="宋体" w:cs="宋体"/>
                <w:sz w:val="24"/>
                <w:szCs w:val="24"/>
              </w:rPr>
              <w:t>事业</w:t>
            </w:r>
          </w:p>
        </w:tc>
        <w:tc>
          <w:tcPr>
            <w:tcW w:w="0" w:type="auto"/>
            <w:vAlign w:val="center"/>
          </w:tcPr>
          <w:p>
            <w:pPr>
              <w:spacing w:line="300" w:lineRule="exact"/>
              <w:jc w:val="center"/>
              <w:rPr>
                <w:rFonts w:ascii="宋体" w:hAnsi="宋体" w:eastAsia="宋体" w:cs="宋体"/>
                <w:sz w:val="24"/>
                <w:szCs w:val="24"/>
              </w:rPr>
            </w:pPr>
            <w:r>
              <w:rPr>
                <w:rFonts w:hint="eastAsia" w:ascii="宋体" w:hAnsi="宋体" w:eastAsia="宋体" w:cs="宋体"/>
                <w:sz w:val="24"/>
                <w:szCs w:val="24"/>
              </w:rPr>
              <w:t>股级</w:t>
            </w:r>
          </w:p>
        </w:tc>
        <w:tc>
          <w:tcPr>
            <w:tcW w:w="0" w:type="auto"/>
            <w:vAlign w:val="center"/>
          </w:tcPr>
          <w:p>
            <w:pPr>
              <w:spacing w:line="300" w:lineRule="exact"/>
              <w:jc w:val="center"/>
              <w:rPr>
                <w:rFonts w:ascii="宋体" w:hAnsi="宋体" w:eastAsia="宋体" w:cs="宋体"/>
                <w:sz w:val="24"/>
                <w:szCs w:val="24"/>
              </w:rPr>
            </w:pPr>
            <w:r>
              <w:rPr>
                <w:rFonts w:hint="eastAsia" w:ascii="宋体" w:hAnsi="宋体" w:eastAsia="宋体" w:cs="宋体"/>
                <w:sz w:val="24"/>
                <w:szCs w:val="24"/>
              </w:rPr>
              <w:t>财政拨款</w:t>
            </w:r>
          </w:p>
        </w:tc>
      </w:tr>
    </w:tbl>
    <w:p>
      <w:pPr>
        <w:widowControl/>
        <w:spacing w:after="160" w:line="580" w:lineRule="exact"/>
        <w:rPr>
          <w:rFonts w:ascii="Times New Roman" w:hAnsi="Times New Roman" w:eastAsia="黑体"/>
          <w:sz w:val="32"/>
          <w:szCs w:val="32"/>
        </w:rPr>
      </w:pPr>
    </w:p>
    <w:p>
      <w:pPr>
        <w:widowControl/>
        <w:spacing w:after="160" w:line="580" w:lineRule="exact"/>
        <w:ind w:firstLine="640" w:firstLineChars="200"/>
        <w:rPr>
          <w:rFonts w:ascii="Times New Roman" w:hAnsi="Times New Roman" w:eastAsia="黑体"/>
          <w:sz w:val="32"/>
          <w:szCs w:val="32"/>
        </w:rPr>
        <w:sectPr>
          <w:type w:val="continuous"/>
          <w:pgSz w:w="11906" w:h="16838"/>
          <w:pgMar w:top="2041" w:right="1531" w:bottom="2041" w:left="1531" w:header="851" w:footer="992" w:gutter="0"/>
          <w:pgNumType w:fmt="numberInDash"/>
          <w:cols w:space="0" w:num="1"/>
          <w:titlePg/>
          <w:docGrid w:type="lines" w:linePitch="312" w:charSpace="0"/>
        </w:sectPr>
      </w:pPr>
    </w:p>
    <w:p>
      <w:pPr>
        <w:widowControl/>
        <w:spacing w:after="160" w:line="580" w:lineRule="exact"/>
        <w:ind w:firstLine="420" w:firstLineChars="200"/>
        <w:rPr>
          <w:rFonts w:ascii="Times New Roman" w:hAnsi="Times New Roman" w:eastAsia="黑体"/>
          <w:sz w:val="32"/>
          <w:szCs w:val="32"/>
        </w:rPr>
        <w:sectPr>
          <w:pgSz w:w="11906" w:h="16838"/>
          <w:pgMar w:top="2041" w:right="1531" w:bottom="2041" w:left="1531" w:header="851" w:footer="992" w:gutter="0"/>
          <w:pgNumType w:fmt="numberInDash"/>
          <w:cols w:space="0" w:num="1"/>
          <w:titlePg/>
          <w:docGrid w:type="lines" w:linePitch="312" w:charSpace="0"/>
        </w:sectPr>
      </w:pPr>
      <w:r>
        <w:pict>
          <v:shape id="_x0000_s1061" o:spid="_x0000_s1061" o:spt="202" type="#_x0000_t202" style="position:absolute;left:0pt;margin-left:-85.7pt;margin-top:238.15pt;height:173.25pt;width:613.65pt;z-index:251666432;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path/>
            <v:fill on="f" focussize="0,0"/>
            <v:stroke on="f" weight="0.5pt" joinstyle="miter"/>
            <v:imagedata o:title=""/>
            <o:lock v:ext="edit"/>
            <v:textbox>
              <w:txbxContent>
                <w:p>
                  <w:pPr>
                    <w:widowControl/>
                    <w:jc w:val="center"/>
                    <w:rPr>
                      <w:rFonts w:ascii="黑体" w:hAnsi="黑体" w:eastAsia="黑体" w:cs="黑体"/>
                      <w:color w:val="000000"/>
                      <w:sz w:val="96"/>
                      <w:szCs w:val="96"/>
                    </w:rPr>
                  </w:pPr>
                  <w:r>
                    <w:rPr>
                      <w:rFonts w:ascii="黑体" w:hAnsi="黑体" w:eastAsia="黑体" w:cs="黑体"/>
                      <w:color w:val="000000"/>
                      <w:sz w:val="96"/>
                      <w:szCs w:val="96"/>
                    </w:rPr>
                    <w:t xml:space="preserve"> </w:t>
                  </w:r>
                </w:p>
                <w:p>
                  <w:pPr>
                    <w:widowControl/>
                    <w:jc w:val="center"/>
                    <w:rPr>
                      <w:rFonts w:ascii="黑体" w:hAnsi="黑体" w:eastAsia="黑体" w:cs="黑体"/>
                      <w:color w:val="000000"/>
                      <w:sz w:val="96"/>
                      <w:szCs w:val="96"/>
                    </w:rPr>
                  </w:pPr>
                </w:p>
              </w:txbxContent>
            </v:textbox>
          </v:shape>
        </w:pic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pict>
          <v:shape id="_x0000_s1062" o:spid="_x0000_s1062" o:spt="202" type="#_x0000_t202" style="position:absolute;left:0pt;margin-left:-90.8pt;margin-top:4.35pt;height:263.1pt;width:613.65pt;z-index:251667456;v-text-anchor:middle;mso-width-relative:page;mso-height-relative:page;" filled="f" stroked="f" coordsize="21600,21600">
            <v:path/>
            <v:fill on="f" focussize="0,0"/>
            <v:stroke on="f" weight="0.5pt" joinstyle="round"/>
            <v:imagedata o:title=""/>
            <o:lock v:ext="edit"/>
            <v:textbox>
              <w:txbxContent>
                <w:p>
                  <w:pPr>
                    <w:widowControl/>
                    <w:jc w:val="center"/>
                    <w:rPr>
                      <w:rFonts w:ascii="黑体" w:hAnsi="黑体" w:eastAsia="黑体" w:cs="黑体"/>
                      <w:color w:val="000000"/>
                      <w:sz w:val="90"/>
                      <w:szCs w:val="90"/>
                    </w:rPr>
                  </w:pPr>
                  <w:r>
                    <w:rPr>
                      <w:rFonts w:hint="eastAsia" w:ascii="黑体" w:hAnsi="黑体" w:eastAsia="黑体" w:cs="黑体"/>
                      <w:color w:val="000000"/>
                      <w:sz w:val="90"/>
                      <w:szCs w:val="90"/>
                    </w:rPr>
                    <w:t>第二部分</w:t>
                  </w:r>
                  <w:r>
                    <w:rPr>
                      <w:rFonts w:ascii="黑体" w:hAnsi="黑体" w:eastAsia="黑体" w:cs="黑体"/>
                      <w:color w:val="000000"/>
                      <w:sz w:val="90"/>
                      <w:szCs w:val="90"/>
                    </w:rPr>
                    <w:t xml:space="preserve"> </w:t>
                  </w:r>
                </w:p>
                <w:p>
                  <w:pPr>
                    <w:widowControl/>
                    <w:jc w:val="center"/>
                    <w:rPr>
                      <w:rFonts w:ascii="黑体" w:hAnsi="黑体" w:eastAsia="黑体" w:cs="黑体"/>
                      <w:color w:val="000000"/>
                      <w:sz w:val="90"/>
                      <w:szCs w:val="90"/>
                    </w:rPr>
                  </w:pPr>
                  <w:r>
                    <w:rPr>
                      <w:rFonts w:ascii="黑体" w:hAnsi="黑体" w:eastAsia="黑体" w:cs="黑体"/>
                      <w:color w:val="000000"/>
                      <w:sz w:val="90"/>
                      <w:szCs w:val="90"/>
                    </w:rPr>
                    <w:t>2019</w:t>
                  </w:r>
                  <w:r>
                    <w:rPr>
                      <w:rFonts w:hint="eastAsia" w:ascii="黑体" w:hAnsi="黑体" w:eastAsia="黑体" w:cs="黑体"/>
                      <w:color w:val="000000"/>
                      <w:sz w:val="90"/>
                      <w:szCs w:val="90"/>
                    </w:rPr>
                    <w:t>年部门决算情况说明</w:t>
                  </w:r>
                </w:p>
                <w:p/>
              </w:txbxContent>
            </v:textbox>
          </v:shape>
        </w:pic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ind w:firstLine="640" w:firstLineChars="200"/>
        <w:outlineLvl w:val="1"/>
        <w:rPr>
          <w:rFonts w:ascii="仿宋" w:hAnsi="仿宋" w:eastAsia="仿宋"/>
          <w:sz w:val="32"/>
          <w:szCs w:val="32"/>
        </w:rPr>
      </w:pPr>
      <w:r>
        <w:rPr>
          <w:rFonts w:hint="eastAsia" w:ascii="仿宋" w:hAnsi="仿宋" w:eastAsia="仿宋"/>
          <w:sz w:val="32"/>
          <w:szCs w:val="32"/>
        </w:rPr>
        <w:t>一、收入</w:t>
      </w:r>
      <w:r>
        <w:rPr>
          <w:rFonts w:hint="eastAsia" w:ascii="仿宋" w:hAnsi="仿宋" w:eastAsia="仿宋" w:cs="黑体"/>
          <w:kern w:val="0"/>
          <w:sz w:val="32"/>
          <w:szCs w:val="32"/>
        </w:rPr>
        <w:t>支出</w:t>
      </w:r>
      <w:r>
        <w:rPr>
          <w:rFonts w:hint="eastAsia" w:ascii="仿宋" w:hAnsi="仿宋" w:eastAsia="仿宋"/>
          <w:sz w:val="32"/>
          <w:szCs w:val="32"/>
        </w:rPr>
        <w:t>决算总体情况说明</w:t>
      </w:r>
    </w:p>
    <w:p>
      <w:pPr>
        <w:adjustRightInd w:val="0"/>
        <w:snapToGrid w:val="0"/>
        <w:spacing w:line="580" w:lineRule="exact"/>
        <w:ind w:firstLine="640" w:firstLineChars="200"/>
        <w:rPr>
          <w:rFonts w:ascii="仿宋" w:hAnsi="仿宋" w:eastAsia="仿宋"/>
          <w:sz w:val="32"/>
          <w:szCs w:val="32"/>
        </w:rPr>
      </w:pPr>
      <w:r>
        <w:rPr>
          <w:rFonts w:hint="eastAsia" w:ascii="仿宋" w:hAnsi="仿宋" w:eastAsia="仿宋" w:cs="DengXian-Regular"/>
          <w:sz w:val="32"/>
          <w:szCs w:val="32"/>
        </w:rPr>
        <w:t>本部门</w:t>
      </w:r>
      <w:r>
        <w:rPr>
          <w:rFonts w:ascii="仿宋" w:hAnsi="仿宋" w:eastAsia="仿宋" w:cs="DengXian-Regular"/>
          <w:sz w:val="32"/>
          <w:szCs w:val="32"/>
        </w:rPr>
        <w:t>2019</w:t>
      </w:r>
      <w:r>
        <w:rPr>
          <w:rFonts w:hint="eastAsia" w:ascii="仿宋" w:hAnsi="仿宋" w:eastAsia="仿宋" w:cs="DengXian-Regular"/>
          <w:sz w:val="32"/>
          <w:szCs w:val="32"/>
        </w:rPr>
        <w:t>年度收支总计714.89万元。与</w:t>
      </w:r>
      <w:r>
        <w:rPr>
          <w:rFonts w:ascii="仿宋" w:hAnsi="仿宋" w:eastAsia="仿宋" w:cs="DengXian-Regular"/>
          <w:sz w:val="32"/>
          <w:szCs w:val="32"/>
        </w:rPr>
        <w:t>2018</w:t>
      </w:r>
      <w:r>
        <w:rPr>
          <w:rFonts w:hint="eastAsia" w:ascii="仿宋" w:hAnsi="仿宋" w:eastAsia="仿宋" w:cs="DengXian-Regular"/>
          <w:sz w:val="32"/>
          <w:szCs w:val="32"/>
        </w:rPr>
        <w:t>年度决算相比，收支各减少611.79万元，下降46.11</w:t>
      </w:r>
      <w:r>
        <w:rPr>
          <w:rFonts w:ascii="仿宋" w:hAnsi="仿宋" w:eastAsia="仿宋" w:cs="DengXian-Regular"/>
          <w:sz w:val="32"/>
          <w:szCs w:val="32"/>
        </w:rPr>
        <w:t>%</w:t>
      </w:r>
      <w:r>
        <w:rPr>
          <w:rFonts w:hint="eastAsia" w:ascii="仿宋" w:hAnsi="仿宋" w:eastAsia="仿宋" w:cs="DengXian-Regular"/>
          <w:sz w:val="32"/>
          <w:szCs w:val="32"/>
        </w:rPr>
        <w:t>，主要原因是</w:t>
      </w:r>
      <w:r>
        <w:rPr>
          <w:rFonts w:hint="eastAsia" w:ascii="仿宋" w:hAnsi="仿宋" w:eastAsia="仿宋"/>
          <w:sz w:val="32"/>
          <w:szCs w:val="32"/>
        </w:rPr>
        <w:t>根据市政府新乡镇财政体制《遵化市乡镇财政管理体制改革实施办法》的规定，乡镇税收超收按分成比例给与超收奖励，</w:t>
      </w:r>
      <w:r>
        <w:rPr>
          <w:rFonts w:hint="eastAsia" w:ascii="仿宋" w:hAnsi="仿宋" w:eastAsia="仿宋" w:cs="DengXian-Regular"/>
          <w:sz w:val="32"/>
          <w:szCs w:val="32"/>
        </w:rPr>
        <w:t>由于</w:t>
      </w:r>
      <w:r>
        <w:rPr>
          <w:rFonts w:hint="eastAsia" w:ascii="仿宋" w:hAnsi="仿宋" w:eastAsia="仿宋"/>
          <w:sz w:val="32"/>
          <w:szCs w:val="32"/>
        </w:rPr>
        <w:t>2017年开始唐山市港陆钢铁有限公司税收划分到乡镇，使得2018年度本部门税收超收较多，得到的超收奖励相应也较多，对于环境治理等项目投资力度较大，为以后打下了良好的基础。2019年未完成当年税收任务没有超收奖励，因此酌情减少了对环境治理等项目资金的投入。</w:t>
      </w:r>
    </w:p>
    <w:p>
      <w:pPr>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二、收入决算情况说明</w:t>
      </w:r>
    </w:p>
    <w:p>
      <w:pPr>
        <w:adjustRightInd w:val="0"/>
        <w:snapToGrid w:val="0"/>
        <w:spacing w:line="580" w:lineRule="exact"/>
        <w:ind w:firstLine="640" w:firstLineChars="200"/>
        <w:rPr>
          <w:rFonts w:ascii="仿宋" w:hAnsi="仿宋" w:eastAsia="仿宋" w:cs="DengXian-Regular"/>
          <w:sz w:val="32"/>
          <w:szCs w:val="32"/>
          <w:highlight w:val="yellow"/>
        </w:rPr>
      </w:pPr>
      <w:r>
        <w:rPr>
          <w:rFonts w:hint="eastAsia" w:ascii="仿宋" w:hAnsi="仿宋" w:eastAsia="仿宋" w:cs="DengXian-Regular"/>
          <w:sz w:val="32"/>
          <w:szCs w:val="32"/>
        </w:rPr>
        <w:t>本部门</w:t>
      </w:r>
      <w:r>
        <w:rPr>
          <w:rFonts w:ascii="仿宋" w:hAnsi="仿宋" w:eastAsia="仿宋" w:cs="DengXian-Regular"/>
          <w:sz w:val="32"/>
          <w:szCs w:val="32"/>
        </w:rPr>
        <w:t>2019</w:t>
      </w:r>
      <w:r>
        <w:rPr>
          <w:rFonts w:hint="eastAsia" w:ascii="仿宋" w:hAnsi="仿宋" w:eastAsia="仿宋" w:cs="DengXian-Regular"/>
          <w:sz w:val="32"/>
          <w:szCs w:val="32"/>
        </w:rPr>
        <w:t>年度本年收入合计714.89万元，其中：财政拨款收入714.89万元，占100</w:t>
      </w:r>
      <w:r>
        <w:rPr>
          <w:rFonts w:ascii="仿宋" w:hAnsi="仿宋" w:eastAsia="仿宋" w:cs="DengXian-Regular"/>
          <w:sz w:val="32"/>
          <w:szCs w:val="32"/>
        </w:rPr>
        <w:t>%</w:t>
      </w:r>
      <w:r>
        <w:rPr>
          <w:rFonts w:hint="eastAsia" w:ascii="仿宋" w:hAnsi="仿宋" w:eastAsia="仿宋" w:cs="DengXian-Regular"/>
          <w:sz w:val="32"/>
          <w:szCs w:val="32"/>
        </w:rPr>
        <w:t>；事业收入0万元，占0</w:t>
      </w:r>
      <w:r>
        <w:rPr>
          <w:rFonts w:ascii="仿宋" w:hAnsi="仿宋" w:eastAsia="仿宋" w:cs="DengXian-Regular"/>
          <w:sz w:val="32"/>
          <w:szCs w:val="32"/>
        </w:rPr>
        <w:t>%</w:t>
      </w:r>
      <w:r>
        <w:rPr>
          <w:rFonts w:hint="eastAsia" w:ascii="仿宋" w:hAnsi="仿宋" w:eastAsia="仿宋" w:cs="DengXian-Regular"/>
          <w:sz w:val="32"/>
          <w:szCs w:val="32"/>
        </w:rPr>
        <w:t>；经营收入0万元，占0</w:t>
      </w:r>
      <w:r>
        <w:rPr>
          <w:rFonts w:ascii="仿宋" w:hAnsi="仿宋" w:eastAsia="仿宋" w:cs="DengXian-Regular"/>
          <w:sz w:val="32"/>
          <w:szCs w:val="32"/>
        </w:rPr>
        <w:t>%</w:t>
      </w:r>
      <w:r>
        <w:rPr>
          <w:rFonts w:hint="eastAsia" w:ascii="仿宋" w:hAnsi="仿宋" w:eastAsia="仿宋" w:cs="DengXian-Regular"/>
          <w:sz w:val="32"/>
          <w:szCs w:val="32"/>
        </w:rPr>
        <w:t>；其他收入0万元，占0</w:t>
      </w:r>
      <w:r>
        <w:rPr>
          <w:rFonts w:ascii="仿宋" w:hAnsi="仿宋" w:eastAsia="仿宋" w:cs="DengXian-Regular"/>
          <w:sz w:val="32"/>
          <w:szCs w:val="32"/>
        </w:rPr>
        <w:t>%</w:t>
      </w:r>
      <w:r>
        <w:rPr>
          <w:rFonts w:hint="eastAsia" w:ascii="仿宋" w:hAnsi="仿宋" w:eastAsia="仿宋" w:cs="DengXian-Regular"/>
          <w:sz w:val="32"/>
          <w:szCs w:val="32"/>
        </w:rPr>
        <w:t>。</w:t>
      </w:r>
    </w:p>
    <w:p>
      <w:pPr>
        <w:keepNext/>
        <w:keepLines/>
        <w:snapToGrid w:val="0"/>
        <w:spacing w:line="580" w:lineRule="exact"/>
        <w:ind w:firstLine="640" w:firstLineChars="200"/>
        <w:outlineLvl w:val="1"/>
        <w:rPr>
          <w:rFonts w:ascii="仿宋" w:hAnsi="仿宋" w:eastAsia="仿宋"/>
          <w:sz w:val="32"/>
          <w:szCs w:val="32"/>
        </w:rPr>
      </w:pPr>
      <w:r>
        <w:rPr>
          <w:rFonts w:hint="eastAsia" w:ascii="仿宋" w:hAnsi="仿宋" w:eastAsia="仿宋"/>
          <w:sz w:val="32"/>
          <w:szCs w:val="32"/>
        </w:rPr>
        <w:t>三、支出决算情况说明</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本部门</w:t>
      </w:r>
      <w:r>
        <w:rPr>
          <w:rFonts w:ascii="仿宋" w:hAnsi="仿宋" w:eastAsia="仿宋" w:cs="DengXian-Regular"/>
          <w:sz w:val="32"/>
          <w:szCs w:val="32"/>
        </w:rPr>
        <w:t>2019</w:t>
      </w:r>
      <w:r>
        <w:rPr>
          <w:rFonts w:hint="eastAsia" w:ascii="仿宋" w:hAnsi="仿宋" w:eastAsia="仿宋" w:cs="DengXian-Regular"/>
          <w:sz w:val="32"/>
          <w:szCs w:val="32"/>
        </w:rPr>
        <w:t>年度本年支出合计714.89万元，其中：基本支出632.52万元，占88.48</w:t>
      </w:r>
      <w:r>
        <w:rPr>
          <w:rFonts w:ascii="仿宋" w:hAnsi="仿宋" w:eastAsia="仿宋" w:cs="DengXian-Regular"/>
          <w:sz w:val="32"/>
          <w:szCs w:val="32"/>
        </w:rPr>
        <w:t>%</w:t>
      </w:r>
      <w:r>
        <w:rPr>
          <w:rFonts w:hint="eastAsia" w:ascii="仿宋" w:hAnsi="仿宋" w:eastAsia="仿宋" w:cs="DengXian-Regular"/>
          <w:sz w:val="32"/>
          <w:szCs w:val="32"/>
        </w:rPr>
        <w:t>；项目支出82.37万元，占11.52</w:t>
      </w:r>
      <w:r>
        <w:rPr>
          <w:rFonts w:ascii="仿宋" w:hAnsi="仿宋" w:eastAsia="仿宋" w:cs="DengXian-Regular"/>
          <w:sz w:val="32"/>
          <w:szCs w:val="32"/>
        </w:rPr>
        <w:t>%</w:t>
      </w:r>
      <w:r>
        <w:rPr>
          <w:rFonts w:hint="eastAsia" w:ascii="仿宋" w:hAnsi="仿宋" w:eastAsia="仿宋" w:cs="DengXian-Regular"/>
          <w:sz w:val="32"/>
          <w:szCs w:val="32"/>
        </w:rPr>
        <w:t>；经营支出0万元，占0</w:t>
      </w:r>
      <w:r>
        <w:rPr>
          <w:rFonts w:ascii="仿宋" w:hAnsi="仿宋" w:eastAsia="仿宋" w:cs="DengXian-Regular"/>
          <w:sz w:val="32"/>
          <w:szCs w:val="32"/>
        </w:rPr>
        <w:t>%</w:t>
      </w:r>
      <w:r>
        <w:rPr>
          <w:rFonts w:hint="eastAsia" w:ascii="仿宋" w:hAnsi="仿宋" w:eastAsia="仿宋" w:cs="DengXian-Regular"/>
          <w:sz w:val="32"/>
          <w:szCs w:val="32"/>
        </w:rPr>
        <w:t>。</w:t>
      </w:r>
    </w:p>
    <w:p>
      <w:pPr>
        <w:keepNext/>
        <w:keepLines/>
        <w:snapToGrid w:val="0"/>
        <w:spacing w:line="580" w:lineRule="exact"/>
        <w:ind w:firstLine="640" w:firstLineChars="200"/>
        <w:outlineLvl w:val="1"/>
        <w:rPr>
          <w:rFonts w:ascii="仿宋" w:hAnsi="仿宋" w:eastAsia="仿宋"/>
          <w:sz w:val="32"/>
          <w:szCs w:val="32"/>
        </w:rPr>
      </w:pPr>
      <w:r>
        <w:rPr>
          <w:rFonts w:hint="eastAsia" w:ascii="仿宋" w:hAnsi="仿宋" w:eastAsia="仿宋"/>
          <w:sz w:val="32"/>
          <w:szCs w:val="32"/>
        </w:rPr>
        <w:t>四、</w:t>
      </w:r>
      <w:r>
        <w:rPr>
          <w:rFonts w:hint="eastAsia" w:ascii="仿宋" w:hAnsi="仿宋" w:eastAsia="仿宋" w:cs="黑体"/>
          <w:kern w:val="0"/>
          <w:sz w:val="32"/>
          <w:szCs w:val="32"/>
        </w:rPr>
        <w:t>财政</w:t>
      </w:r>
      <w:r>
        <w:rPr>
          <w:rFonts w:hint="eastAsia" w:ascii="仿宋" w:hAnsi="仿宋" w:eastAsia="仿宋"/>
          <w:sz w:val="32"/>
          <w:szCs w:val="32"/>
        </w:rPr>
        <w:t>拨款收入支出决算总体情况说明</w:t>
      </w:r>
    </w:p>
    <w:p>
      <w:pPr>
        <w:snapToGrid w:val="0"/>
        <w:spacing w:line="580" w:lineRule="exact"/>
        <w:ind w:firstLine="643" w:firstLineChars="200"/>
        <w:rPr>
          <w:rFonts w:ascii="仿宋" w:hAnsi="仿宋" w:eastAsia="仿宋" w:cs="DengXian-Bold"/>
          <w:b/>
          <w:bCs/>
          <w:sz w:val="32"/>
          <w:szCs w:val="32"/>
        </w:rPr>
      </w:pPr>
      <w:r>
        <w:rPr>
          <w:rFonts w:hint="eastAsia" w:ascii="仿宋" w:hAnsi="仿宋" w:eastAsia="仿宋" w:cs="DengXian-Bold"/>
          <w:b/>
          <w:bCs/>
          <w:sz w:val="32"/>
          <w:szCs w:val="32"/>
        </w:rPr>
        <w:t>（一）财政拨款收支与</w:t>
      </w:r>
      <w:r>
        <w:rPr>
          <w:rFonts w:ascii="仿宋" w:hAnsi="仿宋" w:eastAsia="仿宋" w:cs="DengXian-Bold"/>
          <w:b/>
          <w:bCs/>
          <w:sz w:val="32"/>
          <w:szCs w:val="32"/>
        </w:rPr>
        <w:t xml:space="preserve">2018 </w:t>
      </w:r>
      <w:r>
        <w:rPr>
          <w:rFonts w:hint="eastAsia" w:ascii="仿宋" w:hAnsi="仿宋" w:eastAsia="仿宋" w:cs="DengXian-Bold"/>
          <w:b/>
          <w:bCs/>
          <w:sz w:val="32"/>
          <w:szCs w:val="32"/>
        </w:rPr>
        <w:t>年度决算对比情况</w:t>
      </w:r>
    </w:p>
    <w:p>
      <w:pPr>
        <w:adjustRightInd w:val="0"/>
        <w:snapToGrid w:val="0"/>
        <w:spacing w:line="580" w:lineRule="exact"/>
        <w:ind w:firstLine="640" w:firstLineChars="200"/>
        <w:rPr>
          <w:rFonts w:ascii="仿宋" w:hAnsi="仿宋" w:eastAsia="仿宋"/>
          <w:sz w:val="32"/>
          <w:szCs w:val="32"/>
        </w:rPr>
      </w:pPr>
      <w:r>
        <w:rPr>
          <w:rFonts w:hint="eastAsia" w:ascii="仿宋" w:hAnsi="仿宋" w:eastAsia="仿宋" w:cs="DengXian-Regular"/>
          <w:sz w:val="32"/>
          <w:szCs w:val="32"/>
        </w:rPr>
        <w:t>本部门</w:t>
      </w:r>
      <w:r>
        <w:rPr>
          <w:rFonts w:ascii="仿宋" w:hAnsi="仿宋" w:eastAsia="仿宋" w:cs="DengXian-Regular"/>
          <w:sz w:val="32"/>
          <w:szCs w:val="32"/>
        </w:rPr>
        <w:t>2019</w:t>
      </w:r>
      <w:r>
        <w:rPr>
          <w:rFonts w:hint="eastAsia" w:ascii="仿宋" w:hAnsi="仿宋" w:eastAsia="仿宋" w:cs="DengXian-Regular"/>
          <w:sz w:val="32"/>
          <w:szCs w:val="32"/>
        </w:rPr>
        <w:t>年度形成的财政拨款收支均为一般公共预算财政拨款，其中本年收入714.89万元</w:t>
      </w:r>
      <w:r>
        <w:rPr>
          <w:rFonts w:ascii="仿宋" w:hAnsi="仿宋" w:eastAsia="仿宋" w:cs="DengXian-Regular"/>
          <w:sz w:val="32"/>
          <w:szCs w:val="32"/>
        </w:rPr>
        <w:t>,</w:t>
      </w:r>
      <w:r>
        <w:rPr>
          <w:rFonts w:hint="eastAsia" w:ascii="仿宋" w:hAnsi="仿宋" w:eastAsia="仿宋" w:cs="DengXian-Regular"/>
          <w:sz w:val="32"/>
          <w:szCs w:val="32"/>
        </w:rPr>
        <w:t>比</w:t>
      </w:r>
      <w:r>
        <w:rPr>
          <w:rFonts w:ascii="仿宋" w:hAnsi="仿宋" w:eastAsia="仿宋" w:cs="DengXian-Regular"/>
          <w:sz w:val="32"/>
          <w:szCs w:val="32"/>
        </w:rPr>
        <w:t>2018</w:t>
      </w:r>
      <w:r>
        <w:rPr>
          <w:rFonts w:hint="eastAsia" w:ascii="仿宋" w:hAnsi="仿宋" w:eastAsia="仿宋" w:cs="DengXian-Regular"/>
          <w:sz w:val="32"/>
          <w:szCs w:val="32"/>
        </w:rPr>
        <w:t>年度减少611.79万元，降低46.11</w:t>
      </w:r>
      <w:r>
        <w:rPr>
          <w:rFonts w:ascii="仿宋" w:hAnsi="仿宋" w:eastAsia="仿宋" w:cs="DengXian-Regular"/>
          <w:sz w:val="32"/>
          <w:szCs w:val="32"/>
        </w:rPr>
        <w:t>%</w:t>
      </w:r>
      <w:r>
        <w:rPr>
          <w:rFonts w:hint="eastAsia" w:ascii="仿宋" w:hAnsi="仿宋" w:eastAsia="仿宋" w:cs="DengXian-Regular"/>
          <w:sz w:val="32"/>
          <w:szCs w:val="32"/>
        </w:rPr>
        <w:t>，主要原因是</w:t>
      </w:r>
      <w:r>
        <w:rPr>
          <w:rFonts w:hint="eastAsia" w:ascii="仿宋" w:hAnsi="仿宋" w:eastAsia="仿宋"/>
          <w:sz w:val="32"/>
          <w:szCs w:val="32"/>
        </w:rPr>
        <w:t>根据市政府新乡镇财政体制《遵化市乡镇财政管理体制改革实施办法》的规定，乡镇税收超收按分成比例给与超收奖励，</w:t>
      </w:r>
      <w:r>
        <w:rPr>
          <w:rFonts w:hint="eastAsia" w:ascii="仿宋" w:hAnsi="仿宋" w:eastAsia="仿宋" w:cs="DengXian-Regular"/>
          <w:sz w:val="32"/>
          <w:szCs w:val="32"/>
        </w:rPr>
        <w:t>由于</w:t>
      </w:r>
      <w:r>
        <w:rPr>
          <w:rFonts w:hint="eastAsia" w:ascii="仿宋" w:hAnsi="仿宋" w:eastAsia="仿宋"/>
          <w:sz w:val="32"/>
          <w:szCs w:val="32"/>
        </w:rPr>
        <w:t>2017年开始唐山市港陆钢铁有限公司税收划分到乡镇，使得2018年度本部门税收超收较多，得到的超收奖励相应也较多，对于环境治理等项目投资力度较大，为以后打下了良好的基础。2019年未完成当年税收任务，没有超收奖励，因此今年酌情减少了对环境治理费用的支出。</w:t>
      </w:r>
    </w:p>
    <w:p>
      <w:pPr>
        <w:adjustRightInd w:val="0"/>
        <w:snapToGrid w:val="0"/>
        <w:spacing w:line="580" w:lineRule="exact"/>
        <w:ind w:firstLine="640" w:firstLineChars="200"/>
        <w:rPr>
          <w:rFonts w:ascii="仿宋" w:hAnsi="仿宋" w:eastAsia="仿宋"/>
          <w:sz w:val="32"/>
          <w:szCs w:val="32"/>
        </w:rPr>
      </w:pPr>
      <w:r>
        <w:rPr>
          <w:rFonts w:hint="eastAsia" w:ascii="仿宋" w:hAnsi="仿宋" w:eastAsia="仿宋" w:cs="DengXian-Regular"/>
          <w:sz w:val="32"/>
          <w:szCs w:val="32"/>
        </w:rPr>
        <w:t>本年支出714.89万元，减少611.79万元，降低46.11</w:t>
      </w:r>
      <w:r>
        <w:rPr>
          <w:rFonts w:ascii="仿宋" w:hAnsi="仿宋" w:eastAsia="仿宋" w:cs="DengXian-Regular"/>
          <w:sz w:val="32"/>
          <w:szCs w:val="32"/>
        </w:rPr>
        <w:t>%</w:t>
      </w:r>
      <w:r>
        <w:rPr>
          <w:rFonts w:hint="eastAsia" w:ascii="仿宋" w:hAnsi="仿宋" w:eastAsia="仿宋" w:cs="DengXian-Regular"/>
          <w:sz w:val="32"/>
          <w:szCs w:val="32"/>
        </w:rPr>
        <w:t>，主要原因是</w:t>
      </w:r>
      <w:r>
        <w:rPr>
          <w:rFonts w:hint="eastAsia" w:ascii="仿宋" w:hAnsi="仿宋" w:eastAsia="仿宋"/>
          <w:sz w:val="32"/>
          <w:szCs w:val="32"/>
        </w:rPr>
        <w:t>根据市政府新乡镇财政体制《遵化市乡镇财政管理体制改革实施办法》的规定，乡镇税收超收按分成比例给与超收奖励，</w:t>
      </w:r>
      <w:r>
        <w:rPr>
          <w:rFonts w:hint="eastAsia" w:ascii="仿宋" w:hAnsi="仿宋" w:eastAsia="仿宋" w:cs="DengXian-Regular"/>
          <w:sz w:val="32"/>
          <w:szCs w:val="32"/>
        </w:rPr>
        <w:t>由于</w:t>
      </w:r>
      <w:r>
        <w:rPr>
          <w:rFonts w:hint="eastAsia" w:ascii="仿宋" w:hAnsi="仿宋" w:eastAsia="仿宋"/>
          <w:sz w:val="32"/>
          <w:szCs w:val="32"/>
        </w:rPr>
        <w:t>2017年开始唐山市港陆钢铁有限公司税收划分到乡镇，使得2018年度本部门税收超收较多，得到的超收奖励相应也较多，对于环境治理项目投资力度较大，为以后打下了良好的基础。2019年未完成当年税收任务，没有超收奖励，因此今年酌情减少了对环境治理费用的投入。</w:t>
      </w:r>
    </w:p>
    <w:p>
      <w:pPr>
        <w:snapToGrid w:val="0"/>
        <w:spacing w:line="580" w:lineRule="exact"/>
        <w:ind w:firstLine="643" w:firstLineChars="200"/>
        <w:rPr>
          <w:rFonts w:ascii="仿宋" w:hAnsi="仿宋" w:eastAsia="仿宋" w:cs="DengXian-Bold"/>
          <w:b/>
          <w:bCs/>
          <w:sz w:val="32"/>
          <w:szCs w:val="32"/>
        </w:rPr>
      </w:pPr>
      <w:r>
        <w:rPr>
          <w:rFonts w:hint="eastAsia" w:ascii="仿宋" w:hAnsi="仿宋" w:eastAsia="仿宋" w:cs="DengXian-Bold"/>
          <w:b/>
          <w:bCs/>
          <w:sz w:val="32"/>
          <w:szCs w:val="32"/>
        </w:rPr>
        <w:t>（二）财政拨款收支与年初预算数对比情况</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本部门</w:t>
      </w:r>
      <w:r>
        <w:rPr>
          <w:rFonts w:ascii="仿宋" w:hAnsi="仿宋" w:eastAsia="仿宋" w:cs="DengXian-Regular"/>
          <w:sz w:val="32"/>
          <w:szCs w:val="32"/>
        </w:rPr>
        <w:t>2019</w:t>
      </w:r>
      <w:r>
        <w:rPr>
          <w:rFonts w:hint="eastAsia" w:ascii="仿宋" w:hAnsi="仿宋" w:eastAsia="仿宋" w:cs="DengXian-Regular"/>
          <w:sz w:val="32"/>
          <w:szCs w:val="32"/>
        </w:rPr>
        <w:t>年度一般公共预算财政拨款收入714.89万元，完成年初预算的104.68</w:t>
      </w:r>
      <w:r>
        <w:rPr>
          <w:rFonts w:ascii="仿宋" w:hAnsi="仿宋" w:eastAsia="仿宋" w:cs="DengXian-Regular"/>
          <w:sz w:val="32"/>
          <w:szCs w:val="32"/>
        </w:rPr>
        <w:t>%,</w:t>
      </w:r>
      <w:r>
        <w:rPr>
          <w:rFonts w:hint="eastAsia" w:ascii="仿宋" w:hAnsi="仿宋" w:eastAsia="仿宋" w:cs="DengXian-Regular"/>
          <w:sz w:val="32"/>
          <w:szCs w:val="32"/>
        </w:rPr>
        <w:t>比年初预算增加31.99万元，决算数大于预算数的主要原因是人员调动工资、保险、乡镇补贴和车补等各项指标的增加；本年支出714.89万元，完成年初预算的104.68</w:t>
      </w:r>
      <w:r>
        <w:rPr>
          <w:rFonts w:ascii="仿宋" w:hAnsi="仿宋" w:eastAsia="仿宋" w:cs="DengXian-Regular"/>
          <w:sz w:val="32"/>
          <w:szCs w:val="32"/>
        </w:rPr>
        <w:t>%,</w:t>
      </w:r>
      <w:r>
        <w:rPr>
          <w:rFonts w:hint="eastAsia" w:ascii="仿宋" w:hAnsi="仿宋" w:eastAsia="仿宋" w:cs="DengXian-Regular"/>
          <w:sz w:val="32"/>
          <w:szCs w:val="32"/>
        </w:rPr>
        <w:t>比年初预算增加31.99万元，决算数大于预算数的主要原因是人员调动工资、保险、乡镇补贴和车补等各项指标的增加。</w:t>
      </w:r>
    </w:p>
    <w:p>
      <w:pPr>
        <w:numPr>
          <w:ilvl w:val="0"/>
          <w:numId w:val="1"/>
        </w:numPr>
        <w:adjustRightInd w:val="0"/>
        <w:snapToGrid w:val="0"/>
        <w:spacing w:line="580" w:lineRule="exact"/>
        <w:ind w:left="420" w:leftChars="200"/>
        <w:rPr>
          <w:rFonts w:ascii="仿宋" w:hAnsi="仿宋" w:eastAsia="仿宋" w:cs="DengXian-Bold"/>
          <w:b/>
          <w:bCs/>
          <w:sz w:val="32"/>
          <w:szCs w:val="32"/>
        </w:rPr>
      </w:pPr>
      <w:r>
        <w:rPr>
          <w:rFonts w:hint="eastAsia" w:ascii="仿宋" w:hAnsi="仿宋" w:eastAsia="仿宋" w:cs="DengXian-Bold"/>
          <w:b/>
          <w:bCs/>
          <w:sz w:val="32"/>
          <w:szCs w:val="32"/>
        </w:rPr>
        <w:t>财政拨款支出决算结构情况。</w:t>
      </w:r>
    </w:p>
    <w:p>
      <w:pPr>
        <w:adjustRightInd w:val="0"/>
        <w:snapToGrid w:val="0"/>
        <w:spacing w:line="580" w:lineRule="exact"/>
        <w:ind w:firstLine="640" w:firstLineChars="200"/>
        <w:rPr>
          <w:rFonts w:ascii="仿宋" w:hAnsi="仿宋" w:eastAsia="仿宋" w:cs="DengXian-Regular"/>
          <w:sz w:val="32"/>
          <w:szCs w:val="32"/>
        </w:rPr>
      </w:pPr>
      <w:r>
        <w:rPr>
          <w:rFonts w:ascii="仿宋" w:hAnsi="仿宋" w:eastAsia="仿宋" w:cs="DengXian-Regular"/>
          <w:sz w:val="32"/>
          <w:szCs w:val="32"/>
        </w:rPr>
        <w:t xml:space="preserve">2019 </w:t>
      </w:r>
      <w:r>
        <w:rPr>
          <w:rFonts w:hint="eastAsia" w:ascii="仿宋" w:hAnsi="仿宋" w:eastAsia="仿宋" w:cs="DengXian-Regular"/>
          <w:sz w:val="32"/>
          <w:szCs w:val="32"/>
        </w:rPr>
        <w:t>年度财政拨款支出714.89万元，主要用于以下方面一般公共服务支出526.22万元，占73.61</w:t>
      </w:r>
      <w:r>
        <w:rPr>
          <w:rFonts w:ascii="仿宋" w:hAnsi="仿宋" w:eastAsia="仿宋" w:cs="DengXian-Regular"/>
          <w:sz w:val="32"/>
          <w:szCs w:val="32"/>
        </w:rPr>
        <w:t>%</w:t>
      </w:r>
      <w:r>
        <w:rPr>
          <w:rFonts w:hint="eastAsia" w:ascii="仿宋" w:hAnsi="仿宋" w:eastAsia="仿宋" w:cs="DengXian-Regular"/>
          <w:sz w:val="32"/>
          <w:szCs w:val="32"/>
        </w:rPr>
        <w:t>，；卫生健康支出37.15万元，占5.20</w:t>
      </w:r>
      <w:r>
        <w:rPr>
          <w:rFonts w:ascii="仿宋" w:hAnsi="仿宋" w:eastAsia="仿宋" w:cs="DengXian-Regular"/>
          <w:sz w:val="32"/>
          <w:szCs w:val="32"/>
        </w:rPr>
        <w:t>%</w:t>
      </w:r>
      <w:r>
        <w:rPr>
          <w:rFonts w:hint="eastAsia" w:ascii="仿宋" w:hAnsi="仿宋" w:eastAsia="仿宋" w:cs="DengXian-Regular"/>
          <w:sz w:val="32"/>
          <w:szCs w:val="32"/>
        </w:rPr>
        <w:t>；城乡社区支出46.21万元，占6.46</w:t>
      </w:r>
      <w:r>
        <w:rPr>
          <w:rFonts w:ascii="仿宋" w:hAnsi="仿宋" w:eastAsia="仿宋" w:cs="DengXian-Regular"/>
          <w:sz w:val="32"/>
          <w:szCs w:val="32"/>
        </w:rPr>
        <w:t>%</w:t>
      </w:r>
      <w:r>
        <w:rPr>
          <w:rFonts w:hint="eastAsia" w:ascii="仿宋" w:hAnsi="仿宋" w:eastAsia="仿宋" w:cs="DengXian-Regular"/>
          <w:sz w:val="32"/>
          <w:szCs w:val="32"/>
        </w:rPr>
        <w:t>；农林水支出105.31万元，占</w:t>
      </w:r>
      <w:r>
        <w:rPr>
          <w:rFonts w:ascii="仿宋" w:hAnsi="仿宋" w:eastAsia="仿宋" w:cs="DengXian-Regular"/>
          <w:sz w:val="32"/>
          <w:szCs w:val="32"/>
        </w:rPr>
        <w:t xml:space="preserve"> </w:t>
      </w:r>
      <w:r>
        <w:rPr>
          <w:rFonts w:hint="eastAsia" w:ascii="仿宋" w:hAnsi="仿宋" w:eastAsia="仿宋" w:cs="DengXian-Regular"/>
          <w:sz w:val="32"/>
          <w:szCs w:val="32"/>
        </w:rPr>
        <w:t>14.73</w:t>
      </w:r>
      <w:r>
        <w:rPr>
          <w:rFonts w:ascii="仿宋" w:hAnsi="仿宋" w:eastAsia="仿宋" w:cs="DengXian-Regular"/>
          <w:sz w:val="32"/>
          <w:szCs w:val="32"/>
        </w:rPr>
        <w:t>%</w:t>
      </w:r>
      <w:r>
        <w:rPr>
          <w:rFonts w:hint="eastAsia" w:ascii="仿宋" w:hAnsi="仿宋" w:eastAsia="仿宋" w:cs="DengXian-Regular"/>
          <w:sz w:val="32"/>
          <w:szCs w:val="32"/>
        </w:rPr>
        <w:t>。</w:t>
      </w:r>
    </w:p>
    <w:p>
      <w:pPr>
        <w:adjustRightInd w:val="0"/>
        <w:snapToGrid w:val="0"/>
        <w:spacing w:line="580" w:lineRule="exact"/>
        <w:ind w:left="420" w:leftChars="200"/>
        <w:rPr>
          <w:rFonts w:ascii="仿宋" w:hAnsi="仿宋" w:eastAsia="仿宋" w:cs="DengXian-Bold"/>
          <w:b/>
          <w:bCs/>
          <w:sz w:val="32"/>
          <w:szCs w:val="32"/>
        </w:rPr>
      </w:pPr>
      <w:r>
        <w:rPr>
          <w:rFonts w:hint="eastAsia" w:ascii="仿宋" w:hAnsi="仿宋" w:eastAsia="仿宋" w:cs="DengXian-Bold"/>
          <w:b/>
          <w:bCs/>
          <w:sz w:val="32"/>
          <w:szCs w:val="32"/>
        </w:rPr>
        <w:t>（四）一般公共预算基本支出决算情况说明</w:t>
      </w:r>
    </w:p>
    <w:p>
      <w:pPr>
        <w:adjustRightInd w:val="0"/>
        <w:snapToGrid w:val="0"/>
        <w:spacing w:line="580" w:lineRule="exact"/>
        <w:ind w:firstLine="640" w:firstLineChars="200"/>
        <w:rPr>
          <w:rFonts w:ascii="仿宋" w:hAnsi="仿宋" w:eastAsia="仿宋" w:cs="DengXian-Regular"/>
          <w:sz w:val="32"/>
          <w:szCs w:val="32"/>
        </w:rPr>
      </w:pPr>
      <w:r>
        <w:rPr>
          <w:rFonts w:ascii="仿宋" w:hAnsi="仿宋" w:eastAsia="仿宋" w:cs="DengXian-Regular"/>
          <w:sz w:val="32"/>
          <w:szCs w:val="32"/>
        </w:rPr>
        <w:t xml:space="preserve">2019 </w:t>
      </w:r>
      <w:r>
        <w:rPr>
          <w:rFonts w:hint="eastAsia" w:ascii="仿宋" w:hAnsi="仿宋" w:eastAsia="仿宋" w:cs="DengXian-Regular"/>
          <w:sz w:val="32"/>
          <w:szCs w:val="32"/>
        </w:rPr>
        <w:t>年度财政拨款基本支出632.52万元，其中：人员经费</w:t>
      </w:r>
      <w:r>
        <w:rPr>
          <w:rFonts w:ascii="仿宋" w:hAnsi="仿宋" w:eastAsia="仿宋" w:cs="DengXian-Regular"/>
          <w:sz w:val="32"/>
          <w:szCs w:val="32"/>
        </w:rPr>
        <w:t xml:space="preserve"> </w:t>
      </w:r>
      <w:r>
        <w:rPr>
          <w:rFonts w:hint="eastAsia" w:ascii="仿宋" w:hAnsi="仿宋" w:eastAsia="仿宋" w:cs="DengXian-Regular"/>
          <w:sz w:val="32"/>
          <w:szCs w:val="32"/>
        </w:rPr>
        <w:t>500.11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132.41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keepNext/>
        <w:keepLines/>
        <w:snapToGrid w:val="0"/>
        <w:spacing w:line="580" w:lineRule="exact"/>
        <w:ind w:firstLine="640" w:firstLineChars="200"/>
        <w:outlineLvl w:val="1"/>
        <w:rPr>
          <w:rFonts w:ascii="仿宋" w:hAnsi="仿宋" w:eastAsia="仿宋"/>
          <w:sz w:val="32"/>
          <w:szCs w:val="32"/>
        </w:rPr>
      </w:pPr>
      <w:r>
        <w:rPr>
          <w:rFonts w:hint="eastAsia" w:ascii="仿宋" w:hAnsi="仿宋" w:eastAsia="仿宋"/>
          <w:sz w:val="32"/>
          <w:szCs w:val="32"/>
        </w:rPr>
        <w:t>五、一般公共预算“三公”</w:t>
      </w:r>
      <w:r>
        <w:rPr>
          <w:rFonts w:ascii="仿宋" w:hAnsi="仿宋" w:eastAsia="仿宋"/>
          <w:sz w:val="32"/>
          <w:szCs w:val="32"/>
        </w:rPr>
        <w:t xml:space="preserve"> </w:t>
      </w:r>
      <w:r>
        <w:rPr>
          <w:rFonts w:hint="eastAsia" w:ascii="仿宋" w:hAnsi="仿宋" w:eastAsia="仿宋"/>
          <w:sz w:val="32"/>
          <w:szCs w:val="32"/>
        </w:rPr>
        <w:t>经费支出决算情况说明</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本部门</w:t>
      </w:r>
      <w:r>
        <w:rPr>
          <w:rFonts w:ascii="仿宋" w:hAnsi="仿宋" w:eastAsia="仿宋" w:cs="DengXian-Regular"/>
          <w:sz w:val="32"/>
          <w:szCs w:val="32"/>
        </w:rPr>
        <w:t>2019</w:t>
      </w:r>
      <w:r>
        <w:rPr>
          <w:rFonts w:hint="eastAsia" w:ascii="仿宋" w:hAnsi="仿宋" w:eastAsia="仿宋" w:cs="DengXian-Regular"/>
          <w:sz w:val="32"/>
          <w:szCs w:val="32"/>
        </w:rPr>
        <w:t>年度“三公”经费支出共计8.19万元，完成预算的64.69</w:t>
      </w:r>
      <w:r>
        <w:rPr>
          <w:rFonts w:ascii="仿宋" w:hAnsi="仿宋" w:eastAsia="仿宋" w:cs="DengXian-Regular"/>
          <w:sz w:val="32"/>
          <w:szCs w:val="32"/>
        </w:rPr>
        <w:t>%</w:t>
      </w:r>
      <w:r>
        <w:rPr>
          <w:rFonts w:hint="eastAsia" w:ascii="仿宋" w:hAnsi="仿宋" w:eastAsia="仿宋" w:cs="DengXian-Regular"/>
          <w:sz w:val="32"/>
          <w:szCs w:val="32"/>
        </w:rPr>
        <w:t>，较年初预算减少4.47万元，降低35.31</w:t>
      </w:r>
      <w:r>
        <w:rPr>
          <w:rFonts w:ascii="仿宋" w:hAnsi="仿宋" w:eastAsia="仿宋" w:cs="DengXian-Regular"/>
          <w:sz w:val="32"/>
          <w:szCs w:val="32"/>
        </w:rPr>
        <w:t>%</w:t>
      </w:r>
      <w:r>
        <w:rPr>
          <w:rFonts w:hint="eastAsia" w:ascii="仿宋" w:hAnsi="仿宋" w:eastAsia="仿宋" w:cs="DengXian-Regular"/>
          <w:sz w:val="32"/>
          <w:szCs w:val="32"/>
        </w:rPr>
        <w:t>，主要是</w:t>
      </w:r>
      <w:r>
        <w:rPr>
          <w:rFonts w:hint="eastAsia" w:ascii="仿宋" w:hAnsi="仿宋" w:eastAsia="仿宋"/>
          <w:sz w:val="32"/>
          <w:szCs w:val="32"/>
        </w:rPr>
        <w:t>我单位公务接待严格执行市委､市政府要求</w:t>
      </w:r>
      <w:r>
        <w:rPr>
          <w:rFonts w:ascii="仿宋" w:hAnsi="仿宋" w:eastAsia="仿宋"/>
          <w:sz w:val="32"/>
          <w:szCs w:val="32"/>
        </w:rPr>
        <w:t>,</w:t>
      </w:r>
      <w:r>
        <w:rPr>
          <w:rFonts w:hint="eastAsia" w:ascii="仿宋" w:hAnsi="仿宋" w:eastAsia="仿宋"/>
          <w:sz w:val="32"/>
          <w:szCs w:val="32"/>
        </w:rPr>
        <w:t>厉行节约､艰苦奋斗</w:t>
      </w:r>
      <w:r>
        <w:rPr>
          <w:rFonts w:ascii="仿宋" w:hAnsi="仿宋" w:eastAsia="仿宋"/>
          <w:sz w:val="32"/>
          <w:szCs w:val="32"/>
        </w:rPr>
        <w:t>,</w:t>
      </w:r>
      <w:r>
        <w:rPr>
          <w:rFonts w:hint="eastAsia" w:ascii="仿宋" w:hAnsi="仿宋" w:eastAsia="仿宋"/>
          <w:sz w:val="32"/>
          <w:szCs w:val="32"/>
        </w:rPr>
        <w:t>严格执行招待报批程序</w:t>
      </w:r>
      <w:r>
        <w:rPr>
          <w:rFonts w:ascii="仿宋" w:hAnsi="仿宋" w:eastAsia="仿宋"/>
          <w:sz w:val="32"/>
          <w:szCs w:val="32"/>
        </w:rPr>
        <w:t>,</w:t>
      </w:r>
      <w:r>
        <w:rPr>
          <w:rFonts w:hint="eastAsia" w:ascii="仿宋" w:hAnsi="仿宋" w:eastAsia="仿宋"/>
          <w:sz w:val="32"/>
          <w:szCs w:val="32"/>
        </w:rPr>
        <w:t>实行对口接待</w:t>
      </w:r>
      <w:r>
        <w:rPr>
          <w:rFonts w:ascii="仿宋" w:hAnsi="仿宋" w:eastAsia="仿宋"/>
          <w:sz w:val="32"/>
          <w:szCs w:val="32"/>
        </w:rPr>
        <w:t>,</w:t>
      </w:r>
      <w:r>
        <w:rPr>
          <w:rFonts w:hint="eastAsia" w:ascii="仿宋" w:hAnsi="仿宋" w:eastAsia="仿宋"/>
          <w:sz w:val="32"/>
          <w:szCs w:val="32"/>
        </w:rPr>
        <w:t>控制陪餐人员</w:t>
      </w:r>
      <w:r>
        <w:rPr>
          <w:rFonts w:ascii="仿宋" w:hAnsi="仿宋" w:eastAsia="仿宋"/>
          <w:sz w:val="32"/>
          <w:szCs w:val="32"/>
        </w:rPr>
        <w:t>,</w:t>
      </w:r>
      <w:r>
        <w:rPr>
          <w:rFonts w:hint="eastAsia" w:ascii="仿宋" w:hAnsi="仿宋" w:eastAsia="仿宋"/>
          <w:sz w:val="32"/>
          <w:szCs w:val="32"/>
        </w:rPr>
        <w:t>从严掌握招待标准</w:t>
      </w:r>
      <w:r>
        <w:rPr>
          <w:rFonts w:ascii="仿宋" w:hAnsi="仿宋" w:eastAsia="仿宋"/>
          <w:sz w:val="32"/>
          <w:szCs w:val="32"/>
        </w:rPr>
        <w:t>,</w:t>
      </w:r>
      <w:r>
        <w:rPr>
          <w:rFonts w:hint="eastAsia" w:ascii="仿宋" w:hAnsi="仿宋" w:eastAsia="仿宋"/>
          <w:sz w:val="32"/>
          <w:szCs w:val="32"/>
        </w:rPr>
        <w:t>不存在利用公款互相宴请及请客送礼等问题</w:t>
      </w:r>
      <w:r>
        <w:rPr>
          <w:rFonts w:ascii="仿宋" w:hAnsi="仿宋" w:eastAsia="仿宋"/>
          <w:sz w:val="32"/>
          <w:szCs w:val="32"/>
        </w:rPr>
        <w:t>,</w:t>
      </w:r>
      <w:r>
        <w:rPr>
          <w:rFonts w:hint="eastAsia" w:ascii="仿宋" w:hAnsi="仿宋" w:eastAsia="仿宋"/>
          <w:sz w:val="32"/>
          <w:szCs w:val="32"/>
        </w:rPr>
        <w:t>公务接待费用明显降低｡我单位对公车运行实行定点维修､定点加油､统一保险和统一保养</w:t>
      </w:r>
      <w:r>
        <w:rPr>
          <w:rFonts w:ascii="仿宋" w:hAnsi="仿宋" w:eastAsia="仿宋"/>
          <w:sz w:val="32"/>
          <w:szCs w:val="32"/>
        </w:rPr>
        <w:t>,</w:t>
      </w:r>
      <w:r>
        <w:rPr>
          <w:rFonts w:hint="eastAsia" w:ascii="仿宋" w:hAnsi="仿宋" w:eastAsia="仿宋"/>
          <w:sz w:val="32"/>
          <w:szCs w:val="32"/>
        </w:rPr>
        <w:t>节假日严格执行公务车辆封存制度</w:t>
      </w:r>
      <w:r>
        <w:rPr>
          <w:rFonts w:ascii="仿宋" w:hAnsi="仿宋" w:eastAsia="仿宋"/>
          <w:sz w:val="32"/>
          <w:szCs w:val="32"/>
        </w:rPr>
        <w:t>,</w:t>
      </w:r>
      <w:r>
        <w:rPr>
          <w:rFonts w:hint="eastAsia" w:ascii="仿宋" w:hAnsi="仿宋" w:eastAsia="仿宋"/>
          <w:sz w:val="32"/>
          <w:szCs w:val="32"/>
        </w:rPr>
        <w:t>不存在超标准配备公车或装饰公车行为｡</w:t>
      </w:r>
      <w:r>
        <w:rPr>
          <w:rFonts w:hint="eastAsia" w:ascii="仿宋" w:hAnsi="仿宋" w:eastAsia="仿宋" w:cs="DengXian-Regular"/>
          <w:sz w:val="32"/>
          <w:szCs w:val="32"/>
        </w:rPr>
        <w:t>较</w:t>
      </w:r>
      <w:r>
        <w:rPr>
          <w:rFonts w:ascii="仿宋" w:hAnsi="仿宋" w:eastAsia="仿宋" w:cs="DengXian-Regular"/>
          <w:sz w:val="32"/>
          <w:szCs w:val="32"/>
        </w:rPr>
        <w:t>2018</w:t>
      </w:r>
      <w:r>
        <w:rPr>
          <w:rFonts w:hint="eastAsia" w:ascii="仿宋" w:hAnsi="仿宋" w:eastAsia="仿宋" w:cs="DengXian-Regular"/>
          <w:sz w:val="32"/>
          <w:szCs w:val="32"/>
        </w:rPr>
        <w:t>年度减少3.74万元,降低31.35%,主要是</w:t>
      </w:r>
      <w:r>
        <w:rPr>
          <w:rFonts w:hint="eastAsia" w:ascii="仿宋" w:hAnsi="仿宋" w:eastAsia="仿宋"/>
          <w:sz w:val="32"/>
          <w:szCs w:val="32"/>
        </w:rPr>
        <w:t>我单位公务接待严格执行市委､市政府要求</w:t>
      </w:r>
      <w:r>
        <w:rPr>
          <w:rFonts w:ascii="仿宋" w:hAnsi="仿宋" w:eastAsia="仿宋"/>
          <w:sz w:val="32"/>
          <w:szCs w:val="32"/>
        </w:rPr>
        <w:t>,</w:t>
      </w:r>
      <w:r>
        <w:rPr>
          <w:rFonts w:hint="eastAsia" w:ascii="仿宋" w:hAnsi="仿宋" w:eastAsia="仿宋"/>
          <w:sz w:val="32"/>
          <w:szCs w:val="32"/>
        </w:rPr>
        <w:t>厉行节约､艰苦奋斗</w:t>
      </w:r>
      <w:r>
        <w:rPr>
          <w:rFonts w:ascii="仿宋" w:hAnsi="仿宋" w:eastAsia="仿宋"/>
          <w:sz w:val="32"/>
          <w:szCs w:val="32"/>
        </w:rPr>
        <w:t>,</w:t>
      </w:r>
      <w:r>
        <w:rPr>
          <w:rFonts w:hint="eastAsia" w:ascii="仿宋" w:hAnsi="仿宋" w:eastAsia="仿宋"/>
          <w:sz w:val="32"/>
          <w:szCs w:val="32"/>
        </w:rPr>
        <w:t>严格执行招待报批程序</w:t>
      </w:r>
      <w:r>
        <w:rPr>
          <w:rFonts w:ascii="仿宋" w:hAnsi="仿宋" w:eastAsia="仿宋"/>
          <w:sz w:val="32"/>
          <w:szCs w:val="32"/>
        </w:rPr>
        <w:t>,</w:t>
      </w:r>
      <w:r>
        <w:rPr>
          <w:rFonts w:hint="eastAsia" w:ascii="仿宋" w:hAnsi="仿宋" w:eastAsia="仿宋"/>
          <w:sz w:val="32"/>
          <w:szCs w:val="32"/>
        </w:rPr>
        <w:t>实行对口接待</w:t>
      </w:r>
      <w:r>
        <w:rPr>
          <w:rFonts w:ascii="仿宋" w:hAnsi="仿宋" w:eastAsia="仿宋"/>
          <w:sz w:val="32"/>
          <w:szCs w:val="32"/>
        </w:rPr>
        <w:t>,</w:t>
      </w:r>
      <w:r>
        <w:rPr>
          <w:rFonts w:hint="eastAsia" w:ascii="仿宋" w:hAnsi="仿宋" w:eastAsia="仿宋"/>
          <w:sz w:val="32"/>
          <w:szCs w:val="32"/>
        </w:rPr>
        <w:t>控制陪餐人员</w:t>
      </w:r>
      <w:r>
        <w:rPr>
          <w:rFonts w:ascii="仿宋" w:hAnsi="仿宋" w:eastAsia="仿宋"/>
          <w:sz w:val="32"/>
          <w:szCs w:val="32"/>
        </w:rPr>
        <w:t>,</w:t>
      </w:r>
      <w:r>
        <w:rPr>
          <w:rFonts w:hint="eastAsia" w:ascii="仿宋" w:hAnsi="仿宋" w:eastAsia="仿宋"/>
          <w:sz w:val="32"/>
          <w:szCs w:val="32"/>
        </w:rPr>
        <w:t>从严掌握招待标准</w:t>
      </w:r>
      <w:r>
        <w:rPr>
          <w:rFonts w:ascii="仿宋" w:hAnsi="仿宋" w:eastAsia="仿宋"/>
          <w:sz w:val="32"/>
          <w:szCs w:val="32"/>
        </w:rPr>
        <w:t>,</w:t>
      </w:r>
      <w:r>
        <w:rPr>
          <w:rFonts w:hint="eastAsia" w:ascii="仿宋" w:hAnsi="仿宋" w:eastAsia="仿宋"/>
          <w:sz w:val="32"/>
          <w:szCs w:val="32"/>
        </w:rPr>
        <w:t>不存在利用公款互相宴请及请客送礼等问题</w:t>
      </w:r>
      <w:r>
        <w:rPr>
          <w:rFonts w:ascii="仿宋" w:hAnsi="仿宋" w:eastAsia="仿宋"/>
          <w:sz w:val="32"/>
          <w:szCs w:val="32"/>
        </w:rPr>
        <w:t>,</w:t>
      </w:r>
      <w:r>
        <w:rPr>
          <w:rFonts w:hint="eastAsia" w:ascii="仿宋" w:hAnsi="仿宋" w:eastAsia="仿宋"/>
          <w:sz w:val="32"/>
          <w:szCs w:val="32"/>
        </w:rPr>
        <w:t>公务接待费用明显降低｡我单位对公车运行实行定点维修､定点加油､统一保险和统一保养</w:t>
      </w:r>
      <w:r>
        <w:rPr>
          <w:rFonts w:ascii="仿宋" w:hAnsi="仿宋" w:eastAsia="仿宋"/>
          <w:sz w:val="32"/>
          <w:szCs w:val="32"/>
        </w:rPr>
        <w:t>,</w:t>
      </w:r>
      <w:r>
        <w:rPr>
          <w:rFonts w:hint="eastAsia" w:ascii="仿宋" w:hAnsi="仿宋" w:eastAsia="仿宋"/>
          <w:sz w:val="32"/>
          <w:szCs w:val="32"/>
        </w:rPr>
        <w:t>节假日严格执行公务车辆封存制度</w:t>
      </w:r>
      <w:r>
        <w:rPr>
          <w:rFonts w:ascii="仿宋" w:hAnsi="仿宋" w:eastAsia="仿宋"/>
          <w:sz w:val="32"/>
          <w:szCs w:val="32"/>
        </w:rPr>
        <w:t>,</w:t>
      </w:r>
      <w:r>
        <w:rPr>
          <w:rFonts w:hint="eastAsia" w:ascii="仿宋" w:hAnsi="仿宋" w:eastAsia="仿宋"/>
          <w:sz w:val="32"/>
          <w:szCs w:val="32"/>
        </w:rPr>
        <w:t>不存在超标准配备公车或装饰公车行为</w:t>
      </w:r>
      <w:r>
        <w:rPr>
          <w:rFonts w:hint="eastAsia" w:ascii="仿宋" w:hAnsi="仿宋" w:eastAsia="仿宋" w:cs="DengXian-Regular"/>
          <w:sz w:val="32"/>
          <w:szCs w:val="32"/>
        </w:rPr>
        <w:t>。具体情况如下：</w:t>
      </w:r>
    </w:p>
    <w:p>
      <w:pPr>
        <w:adjustRightInd w:val="0"/>
        <w:snapToGrid w:val="0"/>
        <w:spacing w:line="580" w:lineRule="exact"/>
        <w:ind w:firstLine="643" w:firstLineChars="200"/>
        <w:rPr>
          <w:rFonts w:ascii="仿宋" w:hAnsi="仿宋" w:eastAsia="仿宋" w:cs="宋体"/>
          <w:sz w:val="32"/>
          <w:szCs w:val="32"/>
        </w:rPr>
      </w:pPr>
      <w:r>
        <w:rPr>
          <w:rFonts w:hint="eastAsia" w:ascii="仿宋" w:hAnsi="仿宋" w:eastAsia="仿宋" w:cs="DengXian-Bold"/>
          <w:b/>
          <w:bCs/>
          <w:sz w:val="32"/>
          <w:szCs w:val="32"/>
        </w:rPr>
        <w:t>（一）因公出国（境）费支出0万元。</w:t>
      </w:r>
      <w:r>
        <w:rPr>
          <w:rFonts w:hint="eastAsia" w:ascii="仿宋" w:hAnsi="仿宋" w:eastAsia="仿宋" w:cs="DengXian-Regular"/>
          <w:sz w:val="32"/>
          <w:szCs w:val="32"/>
        </w:rPr>
        <w:t>本部门</w:t>
      </w:r>
      <w:r>
        <w:rPr>
          <w:rFonts w:ascii="仿宋" w:hAnsi="仿宋" w:eastAsia="仿宋" w:cs="DengXian-Regular"/>
          <w:sz w:val="32"/>
          <w:szCs w:val="32"/>
        </w:rPr>
        <w:t>2019</w:t>
      </w:r>
      <w:r>
        <w:rPr>
          <w:rFonts w:hint="eastAsia" w:ascii="仿宋" w:hAnsi="仿宋" w:eastAsia="仿宋" w:cs="DengXian-Regular"/>
          <w:sz w:val="32"/>
          <w:szCs w:val="32"/>
        </w:rPr>
        <w:t>年度因公出国（境）团组0个、共0人参加其他单位组织的因公出国（境）团组0个、共0人，无本单位组织的出国（境）团组。</w:t>
      </w:r>
      <w:r>
        <w:rPr>
          <w:rFonts w:hint="eastAsia" w:ascii="仿宋" w:hAnsi="仿宋" w:eastAsia="仿宋" w:cs="方正仿宋简体"/>
          <w:sz w:val="32"/>
          <w:szCs w:val="32"/>
        </w:rPr>
        <w:t>因公出国</w:t>
      </w:r>
      <w:r>
        <w:rPr>
          <w:rFonts w:hint="eastAsia" w:ascii="仿宋" w:hAnsi="仿宋" w:eastAsia="仿宋" w:cs="DengXian-Regular"/>
          <w:sz w:val="32"/>
          <w:szCs w:val="32"/>
        </w:rPr>
        <w:t>(境)费支出较年初预算无增减变化,较上年无增减变化。主要是严格</w:t>
      </w:r>
      <w:r>
        <w:rPr>
          <w:rFonts w:hint="eastAsia" w:ascii="仿宋" w:hAnsi="仿宋" w:eastAsia="仿宋" w:cs="宋体"/>
          <w:sz w:val="32"/>
          <w:szCs w:val="32"/>
        </w:rPr>
        <w:t>执行中央八项规定，严格控制支出厉行节约原则。</w:t>
      </w:r>
    </w:p>
    <w:p>
      <w:pPr>
        <w:adjustRightInd w:val="0"/>
        <w:snapToGrid w:val="0"/>
        <w:spacing w:line="580" w:lineRule="exact"/>
        <w:ind w:firstLine="643" w:firstLineChars="200"/>
        <w:rPr>
          <w:rFonts w:ascii="仿宋" w:hAnsi="仿宋" w:eastAsia="仿宋" w:cs="DengXian-Bold"/>
          <w:b/>
          <w:bCs/>
          <w:sz w:val="32"/>
          <w:szCs w:val="32"/>
        </w:rPr>
      </w:pPr>
      <w:r>
        <w:rPr>
          <w:rFonts w:hint="eastAsia" w:ascii="仿宋" w:hAnsi="仿宋" w:eastAsia="仿宋" w:cs="DengXian-Bold"/>
          <w:b/>
          <w:bCs/>
          <w:sz w:val="32"/>
          <w:szCs w:val="32"/>
        </w:rPr>
        <w:t>（二）公务用车购置及运行维护费支出7.8万元。</w:t>
      </w:r>
      <w:r>
        <w:rPr>
          <w:rFonts w:hint="eastAsia" w:ascii="仿宋" w:hAnsi="仿宋" w:eastAsia="仿宋" w:cs="DengXian-Regular"/>
          <w:sz w:val="32"/>
          <w:szCs w:val="32"/>
        </w:rPr>
        <w:t>本部门</w:t>
      </w:r>
      <w:r>
        <w:rPr>
          <w:rFonts w:ascii="仿宋" w:hAnsi="仿宋" w:eastAsia="仿宋" w:cs="DengXian-Regular"/>
          <w:sz w:val="32"/>
          <w:szCs w:val="32"/>
        </w:rPr>
        <w:t>2019</w:t>
      </w:r>
      <w:r>
        <w:rPr>
          <w:rFonts w:hint="eastAsia" w:ascii="仿宋" w:hAnsi="仿宋" w:eastAsia="仿宋" w:cs="DengXian-Regular"/>
          <w:sz w:val="32"/>
          <w:szCs w:val="32"/>
        </w:rPr>
        <w:t>年度公务用车购置及运行维护费较年初预算减少4.2万元，降低35</w:t>
      </w:r>
      <w:r>
        <w:rPr>
          <w:rFonts w:ascii="仿宋" w:hAnsi="仿宋" w:eastAsia="仿宋" w:cs="DengXian-Regular"/>
          <w:sz w:val="32"/>
          <w:szCs w:val="32"/>
        </w:rPr>
        <w:t>%,</w:t>
      </w:r>
      <w:r>
        <w:rPr>
          <w:rFonts w:hint="eastAsia" w:ascii="仿宋" w:hAnsi="仿宋" w:eastAsia="仿宋" w:cs="DengXian-Regular"/>
          <w:sz w:val="32"/>
          <w:szCs w:val="32"/>
        </w:rPr>
        <w:t>主要是</w:t>
      </w:r>
      <w:r>
        <w:rPr>
          <w:rFonts w:hint="eastAsia" w:ascii="仿宋" w:hAnsi="仿宋" w:eastAsia="仿宋"/>
          <w:sz w:val="32"/>
          <w:szCs w:val="32"/>
        </w:rPr>
        <w:t>我单位对公车运行实行定点维修</w:t>
      </w:r>
      <w:r>
        <w:rPr>
          <w:rFonts w:hint="eastAsia" w:ascii="仿宋" w:hAnsi="仿宋" w:eastAsia="MS Mincho" w:cs="MS Mincho"/>
          <w:sz w:val="32"/>
          <w:szCs w:val="32"/>
        </w:rPr>
        <w:t>､</w:t>
      </w:r>
      <w:r>
        <w:rPr>
          <w:rFonts w:hint="eastAsia" w:ascii="仿宋" w:hAnsi="仿宋" w:eastAsia="仿宋" w:cs="方正仿宋简体"/>
          <w:sz w:val="32"/>
          <w:szCs w:val="32"/>
        </w:rPr>
        <w:t>定点加油</w:t>
      </w:r>
      <w:r>
        <w:rPr>
          <w:rFonts w:hint="eastAsia" w:ascii="仿宋" w:hAnsi="仿宋" w:eastAsia="MS Mincho" w:cs="MS Mincho"/>
          <w:sz w:val="32"/>
          <w:szCs w:val="32"/>
        </w:rPr>
        <w:t>､</w:t>
      </w:r>
      <w:r>
        <w:rPr>
          <w:rFonts w:hint="eastAsia" w:ascii="仿宋" w:hAnsi="仿宋" w:eastAsia="仿宋" w:cs="方正仿宋简体"/>
          <w:sz w:val="32"/>
          <w:szCs w:val="32"/>
        </w:rPr>
        <w:t>统一保险和统一保养</w:t>
      </w:r>
      <w:r>
        <w:rPr>
          <w:rFonts w:hint="eastAsia" w:ascii="仿宋" w:hAnsi="仿宋" w:eastAsia="仿宋"/>
          <w:sz w:val="32"/>
          <w:szCs w:val="32"/>
        </w:rPr>
        <w:t>,节假日严格执行公务车辆封存制度,不存在超标准配备公车或装饰公车行为</w:t>
      </w:r>
      <w:r>
        <w:rPr>
          <w:rFonts w:hint="eastAsia" w:ascii="仿宋" w:hAnsi="仿宋" w:eastAsia="仿宋" w:cs="DengXian-Regular"/>
          <w:sz w:val="32"/>
          <w:szCs w:val="32"/>
        </w:rPr>
        <w:t>；较上年减少3.34万元，降低29.98%,主要是</w:t>
      </w:r>
      <w:r>
        <w:rPr>
          <w:rFonts w:hint="eastAsia" w:ascii="仿宋" w:hAnsi="仿宋" w:eastAsia="仿宋"/>
          <w:sz w:val="32"/>
          <w:szCs w:val="32"/>
        </w:rPr>
        <w:t>我单位对公车运行实行定点维修</w:t>
      </w:r>
      <w:r>
        <w:rPr>
          <w:rFonts w:hint="eastAsia" w:ascii="仿宋" w:hAnsi="仿宋" w:eastAsia="MS Mincho" w:cs="MS Mincho"/>
          <w:sz w:val="32"/>
          <w:szCs w:val="32"/>
        </w:rPr>
        <w:t>､</w:t>
      </w:r>
      <w:r>
        <w:rPr>
          <w:rFonts w:hint="eastAsia" w:ascii="仿宋" w:hAnsi="仿宋" w:eastAsia="仿宋" w:cs="方正仿宋简体"/>
          <w:sz w:val="32"/>
          <w:szCs w:val="32"/>
        </w:rPr>
        <w:t>定点加油</w:t>
      </w:r>
      <w:r>
        <w:rPr>
          <w:rFonts w:hint="eastAsia" w:ascii="仿宋" w:hAnsi="仿宋" w:eastAsia="MS Mincho" w:cs="MS Mincho"/>
          <w:sz w:val="32"/>
          <w:szCs w:val="32"/>
        </w:rPr>
        <w:t>､</w:t>
      </w:r>
      <w:r>
        <w:rPr>
          <w:rFonts w:hint="eastAsia" w:ascii="仿宋" w:hAnsi="仿宋" w:eastAsia="仿宋" w:cs="方正仿宋简体"/>
          <w:sz w:val="32"/>
          <w:szCs w:val="32"/>
        </w:rPr>
        <w:t>统一保险和统一保养</w:t>
      </w:r>
      <w:r>
        <w:rPr>
          <w:rFonts w:hint="eastAsia" w:ascii="仿宋" w:hAnsi="仿宋" w:eastAsia="仿宋"/>
          <w:sz w:val="32"/>
          <w:szCs w:val="32"/>
        </w:rPr>
        <w:t>,节假日严格执行公务车辆封存制度,不存在超标准配备公车或装饰公车行为</w:t>
      </w:r>
      <w:r>
        <w:rPr>
          <w:rFonts w:hint="eastAsia" w:ascii="仿宋" w:hAnsi="仿宋" w:eastAsia="仿宋" w:cs="DengXian-Regular"/>
          <w:sz w:val="32"/>
          <w:szCs w:val="32"/>
        </w:rPr>
        <w:t>。</w:t>
      </w:r>
      <w:r>
        <w:rPr>
          <w:rFonts w:hint="eastAsia" w:ascii="仿宋" w:hAnsi="仿宋" w:eastAsia="仿宋" w:cs="DengXian-Bold"/>
          <w:b/>
          <w:bCs/>
          <w:sz w:val="32"/>
          <w:szCs w:val="32"/>
        </w:rPr>
        <w:t>其中：</w:t>
      </w:r>
    </w:p>
    <w:p>
      <w:pPr>
        <w:adjustRightInd w:val="0"/>
        <w:snapToGrid w:val="0"/>
        <w:spacing w:line="580" w:lineRule="exact"/>
        <w:ind w:firstLine="643" w:firstLineChars="200"/>
        <w:rPr>
          <w:rFonts w:ascii="仿宋" w:hAnsi="仿宋" w:eastAsia="仿宋" w:cs="宋体"/>
          <w:sz w:val="32"/>
          <w:szCs w:val="32"/>
        </w:rPr>
      </w:pPr>
      <w:r>
        <w:rPr>
          <w:rFonts w:hint="eastAsia" w:ascii="仿宋" w:hAnsi="仿宋" w:eastAsia="仿宋" w:cs="DengXian-Regular"/>
          <w:b/>
          <w:sz w:val="32"/>
          <w:szCs w:val="32"/>
        </w:rPr>
        <w:t>公务用车购置费：</w:t>
      </w:r>
      <w:r>
        <w:rPr>
          <w:rFonts w:hint="eastAsia" w:ascii="仿宋" w:hAnsi="仿宋" w:eastAsia="仿宋" w:cs="DengXian-Regular"/>
          <w:sz w:val="32"/>
          <w:szCs w:val="32"/>
        </w:rPr>
        <w:t>本部门</w:t>
      </w:r>
      <w:r>
        <w:rPr>
          <w:rFonts w:ascii="仿宋" w:hAnsi="仿宋" w:eastAsia="仿宋" w:cs="DengXian-Regular"/>
          <w:sz w:val="32"/>
          <w:szCs w:val="32"/>
        </w:rPr>
        <w:t>2019</w:t>
      </w:r>
      <w:r>
        <w:rPr>
          <w:rFonts w:hint="eastAsia" w:ascii="仿宋" w:hAnsi="仿宋" w:eastAsia="仿宋" w:cs="DengXian-Regular"/>
          <w:sz w:val="32"/>
          <w:szCs w:val="32"/>
        </w:rPr>
        <w:t>年度公务用车购置量0辆，发生“公务用车购置”经费支出0万元。公务用车购置费支出与年初预算持平，与2018年度决算支出持平。主要是严格</w:t>
      </w:r>
      <w:r>
        <w:rPr>
          <w:rFonts w:hint="eastAsia" w:ascii="仿宋" w:hAnsi="仿宋" w:eastAsia="仿宋" w:cs="宋体"/>
          <w:sz w:val="32"/>
          <w:szCs w:val="32"/>
        </w:rPr>
        <w:t>执行中央八项规定，严格控制支出厉行节约原则。</w:t>
      </w:r>
    </w:p>
    <w:p>
      <w:pPr>
        <w:adjustRightInd w:val="0"/>
        <w:snapToGrid w:val="0"/>
        <w:spacing w:line="580" w:lineRule="exact"/>
        <w:ind w:firstLine="643" w:firstLineChars="200"/>
        <w:rPr>
          <w:rFonts w:ascii="仿宋" w:hAnsi="仿宋" w:eastAsia="仿宋" w:cs="DengXian-Regular"/>
          <w:sz w:val="32"/>
          <w:szCs w:val="32"/>
        </w:rPr>
      </w:pPr>
      <w:r>
        <w:rPr>
          <w:rFonts w:hint="eastAsia" w:ascii="仿宋" w:hAnsi="仿宋" w:eastAsia="仿宋" w:cs="DengXian-Regular"/>
          <w:b/>
          <w:sz w:val="32"/>
          <w:szCs w:val="32"/>
        </w:rPr>
        <w:t>公务用车运行维护费：</w:t>
      </w:r>
      <w:r>
        <w:rPr>
          <w:rFonts w:hint="eastAsia" w:ascii="仿宋" w:hAnsi="仿宋" w:eastAsia="仿宋" w:cs="DengXian-Regular"/>
          <w:sz w:val="32"/>
          <w:szCs w:val="32"/>
        </w:rPr>
        <w:t>本部门</w:t>
      </w:r>
      <w:r>
        <w:rPr>
          <w:rFonts w:ascii="仿宋" w:hAnsi="仿宋" w:eastAsia="仿宋" w:cs="DengXian-Regular"/>
          <w:sz w:val="32"/>
          <w:szCs w:val="32"/>
        </w:rPr>
        <w:t>2019</w:t>
      </w:r>
      <w:r>
        <w:rPr>
          <w:rFonts w:hint="eastAsia" w:ascii="仿宋" w:hAnsi="仿宋" w:eastAsia="仿宋" w:cs="DengXian-Regular"/>
          <w:sz w:val="32"/>
          <w:szCs w:val="32"/>
        </w:rPr>
        <w:t>年度单位公务用车保有量3辆。公车运行维护费支出较年初预算减少4.2万元，35</w:t>
      </w:r>
      <w:r>
        <w:rPr>
          <w:rFonts w:ascii="仿宋" w:hAnsi="仿宋" w:eastAsia="仿宋" w:cs="DengXian-Regular"/>
          <w:sz w:val="32"/>
          <w:szCs w:val="32"/>
        </w:rPr>
        <w:t>%,</w:t>
      </w:r>
      <w:r>
        <w:rPr>
          <w:rFonts w:hint="eastAsia" w:ascii="仿宋" w:hAnsi="仿宋" w:eastAsia="仿宋" w:cs="DengXian-Regular"/>
          <w:sz w:val="32"/>
          <w:szCs w:val="32"/>
        </w:rPr>
        <w:t>主要是</w:t>
      </w:r>
      <w:r>
        <w:rPr>
          <w:rFonts w:hint="eastAsia" w:ascii="仿宋" w:hAnsi="仿宋" w:eastAsia="仿宋"/>
          <w:sz w:val="32"/>
          <w:szCs w:val="32"/>
        </w:rPr>
        <w:t>我单位对公车运行实行定点维修</w:t>
      </w:r>
      <w:r>
        <w:rPr>
          <w:rFonts w:hint="eastAsia" w:ascii="仿宋" w:hAnsi="仿宋" w:eastAsia="MS Mincho" w:cs="MS Mincho"/>
          <w:sz w:val="32"/>
          <w:szCs w:val="32"/>
        </w:rPr>
        <w:t>､</w:t>
      </w:r>
      <w:r>
        <w:rPr>
          <w:rFonts w:hint="eastAsia" w:ascii="仿宋" w:hAnsi="仿宋" w:eastAsia="仿宋" w:cs="方正仿宋简体"/>
          <w:sz w:val="32"/>
          <w:szCs w:val="32"/>
        </w:rPr>
        <w:t>定点加油</w:t>
      </w:r>
      <w:r>
        <w:rPr>
          <w:rFonts w:hint="eastAsia" w:ascii="仿宋" w:hAnsi="仿宋" w:eastAsia="MS Mincho" w:cs="MS Mincho"/>
          <w:sz w:val="32"/>
          <w:szCs w:val="32"/>
        </w:rPr>
        <w:t>､</w:t>
      </w:r>
      <w:r>
        <w:rPr>
          <w:rFonts w:hint="eastAsia" w:ascii="仿宋" w:hAnsi="仿宋" w:eastAsia="仿宋" w:cs="方正仿宋简体"/>
          <w:sz w:val="32"/>
          <w:szCs w:val="32"/>
        </w:rPr>
        <w:t>统一保险和统一保养</w:t>
      </w:r>
      <w:r>
        <w:rPr>
          <w:rFonts w:hint="eastAsia" w:ascii="仿宋" w:hAnsi="仿宋" w:eastAsia="仿宋"/>
          <w:sz w:val="32"/>
          <w:szCs w:val="32"/>
        </w:rPr>
        <w:t>,节假日严格执行公务车辆封存制度,不存在超标准配备公车或装饰公车行为</w:t>
      </w:r>
      <w:r>
        <w:rPr>
          <w:rFonts w:hint="eastAsia" w:ascii="仿宋" w:hAnsi="仿宋" w:eastAsia="仿宋" w:cs="DengXian-Regular"/>
          <w:sz w:val="32"/>
          <w:szCs w:val="32"/>
        </w:rPr>
        <w:t>；较上年减少3.34万元，降低29.98%,主要是</w:t>
      </w:r>
      <w:r>
        <w:rPr>
          <w:rFonts w:hint="eastAsia" w:ascii="仿宋" w:hAnsi="仿宋" w:eastAsia="仿宋"/>
          <w:sz w:val="32"/>
          <w:szCs w:val="32"/>
        </w:rPr>
        <w:t>我单位对公车运行实行定点维修</w:t>
      </w:r>
      <w:r>
        <w:rPr>
          <w:rFonts w:hint="eastAsia" w:ascii="仿宋" w:hAnsi="仿宋" w:eastAsia="MS Mincho" w:cs="MS Mincho"/>
          <w:sz w:val="32"/>
          <w:szCs w:val="32"/>
        </w:rPr>
        <w:t>､</w:t>
      </w:r>
      <w:r>
        <w:rPr>
          <w:rFonts w:hint="eastAsia" w:ascii="仿宋" w:hAnsi="仿宋" w:eastAsia="仿宋" w:cs="方正仿宋简体"/>
          <w:sz w:val="32"/>
          <w:szCs w:val="32"/>
        </w:rPr>
        <w:t>定点加油</w:t>
      </w:r>
      <w:r>
        <w:rPr>
          <w:rFonts w:hint="eastAsia" w:ascii="仿宋" w:hAnsi="仿宋" w:eastAsia="MS Mincho" w:cs="MS Mincho"/>
          <w:sz w:val="32"/>
          <w:szCs w:val="32"/>
        </w:rPr>
        <w:t>､</w:t>
      </w:r>
      <w:r>
        <w:rPr>
          <w:rFonts w:hint="eastAsia" w:ascii="仿宋" w:hAnsi="仿宋" w:eastAsia="仿宋" w:cs="方正仿宋简体"/>
          <w:sz w:val="32"/>
          <w:szCs w:val="32"/>
        </w:rPr>
        <w:t>统一保险和统一保养</w:t>
      </w:r>
      <w:r>
        <w:rPr>
          <w:rFonts w:hint="eastAsia" w:ascii="仿宋" w:hAnsi="仿宋" w:eastAsia="仿宋"/>
          <w:sz w:val="32"/>
          <w:szCs w:val="32"/>
        </w:rPr>
        <w:t>,节假日严格执行公务车辆封存制度,不存在超标准配备公车或装饰公车行为</w:t>
      </w:r>
      <w:r>
        <w:rPr>
          <w:rFonts w:hint="eastAsia" w:ascii="仿宋" w:hAnsi="仿宋" w:eastAsia="仿宋" w:cs="DengXian-Regular"/>
          <w:sz w:val="32"/>
          <w:szCs w:val="32"/>
        </w:rPr>
        <w:t>。</w:t>
      </w:r>
    </w:p>
    <w:p>
      <w:pPr>
        <w:adjustRightInd w:val="0"/>
        <w:snapToGrid w:val="0"/>
        <w:spacing w:line="580" w:lineRule="exact"/>
        <w:ind w:firstLine="643" w:firstLineChars="200"/>
        <w:rPr>
          <w:rFonts w:ascii="仿宋" w:hAnsi="仿宋" w:eastAsia="仿宋" w:cs="DengXian-Regular"/>
          <w:sz w:val="32"/>
          <w:szCs w:val="32"/>
        </w:rPr>
      </w:pPr>
      <w:r>
        <w:rPr>
          <w:rFonts w:hint="eastAsia" w:ascii="仿宋" w:hAnsi="仿宋" w:eastAsia="仿宋" w:cs="DengXian-Bold"/>
          <w:b/>
          <w:bCs/>
          <w:sz w:val="32"/>
          <w:szCs w:val="32"/>
        </w:rPr>
        <w:t>（三）公务接待费支出0.39万元。</w:t>
      </w:r>
      <w:r>
        <w:rPr>
          <w:rFonts w:hint="eastAsia" w:ascii="仿宋" w:hAnsi="仿宋" w:eastAsia="仿宋" w:cs="DengXian-Regular"/>
          <w:sz w:val="32"/>
          <w:szCs w:val="32"/>
        </w:rPr>
        <w:t>本部门</w:t>
      </w:r>
      <w:r>
        <w:rPr>
          <w:rFonts w:ascii="仿宋" w:hAnsi="仿宋" w:eastAsia="仿宋" w:cs="DengXian-Regular"/>
          <w:sz w:val="32"/>
          <w:szCs w:val="32"/>
        </w:rPr>
        <w:t>2019</w:t>
      </w:r>
      <w:r>
        <w:rPr>
          <w:rFonts w:hint="eastAsia" w:ascii="仿宋" w:hAnsi="仿宋" w:eastAsia="仿宋" w:cs="DengXian-Regular"/>
          <w:sz w:val="32"/>
          <w:szCs w:val="32"/>
        </w:rPr>
        <w:t>年度公务接待共30批次、120人次。公务接待费支出较年初预算减少0.27，降低40.91%,主要是</w:t>
      </w:r>
      <w:r>
        <w:rPr>
          <w:rFonts w:hint="eastAsia" w:ascii="仿宋" w:hAnsi="仿宋" w:eastAsia="仿宋"/>
          <w:sz w:val="32"/>
          <w:szCs w:val="32"/>
        </w:rPr>
        <w:t>我单位公务接待严格执行市委</w:t>
      </w:r>
      <w:r>
        <w:rPr>
          <w:rFonts w:hint="eastAsia" w:ascii="仿宋" w:hAnsi="仿宋" w:eastAsia="MS Mincho" w:cs="MS Mincho"/>
          <w:sz w:val="32"/>
          <w:szCs w:val="32"/>
        </w:rPr>
        <w:t>､</w:t>
      </w:r>
      <w:r>
        <w:rPr>
          <w:rFonts w:hint="eastAsia" w:ascii="仿宋" w:hAnsi="仿宋" w:eastAsia="仿宋" w:cs="方正仿宋简体"/>
          <w:sz w:val="32"/>
          <w:szCs w:val="32"/>
        </w:rPr>
        <w:t>市政府要求</w:t>
      </w:r>
      <w:r>
        <w:rPr>
          <w:rFonts w:hint="eastAsia" w:ascii="仿宋" w:hAnsi="仿宋" w:eastAsia="仿宋"/>
          <w:sz w:val="32"/>
          <w:szCs w:val="32"/>
        </w:rPr>
        <w:t>,厉行节约</w:t>
      </w:r>
      <w:r>
        <w:rPr>
          <w:rFonts w:hint="eastAsia" w:ascii="仿宋" w:hAnsi="仿宋" w:eastAsia="MS Mincho" w:cs="MS Mincho"/>
          <w:sz w:val="32"/>
          <w:szCs w:val="32"/>
        </w:rPr>
        <w:t>､</w:t>
      </w:r>
      <w:r>
        <w:rPr>
          <w:rFonts w:hint="eastAsia" w:ascii="仿宋" w:hAnsi="仿宋" w:eastAsia="仿宋" w:cs="方正仿宋简体"/>
          <w:sz w:val="32"/>
          <w:szCs w:val="32"/>
        </w:rPr>
        <w:t>艰苦奋斗</w:t>
      </w:r>
      <w:r>
        <w:rPr>
          <w:rFonts w:hint="eastAsia" w:ascii="仿宋" w:hAnsi="仿宋" w:eastAsia="仿宋"/>
          <w:sz w:val="32"/>
          <w:szCs w:val="32"/>
        </w:rPr>
        <w:t>,严格执行招待报批程序,实行对口接待,控制陪餐人员,从严掌握招待标准,不存在利用公款互相宴请及请客送礼等问题</w:t>
      </w:r>
      <w:r>
        <w:rPr>
          <w:rFonts w:hint="eastAsia" w:ascii="仿宋" w:hAnsi="仿宋" w:eastAsia="仿宋" w:cs="DengXian-Regular"/>
          <w:sz w:val="32"/>
          <w:szCs w:val="32"/>
        </w:rPr>
        <w:t>；较上年度增加0.02万元，增加5.4%。待客人数比上年略有增加，但并未超年初预算，主要是</w:t>
      </w:r>
      <w:r>
        <w:rPr>
          <w:rFonts w:hint="eastAsia" w:ascii="仿宋" w:hAnsi="仿宋" w:eastAsia="仿宋"/>
          <w:sz w:val="32"/>
          <w:szCs w:val="32"/>
        </w:rPr>
        <w:t>我单位公务接待严格执行市委</w:t>
      </w:r>
      <w:r>
        <w:rPr>
          <w:rFonts w:hint="eastAsia" w:ascii="仿宋" w:hAnsi="仿宋" w:eastAsia="MS Mincho" w:cs="MS Mincho"/>
          <w:sz w:val="32"/>
          <w:szCs w:val="32"/>
        </w:rPr>
        <w:t>､</w:t>
      </w:r>
      <w:r>
        <w:rPr>
          <w:rFonts w:hint="eastAsia" w:ascii="仿宋" w:hAnsi="仿宋" w:eastAsia="仿宋" w:cs="方正仿宋简体"/>
          <w:sz w:val="32"/>
          <w:szCs w:val="32"/>
        </w:rPr>
        <w:t>市政府要求</w:t>
      </w:r>
      <w:r>
        <w:rPr>
          <w:rFonts w:hint="eastAsia" w:ascii="仿宋" w:hAnsi="仿宋" w:eastAsia="仿宋"/>
          <w:sz w:val="32"/>
          <w:szCs w:val="32"/>
        </w:rPr>
        <w:t>,厉行节约</w:t>
      </w:r>
      <w:r>
        <w:rPr>
          <w:rFonts w:hint="eastAsia" w:ascii="仿宋" w:hAnsi="仿宋" w:eastAsia="MS Mincho" w:cs="MS Mincho"/>
          <w:sz w:val="32"/>
          <w:szCs w:val="32"/>
        </w:rPr>
        <w:t>､</w:t>
      </w:r>
      <w:r>
        <w:rPr>
          <w:rFonts w:hint="eastAsia" w:ascii="仿宋" w:hAnsi="仿宋" w:eastAsia="仿宋" w:cs="方正仿宋简体"/>
          <w:sz w:val="32"/>
          <w:szCs w:val="32"/>
        </w:rPr>
        <w:t>艰苦奋斗</w:t>
      </w:r>
      <w:r>
        <w:rPr>
          <w:rFonts w:hint="eastAsia" w:ascii="仿宋" w:hAnsi="仿宋" w:eastAsia="仿宋"/>
          <w:sz w:val="32"/>
          <w:szCs w:val="32"/>
        </w:rPr>
        <w:t>,严格执行招待报批程序,实行对口接待,控制陪餐人员,从严掌握招待标准,不存在利用公款互相宴请客送礼等问题。</w:t>
      </w:r>
    </w:p>
    <w:p>
      <w:pPr>
        <w:adjustRightInd w:val="0"/>
        <w:snapToGrid w:val="0"/>
        <w:spacing w:line="580" w:lineRule="exact"/>
        <w:ind w:firstLine="640" w:firstLineChars="200"/>
        <w:rPr>
          <w:rFonts w:ascii="仿宋" w:hAnsi="仿宋" w:eastAsia="仿宋"/>
          <w:sz w:val="32"/>
          <w:szCs w:val="40"/>
        </w:rPr>
      </w:pPr>
      <w:r>
        <w:rPr>
          <w:rFonts w:hint="eastAsia" w:ascii="仿宋" w:hAnsi="仿宋" w:eastAsia="仿宋"/>
          <w:sz w:val="32"/>
          <w:szCs w:val="40"/>
        </w:rPr>
        <w:t>六、预算绩效情况说明</w:t>
      </w:r>
    </w:p>
    <w:p>
      <w:pPr>
        <w:adjustRightInd w:val="0"/>
        <w:snapToGrid w:val="0"/>
        <w:spacing w:line="580" w:lineRule="exact"/>
        <w:ind w:firstLine="643" w:firstLineChars="200"/>
        <w:rPr>
          <w:rFonts w:ascii="仿宋" w:hAnsi="仿宋" w:eastAsia="仿宋" w:cs="仿宋_GB2312"/>
          <w:b/>
          <w:bCs/>
          <w:sz w:val="32"/>
          <w:szCs w:val="32"/>
        </w:rPr>
      </w:pPr>
      <w:r>
        <w:rPr>
          <w:rFonts w:ascii="仿宋" w:hAnsi="仿宋" w:eastAsia="仿宋" w:cs="仿宋_GB2312"/>
          <w:b/>
          <w:bCs/>
          <w:sz w:val="32"/>
          <w:szCs w:val="32"/>
        </w:rPr>
        <w:t xml:space="preserve">1. </w:t>
      </w:r>
      <w:r>
        <w:rPr>
          <w:rFonts w:hint="eastAsia" w:ascii="仿宋" w:hAnsi="仿宋" w:eastAsia="仿宋" w:cs="仿宋_GB2312"/>
          <w:b/>
          <w:bCs/>
          <w:sz w:val="32"/>
          <w:szCs w:val="32"/>
        </w:rPr>
        <w:t>预算绩效管理工作开展情况。</w:t>
      </w:r>
    </w:p>
    <w:p>
      <w:pPr>
        <w:adjustRightInd w:val="0"/>
        <w:snapToGrid w:val="0"/>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为确保绩效工作取得实效，我单位按照通知要求，根据预算绩效管理要求，认真梳理了2019 年度项目预算安排、资金支出以及年初绩效目标和绩效指标的设定情况，成立了预算项目绩效自评工作小组，组织单位对2个预算项目进行自评，共涉及预算资金 82.37万元。</w:t>
      </w:r>
    </w:p>
    <w:p>
      <w:pPr>
        <w:adjustRightInd w:val="0"/>
        <w:snapToGrid w:val="0"/>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本部门组织对</w:t>
      </w:r>
      <w:r>
        <w:rPr>
          <w:rFonts w:ascii="仿宋" w:hAnsi="仿宋" w:eastAsia="仿宋" w:cs="仿宋_GB2312"/>
          <w:sz w:val="32"/>
          <w:szCs w:val="32"/>
        </w:rPr>
        <w:t>2019</w:t>
      </w:r>
      <w:r>
        <w:rPr>
          <w:rFonts w:hint="eastAsia" w:ascii="仿宋" w:hAnsi="仿宋" w:eastAsia="仿宋" w:cs="仿宋_GB2312"/>
          <w:sz w:val="32"/>
          <w:szCs w:val="32"/>
        </w:rPr>
        <w:t>年度一般公共预算项目支出全面开展绩效自评，项目2个，共涉及资金82.37万元，占一般公共预算项目支出总额的100%。通过绩效管理大大提高了财政资金使用效益，推动了我镇经济和社会各项事业持续健康发展。力促我镇村容村貌大幅改观，使人民生活质量、幸福指数得以明显提高。</w:t>
      </w:r>
    </w:p>
    <w:p>
      <w:pPr>
        <w:adjustRightInd w:val="0"/>
        <w:snapToGrid w:val="0"/>
        <w:spacing w:line="580" w:lineRule="exact"/>
        <w:ind w:left="420" w:leftChars="200" w:firstLine="321" w:firstLineChars="100"/>
        <w:rPr>
          <w:rFonts w:ascii="仿宋" w:hAnsi="仿宋" w:eastAsia="仿宋" w:cs="仿宋_GB2312"/>
          <w:b/>
          <w:bCs/>
          <w:sz w:val="32"/>
          <w:szCs w:val="32"/>
        </w:rPr>
      </w:pPr>
      <w:r>
        <w:rPr>
          <w:rFonts w:ascii="仿宋" w:hAnsi="仿宋" w:eastAsia="仿宋" w:cs="仿宋_GB2312"/>
          <w:b/>
          <w:bCs/>
          <w:sz w:val="32"/>
          <w:szCs w:val="32"/>
        </w:rPr>
        <w:t xml:space="preserve">2. </w:t>
      </w:r>
      <w:r>
        <w:rPr>
          <w:rFonts w:hint="eastAsia" w:ascii="仿宋" w:hAnsi="仿宋" w:eastAsia="仿宋" w:cs="仿宋_GB2312"/>
          <w:b/>
          <w:bCs/>
          <w:sz w:val="32"/>
          <w:szCs w:val="32"/>
        </w:rPr>
        <w:t>部门决算中项目绩效自评结果。</w:t>
      </w:r>
    </w:p>
    <w:p>
      <w:pPr>
        <w:adjustRightInd w:val="0"/>
        <w:snapToGrid w:val="0"/>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组织有关人员，讨论确定指标标准值，通过对基础资料进行核实、分析、整理，采取查阅政府相关统计数据、抽查各项目执行记录、对服务对象的跟踪调查、测验数据等途径，获得各项绩效指标实际值。此次绩效评价坚持科学、客观、公正和实事求是的原则，以定量评价方法为主，结合定性分析，从政策实施、项目管理、项目实施、综合效益等方面，对各个项目开展情况进行考评计分。全部项目中最高分98分，最低分94分，平均得分96分。</w:t>
      </w:r>
    </w:p>
    <w:p>
      <w:pPr>
        <w:adjustRightInd w:val="0"/>
        <w:snapToGrid w:val="0"/>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本部门在今年部门决算公开中反映</w:t>
      </w:r>
      <w:r>
        <w:rPr>
          <w:rFonts w:ascii="仿宋" w:hAnsi="仿宋" w:eastAsia="仿宋" w:cs="仿宋_GB2312"/>
          <w:sz w:val="32"/>
          <w:szCs w:val="32"/>
        </w:rPr>
        <w:t>城乡社区环境卫生</w:t>
      </w:r>
      <w:r>
        <w:rPr>
          <w:rFonts w:hint="eastAsia" w:ascii="仿宋" w:hAnsi="仿宋" w:eastAsia="仿宋" w:cs="仿宋_GB2312"/>
          <w:sz w:val="32"/>
          <w:szCs w:val="32"/>
        </w:rPr>
        <w:t>、农村公益事业2个项目绩效自评结果。</w:t>
      </w:r>
    </w:p>
    <w:p>
      <w:pPr>
        <w:numPr>
          <w:ilvl w:val="0"/>
          <w:numId w:val="2"/>
        </w:numPr>
        <w:adjustRightInd w:val="0"/>
        <w:snapToGrid w:val="0"/>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城乡社区环境卫生</w:t>
      </w:r>
      <w:r>
        <w:rPr>
          <w:rFonts w:hint="eastAsia" w:ascii="仿宋" w:hAnsi="仿宋" w:eastAsia="仿宋" w:cs="仿宋_GB2312"/>
          <w:sz w:val="32"/>
          <w:szCs w:val="32"/>
        </w:rPr>
        <w:t>项目自评综述：</w:t>
      </w:r>
      <w:r>
        <w:rPr>
          <w:rFonts w:ascii="仿宋" w:hAnsi="仿宋" w:eastAsia="仿宋" w:cs="仿宋_GB2312"/>
          <w:sz w:val="32"/>
          <w:szCs w:val="32"/>
        </w:rPr>
        <w:t>城乡社区环境卫生</w:t>
      </w:r>
      <w:r>
        <w:rPr>
          <w:rFonts w:hint="eastAsia" w:ascii="仿宋" w:hAnsi="仿宋" w:eastAsia="仿宋" w:cs="仿宋_GB2312"/>
          <w:sz w:val="32"/>
          <w:szCs w:val="32"/>
        </w:rPr>
        <w:t>项目绩效自评得分94分。全年预算数46.21万元，实际执行46.21万元，完成100%。通过环境治理，较好地改善了百姓的生活环境，提高了百姓的幸福指数。群众满意度大于90%，公众满意度大于90%，验收通过率大于90%，绩效评价为优。发现的主要问题及原因:缺乏体现项目实施长期效益的指标。下一步改进措施:进一步推进项目绩效评价指标体系的建设，提高项目绩效指标评价准确性，持续加强对项目实施后的长期跟踪评价。</w:t>
      </w:r>
    </w:p>
    <w:p>
      <w:pPr>
        <w:numPr>
          <w:ilvl w:val="0"/>
          <w:numId w:val="2"/>
        </w:numPr>
        <w:adjustRightInd w:val="0"/>
        <w:snapToGrid w:val="0"/>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农村公益事业项目绩效自评综述：农村公益事业项目绩效自评得分98分。全年预算数36.16万元，实际执行36.16万元，完成100%。通过街道绿化，美化了村容村貌。群众满意度大于90%，公众满意度大于90%，验收通过率大于90%，绩效评价为优。项目资金绩效总体较好。</w:t>
      </w:r>
    </w:p>
    <w:p>
      <w:pPr>
        <w:keepNext/>
        <w:keepLines/>
        <w:snapToGrid w:val="0"/>
        <w:spacing w:line="580" w:lineRule="exact"/>
        <w:ind w:firstLine="640" w:firstLineChars="200"/>
        <w:outlineLvl w:val="1"/>
        <w:rPr>
          <w:rFonts w:ascii="仿宋" w:hAnsi="仿宋" w:eastAsia="仿宋"/>
          <w:sz w:val="32"/>
          <w:szCs w:val="32"/>
        </w:rPr>
      </w:pPr>
      <w:r>
        <w:rPr>
          <w:rFonts w:hint="eastAsia" w:ascii="仿宋" w:hAnsi="仿宋" w:eastAsia="仿宋"/>
          <w:sz w:val="32"/>
          <w:szCs w:val="32"/>
        </w:rPr>
        <w:t>七、其他重要事项的说明</w:t>
      </w:r>
    </w:p>
    <w:p>
      <w:pPr>
        <w:keepNext/>
        <w:keepLines/>
        <w:snapToGrid w:val="0"/>
        <w:spacing w:line="580" w:lineRule="exact"/>
        <w:ind w:firstLine="643" w:firstLineChars="200"/>
        <w:outlineLvl w:val="2"/>
        <w:rPr>
          <w:rFonts w:ascii="仿宋" w:hAnsi="仿宋" w:eastAsia="仿宋" w:cs="DengXian-Bold"/>
          <w:b/>
          <w:bCs/>
          <w:sz w:val="32"/>
          <w:szCs w:val="32"/>
        </w:rPr>
      </w:pPr>
      <w:r>
        <w:rPr>
          <w:rFonts w:hint="eastAsia" w:ascii="仿宋" w:hAnsi="仿宋" w:eastAsia="仿宋" w:cs="DengXian-Bold"/>
          <w:b/>
          <w:bCs/>
          <w:sz w:val="32"/>
          <w:szCs w:val="32"/>
        </w:rPr>
        <w:t>（一）机关运行经费情况</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仿宋"/>
          <w:sz w:val="32"/>
          <w:szCs w:val="32"/>
        </w:rPr>
        <w:t>我单位性质是其他单位，机关运行经费支出0万元，与上年持平，较年初预算无增减变化</w:t>
      </w:r>
      <w:r>
        <w:rPr>
          <w:rFonts w:hint="eastAsia" w:ascii="仿宋" w:hAnsi="仿宋" w:eastAsia="仿宋" w:cs="DengXian-Regular"/>
          <w:sz w:val="32"/>
          <w:szCs w:val="32"/>
        </w:rPr>
        <w:t>。</w:t>
      </w:r>
    </w:p>
    <w:p>
      <w:pPr>
        <w:keepNext/>
        <w:keepLines/>
        <w:snapToGrid w:val="0"/>
        <w:spacing w:line="580" w:lineRule="exact"/>
        <w:ind w:firstLine="643" w:firstLineChars="200"/>
        <w:outlineLvl w:val="2"/>
        <w:rPr>
          <w:rFonts w:ascii="仿宋" w:hAnsi="仿宋" w:eastAsia="仿宋" w:cs="DengXian-Bold"/>
          <w:b/>
          <w:bCs/>
          <w:sz w:val="32"/>
          <w:szCs w:val="32"/>
        </w:rPr>
      </w:pPr>
      <w:r>
        <w:rPr>
          <w:rFonts w:hint="eastAsia" w:ascii="仿宋" w:hAnsi="仿宋" w:eastAsia="仿宋" w:cs="DengXian-Bold"/>
          <w:b/>
          <w:bCs/>
          <w:sz w:val="32"/>
          <w:szCs w:val="32"/>
        </w:rPr>
        <w:t>（二）政府采购情况</w:t>
      </w:r>
    </w:p>
    <w:p>
      <w:pPr>
        <w:snapToGrid w:val="0"/>
        <w:spacing w:line="580" w:lineRule="exact"/>
        <w:ind w:firstLine="640" w:firstLineChars="200"/>
        <w:jc w:val="left"/>
        <w:rPr>
          <w:rFonts w:ascii="仿宋" w:hAnsi="仿宋" w:eastAsia="仿宋" w:cs="DengXian-Regular"/>
          <w:sz w:val="32"/>
          <w:szCs w:val="32"/>
        </w:rPr>
      </w:pPr>
      <w:r>
        <w:rPr>
          <w:rFonts w:hint="eastAsia" w:ascii="仿宋" w:hAnsi="仿宋" w:eastAsia="仿宋" w:cs="DengXian-Regular"/>
          <w:sz w:val="32"/>
          <w:szCs w:val="32"/>
        </w:rPr>
        <w:t>本部门</w:t>
      </w:r>
      <w:r>
        <w:rPr>
          <w:rFonts w:ascii="仿宋" w:hAnsi="仿宋" w:eastAsia="仿宋" w:cs="DengXian-Regular"/>
          <w:sz w:val="32"/>
          <w:szCs w:val="32"/>
        </w:rPr>
        <w:t>2019</w:t>
      </w:r>
      <w:r>
        <w:rPr>
          <w:rFonts w:hint="eastAsia" w:ascii="仿宋" w:hAnsi="仿宋" w:eastAsia="仿宋" w:cs="DengXian-Regular"/>
          <w:sz w:val="32"/>
          <w:szCs w:val="32"/>
        </w:rPr>
        <w:t>年度政府采购支出总额0万元，从采购类型来看，</w:t>
      </w:r>
      <w:r>
        <w:rPr>
          <w:rFonts w:hint="eastAsia" w:ascii="仿宋" w:hAnsi="仿宋" w:eastAsia="仿宋" w:cs="仿宋_GB2312"/>
          <w:color w:val="000000"/>
          <w:kern w:val="0"/>
          <w:sz w:val="32"/>
          <w:szCs w:val="32"/>
        </w:rPr>
        <w:t>政府采购货物支出0</w:t>
      </w:r>
      <w:r>
        <w:rPr>
          <w:rFonts w:ascii="仿宋" w:hAnsi="仿宋" w:eastAsia="仿宋" w:cs="仿宋_GB2312"/>
          <w:color w:val="000000"/>
          <w:kern w:val="0"/>
          <w:sz w:val="32"/>
          <w:szCs w:val="32"/>
        </w:rPr>
        <w:t xml:space="preserve"> </w:t>
      </w:r>
      <w:r>
        <w:rPr>
          <w:rFonts w:hint="eastAsia" w:ascii="仿宋" w:hAnsi="仿宋" w:eastAsia="仿宋" w:cs="仿宋_GB2312"/>
          <w:color w:val="000000"/>
          <w:kern w:val="0"/>
          <w:sz w:val="32"/>
          <w:szCs w:val="32"/>
        </w:rPr>
        <w:t>万元、政府采购工程支出0万元、政府采购服务支出</w:t>
      </w:r>
      <w:r>
        <w:rPr>
          <w:rFonts w:ascii="仿宋" w:hAnsi="仿宋" w:eastAsia="仿宋" w:cs="仿宋_GB2312"/>
          <w:color w:val="000000"/>
          <w:kern w:val="0"/>
          <w:sz w:val="32"/>
          <w:szCs w:val="32"/>
        </w:rPr>
        <w:t xml:space="preserve"> </w:t>
      </w:r>
      <w:r>
        <w:rPr>
          <w:rFonts w:hint="eastAsia" w:ascii="仿宋" w:hAnsi="仿宋" w:eastAsia="仿宋" w:cs="仿宋_GB2312"/>
          <w:color w:val="000000"/>
          <w:kern w:val="0"/>
          <w:sz w:val="32"/>
          <w:szCs w:val="32"/>
        </w:rPr>
        <w:t>0万元。授予中小企业合同金0万元，占政府采购支出总额的0</w:t>
      </w:r>
      <w:r>
        <w:rPr>
          <w:rFonts w:ascii="仿宋" w:hAnsi="仿宋" w:eastAsia="仿宋" w:cs="仿宋_GB2312"/>
          <w:color w:val="000000"/>
          <w:kern w:val="0"/>
          <w:sz w:val="32"/>
          <w:szCs w:val="32"/>
        </w:rPr>
        <w:t>%</w:t>
      </w:r>
      <w:r>
        <w:rPr>
          <w:rFonts w:hint="eastAsia" w:ascii="仿宋" w:hAnsi="仿宋" w:eastAsia="仿宋" w:cs="仿宋_GB2312"/>
          <w:color w:val="000000"/>
          <w:kern w:val="0"/>
          <w:sz w:val="32"/>
          <w:szCs w:val="32"/>
        </w:rPr>
        <w:t>，其中授予小微企业合同金额0万元，占政府采购支出总额的0</w:t>
      </w:r>
      <w:r>
        <w:rPr>
          <w:rFonts w:ascii="仿宋" w:hAnsi="仿宋" w:eastAsia="仿宋" w:cs="仿宋_GB2312"/>
          <w:color w:val="000000"/>
          <w:kern w:val="0"/>
          <w:sz w:val="32"/>
          <w:szCs w:val="32"/>
        </w:rPr>
        <w:t>%</w:t>
      </w:r>
      <w:r>
        <w:rPr>
          <w:rFonts w:hint="eastAsia" w:ascii="仿宋" w:hAnsi="仿宋" w:eastAsia="仿宋" w:cs="仿宋_GB2312"/>
          <w:color w:val="000000"/>
          <w:kern w:val="0"/>
          <w:sz w:val="32"/>
          <w:szCs w:val="32"/>
        </w:rPr>
        <w:t>。</w:t>
      </w:r>
    </w:p>
    <w:p>
      <w:pPr>
        <w:keepNext/>
        <w:keepLines/>
        <w:snapToGrid w:val="0"/>
        <w:spacing w:line="580" w:lineRule="exact"/>
        <w:ind w:firstLine="643" w:firstLineChars="200"/>
        <w:outlineLvl w:val="2"/>
        <w:rPr>
          <w:rFonts w:ascii="仿宋" w:hAnsi="仿宋" w:eastAsia="仿宋" w:cs="DengXian-Bold"/>
          <w:b/>
          <w:bCs/>
          <w:sz w:val="32"/>
          <w:szCs w:val="32"/>
        </w:rPr>
      </w:pPr>
      <w:r>
        <w:rPr>
          <w:rFonts w:hint="eastAsia" w:ascii="仿宋" w:hAnsi="仿宋" w:eastAsia="仿宋" w:cs="DengXian-Bold"/>
          <w:b/>
          <w:bCs/>
          <w:sz w:val="32"/>
          <w:szCs w:val="32"/>
        </w:rPr>
        <w:t>（三）国有资产占用情况</w:t>
      </w:r>
    </w:p>
    <w:p>
      <w:pPr>
        <w:adjustRightInd w:val="0"/>
        <w:snapToGrid w:val="0"/>
        <w:spacing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截至</w:t>
      </w:r>
      <w:r>
        <w:rPr>
          <w:rFonts w:ascii="仿宋" w:hAnsi="仿宋" w:eastAsia="仿宋" w:cs="DengXian-Regular"/>
          <w:sz w:val="32"/>
          <w:szCs w:val="32"/>
        </w:rPr>
        <w:t>2019</w:t>
      </w:r>
      <w:r>
        <w:rPr>
          <w:rFonts w:hint="eastAsia" w:ascii="仿宋" w:hAnsi="仿宋" w:eastAsia="仿宋" w:cs="DengXian-Regular"/>
          <w:sz w:val="32"/>
          <w:szCs w:val="32"/>
        </w:rPr>
        <w:t>年</w:t>
      </w:r>
      <w:r>
        <w:rPr>
          <w:rFonts w:ascii="仿宋" w:hAnsi="仿宋" w:eastAsia="仿宋" w:cs="DengXian-Regular"/>
          <w:sz w:val="32"/>
          <w:szCs w:val="32"/>
        </w:rPr>
        <w:t>12</w:t>
      </w:r>
      <w:r>
        <w:rPr>
          <w:rFonts w:hint="eastAsia" w:ascii="仿宋" w:hAnsi="仿宋" w:eastAsia="仿宋" w:cs="DengXian-Regular"/>
          <w:sz w:val="32"/>
          <w:szCs w:val="32"/>
        </w:rPr>
        <w:t>月</w:t>
      </w:r>
      <w:r>
        <w:rPr>
          <w:rFonts w:ascii="仿宋" w:hAnsi="仿宋" w:eastAsia="仿宋" w:cs="DengXian-Regular"/>
          <w:sz w:val="32"/>
          <w:szCs w:val="32"/>
        </w:rPr>
        <w:t>31</w:t>
      </w:r>
      <w:r>
        <w:rPr>
          <w:rFonts w:hint="eastAsia" w:ascii="仿宋" w:hAnsi="仿宋" w:eastAsia="仿宋" w:cs="DengXian-Regular"/>
          <w:sz w:val="32"/>
          <w:szCs w:val="32"/>
        </w:rPr>
        <w:t>日，本部门共有车辆2辆，比上年减少1辆，主要是2019年报废面包车一辆，上</w:t>
      </w:r>
      <w:r>
        <w:rPr>
          <w:rFonts w:hint="eastAsia" w:ascii="仿宋" w:hAnsi="仿宋" w:eastAsia="仿宋" w:cs="DengXian-Regular"/>
          <w:sz w:val="32"/>
          <w:szCs w:val="32"/>
          <w:lang w:val="en-US" w:eastAsia="zh-CN"/>
        </w:rPr>
        <w:t>缴市</w:t>
      </w:r>
      <w:bookmarkStart w:id="0" w:name="_GoBack"/>
      <w:bookmarkEnd w:id="0"/>
      <w:r>
        <w:rPr>
          <w:rFonts w:hint="eastAsia" w:ascii="仿宋" w:hAnsi="仿宋" w:eastAsia="仿宋" w:cs="DengXian-Regular"/>
          <w:sz w:val="32"/>
          <w:szCs w:val="32"/>
        </w:rPr>
        <w:t>财政局。其中，副部（省）级及以上领导用车0辆，主要领导干部用车0辆，机要通信用车0辆，应急保障用车0辆，执法执勤用车0辆，特种专业技术用车0辆，离退休干部用车0辆，其他用车2辆。</w:t>
      </w:r>
    </w:p>
    <w:p>
      <w:pPr>
        <w:adjustRightInd w:val="0"/>
        <w:snapToGrid w:val="0"/>
        <w:spacing w:line="580" w:lineRule="exact"/>
        <w:ind w:firstLine="640" w:firstLineChars="200"/>
        <w:rPr>
          <w:rFonts w:ascii="仿宋" w:hAnsi="仿宋" w:eastAsia="仿宋" w:cs="DengXian-Bold"/>
          <w:b/>
          <w:bCs/>
          <w:sz w:val="32"/>
          <w:szCs w:val="32"/>
        </w:rPr>
      </w:pPr>
      <w:r>
        <w:rPr>
          <w:rFonts w:hint="eastAsia" w:ascii="仿宋" w:hAnsi="仿宋" w:eastAsia="仿宋" w:cs="DengXian-Regular"/>
          <w:sz w:val="32"/>
          <w:szCs w:val="32"/>
        </w:rPr>
        <w:t>单位价值</w:t>
      </w:r>
      <w:r>
        <w:rPr>
          <w:rFonts w:ascii="仿宋" w:hAnsi="仿宋" w:eastAsia="仿宋" w:cs="TimesNewRomanPSMT"/>
          <w:sz w:val="32"/>
          <w:szCs w:val="32"/>
        </w:rPr>
        <w:t>50</w:t>
      </w:r>
      <w:r>
        <w:rPr>
          <w:rFonts w:hint="eastAsia" w:ascii="仿宋" w:hAnsi="仿宋" w:eastAsia="仿宋" w:cs="DengXian-Regular"/>
          <w:sz w:val="32"/>
          <w:szCs w:val="32"/>
        </w:rPr>
        <w:t>万元以上通用设备0台，与上年持平，主要是坚持厉行节约的原则，单位价值</w:t>
      </w:r>
      <w:r>
        <w:rPr>
          <w:rFonts w:ascii="仿宋" w:hAnsi="仿宋" w:eastAsia="仿宋" w:cs="TimesNewRomanPSMT"/>
          <w:sz w:val="32"/>
          <w:szCs w:val="32"/>
        </w:rPr>
        <w:t>100</w:t>
      </w:r>
      <w:r>
        <w:rPr>
          <w:rFonts w:hint="eastAsia" w:ascii="仿宋" w:hAnsi="仿宋" w:eastAsia="仿宋" w:cs="DengXian-Regular"/>
          <w:sz w:val="32"/>
          <w:szCs w:val="32"/>
        </w:rPr>
        <w:t>万元以上专用设备0台，与上年持平，主要是坚持厉行节约的原则。</w:t>
      </w:r>
    </w:p>
    <w:p>
      <w:pPr>
        <w:keepNext/>
        <w:keepLines/>
        <w:snapToGrid w:val="0"/>
        <w:spacing w:line="580" w:lineRule="exact"/>
        <w:ind w:firstLine="643" w:firstLineChars="200"/>
        <w:outlineLvl w:val="2"/>
        <w:rPr>
          <w:rFonts w:ascii="仿宋" w:hAnsi="仿宋" w:eastAsia="仿宋" w:cs="DengXian-Bold"/>
          <w:b/>
          <w:bCs/>
          <w:sz w:val="32"/>
          <w:szCs w:val="32"/>
        </w:rPr>
      </w:pPr>
      <w:r>
        <w:rPr>
          <w:rFonts w:hint="eastAsia" w:ascii="仿宋" w:hAnsi="仿宋" w:eastAsia="仿宋" w:cs="DengXian-Bold"/>
          <w:b/>
          <w:bCs/>
          <w:sz w:val="32"/>
          <w:szCs w:val="32"/>
        </w:rPr>
        <w:t>（四）其他需要说明的情况</w:t>
      </w:r>
    </w:p>
    <w:p>
      <w:pPr>
        <w:adjustRightInd w:val="0"/>
        <w:snapToGrid w:val="0"/>
        <w:spacing w:line="580" w:lineRule="exact"/>
        <w:ind w:firstLine="800" w:firstLineChars="250"/>
        <w:rPr>
          <w:rFonts w:ascii="仿宋" w:hAnsi="仿宋" w:eastAsia="仿宋" w:cs="DengXian-Regular"/>
          <w:sz w:val="32"/>
          <w:szCs w:val="32"/>
        </w:rPr>
      </w:pPr>
      <w:r>
        <w:rPr>
          <w:rFonts w:ascii="仿宋" w:hAnsi="仿宋" w:eastAsia="仿宋" w:cs="DengXian-Regular"/>
          <w:sz w:val="32"/>
          <w:szCs w:val="32"/>
        </w:rPr>
        <w:t xml:space="preserve">1. </w:t>
      </w:r>
      <w:r>
        <w:rPr>
          <w:rFonts w:hint="eastAsia" w:ascii="仿宋" w:hAnsi="仿宋" w:eastAsia="仿宋" w:cs="DengXian-Regular"/>
          <w:sz w:val="32"/>
          <w:szCs w:val="32"/>
        </w:rPr>
        <w:t>本部门2019年度“政府性基金预算财政拨款收入、支出决算表”，无收支及结转结余情况，故以空表列示；本部门2019年度“国有资本经营预算财政拨款支出决算表”，无收支及结转结余情况，故以空表列示。</w:t>
      </w:r>
    </w:p>
    <w:p>
      <w:pPr>
        <w:adjustRightInd w:val="0"/>
        <w:snapToGrid w:val="0"/>
        <w:spacing w:line="580" w:lineRule="exact"/>
        <w:ind w:firstLine="640" w:firstLineChars="200"/>
        <w:rPr>
          <w:rFonts w:ascii="仿宋" w:hAnsi="仿宋" w:eastAsia="仿宋" w:cs="DengXian-Regular"/>
          <w:sz w:val="32"/>
          <w:szCs w:val="32"/>
        </w:rPr>
      </w:pPr>
      <w:r>
        <w:rPr>
          <w:rFonts w:ascii="仿宋" w:hAnsi="仿宋" w:eastAsia="仿宋" w:cs="DengXian-Regular"/>
          <w:sz w:val="32"/>
          <w:szCs w:val="32"/>
        </w:rPr>
        <w:t xml:space="preserve">2. </w:t>
      </w:r>
      <w:r>
        <w:rPr>
          <w:rFonts w:hint="eastAsia" w:ascii="仿宋" w:hAnsi="仿宋" w:eastAsia="仿宋" w:cs="DengXian-Regular"/>
          <w:sz w:val="32"/>
          <w:szCs w:val="32"/>
        </w:rPr>
        <w:t>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仿宋" w:hAnsi="仿宋" w:eastAsia="仿宋" w:cs="MS-UIGothic,Bold"/>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pPr>
        <w:jc w:val="center"/>
        <w:rPr>
          <w:rFonts w:ascii="仿宋" w:hAnsi="仿宋" w:eastAsia="仿宋" w:cs="黑体"/>
          <w:sz w:val="56"/>
          <w:szCs w:val="72"/>
        </w:rPr>
      </w:pPr>
    </w:p>
    <w:p>
      <w:pPr>
        <w:jc w:val="center"/>
        <w:rPr>
          <w:rFonts w:ascii="仿宋" w:hAnsi="仿宋" w:eastAsia="仿宋"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仿宋" w:hAnsi="仿宋" w:eastAsia="仿宋"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仿宋" w:hAnsi="仿宋" w:eastAsia="仿宋"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w:pict>
          <v:shape id="_x0000_s1088" o:spid="_x0000_s1088" o:spt="202" type="#_x0000_t202" style="position:absolute;left:0pt;margin-left:-80.45pt;margin-top:34.8pt;height:263.1pt;width:613.65pt;z-index:251668480;v-text-anchor:middle;mso-width-relative:page;mso-height-relative:page;" filled="f" stroked="f" coordsize="21600,21600">
            <v:path/>
            <v:fill on="f" focussize="0,0"/>
            <v:stroke on="f" weight="0pt" joinstyle="round"/>
            <v:imagedata o:title=""/>
            <o:lock v:ext="edit"/>
            <v:textbox>
              <w:txbxContent>
                <w:p>
                  <w:pPr>
                    <w:widowControl/>
                    <w:jc w:val="center"/>
                  </w:pPr>
                  <w:r>
                    <w:rPr>
                      <w:rFonts w:hint="eastAsia" w:ascii="黑体" w:hAnsi="黑体" w:eastAsia="黑体" w:cs="黑体"/>
                      <w:color w:val="000000"/>
                      <w:sz w:val="90"/>
                      <w:szCs w:val="90"/>
                    </w:rPr>
                    <w:t>第三部分</w:t>
                  </w:r>
                  <w:r>
                    <w:rPr>
                      <w:rFonts w:ascii="黑体" w:hAnsi="黑体" w:eastAsia="黑体" w:cs="黑体"/>
                      <w:color w:val="000000"/>
                      <w:sz w:val="90"/>
                      <w:szCs w:val="90"/>
                    </w:rPr>
                    <w:t xml:space="preserve"> </w:t>
                  </w:r>
                  <w:r>
                    <w:rPr>
                      <w:rFonts w:hint="eastAsia" w:ascii="黑体" w:hAnsi="黑体" w:eastAsia="黑体" w:cs="黑体"/>
                      <w:color w:val="000000"/>
                      <w:sz w:val="90"/>
                      <w:szCs w:val="90"/>
                    </w:rPr>
                    <w:t>相关名词解释</w:t>
                  </w:r>
                </w:p>
              </w:txbxContent>
            </v:textbox>
          </v:shape>
        </w:pict>
      </w:r>
    </w:p>
    <w:p/>
    <w:p/>
    <w:p/>
    <w:p/>
    <w:p/>
    <w:p/>
    <w:p/>
    <w:p/>
    <w:p/>
    <w:p/>
    <w:p/>
    <w:p/>
    <w:p/>
    <w:p>
      <w:pPr>
        <w:tabs>
          <w:tab w:val="left" w:pos="886"/>
        </w:tabs>
        <w:jc w:val="left"/>
        <w:sectPr>
          <w:headerReference r:id="rId16" w:type="first"/>
          <w:pgSz w:w="11906" w:h="16838"/>
          <w:pgMar w:top="2041" w:right="1531" w:bottom="2041" w:left="1531" w:header="851" w:footer="992" w:gutter="0"/>
          <w:pgNumType w:fmt="numberInDash"/>
          <w:cols w:space="0" w:num="1"/>
          <w:titlePg/>
          <w:docGrid w:type="lines" w:linePitch="312" w:charSpace="0"/>
        </w:sectPr>
      </w:pPr>
    </w:p>
    <w:p>
      <w:pPr>
        <w:rPr>
          <w:rFonts w:ascii="仿宋_GB2312" w:hAnsi="宋体" w:eastAsia="仿宋_GB2312" w:cs="ArialUnicodeMS"/>
          <w:sz w:val="32"/>
          <w:szCs w:val="32"/>
          <w:highlight w:val="yellow"/>
        </w:rPr>
      </w:pPr>
      <w:r>
        <w:rPr>
          <w:rFonts w:ascii="仿宋_GB2312" w:hAnsi="宋体" w:eastAsia="仿宋_GB2312" w:cs="ArialUnicodeMS"/>
          <w:sz w:val="32"/>
          <w:szCs w:val="32"/>
          <w:highlight w:val="yellow"/>
        </w:rPr>
        <w:br w:type="page"/>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（一）财政拨款收入：</w:t>
      </w:r>
      <w:r>
        <w:rPr>
          <w:rFonts w:hint="eastAsia" w:ascii="仿宋_GB2312" w:hAnsi="宋体" w:eastAsia="仿宋_GB2312"/>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（二）事业收入：</w:t>
      </w:r>
      <w:r>
        <w:rPr>
          <w:rFonts w:hint="eastAsia" w:ascii="仿宋_GB2312" w:hAnsi="宋体" w:eastAsia="仿宋_GB2312"/>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（三）其他收入：</w:t>
      </w:r>
      <w:r>
        <w:rPr>
          <w:rFonts w:hint="eastAsia" w:ascii="仿宋_GB2312" w:hAnsi="宋体" w:eastAsia="仿宋_GB2312"/>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（四）用事业基金弥补收支差额：</w:t>
      </w:r>
      <w:r>
        <w:rPr>
          <w:rFonts w:hint="eastAsia" w:ascii="仿宋_GB2312" w:hAnsi="宋体" w:eastAsia="仿宋_GB2312"/>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（五）年初结转和结余：</w:t>
      </w:r>
      <w:r>
        <w:rPr>
          <w:rFonts w:hint="eastAsia" w:ascii="仿宋_GB2312" w:hAnsi="宋体" w:eastAsia="仿宋_GB2312"/>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（六）结余分配：</w:t>
      </w:r>
      <w:r>
        <w:rPr>
          <w:rFonts w:hint="eastAsia" w:ascii="仿宋_GB2312" w:hAnsi="宋体" w:eastAsia="仿宋_GB2312"/>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（七）年末结转和结余：</w:t>
      </w:r>
      <w:r>
        <w:rPr>
          <w:rFonts w:hint="eastAsia" w:ascii="仿宋_GB2312" w:hAnsi="宋体" w:eastAsia="仿宋_GB2312"/>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（八）基本支出：</w:t>
      </w:r>
      <w:r>
        <w:rPr>
          <w:rFonts w:hint="eastAsia" w:ascii="仿宋_GB2312" w:hAnsi="宋体" w:eastAsia="仿宋_GB2312"/>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（九）项目支出：</w:t>
      </w:r>
      <w:r>
        <w:rPr>
          <w:rFonts w:hint="eastAsia" w:ascii="仿宋_GB2312" w:hAnsi="宋体" w:eastAsia="仿宋_GB2312"/>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（十）基本建设支出：</w:t>
      </w:r>
      <w:r>
        <w:rPr>
          <w:rFonts w:hint="eastAsia" w:ascii="仿宋_GB2312" w:hAnsi="宋体" w:eastAsia="仿宋_GB2312"/>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（十一）其他资本性支出：</w:t>
      </w:r>
      <w:r>
        <w:rPr>
          <w:rFonts w:hint="eastAsia" w:ascii="仿宋_GB2312" w:hAnsi="宋体" w:eastAsia="仿宋_GB2312"/>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（十二）“三公”经费：</w:t>
      </w:r>
      <w:r>
        <w:rPr>
          <w:rFonts w:hint="eastAsia" w:ascii="仿宋_GB2312" w:hAnsi="宋体" w:eastAsia="仿宋_GB2312"/>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（十三）其他交通费用：</w:t>
      </w:r>
      <w:r>
        <w:rPr>
          <w:rFonts w:hint="eastAsia" w:ascii="仿宋_GB2312" w:hAnsi="宋体" w:eastAsia="仿宋_GB2312"/>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（十四）公务用车购置：</w:t>
      </w:r>
      <w:r>
        <w:rPr>
          <w:rFonts w:hint="eastAsia" w:ascii="仿宋_GB2312" w:hAnsi="宋体" w:eastAsia="仿宋_GB2312"/>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（十五）其他交通工具购置：</w:t>
      </w:r>
      <w:r>
        <w:rPr>
          <w:rFonts w:hint="eastAsia" w:ascii="仿宋_GB2312" w:hAnsi="宋体" w:eastAsia="仿宋_GB2312"/>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（十六）机关运行经费：</w:t>
      </w:r>
      <w:r>
        <w:rPr>
          <w:rFonts w:hint="eastAsia" w:ascii="仿宋_GB2312" w:hAnsi="宋体" w:eastAsia="仿宋_GB2312"/>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jc w:val="left"/>
        <w:rPr>
          <w:rFonts w:ascii="仿宋_GB2312" w:hAnsi="Cambria" w:eastAsia="仿宋_GB2312" w:cs="ArialUnicodeMS"/>
          <w:kern w:val="0"/>
          <w:sz w:val="32"/>
          <w:szCs w:val="32"/>
        </w:rPr>
      </w:pPr>
      <w:r>
        <w:rPr>
          <w:rFonts w:hint="eastAsia" w:ascii="仿宋_GB2312" w:hAnsi="宋体" w:eastAsia="仿宋_GB2312"/>
          <w:b/>
          <w:bCs/>
          <w:color w:val="000000"/>
          <w:kern w:val="0"/>
          <w:sz w:val="32"/>
          <w:szCs w:val="32"/>
        </w:rPr>
        <w:t>（十七）经费形式</w:t>
      </w:r>
      <w:r>
        <w:rPr>
          <w:rFonts w:ascii="仿宋_GB2312" w:hAnsi="宋体" w:eastAsia="仿宋_GB2312"/>
          <w:b/>
          <w:bCs/>
          <w:color w:val="000000"/>
          <w:kern w:val="0"/>
          <w:sz w:val="32"/>
          <w:szCs w:val="32"/>
        </w:rPr>
        <w:t>:</w:t>
      </w:r>
      <w:r>
        <w:rPr>
          <w:rFonts w:hint="eastAsia" w:ascii="仿宋_GB2312" w:hAnsi="宋体" w:eastAsia="仿宋_GB2312"/>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
    <w:p/>
    <w:p/>
    <w:p/>
    <w:p/>
    <w:p/>
    <w:p/>
    <w:p/>
    <w:p/>
    <w:p>
      <w:pPr>
        <w:jc w:val="left"/>
        <w:sectPr>
          <w:headerReference r:id="rId17"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jc w:val="left"/>
        <w:sectPr>
          <w:pgSz w:w="11906" w:h="16838"/>
          <w:pgMar w:top="2098" w:right="1474" w:bottom="1985" w:left="1588" w:header="851" w:footer="992" w:gutter="0"/>
          <w:pgNumType w:fmt="numberInDash"/>
          <w:cols w:space="425" w:num="1"/>
          <w:docGrid w:type="lines" w:linePitch="312" w:charSpace="0"/>
        </w:sectPr>
      </w:pPr>
      <w:r>
        <w:pict>
          <v:shape id="_x0000_s1089" o:spid="_x0000_s1089" o:spt="202" type="#_x0000_t202" style="position:absolute;left:0pt;margin-left:-82.05pt;margin-top:135.85pt;height:263.1pt;width:613.65pt;z-index:-251645952;v-text-anchor:middle;mso-width-relative:page;mso-height-relative:page;" filled="f" stroked="f" coordsize="21600,21600">
            <v:path/>
            <v:fill on="f" focussize="0,0"/>
            <v:stroke on="f" weight="0.5pt" joinstyle="round"/>
            <v:imagedata o:title=""/>
            <o:lock v:ext="edit"/>
            <v:textbox>
              <w:txbxContent>
                <w:p>
                  <w:pPr>
                    <w:widowControl/>
                    <w:jc w:val="center"/>
                    <w:rPr>
                      <w:rFonts w:ascii="黑体" w:hAnsi="黑体" w:eastAsia="黑体" w:cs="黑体"/>
                      <w:color w:val="000000"/>
                      <w:sz w:val="90"/>
                      <w:szCs w:val="90"/>
                    </w:rPr>
                  </w:pPr>
                  <w:r>
                    <w:rPr>
                      <w:rFonts w:hint="eastAsia" w:ascii="黑体" w:hAnsi="黑体" w:eastAsia="黑体" w:cs="黑体"/>
                      <w:color w:val="000000"/>
                      <w:sz w:val="90"/>
                      <w:szCs w:val="90"/>
                    </w:rPr>
                    <w:t>第四部分</w:t>
                  </w:r>
                  <w:r>
                    <w:rPr>
                      <w:rFonts w:ascii="黑体" w:hAnsi="黑体" w:eastAsia="黑体" w:cs="黑体"/>
                      <w:color w:val="000000"/>
                      <w:sz w:val="90"/>
                      <w:szCs w:val="90"/>
                    </w:rPr>
                    <w:t xml:space="preserve"> </w:t>
                  </w:r>
                </w:p>
                <w:p>
                  <w:pPr>
                    <w:widowControl/>
                    <w:jc w:val="center"/>
                  </w:pPr>
                  <w:r>
                    <w:rPr>
                      <w:rFonts w:ascii="黑体" w:hAnsi="黑体" w:eastAsia="黑体" w:cs="黑体"/>
                      <w:color w:val="000000"/>
                      <w:sz w:val="90"/>
                      <w:szCs w:val="90"/>
                    </w:rPr>
                    <w:t>2019</w:t>
                  </w:r>
                  <w:r>
                    <w:rPr>
                      <w:rFonts w:hint="eastAsia" w:ascii="黑体" w:hAnsi="黑体" w:eastAsia="黑体" w:cs="黑体"/>
                      <w:color w:val="000000"/>
                      <w:sz w:val="90"/>
                      <w:szCs w:val="90"/>
                    </w:rPr>
                    <w:t>年度部门决算报表</w:t>
                  </w:r>
                </w:p>
              </w:txbxContent>
            </v:textbox>
          </v:shape>
        </w:pict>
      </w:r>
    </w:p>
    <w:p>
      <w:pPr>
        <w:tabs>
          <w:tab w:val="left" w:pos="886"/>
        </w:tabs>
        <w:jc w:val="left"/>
      </w:pPr>
    </w:p>
    <w:p>
      <w:pPr>
        <w:jc w:val="left"/>
      </w:pPr>
    </w:p>
    <w:tbl>
      <w:tblPr>
        <w:tblStyle w:val="7"/>
        <w:tblpPr w:leftFromText="180" w:rightFromText="180" w:vertAnchor="text" w:horzAnchor="page" w:tblpXSpec="center" w:tblpY="31"/>
        <w:tblOverlap w:val="never"/>
        <w:tblW w:w="9517" w:type="dxa"/>
        <w:jc w:val="center"/>
        <w:tblLayout w:type="fixed"/>
        <w:tblCellMar>
          <w:top w:w="0" w:type="dxa"/>
          <w:left w:w="0" w:type="dxa"/>
          <w:bottom w:w="0" w:type="dxa"/>
          <w:right w:w="0" w:type="dxa"/>
        </w:tblCellMar>
      </w:tblPr>
      <w:tblGrid>
        <w:gridCol w:w="3236"/>
        <w:gridCol w:w="731"/>
        <w:gridCol w:w="691"/>
        <w:gridCol w:w="3474"/>
        <w:gridCol w:w="541"/>
        <w:gridCol w:w="844"/>
      </w:tblGrid>
      <w:tr>
        <w:tblPrEx>
          <w:tblCellMar>
            <w:top w:w="0" w:type="dxa"/>
            <w:left w:w="0" w:type="dxa"/>
            <w:bottom w:w="0" w:type="dxa"/>
            <w:right w:w="0" w:type="dxa"/>
          </w:tblCellMar>
        </w:tblPrEx>
        <w:trPr>
          <w:trHeight w:val="489" w:hRule="atLeast"/>
          <w:jc w:val="center"/>
        </w:trPr>
        <w:tc>
          <w:tcPr>
            <w:tcW w:w="9517" w:type="dxa"/>
            <w:gridSpan w:val="6"/>
            <w:tcBorders>
              <w:top w:val="nil"/>
              <w:left w:val="nil"/>
              <w:bottom w:val="nil"/>
              <w:right w:val="nil"/>
            </w:tcBorders>
            <w:noWrap/>
            <w:tcMar>
              <w:top w:w="15" w:type="dxa"/>
              <w:left w:w="15" w:type="dxa"/>
              <w:right w:w="15" w:type="dxa"/>
            </w:tcMar>
            <w:vAlign w:val="bottom"/>
          </w:tcPr>
          <w:p>
            <w:pPr>
              <w:spacing w:line="40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rPr>
              <w:t>收入支出决算总表</w:t>
            </w:r>
          </w:p>
        </w:tc>
      </w:tr>
      <w:tr>
        <w:tblPrEx>
          <w:tblCellMar>
            <w:top w:w="0" w:type="dxa"/>
            <w:left w:w="0" w:type="dxa"/>
            <w:bottom w:w="0" w:type="dxa"/>
            <w:right w:w="0" w:type="dxa"/>
          </w:tblCellMar>
        </w:tblPrEx>
        <w:trPr>
          <w:trHeight w:val="205" w:hRule="atLeast"/>
          <w:jc w:val="center"/>
        </w:trPr>
        <w:tc>
          <w:tcPr>
            <w:tcW w:w="3236"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73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69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4859" w:type="dxa"/>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01</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421" w:hRule="atLeast"/>
          <w:jc w:val="center"/>
        </w:trPr>
        <w:tc>
          <w:tcPr>
            <w:tcW w:w="3236" w:type="dxa"/>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r>
              <w:rPr>
                <w:rFonts w:hint="eastAsia" w:ascii="宋体" w:hAnsi="宋体" w:cs="宋体"/>
                <w:color w:val="000000"/>
                <w:kern w:val="0"/>
                <w:sz w:val="22"/>
              </w:rPr>
              <w:t>遵化市建明镇人民政府</w:t>
            </w:r>
          </w:p>
        </w:tc>
        <w:tc>
          <w:tcPr>
            <w:tcW w:w="73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69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4859" w:type="dxa"/>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284" w:hRule="atLeast"/>
          <w:jc w:val="center"/>
        </w:trPr>
        <w:tc>
          <w:tcPr>
            <w:tcW w:w="465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收入</w:t>
            </w:r>
          </w:p>
        </w:tc>
        <w:tc>
          <w:tcPr>
            <w:tcW w:w="4859"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支出</w:t>
            </w:r>
          </w:p>
        </w:tc>
      </w:tr>
      <w:tr>
        <w:tblPrEx>
          <w:tblCellMar>
            <w:top w:w="0" w:type="dxa"/>
            <w:left w:w="0" w:type="dxa"/>
            <w:bottom w:w="0" w:type="dxa"/>
            <w:right w:w="0" w:type="dxa"/>
          </w:tblCellMar>
        </w:tblPrEx>
        <w:trPr>
          <w:trHeight w:val="770"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1</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2</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一、一般公共预算财政拨款收入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1</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714.89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一、一般公共服务支出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29</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526.22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二、政府性基金预算财政拨款收入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2</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二、外交支出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30</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r>
      <w:tr>
        <w:tblPrEx>
          <w:tblCellMar>
            <w:top w:w="0" w:type="dxa"/>
            <w:left w:w="0" w:type="dxa"/>
            <w:bottom w:w="0" w:type="dxa"/>
            <w:right w:w="0" w:type="dxa"/>
          </w:tblCellMar>
        </w:tblPrEx>
        <w:trPr>
          <w:trHeight w:val="182"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三、上级补助收入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3</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三、国防支出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31</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四、事业收入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4</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四、公共安全支出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32</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五、经营收入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5</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五、教育支出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33</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六、附属单位上缴收入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6</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六、科学技术支出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34</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七、其他收入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7</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七、文化旅游体育与传媒支出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35</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8</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八、社会保障和就业支出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36</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9</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九、卫生健康支出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37</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37.15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10</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十、节能环保支出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38</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11</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十一、城乡社区支出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39</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46.21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12</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十二、农林水支出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40</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105.31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13</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十三、交通运输支出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41</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14</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十四、资源勘探信息等支出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42</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15</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十五、商业服务业等支出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43</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16</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十六、金融支出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44</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17</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十七、援助其他地区支出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45</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18</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十八、自然资源海洋气象等支出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46</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19</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十九、住房保障支出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47</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20</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二十、粮油物资储备支出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48</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21</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二十一、灾害防治及应急管理支出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49</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22</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二十二、其他支出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50</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23</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二十四、债务付息支出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51</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本年收入合计</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24</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714.89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本年支出合计</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52</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714.89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用事业基金弥补收支差额</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25</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结余分配</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53</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年初结转和结余</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26</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年末结转和结余</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54</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27</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55</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总计</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28</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714.89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总计</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56</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714.89　</w:t>
            </w:r>
          </w:p>
        </w:tc>
      </w:tr>
      <w:tr>
        <w:tblPrEx>
          <w:tblCellMar>
            <w:top w:w="0" w:type="dxa"/>
            <w:left w:w="0" w:type="dxa"/>
            <w:bottom w:w="0" w:type="dxa"/>
            <w:right w:w="0" w:type="dxa"/>
          </w:tblCellMar>
        </w:tblPrEx>
        <w:trPr>
          <w:trHeight w:val="213" w:hRule="atLeast"/>
          <w:jc w:val="center"/>
        </w:trPr>
        <w:tc>
          <w:tcPr>
            <w:tcW w:w="9517" w:type="dxa"/>
            <w:gridSpan w:val="6"/>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注：本表反映部门本年度的总收支和年末结转结余情况。</w:t>
            </w:r>
          </w:p>
          <w:p>
            <w:pPr>
              <w:widowControl/>
              <w:jc w:val="left"/>
              <w:textAlignment w:val="center"/>
              <w:rPr>
                <w:rFonts w:ascii="宋体" w:hAnsi="宋体" w:eastAsia="宋体" w:cs="宋体"/>
                <w:color w:val="000000"/>
                <w:kern w:val="0"/>
                <w:sz w:val="20"/>
                <w:szCs w:val="20"/>
              </w:rPr>
            </w:pPr>
          </w:p>
          <w:p>
            <w:pPr>
              <w:widowControl/>
              <w:jc w:val="left"/>
              <w:textAlignment w:val="center"/>
              <w:rPr>
                <w:rFonts w:ascii="宋体" w:hAnsi="宋体" w:eastAsia="宋体" w:cs="宋体"/>
                <w:color w:val="000000"/>
                <w:kern w:val="0"/>
                <w:sz w:val="20"/>
                <w:szCs w:val="20"/>
              </w:rPr>
            </w:pPr>
          </w:p>
        </w:tc>
      </w:tr>
    </w:tbl>
    <w:p>
      <w:pPr>
        <w:rPr>
          <w:vanish/>
        </w:rPr>
      </w:pPr>
    </w:p>
    <w:tbl>
      <w:tblPr>
        <w:tblStyle w:val="7"/>
        <w:tblW w:w="10235" w:type="dxa"/>
        <w:jc w:val="center"/>
        <w:tblLayout w:type="autofit"/>
        <w:tblCellMar>
          <w:top w:w="0" w:type="dxa"/>
          <w:left w:w="0" w:type="dxa"/>
          <w:bottom w:w="0" w:type="dxa"/>
          <w:right w:w="0" w:type="dxa"/>
        </w:tblCellMar>
      </w:tblPr>
      <w:tblGrid>
        <w:gridCol w:w="665"/>
        <w:gridCol w:w="38"/>
        <w:gridCol w:w="38"/>
        <w:gridCol w:w="4879"/>
        <w:gridCol w:w="1448"/>
        <w:gridCol w:w="1408"/>
        <w:gridCol w:w="304"/>
        <w:gridCol w:w="304"/>
        <w:gridCol w:w="466"/>
        <w:gridCol w:w="481"/>
        <w:gridCol w:w="483"/>
      </w:tblGrid>
      <w:tr>
        <w:tblPrEx>
          <w:tblCellMar>
            <w:top w:w="0" w:type="dxa"/>
            <w:left w:w="0" w:type="dxa"/>
            <w:bottom w:w="0" w:type="dxa"/>
            <w:right w:w="0" w:type="dxa"/>
          </w:tblCellMar>
        </w:tblPrEx>
        <w:trPr>
          <w:trHeight w:val="670" w:hRule="atLeast"/>
          <w:jc w:val="center"/>
        </w:trPr>
        <w:tc>
          <w:tcPr>
            <w:tcW w:w="10235" w:type="dxa"/>
            <w:gridSpan w:val="11"/>
            <w:tcBorders>
              <w:top w:val="nil"/>
              <w:left w:val="nil"/>
              <w:bottom w:val="nil"/>
              <w:right w:val="nil"/>
            </w:tcBorders>
            <w:noWrap/>
            <w:tcMar>
              <w:top w:w="15" w:type="dxa"/>
              <w:left w:w="15" w:type="dxa"/>
              <w:right w:w="15" w:type="dxa"/>
            </w:tcMar>
            <w:vAlign w:val="bottom"/>
          </w:tcPr>
          <w:p>
            <w:pPr>
              <w:widowControl/>
              <w:jc w:val="center"/>
              <w:textAlignment w:val="bottom"/>
              <w:rPr>
                <w:rFonts w:ascii="黑体" w:hAnsi="宋体" w:eastAsia="黑体" w:cs="黑体"/>
                <w:color w:val="000000"/>
                <w:kern w:val="0"/>
                <w:sz w:val="32"/>
                <w:szCs w:val="32"/>
              </w:rPr>
            </w:pPr>
          </w:p>
          <w:p>
            <w:pPr>
              <w:widowControl/>
              <w:jc w:val="center"/>
              <w:textAlignment w:val="bottom"/>
              <w:rPr>
                <w:rFonts w:ascii="黑体" w:hAnsi="宋体" w:eastAsia="黑体" w:cs="黑体"/>
                <w:color w:val="000000"/>
                <w:sz w:val="32"/>
                <w:szCs w:val="32"/>
              </w:rPr>
            </w:pPr>
            <w:r>
              <w:rPr>
                <w:rFonts w:hint="eastAsia" w:ascii="黑体" w:hAnsi="宋体" w:eastAsia="黑体" w:cs="黑体"/>
                <w:color w:val="000000"/>
                <w:kern w:val="0"/>
                <w:sz w:val="32"/>
                <w:szCs w:val="32"/>
              </w:rPr>
              <w:t>收入决算表</w:t>
            </w:r>
          </w:p>
        </w:tc>
      </w:tr>
      <w:tr>
        <w:tblPrEx>
          <w:tblCellMar>
            <w:top w:w="0" w:type="dxa"/>
            <w:left w:w="0" w:type="dxa"/>
            <w:bottom w:w="0" w:type="dxa"/>
            <w:right w:w="0" w:type="dxa"/>
          </w:tblCellMar>
        </w:tblPrEx>
        <w:trPr>
          <w:trHeight w:val="670" w:hRule="atLeast"/>
          <w:jc w:val="center"/>
        </w:trPr>
        <w:tc>
          <w:tcPr>
            <w:tcW w:w="10235" w:type="dxa"/>
            <w:gridSpan w:val="11"/>
            <w:tcBorders>
              <w:top w:val="nil"/>
              <w:left w:val="nil"/>
              <w:bottom w:val="nil"/>
              <w:right w:val="nil"/>
            </w:tcBorders>
            <w:noWrap/>
            <w:tcMar>
              <w:top w:w="15" w:type="dxa"/>
              <w:left w:w="15" w:type="dxa"/>
              <w:right w:w="15" w:type="dxa"/>
            </w:tcMar>
            <w:vAlign w:val="bottom"/>
          </w:tcPr>
          <w:p>
            <w:pPr>
              <w:widowControl/>
              <w:textAlignment w:val="bottom"/>
              <w:rPr>
                <w:rFonts w:ascii="黑体" w:hAnsi="宋体" w:eastAsia="黑体" w:cs="黑体"/>
                <w:color w:val="000000"/>
                <w:kern w:val="0"/>
                <w:sz w:val="32"/>
                <w:szCs w:val="32"/>
              </w:rPr>
            </w:pPr>
          </w:p>
        </w:tc>
      </w:tr>
      <w:tr>
        <w:tblPrEx>
          <w:tblCellMar>
            <w:top w:w="0" w:type="dxa"/>
            <w:left w:w="0" w:type="dxa"/>
            <w:bottom w:w="0" w:type="dxa"/>
            <w:right w:w="0" w:type="dxa"/>
          </w:tblCellMar>
        </w:tblPrEx>
        <w:trPr>
          <w:trHeight w:val="357" w:hRule="atLeast"/>
          <w:jc w:val="center"/>
        </w:trPr>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462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372"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334"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02</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357" w:hRule="atLeast"/>
          <w:jc w:val="center"/>
        </w:trPr>
        <w:tc>
          <w:tcPr>
            <w:tcW w:w="0" w:type="auto"/>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462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r>
              <w:rPr>
                <w:rFonts w:hint="eastAsia" w:ascii="宋体" w:hAnsi="宋体" w:cs="宋体"/>
                <w:color w:val="000000"/>
                <w:kern w:val="0"/>
                <w:sz w:val="22"/>
              </w:rPr>
              <w:t xml:space="preserve">遵化市建明镇人民政府 </w:t>
            </w:r>
            <w:r>
              <w:rPr>
                <w:rFonts w:hint="eastAsia" w:ascii="Arial" w:hAnsi="Arial" w:cs="Arial"/>
                <w:color w:val="000000"/>
                <w:sz w:val="20"/>
                <w:szCs w:val="20"/>
              </w:rPr>
              <w:t xml:space="preserve"> </w:t>
            </w:r>
          </w:p>
        </w:tc>
        <w:tc>
          <w:tcPr>
            <w:tcW w:w="1372"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334"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85" w:hRule="atLeast"/>
          <w:jc w:val="center"/>
        </w:trPr>
        <w:tc>
          <w:tcPr>
            <w:tcW w:w="5447"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372"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本年收入合计</w:t>
            </w:r>
          </w:p>
        </w:tc>
        <w:tc>
          <w:tcPr>
            <w:tcW w:w="1334"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财政拨款收入</w:t>
            </w:r>
          </w:p>
        </w:tc>
        <w:tc>
          <w:tcPr>
            <w:tcW w:w="326"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上级补助收入</w:t>
            </w:r>
          </w:p>
        </w:tc>
        <w:tc>
          <w:tcPr>
            <w:tcW w:w="326"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事业收入</w:t>
            </w:r>
          </w:p>
        </w:tc>
        <w:tc>
          <w:tcPr>
            <w:tcW w:w="466"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经营收入</w:t>
            </w:r>
          </w:p>
        </w:tc>
        <w:tc>
          <w:tcPr>
            <w:tcW w:w="48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附属单位上缴收入</w:t>
            </w:r>
          </w:p>
        </w:tc>
        <w:tc>
          <w:tcPr>
            <w:tcW w:w="483"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其他收入</w:t>
            </w:r>
          </w:p>
        </w:tc>
      </w:tr>
      <w:tr>
        <w:tblPrEx>
          <w:tblCellMar>
            <w:top w:w="0" w:type="dxa"/>
            <w:left w:w="0" w:type="dxa"/>
            <w:bottom w:w="0" w:type="dxa"/>
            <w:right w:w="0" w:type="dxa"/>
          </w:tblCellMar>
        </w:tblPrEx>
        <w:trPr>
          <w:trHeight w:val="380" w:hRule="atLeast"/>
          <w:jc w:val="center"/>
        </w:trPr>
        <w:tc>
          <w:tcPr>
            <w:tcW w:w="824"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4623" w:type="dxa"/>
            <w:vMerge w:val="restar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37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334"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326"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326"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66"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8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8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824"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623"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137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334"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326"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326"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66"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8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8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824"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623"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137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334"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326"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326"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66"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8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8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5447"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372"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1334"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326"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326"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466"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48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c>
          <w:tcPr>
            <w:tcW w:w="483"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7</w:t>
            </w:r>
          </w:p>
        </w:tc>
      </w:tr>
      <w:tr>
        <w:tblPrEx>
          <w:tblCellMar>
            <w:top w:w="0" w:type="dxa"/>
            <w:left w:w="0" w:type="dxa"/>
            <w:bottom w:w="0" w:type="dxa"/>
            <w:right w:w="0" w:type="dxa"/>
          </w:tblCellMar>
        </w:tblPrEx>
        <w:trPr>
          <w:trHeight w:val="385" w:hRule="atLeast"/>
          <w:jc w:val="center"/>
        </w:trPr>
        <w:tc>
          <w:tcPr>
            <w:tcW w:w="5447"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37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b/>
                <w:color w:val="000000"/>
                <w:sz w:val="20"/>
                <w:szCs w:val="20"/>
              </w:rPr>
            </w:pPr>
            <w:r>
              <w:rPr>
                <w:rFonts w:hint="eastAsia" w:ascii="宋体" w:hAnsi="宋体" w:eastAsia="宋体" w:cs="宋体"/>
                <w:b/>
                <w:color w:val="000000"/>
                <w:sz w:val="20"/>
                <w:szCs w:val="20"/>
              </w:rPr>
              <w:t>714.89</w:t>
            </w:r>
          </w:p>
        </w:tc>
        <w:tc>
          <w:tcPr>
            <w:tcW w:w="1334"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b/>
                <w:color w:val="000000"/>
                <w:sz w:val="20"/>
                <w:szCs w:val="20"/>
              </w:rPr>
            </w:pPr>
            <w:r>
              <w:rPr>
                <w:rFonts w:hint="eastAsia" w:ascii="宋体" w:hAnsi="宋体" w:eastAsia="宋体" w:cs="宋体"/>
                <w:b/>
                <w:color w:val="000000"/>
                <w:sz w:val="20"/>
                <w:szCs w:val="20"/>
              </w:rPr>
              <w:t>714.89</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0"/>
                <w:szCs w:val="20"/>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201</w:t>
            </w:r>
          </w:p>
        </w:tc>
        <w:tc>
          <w:tcPr>
            <w:tcW w:w="4623"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一般公共服务支出</w:t>
            </w:r>
          </w:p>
        </w:tc>
        <w:tc>
          <w:tcPr>
            <w:tcW w:w="137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526.22</w:t>
            </w:r>
          </w:p>
        </w:tc>
        <w:tc>
          <w:tcPr>
            <w:tcW w:w="1334"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526.22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20103</w:t>
            </w:r>
          </w:p>
        </w:tc>
        <w:tc>
          <w:tcPr>
            <w:tcW w:w="4623"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政府办公厅（室）及相关机构事务</w:t>
            </w:r>
          </w:p>
        </w:tc>
        <w:tc>
          <w:tcPr>
            <w:tcW w:w="137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436.95</w:t>
            </w:r>
          </w:p>
        </w:tc>
        <w:tc>
          <w:tcPr>
            <w:tcW w:w="1334"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436.95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2010301</w:t>
            </w:r>
          </w:p>
        </w:tc>
        <w:tc>
          <w:tcPr>
            <w:tcW w:w="4623"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行政运行</w:t>
            </w:r>
          </w:p>
        </w:tc>
        <w:tc>
          <w:tcPr>
            <w:tcW w:w="137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304.54</w:t>
            </w:r>
          </w:p>
        </w:tc>
        <w:tc>
          <w:tcPr>
            <w:tcW w:w="1334"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304.54</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2010302</w:t>
            </w:r>
          </w:p>
        </w:tc>
        <w:tc>
          <w:tcPr>
            <w:tcW w:w="4623"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一般行政管理事务</w:t>
            </w:r>
          </w:p>
        </w:tc>
        <w:tc>
          <w:tcPr>
            <w:tcW w:w="137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132.41</w:t>
            </w:r>
          </w:p>
        </w:tc>
        <w:tc>
          <w:tcPr>
            <w:tcW w:w="1334"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132.41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20106</w:t>
            </w:r>
          </w:p>
        </w:tc>
        <w:tc>
          <w:tcPr>
            <w:tcW w:w="4623"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财政事务</w:t>
            </w:r>
          </w:p>
        </w:tc>
        <w:tc>
          <w:tcPr>
            <w:tcW w:w="137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30.72</w:t>
            </w:r>
          </w:p>
        </w:tc>
        <w:tc>
          <w:tcPr>
            <w:tcW w:w="1334"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30.72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2010601</w:t>
            </w:r>
          </w:p>
        </w:tc>
        <w:tc>
          <w:tcPr>
            <w:tcW w:w="4623"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行政运行</w:t>
            </w:r>
          </w:p>
        </w:tc>
        <w:tc>
          <w:tcPr>
            <w:tcW w:w="137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30.72</w:t>
            </w:r>
          </w:p>
        </w:tc>
        <w:tc>
          <w:tcPr>
            <w:tcW w:w="1334"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30.72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20131</w:t>
            </w:r>
          </w:p>
        </w:tc>
        <w:tc>
          <w:tcPr>
            <w:tcW w:w="4623"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党委办公厅（室）及相关机构事务</w:t>
            </w:r>
          </w:p>
        </w:tc>
        <w:tc>
          <w:tcPr>
            <w:tcW w:w="137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58.55</w:t>
            </w:r>
          </w:p>
        </w:tc>
        <w:tc>
          <w:tcPr>
            <w:tcW w:w="1334"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58.55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2013101</w:t>
            </w:r>
          </w:p>
        </w:tc>
        <w:tc>
          <w:tcPr>
            <w:tcW w:w="4623"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行政运行</w:t>
            </w:r>
          </w:p>
        </w:tc>
        <w:tc>
          <w:tcPr>
            <w:tcW w:w="137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58.55</w:t>
            </w:r>
          </w:p>
        </w:tc>
        <w:tc>
          <w:tcPr>
            <w:tcW w:w="1334"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58.55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210</w:t>
            </w:r>
          </w:p>
        </w:tc>
        <w:tc>
          <w:tcPr>
            <w:tcW w:w="4623"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卫生健康支出</w:t>
            </w:r>
          </w:p>
        </w:tc>
        <w:tc>
          <w:tcPr>
            <w:tcW w:w="137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37.15</w:t>
            </w:r>
          </w:p>
        </w:tc>
        <w:tc>
          <w:tcPr>
            <w:tcW w:w="1334"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37.15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21001</w:t>
            </w:r>
          </w:p>
        </w:tc>
        <w:tc>
          <w:tcPr>
            <w:tcW w:w="4623"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卫生健康管理事务</w:t>
            </w:r>
          </w:p>
        </w:tc>
        <w:tc>
          <w:tcPr>
            <w:tcW w:w="137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37.15</w:t>
            </w:r>
          </w:p>
        </w:tc>
        <w:tc>
          <w:tcPr>
            <w:tcW w:w="1334"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37.15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2100101</w:t>
            </w:r>
          </w:p>
        </w:tc>
        <w:tc>
          <w:tcPr>
            <w:tcW w:w="4623"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行政运行</w:t>
            </w:r>
          </w:p>
        </w:tc>
        <w:tc>
          <w:tcPr>
            <w:tcW w:w="137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37.15</w:t>
            </w:r>
          </w:p>
        </w:tc>
        <w:tc>
          <w:tcPr>
            <w:tcW w:w="1334"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37.15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212</w:t>
            </w:r>
          </w:p>
        </w:tc>
        <w:tc>
          <w:tcPr>
            <w:tcW w:w="4623"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城乡社区支出</w:t>
            </w:r>
          </w:p>
        </w:tc>
        <w:tc>
          <w:tcPr>
            <w:tcW w:w="137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46.21</w:t>
            </w:r>
          </w:p>
        </w:tc>
        <w:tc>
          <w:tcPr>
            <w:tcW w:w="1334"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46.21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21205</w:t>
            </w:r>
          </w:p>
        </w:tc>
        <w:tc>
          <w:tcPr>
            <w:tcW w:w="4623"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 xml:space="preserve">城乡社区环境卫生 </w:t>
            </w:r>
          </w:p>
        </w:tc>
        <w:tc>
          <w:tcPr>
            <w:tcW w:w="137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46.21</w:t>
            </w:r>
          </w:p>
        </w:tc>
        <w:tc>
          <w:tcPr>
            <w:tcW w:w="1334"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46.21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2120501</w:t>
            </w:r>
          </w:p>
        </w:tc>
        <w:tc>
          <w:tcPr>
            <w:tcW w:w="4623"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城乡社区环境卫生</w:t>
            </w:r>
          </w:p>
        </w:tc>
        <w:tc>
          <w:tcPr>
            <w:tcW w:w="137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46.21</w:t>
            </w:r>
          </w:p>
        </w:tc>
        <w:tc>
          <w:tcPr>
            <w:tcW w:w="1334"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46.21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213</w:t>
            </w:r>
          </w:p>
        </w:tc>
        <w:tc>
          <w:tcPr>
            <w:tcW w:w="4623"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农林水支出</w:t>
            </w:r>
          </w:p>
        </w:tc>
        <w:tc>
          <w:tcPr>
            <w:tcW w:w="137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105.31</w:t>
            </w:r>
          </w:p>
        </w:tc>
        <w:tc>
          <w:tcPr>
            <w:tcW w:w="1334"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105.31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21301</w:t>
            </w:r>
          </w:p>
        </w:tc>
        <w:tc>
          <w:tcPr>
            <w:tcW w:w="4623"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农业</w:t>
            </w:r>
          </w:p>
        </w:tc>
        <w:tc>
          <w:tcPr>
            <w:tcW w:w="137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105.31</w:t>
            </w:r>
          </w:p>
        </w:tc>
        <w:tc>
          <w:tcPr>
            <w:tcW w:w="1334"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105.31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2130101</w:t>
            </w:r>
          </w:p>
        </w:tc>
        <w:tc>
          <w:tcPr>
            <w:tcW w:w="4623"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行政运行</w:t>
            </w:r>
          </w:p>
        </w:tc>
        <w:tc>
          <w:tcPr>
            <w:tcW w:w="137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69.15</w:t>
            </w:r>
          </w:p>
        </w:tc>
        <w:tc>
          <w:tcPr>
            <w:tcW w:w="1334"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69.15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2130126</w:t>
            </w:r>
          </w:p>
        </w:tc>
        <w:tc>
          <w:tcPr>
            <w:tcW w:w="4623"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农村公益事业</w:t>
            </w:r>
          </w:p>
        </w:tc>
        <w:tc>
          <w:tcPr>
            <w:tcW w:w="137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36.16</w:t>
            </w:r>
          </w:p>
        </w:tc>
        <w:tc>
          <w:tcPr>
            <w:tcW w:w="1334"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36.16</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85" w:hRule="atLeast"/>
          <w:jc w:val="center"/>
        </w:trPr>
        <w:tc>
          <w:tcPr>
            <w:tcW w:w="0" w:type="auto"/>
            <w:gridSpan w:val="11"/>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注：本表反映部门本年度取得的各项收入情况。</w:t>
            </w:r>
          </w:p>
        </w:tc>
      </w:tr>
    </w:tbl>
    <w:p>
      <w:pPr>
        <w:jc w:val="left"/>
      </w:pPr>
    </w:p>
    <w:p>
      <w:r>
        <w:br w:type="page"/>
      </w:r>
    </w:p>
    <w:tbl>
      <w:tblPr>
        <w:tblStyle w:val="7"/>
        <w:tblW w:w="9680" w:type="dxa"/>
        <w:jc w:val="center"/>
        <w:tblLayout w:type="fixed"/>
        <w:tblCellMar>
          <w:top w:w="0" w:type="dxa"/>
          <w:left w:w="0" w:type="dxa"/>
          <w:bottom w:w="0" w:type="dxa"/>
          <w:right w:w="0" w:type="dxa"/>
        </w:tblCellMar>
      </w:tblPr>
      <w:tblGrid>
        <w:gridCol w:w="941"/>
        <w:gridCol w:w="53"/>
        <w:gridCol w:w="111"/>
        <w:gridCol w:w="2176"/>
        <w:gridCol w:w="992"/>
        <w:gridCol w:w="993"/>
        <w:gridCol w:w="850"/>
        <w:gridCol w:w="992"/>
        <w:gridCol w:w="1161"/>
        <w:gridCol w:w="1411"/>
      </w:tblGrid>
      <w:tr>
        <w:tblPrEx>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支出决算表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5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1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176"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992"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99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85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992"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411" w:type="dxa"/>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03</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 xml:space="preserve">部门：       </w:t>
            </w:r>
          </w:p>
        </w:tc>
        <w:tc>
          <w:tcPr>
            <w:tcW w:w="5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1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176"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r>
              <w:rPr>
                <w:rFonts w:hint="eastAsia" w:ascii="宋体" w:hAnsi="宋体" w:cs="宋体"/>
                <w:color w:val="000000"/>
                <w:kern w:val="0"/>
                <w:sz w:val="22"/>
              </w:rPr>
              <w:t>遵化市建明镇人民政</w:t>
            </w:r>
          </w:p>
        </w:tc>
        <w:tc>
          <w:tcPr>
            <w:tcW w:w="992"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99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85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992"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572" w:type="dxa"/>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23" w:hRule="atLeast"/>
          <w:jc w:val="center"/>
        </w:trPr>
        <w:tc>
          <w:tcPr>
            <w:tcW w:w="3281"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992"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本年支出合计</w:t>
            </w:r>
          </w:p>
        </w:tc>
        <w:tc>
          <w:tcPr>
            <w:tcW w:w="993"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85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992"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上缴上级支出</w:t>
            </w:r>
          </w:p>
        </w:tc>
        <w:tc>
          <w:tcPr>
            <w:tcW w:w="116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经营支出</w:t>
            </w:r>
          </w:p>
        </w:tc>
        <w:tc>
          <w:tcPr>
            <w:tcW w:w="141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对附属单位补助支出</w:t>
            </w:r>
          </w:p>
        </w:tc>
      </w:tr>
      <w:tr>
        <w:tblPrEx>
          <w:tblCellMar>
            <w:top w:w="0" w:type="dxa"/>
            <w:left w:w="0" w:type="dxa"/>
            <w:bottom w:w="0" w:type="dxa"/>
            <w:right w:w="0" w:type="dxa"/>
          </w:tblCellMar>
        </w:tblPrEx>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2176" w:type="dxa"/>
            <w:vMerge w:val="restar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99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9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85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9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2176"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99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9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85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9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2176"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99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9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85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9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3281"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993"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r>
      <w:tr>
        <w:tblPrEx>
          <w:tblCellMar>
            <w:top w:w="0" w:type="dxa"/>
            <w:left w:w="0" w:type="dxa"/>
            <w:bottom w:w="0" w:type="dxa"/>
            <w:right w:w="0" w:type="dxa"/>
          </w:tblCellMar>
        </w:tblPrEx>
        <w:trPr>
          <w:trHeight w:val="323" w:hRule="atLeast"/>
          <w:jc w:val="center"/>
        </w:trPr>
        <w:tc>
          <w:tcPr>
            <w:tcW w:w="3281"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b/>
                <w:color w:val="000000"/>
                <w:sz w:val="20"/>
                <w:szCs w:val="20"/>
              </w:rPr>
            </w:pPr>
            <w:r>
              <w:rPr>
                <w:rFonts w:hint="eastAsia" w:ascii="宋体" w:hAnsi="宋体" w:eastAsia="宋体" w:cs="宋体"/>
                <w:b/>
                <w:color w:val="000000"/>
                <w:sz w:val="20"/>
                <w:szCs w:val="20"/>
              </w:rPr>
              <w:t>714.89</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b/>
                <w:color w:val="000000"/>
                <w:sz w:val="20"/>
                <w:szCs w:val="20"/>
              </w:rPr>
            </w:pPr>
            <w:r>
              <w:rPr>
                <w:rFonts w:hint="eastAsia" w:ascii="宋体" w:hAnsi="宋体" w:eastAsia="宋体" w:cs="宋体"/>
                <w:b/>
                <w:color w:val="000000"/>
                <w:sz w:val="20"/>
                <w:szCs w:val="20"/>
              </w:rPr>
              <w:t>632.52</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b/>
                <w:color w:val="000000"/>
                <w:sz w:val="20"/>
                <w:szCs w:val="20"/>
              </w:rPr>
            </w:pPr>
            <w:r>
              <w:rPr>
                <w:rFonts w:hint="eastAsia" w:ascii="宋体" w:hAnsi="宋体" w:eastAsia="宋体" w:cs="宋体"/>
                <w:b/>
                <w:color w:val="000000"/>
                <w:sz w:val="20"/>
                <w:szCs w:val="20"/>
              </w:rPr>
              <w:t>82.37</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201</w:t>
            </w:r>
          </w:p>
        </w:tc>
        <w:tc>
          <w:tcPr>
            <w:tcW w:w="2176"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一般公共服务支出</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526.22</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526.22</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7"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20103</w:t>
            </w:r>
          </w:p>
        </w:tc>
        <w:tc>
          <w:tcPr>
            <w:tcW w:w="2176"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政府办公厅（室）及相关机构事务</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436.95</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436.95</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2010301</w:t>
            </w:r>
          </w:p>
        </w:tc>
        <w:tc>
          <w:tcPr>
            <w:tcW w:w="2176"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行政运行</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304.54</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304.54</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2010302</w:t>
            </w:r>
          </w:p>
        </w:tc>
        <w:tc>
          <w:tcPr>
            <w:tcW w:w="2176"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一般行政管理事务</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132.41</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132.41</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20106</w:t>
            </w:r>
          </w:p>
        </w:tc>
        <w:tc>
          <w:tcPr>
            <w:tcW w:w="2176"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财政事务</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30.72</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30.72</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2010601</w:t>
            </w:r>
          </w:p>
        </w:tc>
        <w:tc>
          <w:tcPr>
            <w:tcW w:w="2176"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行政运行</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30.72</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30.72</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20131</w:t>
            </w:r>
          </w:p>
        </w:tc>
        <w:tc>
          <w:tcPr>
            <w:tcW w:w="2176"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党委办公厅（室）及相关机构事务</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58.55</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58.55</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2013101</w:t>
            </w:r>
          </w:p>
        </w:tc>
        <w:tc>
          <w:tcPr>
            <w:tcW w:w="2176"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行政运行</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58.55</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58.55</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210</w:t>
            </w:r>
          </w:p>
        </w:tc>
        <w:tc>
          <w:tcPr>
            <w:tcW w:w="2176"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卫生健康支出</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37.15</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37.15</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21001</w:t>
            </w:r>
          </w:p>
        </w:tc>
        <w:tc>
          <w:tcPr>
            <w:tcW w:w="2176"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卫生健康管理事务</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37.15</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37.15</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2100101</w:t>
            </w:r>
          </w:p>
        </w:tc>
        <w:tc>
          <w:tcPr>
            <w:tcW w:w="2176"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行政运行</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37.15</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37.15</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212</w:t>
            </w:r>
          </w:p>
        </w:tc>
        <w:tc>
          <w:tcPr>
            <w:tcW w:w="2176"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城乡社区支出</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46.21</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46.21</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21205</w:t>
            </w:r>
          </w:p>
        </w:tc>
        <w:tc>
          <w:tcPr>
            <w:tcW w:w="2176"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 xml:space="preserve">城乡社区环境卫生 </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46.21</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46.21</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2120501</w:t>
            </w:r>
          </w:p>
        </w:tc>
        <w:tc>
          <w:tcPr>
            <w:tcW w:w="2176"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城乡社区环境卫生</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46.21</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46.21</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213</w:t>
            </w:r>
          </w:p>
        </w:tc>
        <w:tc>
          <w:tcPr>
            <w:tcW w:w="2176"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农林水支出</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105.31</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69.15</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36.16</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21301</w:t>
            </w:r>
          </w:p>
        </w:tc>
        <w:tc>
          <w:tcPr>
            <w:tcW w:w="2176"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农业</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105.31</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69.15</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36.16</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2130101</w:t>
            </w:r>
          </w:p>
        </w:tc>
        <w:tc>
          <w:tcPr>
            <w:tcW w:w="2176"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行政运行</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69.15</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69.15</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2130126</w:t>
            </w:r>
          </w:p>
        </w:tc>
        <w:tc>
          <w:tcPr>
            <w:tcW w:w="2176"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农村公益事业</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36.16</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0.00</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36.16</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注：本表反映部门本年度各项支出情况。</w:t>
            </w:r>
          </w:p>
        </w:tc>
      </w:tr>
    </w:tbl>
    <w:p/>
    <w:tbl>
      <w:tblPr>
        <w:tblStyle w:val="7"/>
        <w:tblW w:w="9633" w:type="dxa"/>
        <w:jc w:val="center"/>
        <w:tblLayout w:type="fixed"/>
        <w:tblCellMar>
          <w:top w:w="0" w:type="dxa"/>
          <w:left w:w="0" w:type="dxa"/>
          <w:bottom w:w="0" w:type="dxa"/>
          <w:right w:w="0" w:type="dxa"/>
        </w:tblCellMar>
      </w:tblPr>
      <w:tblGrid>
        <w:gridCol w:w="2922"/>
        <w:gridCol w:w="425"/>
        <w:gridCol w:w="662"/>
        <w:gridCol w:w="2946"/>
        <w:gridCol w:w="507"/>
        <w:gridCol w:w="700"/>
        <w:gridCol w:w="851"/>
        <w:gridCol w:w="620"/>
      </w:tblGrid>
      <w:tr>
        <w:tblPrEx>
          <w:tblCellMar>
            <w:top w:w="0" w:type="dxa"/>
            <w:left w:w="0" w:type="dxa"/>
            <w:bottom w:w="0" w:type="dxa"/>
            <w:right w:w="0" w:type="dxa"/>
          </w:tblCellMar>
        </w:tblPrEx>
        <w:trPr>
          <w:trHeight w:val="406" w:hRule="atLeast"/>
          <w:jc w:val="center"/>
        </w:trPr>
        <w:tc>
          <w:tcPr>
            <w:tcW w:w="9633" w:type="dxa"/>
            <w:gridSpan w:val="8"/>
            <w:tcBorders>
              <w:top w:val="nil"/>
              <w:left w:val="nil"/>
              <w:bottom w:val="nil"/>
              <w:right w:val="nil"/>
            </w:tcBorders>
            <w:noWrap/>
            <w:tcMar>
              <w:top w:w="15" w:type="dxa"/>
              <w:left w:w="15" w:type="dxa"/>
              <w:right w:w="15" w:type="dxa"/>
            </w:tcMar>
            <w:vAlign w:val="bottom"/>
          </w:tcPr>
          <w:p>
            <w:pPr>
              <w:jc w:val="center"/>
              <w:rPr>
                <w:rFonts w:ascii="黑体" w:hAnsi="宋体" w:eastAsia="黑体" w:cs="黑体"/>
                <w:color w:val="000000"/>
                <w:kern w:val="0"/>
                <w:sz w:val="32"/>
                <w:szCs w:val="32"/>
              </w:rPr>
            </w:pPr>
          </w:p>
          <w:p>
            <w:pPr>
              <w:jc w:val="center"/>
              <w:rPr>
                <w:rFonts w:ascii="黑体" w:hAnsi="宋体" w:eastAsia="黑体" w:cs="黑体"/>
                <w:color w:val="000000"/>
                <w:kern w:val="0"/>
                <w:sz w:val="32"/>
                <w:szCs w:val="32"/>
              </w:rPr>
            </w:pPr>
          </w:p>
          <w:p>
            <w:pPr>
              <w:jc w:val="center"/>
              <w:rPr>
                <w:rFonts w:ascii="黑体" w:hAnsi="宋体" w:eastAsia="黑体" w:cs="黑体"/>
                <w:color w:val="000000"/>
                <w:kern w:val="0"/>
                <w:sz w:val="32"/>
                <w:szCs w:val="32"/>
              </w:rPr>
            </w:pPr>
          </w:p>
          <w:p>
            <w:pPr>
              <w:jc w:val="center"/>
              <w:rPr>
                <w:rFonts w:ascii="黑体" w:hAnsi="宋体" w:eastAsia="黑体" w:cs="黑体"/>
                <w:color w:val="000000"/>
                <w:kern w:val="0"/>
                <w:sz w:val="32"/>
                <w:szCs w:val="32"/>
              </w:rPr>
            </w:pPr>
          </w:p>
          <w:p>
            <w:pPr>
              <w:jc w:val="center"/>
              <w:rPr>
                <w:rFonts w:ascii="黑体" w:hAnsi="宋体" w:eastAsia="黑体" w:cs="黑体"/>
                <w:color w:val="000000"/>
                <w:sz w:val="32"/>
                <w:szCs w:val="32"/>
              </w:rPr>
            </w:pPr>
            <w:r>
              <w:rPr>
                <w:rFonts w:hint="eastAsia" w:ascii="黑体" w:hAnsi="宋体" w:eastAsia="黑体" w:cs="黑体"/>
                <w:color w:val="000000"/>
                <w:kern w:val="0"/>
                <w:sz w:val="32"/>
                <w:szCs w:val="32"/>
              </w:rPr>
              <w:t>财政拨款收入支出决算总表</w:t>
            </w:r>
          </w:p>
        </w:tc>
      </w:tr>
      <w:tr>
        <w:tblPrEx>
          <w:tblCellMar>
            <w:top w:w="0" w:type="dxa"/>
            <w:left w:w="0" w:type="dxa"/>
            <w:bottom w:w="0" w:type="dxa"/>
            <w:right w:w="0" w:type="dxa"/>
          </w:tblCellMar>
        </w:tblPrEx>
        <w:trPr>
          <w:trHeight w:val="90" w:hRule="atLeast"/>
          <w:jc w:val="center"/>
        </w:trPr>
        <w:tc>
          <w:tcPr>
            <w:tcW w:w="2922"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42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662"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946"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507"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171" w:type="dxa"/>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04</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90" w:hRule="atLeast"/>
          <w:jc w:val="center"/>
        </w:trPr>
        <w:tc>
          <w:tcPr>
            <w:tcW w:w="2922" w:type="dxa"/>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r>
              <w:rPr>
                <w:rFonts w:hint="eastAsia" w:ascii="宋体" w:hAnsi="宋体" w:cs="宋体"/>
                <w:color w:val="000000"/>
                <w:kern w:val="0"/>
                <w:sz w:val="22"/>
              </w:rPr>
              <w:t>遵化市建明镇人民政府</w:t>
            </w:r>
          </w:p>
        </w:tc>
        <w:tc>
          <w:tcPr>
            <w:tcW w:w="42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662"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946"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507"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171" w:type="dxa"/>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90" w:hRule="atLeast"/>
          <w:jc w:val="center"/>
        </w:trPr>
        <w:tc>
          <w:tcPr>
            <w:tcW w:w="400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w:t>
            </w:r>
            <w:r>
              <w:rPr>
                <w:rFonts w:ascii="宋体" w:hAnsi="宋体" w:eastAsia="宋体" w:cs="宋体"/>
                <w:color w:val="000000"/>
                <w:kern w:val="0"/>
                <w:sz w:val="22"/>
              </w:rPr>
              <w:t xml:space="preserve">     </w:t>
            </w:r>
            <w:r>
              <w:rPr>
                <w:rFonts w:hint="eastAsia" w:ascii="宋体" w:hAnsi="宋体" w:eastAsia="宋体" w:cs="宋体"/>
                <w:color w:val="000000"/>
                <w:kern w:val="0"/>
                <w:sz w:val="22"/>
              </w:rPr>
              <w:t>入</w:t>
            </w:r>
          </w:p>
        </w:tc>
        <w:tc>
          <w:tcPr>
            <w:tcW w:w="5624" w:type="dxa"/>
            <w:gridSpan w:val="5"/>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w:t>
            </w:r>
            <w:r>
              <w:rPr>
                <w:rFonts w:ascii="宋体" w:hAnsi="宋体" w:eastAsia="宋体" w:cs="宋体"/>
                <w:color w:val="000000"/>
                <w:kern w:val="0"/>
                <w:sz w:val="22"/>
              </w:rPr>
              <w:t xml:space="preserve">     </w:t>
            </w:r>
            <w:r>
              <w:rPr>
                <w:rFonts w:hint="eastAsia" w:ascii="宋体" w:hAnsi="宋体" w:eastAsia="宋体" w:cs="宋体"/>
                <w:color w:val="000000"/>
                <w:kern w:val="0"/>
                <w:sz w:val="22"/>
              </w:rPr>
              <w:t>出</w:t>
            </w:r>
          </w:p>
        </w:tc>
      </w:tr>
      <w:tr>
        <w:tblPrEx>
          <w:tblCellMar>
            <w:top w:w="0" w:type="dxa"/>
            <w:left w:w="0" w:type="dxa"/>
            <w:bottom w:w="0" w:type="dxa"/>
            <w:right w:w="0" w:type="dxa"/>
          </w:tblCellMar>
        </w:tblPrEx>
        <w:trPr>
          <w:trHeight w:val="312" w:hRule="atLeast"/>
          <w:jc w:val="center"/>
        </w:trPr>
        <w:tc>
          <w:tcPr>
            <w:tcW w:w="2922"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425"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662"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2946"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07"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700" w:type="dxa"/>
            <w:vMerge w:val="restar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851"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一般公共预算财政拨款</w:t>
            </w:r>
          </w:p>
        </w:tc>
        <w:tc>
          <w:tcPr>
            <w:tcW w:w="62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政府性基金预算财政拨款</w:t>
            </w:r>
          </w:p>
        </w:tc>
      </w:tr>
      <w:tr>
        <w:tblPrEx>
          <w:tblCellMar>
            <w:top w:w="0" w:type="dxa"/>
            <w:left w:w="0" w:type="dxa"/>
            <w:bottom w:w="0" w:type="dxa"/>
            <w:right w:w="0" w:type="dxa"/>
          </w:tblCellMar>
        </w:tblPrEx>
        <w:trPr>
          <w:trHeight w:val="1151" w:hRule="atLeast"/>
          <w:jc w:val="center"/>
        </w:trPr>
        <w:tc>
          <w:tcPr>
            <w:tcW w:w="292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2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66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294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50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00"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851"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62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栏次</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70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6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一、一般公共预算财政拨款</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714.89</w:t>
            </w: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一、一般公共服务支出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30</w:t>
            </w:r>
          </w:p>
        </w:tc>
        <w:tc>
          <w:tcPr>
            <w:tcW w:w="70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526.22</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526.22</w:t>
            </w:r>
          </w:p>
        </w:tc>
        <w:tc>
          <w:tcPr>
            <w:tcW w:w="62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二、政府性基金预算财政拨款</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二、外交支出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31</w:t>
            </w:r>
          </w:p>
        </w:tc>
        <w:tc>
          <w:tcPr>
            <w:tcW w:w="70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62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三、国防支出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32</w:t>
            </w:r>
          </w:p>
        </w:tc>
        <w:tc>
          <w:tcPr>
            <w:tcW w:w="70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62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四、公共安全支出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33</w:t>
            </w:r>
          </w:p>
        </w:tc>
        <w:tc>
          <w:tcPr>
            <w:tcW w:w="70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62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五、教育支出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34</w:t>
            </w:r>
          </w:p>
        </w:tc>
        <w:tc>
          <w:tcPr>
            <w:tcW w:w="70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62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六、科学技术支出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35</w:t>
            </w:r>
          </w:p>
        </w:tc>
        <w:tc>
          <w:tcPr>
            <w:tcW w:w="70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62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7</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七、文化旅游体育与传媒支出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36</w:t>
            </w:r>
          </w:p>
        </w:tc>
        <w:tc>
          <w:tcPr>
            <w:tcW w:w="70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62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8</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八、社会保障和就业支出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37</w:t>
            </w:r>
          </w:p>
        </w:tc>
        <w:tc>
          <w:tcPr>
            <w:tcW w:w="70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62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9</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九、卫生健康支出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38</w:t>
            </w:r>
          </w:p>
        </w:tc>
        <w:tc>
          <w:tcPr>
            <w:tcW w:w="70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37.15</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37.15</w:t>
            </w:r>
          </w:p>
        </w:tc>
        <w:tc>
          <w:tcPr>
            <w:tcW w:w="62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10</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十、节能环保支出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39</w:t>
            </w:r>
          </w:p>
        </w:tc>
        <w:tc>
          <w:tcPr>
            <w:tcW w:w="70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62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11</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十一、城乡社区支出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40</w:t>
            </w:r>
          </w:p>
        </w:tc>
        <w:tc>
          <w:tcPr>
            <w:tcW w:w="70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46.21</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46.21</w:t>
            </w:r>
          </w:p>
        </w:tc>
        <w:tc>
          <w:tcPr>
            <w:tcW w:w="62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12</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十二、农林水支出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41</w:t>
            </w:r>
          </w:p>
        </w:tc>
        <w:tc>
          <w:tcPr>
            <w:tcW w:w="70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105.31</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105.31</w:t>
            </w:r>
          </w:p>
        </w:tc>
        <w:tc>
          <w:tcPr>
            <w:tcW w:w="62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13</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十三、交通运输支出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42</w:t>
            </w:r>
          </w:p>
        </w:tc>
        <w:tc>
          <w:tcPr>
            <w:tcW w:w="70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62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14</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十四、资源勘探信息等支出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43</w:t>
            </w:r>
          </w:p>
        </w:tc>
        <w:tc>
          <w:tcPr>
            <w:tcW w:w="70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62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15</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十五、商业服务业等支出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44</w:t>
            </w:r>
          </w:p>
        </w:tc>
        <w:tc>
          <w:tcPr>
            <w:tcW w:w="70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62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16</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十六、金融支出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45</w:t>
            </w:r>
          </w:p>
        </w:tc>
        <w:tc>
          <w:tcPr>
            <w:tcW w:w="70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62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17</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十七、援助其他地区支出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46</w:t>
            </w:r>
          </w:p>
        </w:tc>
        <w:tc>
          <w:tcPr>
            <w:tcW w:w="70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62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18</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十八、自然资源海洋气象等支出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47</w:t>
            </w:r>
          </w:p>
        </w:tc>
        <w:tc>
          <w:tcPr>
            <w:tcW w:w="70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62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19</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十九、住房保障支出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48</w:t>
            </w:r>
          </w:p>
        </w:tc>
        <w:tc>
          <w:tcPr>
            <w:tcW w:w="70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62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20</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二十、粮油物资储备支出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49</w:t>
            </w:r>
          </w:p>
        </w:tc>
        <w:tc>
          <w:tcPr>
            <w:tcW w:w="70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62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21</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二十一、灾害防治及应急管理支出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50</w:t>
            </w:r>
          </w:p>
        </w:tc>
        <w:tc>
          <w:tcPr>
            <w:tcW w:w="70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62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22</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二十二、其他支出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51</w:t>
            </w:r>
          </w:p>
        </w:tc>
        <w:tc>
          <w:tcPr>
            <w:tcW w:w="70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62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23</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二十四、债务付息支出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52</w:t>
            </w:r>
          </w:p>
        </w:tc>
        <w:tc>
          <w:tcPr>
            <w:tcW w:w="70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62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24</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714.89</w:t>
            </w: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本年支出合计</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53</w:t>
            </w:r>
          </w:p>
        </w:tc>
        <w:tc>
          <w:tcPr>
            <w:tcW w:w="70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714.89</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714.89</w:t>
            </w:r>
          </w:p>
        </w:tc>
        <w:tc>
          <w:tcPr>
            <w:tcW w:w="62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年初财政拨款结转和结余</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25</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年末财政拨款结转和结余</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54</w:t>
            </w:r>
          </w:p>
        </w:tc>
        <w:tc>
          <w:tcPr>
            <w:tcW w:w="70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62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26</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55</w:t>
            </w:r>
          </w:p>
        </w:tc>
        <w:tc>
          <w:tcPr>
            <w:tcW w:w="70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62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27</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56</w:t>
            </w:r>
          </w:p>
        </w:tc>
        <w:tc>
          <w:tcPr>
            <w:tcW w:w="70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62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28</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57</w:t>
            </w:r>
          </w:p>
        </w:tc>
        <w:tc>
          <w:tcPr>
            <w:tcW w:w="70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62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29</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714.89</w:t>
            </w: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总计</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58</w:t>
            </w:r>
          </w:p>
        </w:tc>
        <w:tc>
          <w:tcPr>
            <w:tcW w:w="70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714.89</w:t>
            </w:r>
          </w:p>
        </w:tc>
        <w:tc>
          <w:tcPr>
            <w:tcW w:w="85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714.89</w:t>
            </w:r>
          </w:p>
        </w:tc>
        <w:tc>
          <w:tcPr>
            <w:tcW w:w="62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90" w:hRule="atLeast"/>
          <w:jc w:val="center"/>
        </w:trPr>
        <w:tc>
          <w:tcPr>
            <w:tcW w:w="9633" w:type="dxa"/>
            <w:gridSpan w:val="8"/>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注：本表反映部门本年度一般公共预算财政拨款和政府性基金预算财政拨款的总收支和年末结转结余情况。</w:t>
            </w:r>
          </w:p>
        </w:tc>
      </w:tr>
    </w:tbl>
    <w:p>
      <w:r>
        <w:br w:type="page"/>
      </w:r>
    </w:p>
    <w:tbl>
      <w:tblPr>
        <w:tblStyle w:val="7"/>
        <w:tblW w:w="9990" w:type="dxa"/>
        <w:jc w:val="center"/>
        <w:tblLayout w:type="autofit"/>
        <w:tblCellMar>
          <w:top w:w="0" w:type="dxa"/>
          <w:left w:w="0" w:type="dxa"/>
          <w:bottom w:w="0" w:type="dxa"/>
          <w:right w:w="0" w:type="dxa"/>
        </w:tblCellMar>
      </w:tblPr>
      <w:tblGrid>
        <w:gridCol w:w="2830"/>
        <w:gridCol w:w="36"/>
        <w:gridCol w:w="36"/>
        <w:gridCol w:w="3030"/>
        <w:gridCol w:w="1395"/>
        <w:gridCol w:w="1395"/>
        <w:gridCol w:w="1268"/>
      </w:tblGrid>
      <w:tr>
        <w:trPr>
          <w:trHeight w:val="600" w:hRule="atLeast"/>
          <w:jc w:val="center"/>
        </w:trPr>
        <w:tc>
          <w:tcPr>
            <w:tcW w:w="9990" w:type="dxa"/>
            <w:gridSpan w:val="7"/>
            <w:tcBorders>
              <w:top w:val="nil"/>
              <w:left w:val="nil"/>
              <w:bottom w:val="nil"/>
              <w:right w:val="nil"/>
            </w:tcBorders>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05</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r>
              <w:rPr>
                <w:rFonts w:hint="eastAsia" w:ascii="宋体" w:hAnsi="宋体" w:cs="宋体"/>
                <w:color w:val="000000"/>
                <w:kern w:val="0"/>
                <w:sz w:val="22"/>
              </w:rPr>
              <w:t>遵化市建明镇人民政府</w:t>
            </w: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6907"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312" w:hRule="atLeast"/>
          <w:jc w:val="center"/>
        </w:trPr>
        <w:tc>
          <w:tcPr>
            <w:tcW w:w="1343"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vMerge w:val="restar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2302"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2302"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2303"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12" w:hRule="atLeast"/>
          <w:jc w:val="center"/>
        </w:trPr>
        <w:tc>
          <w:tcPr>
            <w:tcW w:w="1343"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230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230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230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343"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230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230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230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b/>
                <w:color w:val="000000"/>
                <w:sz w:val="20"/>
                <w:szCs w:val="20"/>
              </w:rPr>
            </w:pPr>
            <w:r>
              <w:rPr>
                <w:rFonts w:hint="eastAsia" w:ascii="宋体" w:hAnsi="宋体" w:eastAsia="宋体" w:cs="宋体"/>
                <w:b/>
                <w:color w:val="000000"/>
                <w:sz w:val="20"/>
                <w:szCs w:val="20"/>
              </w:rPr>
              <w:t>714.89</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b/>
                <w:color w:val="000000"/>
                <w:sz w:val="20"/>
                <w:szCs w:val="20"/>
              </w:rPr>
            </w:pPr>
            <w:r>
              <w:rPr>
                <w:rFonts w:hint="eastAsia" w:ascii="宋体" w:hAnsi="宋体" w:eastAsia="宋体" w:cs="宋体"/>
                <w:b/>
                <w:color w:val="000000"/>
                <w:sz w:val="20"/>
                <w:szCs w:val="20"/>
              </w:rPr>
              <w:t>632.52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b/>
                <w:color w:val="000000"/>
                <w:sz w:val="20"/>
                <w:szCs w:val="20"/>
              </w:rPr>
            </w:pPr>
            <w:r>
              <w:rPr>
                <w:rFonts w:hint="eastAsia" w:ascii="宋体" w:hAnsi="宋体" w:eastAsia="宋体" w:cs="宋体"/>
                <w:b/>
                <w:color w:val="000000"/>
                <w:sz w:val="20"/>
                <w:szCs w:val="20"/>
              </w:rPr>
              <w:t>82.37</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一般公共服务支出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526.22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526.22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20103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政府办公厅（室）及相关机构事务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436.95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436.95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2010301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行政运行</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304.54</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304.54</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2010302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一般行政管理事务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132.41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132.41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20106</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财政事务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30.72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30.72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2010601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行政运行</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30.72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30.72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20131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党委办公厅（室）及相关机构事务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58.55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58.55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2013101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行政运行</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58.55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58.55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卫生健康支出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37.15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37.15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21001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卫生健康管理事务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37.15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37.15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2100101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行政运行</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37.15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37.15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城乡社区支出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46.21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46.21</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21205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 xml:space="preserve">城乡社区环境卫生 </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46.21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46.21</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2120501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城乡社区环境卫生</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46.21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46.21</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农林水支出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105.31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69.15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36.16</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21301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农业</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105.31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69.15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36.16</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2130101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行政运行</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69.15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69.15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2130126</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农村公益事业</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36.16</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36.16</w:t>
            </w:r>
          </w:p>
        </w:tc>
      </w:tr>
    </w:tbl>
    <w:p>
      <w:r>
        <w:br w:type="page"/>
      </w:r>
    </w:p>
    <w:tbl>
      <w:tblPr>
        <w:tblStyle w:val="7"/>
        <w:tblW w:w="10642" w:type="dxa"/>
        <w:jc w:val="center"/>
        <w:tblLayout w:type="fixed"/>
        <w:tblCellMar>
          <w:top w:w="0" w:type="dxa"/>
          <w:left w:w="0" w:type="dxa"/>
          <w:bottom w:w="0" w:type="dxa"/>
          <w:right w:w="0" w:type="dxa"/>
        </w:tblCellMar>
      </w:tblPr>
      <w:tblGrid>
        <w:gridCol w:w="728"/>
        <w:gridCol w:w="265"/>
        <w:gridCol w:w="2268"/>
        <w:gridCol w:w="850"/>
        <w:gridCol w:w="728"/>
        <w:gridCol w:w="1559"/>
        <w:gridCol w:w="709"/>
        <w:gridCol w:w="709"/>
        <w:gridCol w:w="2117"/>
        <w:gridCol w:w="709"/>
      </w:tblGrid>
      <w:tr>
        <w:tblPrEx>
          <w:tblCellMar>
            <w:top w:w="0" w:type="dxa"/>
            <w:left w:w="0" w:type="dxa"/>
            <w:bottom w:w="0" w:type="dxa"/>
            <w:right w:w="0" w:type="dxa"/>
          </w:tblCellMar>
        </w:tblPrEx>
        <w:trPr>
          <w:trHeight w:val="662" w:hRule="atLeast"/>
          <w:jc w:val="center"/>
        </w:trPr>
        <w:tc>
          <w:tcPr>
            <w:tcW w:w="10642" w:type="dxa"/>
            <w:gridSpan w:val="10"/>
            <w:tcBorders>
              <w:top w:val="nil"/>
              <w:left w:val="nil"/>
              <w:bottom w:val="nil"/>
              <w:right w:val="nil"/>
            </w:tcBorders>
            <w:tcMar>
              <w:top w:w="15" w:type="dxa"/>
              <w:left w:w="15" w:type="dxa"/>
              <w:right w:w="15" w:type="dxa"/>
            </w:tcMar>
            <w:vAlign w:val="center"/>
          </w:tcPr>
          <w:p>
            <w:pPr>
              <w:widowControl/>
              <w:ind w:firstLine="2560" w:firstLineChars="800"/>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一般公共预算财政拨款基本支出决算表</w:t>
            </w:r>
          </w:p>
        </w:tc>
      </w:tr>
      <w:tr>
        <w:tblPrEx>
          <w:tblCellMar>
            <w:top w:w="0" w:type="dxa"/>
            <w:left w:w="0" w:type="dxa"/>
            <w:bottom w:w="0" w:type="dxa"/>
            <w:right w:w="0" w:type="dxa"/>
          </w:tblCellMar>
        </w:tblPrEx>
        <w:trPr>
          <w:trHeight w:val="339" w:hRule="atLeast"/>
          <w:jc w:val="center"/>
        </w:trPr>
        <w:tc>
          <w:tcPr>
            <w:tcW w:w="728"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533" w:type="dxa"/>
            <w:gridSpan w:val="2"/>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85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728"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55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09"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709"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826" w:type="dxa"/>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w:t>
            </w:r>
            <w:r>
              <w:rPr>
                <w:rFonts w:ascii="宋体" w:hAnsi="宋体" w:eastAsia="宋体" w:cs="宋体"/>
                <w:color w:val="000000"/>
                <w:kern w:val="0"/>
                <w:sz w:val="18"/>
                <w:szCs w:val="18"/>
              </w:rPr>
              <w:t>06</w:t>
            </w:r>
            <w:r>
              <w:rPr>
                <w:rFonts w:hint="eastAsia" w:ascii="宋体" w:hAnsi="宋体" w:eastAsia="宋体" w:cs="宋体"/>
                <w:color w:val="000000"/>
                <w:kern w:val="0"/>
                <w:sz w:val="18"/>
                <w:szCs w:val="18"/>
              </w:rPr>
              <w:t>表</w:t>
            </w:r>
          </w:p>
        </w:tc>
      </w:tr>
      <w:tr>
        <w:tblPrEx>
          <w:tblCellMar>
            <w:top w:w="0" w:type="dxa"/>
            <w:left w:w="0" w:type="dxa"/>
            <w:bottom w:w="0" w:type="dxa"/>
            <w:right w:w="0" w:type="dxa"/>
          </w:tblCellMar>
        </w:tblPrEx>
        <w:trPr>
          <w:trHeight w:val="339" w:hRule="atLeast"/>
          <w:jc w:val="center"/>
        </w:trPr>
        <w:tc>
          <w:tcPr>
            <w:tcW w:w="993" w:type="dxa"/>
            <w:gridSpan w:val="2"/>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 xml:space="preserve">部门:            </w:t>
            </w:r>
          </w:p>
        </w:tc>
        <w:tc>
          <w:tcPr>
            <w:tcW w:w="226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r>
              <w:rPr>
                <w:rFonts w:hint="eastAsia" w:ascii="Arial" w:hAnsi="Arial" w:cs="Arial"/>
                <w:color w:val="000000"/>
                <w:sz w:val="20"/>
                <w:szCs w:val="20"/>
              </w:rPr>
              <w:t xml:space="preserve">  遵化市建明镇人民政府</w:t>
            </w:r>
          </w:p>
        </w:tc>
        <w:tc>
          <w:tcPr>
            <w:tcW w:w="85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728"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55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09"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709"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826" w:type="dxa"/>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tblPrEx>
          <w:tblCellMar>
            <w:top w:w="0" w:type="dxa"/>
            <w:left w:w="0" w:type="dxa"/>
            <w:bottom w:w="0" w:type="dxa"/>
            <w:right w:w="0" w:type="dxa"/>
          </w:tblCellMar>
        </w:tblPrEx>
        <w:trPr>
          <w:trHeight w:val="401" w:hRule="atLeast"/>
          <w:jc w:val="center"/>
        </w:trPr>
        <w:tc>
          <w:tcPr>
            <w:tcW w:w="4111"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人员经费</w:t>
            </w:r>
          </w:p>
        </w:tc>
        <w:tc>
          <w:tcPr>
            <w:tcW w:w="6531" w:type="dxa"/>
            <w:gridSpan w:val="6"/>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公用经费</w:t>
            </w:r>
          </w:p>
        </w:tc>
      </w:tr>
      <w:tr>
        <w:tblPrEx>
          <w:tblCellMar>
            <w:top w:w="0" w:type="dxa"/>
            <w:left w:w="0" w:type="dxa"/>
            <w:bottom w:w="0" w:type="dxa"/>
            <w:right w:w="0" w:type="dxa"/>
          </w:tblCellMar>
        </w:tblPrEx>
        <w:trPr>
          <w:trHeight w:val="362" w:hRule="atLeast"/>
          <w:jc w:val="center"/>
        </w:trPr>
        <w:tc>
          <w:tcPr>
            <w:tcW w:w="993" w:type="dxa"/>
            <w:gridSpan w:val="2"/>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科目</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编码</w:t>
            </w:r>
          </w:p>
        </w:tc>
        <w:tc>
          <w:tcPr>
            <w:tcW w:w="2268"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85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决算数</w:t>
            </w:r>
          </w:p>
        </w:tc>
        <w:tc>
          <w:tcPr>
            <w:tcW w:w="728"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科目编码</w:t>
            </w:r>
          </w:p>
        </w:tc>
        <w:tc>
          <w:tcPr>
            <w:tcW w:w="1559"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709"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决算数</w:t>
            </w:r>
          </w:p>
        </w:tc>
        <w:tc>
          <w:tcPr>
            <w:tcW w:w="709"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科目</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编码</w:t>
            </w:r>
          </w:p>
        </w:tc>
        <w:tc>
          <w:tcPr>
            <w:tcW w:w="2117"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709"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决算数</w:t>
            </w:r>
          </w:p>
        </w:tc>
      </w:tr>
      <w:tr>
        <w:tblPrEx>
          <w:tblCellMar>
            <w:top w:w="0" w:type="dxa"/>
            <w:left w:w="0" w:type="dxa"/>
            <w:bottom w:w="0" w:type="dxa"/>
            <w:right w:w="0" w:type="dxa"/>
          </w:tblCellMar>
        </w:tblPrEx>
        <w:trPr>
          <w:trHeight w:val="312" w:hRule="atLeast"/>
          <w:jc w:val="center"/>
        </w:trPr>
        <w:tc>
          <w:tcPr>
            <w:tcW w:w="993"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2268"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85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28"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55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0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0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211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0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70" w:hRule="atLeast"/>
          <w:jc w:val="center"/>
        </w:trPr>
        <w:tc>
          <w:tcPr>
            <w:tcW w:w="993"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w:t>
            </w:r>
          </w:p>
        </w:tc>
        <w:tc>
          <w:tcPr>
            <w:tcW w:w="226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工资福利支出</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r>
              <w:rPr>
                <w:rFonts w:hint="eastAsia" w:ascii="宋体" w:hAnsi="宋体" w:eastAsia="宋体" w:cs="宋体"/>
                <w:color w:val="000000"/>
                <w:sz w:val="20"/>
                <w:szCs w:val="20"/>
              </w:rPr>
              <w:t>499.21</w:t>
            </w:r>
          </w:p>
        </w:tc>
        <w:tc>
          <w:tcPr>
            <w:tcW w:w="728"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w:t>
            </w:r>
          </w:p>
        </w:tc>
        <w:tc>
          <w:tcPr>
            <w:tcW w:w="155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商品和服务支出</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r>
              <w:rPr>
                <w:rFonts w:hint="eastAsia" w:ascii="宋体" w:hAnsi="宋体" w:eastAsia="宋体" w:cs="宋体"/>
                <w:color w:val="000000"/>
                <w:sz w:val="20"/>
                <w:szCs w:val="20"/>
              </w:rPr>
              <w:t>126.77</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307</w:t>
            </w:r>
          </w:p>
        </w:tc>
        <w:tc>
          <w:tcPr>
            <w:tcW w:w="211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债务利息及费用支出</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993"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30101</w:t>
            </w:r>
          </w:p>
        </w:tc>
        <w:tc>
          <w:tcPr>
            <w:tcW w:w="226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基本工资</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r>
              <w:rPr>
                <w:rFonts w:hint="eastAsia" w:ascii="宋体" w:hAnsi="宋体" w:eastAsia="宋体" w:cs="宋体"/>
                <w:color w:val="000000"/>
                <w:sz w:val="20"/>
                <w:szCs w:val="20"/>
              </w:rPr>
              <w:t>175.43</w:t>
            </w:r>
          </w:p>
        </w:tc>
        <w:tc>
          <w:tcPr>
            <w:tcW w:w="728"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30201</w:t>
            </w:r>
          </w:p>
        </w:tc>
        <w:tc>
          <w:tcPr>
            <w:tcW w:w="155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办公费</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r>
              <w:rPr>
                <w:rFonts w:hint="eastAsia" w:ascii="宋体" w:hAnsi="宋体" w:eastAsia="宋体" w:cs="宋体"/>
                <w:color w:val="000000"/>
                <w:sz w:val="20"/>
                <w:szCs w:val="20"/>
              </w:rPr>
              <w:t>22.46</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30701</w:t>
            </w:r>
          </w:p>
        </w:tc>
        <w:tc>
          <w:tcPr>
            <w:tcW w:w="211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国内债务付息</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993"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30102</w:t>
            </w:r>
          </w:p>
        </w:tc>
        <w:tc>
          <w:tcPr>
            <w:tcW w:w="226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津贴补贴</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r>
              <w:rPr>
                <w:rFonts w:hint="eastAsia" w:ascii="宋体" w:hAnsi="宋体" w:eastAsia="宋体" w:cs="宋体"/>
                <w:color w:val="000000"/>
                <w:sz w:val="20"/>
                <w:szCs w:val="20"/>
              </w:rPr>
              <w:t>123.61</w:t>
            </w:r>
          </w:p>
        </w:tc>
        <w:tc>
          <w:tcPr>
            <w:tcW w:w="728"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30202</w:t>
            </w:r>
          </w:p>
        </w:tc>
        <w:tc>
          <w:tcPr>
            <w:tcW w:w="155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印刷费</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30702</w:t>
            </w:r>
          </w:p>
        </w:tc>
        <w:tc>
          <w:tcPr>
            <w:tcW w:w="211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国外债务付息</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993"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30103</w:t>
            </w:r>
          </w:p>
        </w:tc>
        <w:tc>
          <w:tcPr>
            <w:tcW w:w="226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奖金</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r>
              <w:rPr>
                <w:rFonts w:hint="eastAsia" w:ascii="宋体" w:hAnsi="宋体" w:eastAsia="宋体" w:cs="宋体"/>
                <w:color w:val="000000"/>
                <w:sz w:val="20"/>
                <w:szCs w:val="20"/>
              </w:rPr>
              <w:t>7.86</w:t>
            </w:r>
          </w:p>
        </w:tc>
        <w:tc>
          <w:tcPr>
            <w:tcW w:w="728"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30203</w:t>
            </w:r>
          </w:p>
        </w:tc>
        <w:tc>
          <w:tcPr>
            <w:tcW w:w="155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咨询费</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w:t>
            </w:r>
          </w:p>
        </w:tc>
        <w:tc>
          <w:tcPr>
            <w:tcW w:w="211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资本性支出</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993"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30106</w:t>
            </w:r>
          </w:p>
        </w:tc>
        <w:tc>
          <w:tcPr>
            <w:tcW w:w="226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伙食补助费</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28"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30204</w:t>
            </w:r>
          </w:p>
        </w:tc>
        <w:tc>
          <w:tcPr>
            <w:tcW w:w="155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手续费</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31001</w:t>
            </w:r>
          </w:p>
        </w:tc>
        <w:tc>
          <w:tcPr>
            <w:tcW w:w="211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房屋建筑物购建</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993"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30107</w:t>
            </w:r>
          </w:p>
        </w:tc>
        <w:tc>
          <w:tcPr>
            <w:tcW w:w="226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绩效工资</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r>
              <w:rPr>
                <w:rFonts w:hint="eastAsia" w:ascii="宋体" w:hAnsi="宋体" w:eastAsia="宋体" w:cs="宋体"/>
                <w:color w:val="000000"/>
                <w:sz w:val="20"/>
                <w:szCs w:val="20"/>
              </w:rPr>
              <w:t>53.45</w:t>
            </w:r>
          </w:p>
        </w:tc>
        <w:tc>
          <w:tcPr>
            <w:tcW w:w="728"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30205</w:t>
            </w:r>
          </w:p>
        </w:tc>
        <w:tc>
          <w:tcPr>
            <w:tcW w:w="155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水费</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31002</w:t>
            </w:r>
          </w:p>
        </w:tc>
        <w:tc>
          <w:tcPr>
            <w:tcW w:w="211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办公设备购置</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left"/>
              <w:rPr>
                <w:rFonts w:ascii="宋体" w:hAnsi="宋体" w:eastAsia="宋体" w:cs="宋体"/>
                <w:color w:val="000000"/>
                <w:sz w:val="20"/>
                <w:szCs w:val="20"/>
              </w:rPr>
            </w:pPr>
            <w:r>
              <w:rPr>
                <w:rFonts w:hint="eastAsia" w:ascii="宋体" w:hAnsi="宋体" w:eastAsia="宋体" w:cs="宋体"/>
                <w:color w:val="000000"/>
                <w:sz w:val="20"/>
                <w:szCs w:val="20"/>
              </w:rPr>
              <w:t>5.64</w:t>
            </w:r>
          </w:p>
        </w:tc>
      </w:tr>
      <w:tr>
        <w:tblPrEx>
          <w:tblCellMar>
            <w:top w:w="0" w:type="dxa"/>
            <w:left w:w="0" w:type="dxa"/>
            <w:bottom w:w="0" w:type="dxa"/>
            <w:right w:w="0" w:type="dxa"/>
          </w:tblCellMar>
        </w:tblPrEx>
        <w:trPr>
          <w:trHeight w:val="482" w:hRule="atLeast"/>
          <w:jc w:val="center"/>
        </w:trPr>
        <w:tc>
          <w:tcPr>
            <w:tcW w:w="993"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30108</w:t>
            </w:r>
          </w:p>
        </w:tc>
        <w:tc>
          <w:tcPr>
            <w:tcW w:w="226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机关事业单位基本养老保险缴费</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r>
              <w:rPr>
                <w:rFonts w:hint="eastAsia" w:ascii="宋体" w:hAnsi="宋体" w:eastAsia="宋体" w:cs="宋体"/>
                <w:color w:val="000000"/>
                <w:sz w:val="20"/>
                <w:szCs w:val="20"/>
              </w:rPr>
              <w:t>1.57</w:t>
            </w:r>
          </w:p>
        </w:tc>
        <w:tc>
          <w:tcPr>
            <w:tcW w:w="728"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30206</w:t>
            </w:r>
          </w:p>
        </w:tc>
        <w:tc>
          <w:tcPr>
            <w:tcW w:w="155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电费</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r>
              <w:rPr>
                <w:rFonts w:hint="eastAsia" w:ascii="宋体" w:hAnsi="宋体" w:eastAsia="宋体" w:cs="宋体"/>
                <w:color w:val="000000"/>
                <w:sz w:val="20"/>
                <w:szCs w:val="20"/>
              </w:rPr>
              <w:t>5.14</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31003</w:t>
            </w:r>
          </w:p>
        </w:tc>
        <w:tc>
          <w:tcPr>
            <w:tcW w:w="211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专用设备购置</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993"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30109</w:t>
            </w:r>
          </w:p>
        </w:tc>
        <w:tc>
          <w:tcPr>
            <w:tcW w:w="226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职业年金缴费</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r>
              <w:rPr>
                <w:rFonts w:hint="eastAsia" w:ascii="宋体" w:hAnsi="宋体" w:eastAsia="宋体" w:cs="宋体"/>
                <w:color w:val="000000"/>
                <w:sz w:val="20"/>
                <w:szCs w:val="20"/>
              </w:rPr>
              <w:t>24.32</w:t>
            </w:r>
          </w:p>
        </w:tc>
        <w:tc>
          <w:tcPr>
            <w:tcW w:w="728"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30207</w:t>
            </w:r>
          </w:p>
        </w:tc>
        <w:tc>
          <w:tcPr>
            <w:tcW w:w="155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邮电费</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r>
              <w:rPr>
                <w:rFonts w:hint="eastAsia" w:ascii="宋体" w:hAnsi="宋体" w:eastAsia="宋体" w:cs="宋体"/>
                <w:color w:val="000000"/>
                <w:sz w:val="20"/>
                <w:szCs w:val="20"/>
              </w:rPr>
              <w:t>1.30</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31005</w:t>
            </w:r>
          </w:p>
        </w:tc>
        <w:tc>
          <w:tcPr>
            <w:tcW w:w="211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基础设施建设</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380" w:hRule="atLeast"/>
          <w:jc w:val="center"/>
        </w:trPr>
        <w:tc>
          <w:tcPr>
            <w:tcW w:w="993"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30110</w:t>
            </w:r>
          </w:p>
        </w:tc>
        <w:tc>
          <w:tcPr>
            <w:tcW w:w="226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职工基本医疗保险缴费</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r>
              <w:rPr>
                <w:rFonts w:hint="eastAsia" w:ascii="宋体" w:hAnsi="宋体" w:eastAsia="宋体" w:cs="宋体"/>
                <w:color w:val="000000"/>
                <w:sz w:val="20"/>
                <w:szCs w:val="20"/>
              </w:rPr>
              <w:t>27.43</w:t>
            </w:r>
          </w:p>
        </w:tc>
        <w:tc>
          <w:tcPr>
            <w:tcW w:w="728"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30208</w:t>
            </w:r>
          </w:p>
        </w:tc>
        <w:tc>
          <w:tcPr>
            <w:tcW w:w="155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取暖费</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r>
              <w:rPr>
                <w:rFonts w:hint="eastAsia" w:ascii="宋体" w:hAnsi="宋体" w:eastAsia="宋体" w:cs="宋体"/>
                <w:color w:val="000000"/>
                <w:sz w:val="20"/>
                <w:szCs w:val="20"/>
              </w:rPr>
              <w:t>30.57</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31006</w:t>
            </w:r>
          </w:p>
        </w:tc>
        <w:tc>
          <w:tcPr>
            <w:tcW w:w="211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大型修缮</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993"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30111</w:t>
            </w:r>
          </w:p>
        </w:tc>
        <w:tc>
          <w:tcPr>
            <w:tcW w:w="226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公务员医疗补助缴费</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r>
              <w:rPr>
                <w:rFonts w:hint="eastAsia" w:ascii="宋体" w:hAnsi="宋体" w:eastAsia="宋体" w:cs="宋体"/>
                <w:color w:val="000000"/>
                <w:sz w:val="20"/>
                <w:szCs w:val="20"/>
              </w:rPr>
              <w:t>33.53</w:t>
            </w:r>
          </w:p>
        </w:tc>
        <w:tc>
          <w:tcPr>
            <w:tcW w:w="728"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30209</w:t>
            </w:r>
          </w:p>
        </w:tc>
        <w:tc>
          <w:tcPr>
            <w:tcW w:w="155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物业管理费</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31007</w:t>
            </w:r>
          </w:p>
        </w:tc>
        <w:tc>
          <w:tcPr>
            <w:tcW w:w="211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信息网络及软件购置更新</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993"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30112</w:t>
            </w:r>
          </w:p>
        </w:tc>
        <w:tc>
          <w:tcPr>
            <w:tcW w:w="226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其他社会保障缴费</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r>
              <w:rPr>
                <w:rFonts w:hint="eastAsia" w:ascii="宋体" w:hAnsi="宋体" w:eastAsia="宋体" w:cs="宋体"/>
                <w:color w:val="000000"/>
                <w:sz w:val="20"/>
                <w:szCs w:val="20"/>
              </w:rPr>
              <w:t>1.43</w:t>
            </w:r>
          </w:p>
        </w:tc>
        <w:tc>
          <w:tcPr>
            <w:tcW w:w="728"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30211</w:t>
            </w:r>
          </w:p>
        </w:tc>
        <w:tc>
          <w:tcPr>
            <w:tcW w:w="155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差旅费</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31008</w:t>
            </w:r>
          </w:p>
        </w:tc>
        <w:tc>
          <w:tcPr>
            <w:tcW w:w="211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物资储备</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993"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30113</w:t>
            </w:r>
          </w:p>
        </w:tc>
        <w:tc>
          <w:tcPr>
            <w:tcW w:w="226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住房公积金</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r>
              <w:rPr>
                <w:rFonts w:hint="eastAsia" w:ascii="宋体" w:hAnsi="宋体" w:eastAsia="宋体" w:cs="宋体"/>
                <w:color w:val="000000"/>
                <w:sz w:val="20"/>
                <w:szCs w:val="20"/>
              </w:rPr>
              <w:t>39.31</w:t>
            </w:r>
          </w:p>
        </w:tc>
        <w:tc>
          <w:tcPr>
            <w:tcW w:w="728"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30212</w:t>
            </w:r>
          </w:p>
        </w:tc>
        <w:tc>
          <w:tcPr>
            <w:tcW w:w="155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因公出国（境）费用</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31009</w:t>
            </w:r>
          </w:p>
        </w:tc>
        <w:tc>
          <w:tcPr>
            <w:tcW w:w="211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土地补偿</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993"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30114</w:t>
            </w:r>
          </w:p>
        </w:tc>
        <w:tc>
          <w:tcPr>
            <w:tcW w:w="226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医疗费</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28"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30213</w:t>
            </w:r>
          </w:p>
        </w:tc>
        <w:tc>
          <w:tcPr>
            <w:tcW w:w="155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维修（护）费</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r>
              <w:rPr>
                <w:rFonts w:hint="eastAsia" w:ascii="宋体" w:hAnsi="宋体" w:eastAsia="宋体" w:cs="宋体"/>
                <w:color w:val="000000"/>
                <w:sz w:val="20"/>
                <w:szCs w:val="20"/>
              </w:rPr>
              <w:t>4.22</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31010</w:t>
            </w:r>
          </w:p>
        </w:tc>
        <w:tc>
          <w:tcPr>
            <w:tcW w:w="211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安置补助</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993"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30199</w:t>
            </w:r>
          </w:p>
        </w:tc>
        <w:tc>
          <w:tcPr>
            <w:tcW w:w="226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其他工资福利支出</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r>
              <w:rPr>
                <w:rFonts w:hint="eastAsia" w:ascii="宋体" w:hAnsi="宋体" w:eastAsia="宋体" w:cs="宋体"/>
                <w:color w:val="000000"/>
                <w:sz w:val="20"/>
                <w:szCs w:val="20"/>
              </w:rPr>
              <w:t>11.27</w:t>
            </w:r>
          </w:p>
        </w:tc>
        <w:tc>
          <w:tcPr>
            <w:tcW w:w="728"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30214</w:t>
            </w:r>
          </w:p>
        </w:tc>
        <w:tc>
          <w:tcPr>
            <w:tcW w:w="155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租赁费</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31011</w:t>
            </w:r>
          </w:p>
        </w:tc>
        <w:tc>
          <w:tcPr>
            <w:tcW w:w="211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地上附着物和青苗补偿</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993"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w:t>
            </w:r>
          </w:p>
        </w:tc>
        <w:tc>
          <w:tcPr>
            <w:tcW w:w="226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对个人和家庭的补助</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r>
              <w:rPr>
                <w:rFonts w:hint="eastAsia" w:ascii="宋体" w:hAnsi="宋体" w:eastAsia="宋体" w:cs="宋体"/>
                <w:color w:val="000000"/>
                <w:sz w:val="20"/>
                <w:szCs w:val="20"/>
              </w:rPr>
              <w:t>0.9</w:t>
            </w:r>
          </w:p>
        </w:tc>
        <w:tc>
          <w:tcPr>
            <w:tcW w:w="728"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30215</w:t>
            </w:r>
          </w:p>
        </w:tc>
        <w:tc>
          <w:tcPr>
            <w:tcW w:w="155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会议费</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31012</w:t>
            </w:r>
          </w:p>
        </w:tc>
        <w:tc>
          <w:tcPr>
            <w:tcW w:w="211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拆迁补偿</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194" w:hRule="atLeast"/>
          <w:jc w:val="center"/>
        </w:trPr>
        <w:tc>
          <w:tcPr>
            <w:tcW w:w="993"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30301</w:t>
            </w:r>
          </w:p>
        </w:tc>
        <w:tc>
          <w:tcPr>
            <w:tcW w:w="226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离休费</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28"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30216</w:t>
            </w:r>
          </w:p>
        </w:tc>
        <w:tc>
          <w:tcPr>
            <w:tcW w:w="155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培训费</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31013</w:t>
            </w:r>
          </w:p>
        </w:tc>
        <w:tc>
          <w:tcPr>
            <w:tcW w:w="211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公务用车购置</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241" w:hRule="atLeast"/>
          <w:jc w:val="center"/>
        </w:trPr>
        <w:tc>
          <w:tcPr>
            <w:tcW w:w="993"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30302</w:t>
            </w:r>
          </w:p>
        </w:tc>
        <w:tc>
          <w:tcPr>
            <w:tcW w:w="226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退休费</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2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55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公务接待费</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r>
              <w:rPr>
                <w:rFonts w:hint="eastAsia" w:ascii="宋体" w:hAnsi="宋体" w:eastAsia="宋体" w:cs="宋体"/>
                <w:color w:val="000000"/>
                <w:sz w:val="20"/>
                <w:szCs w:val="20"/>
              </w:rPr>
              <w:t>0.39</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31019</w:t>
            </w:r>
          </w:p>
        </w:tc>
        <w:tc>
          <w:tcPr>
            <w:tcW w:w="211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其他交通工具购置</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993"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30303</w:t>
            </w:r>
          </w:p>
        </w:tc>
        <w:tc>
          <w:tcPr>
            <w:tcW w:w="226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退职（役）费</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28"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30218</w:t>
            </w:r>
          </w:p>
        </w:tc>
        <w:tc>
          <w:tcPr>
            <w:tcW w:w="155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专用材料费</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31021</w:t>
            </w:r>
          </w:p>
        </w:tc>
        <w:tc>
          <w:tcPr>
            <w:tcW w:w="211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文物和陈列品购置</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993"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30304</w:t>
            </w:r>
          </w:p>
        </w:tc>
        <w:tc>
          <w:tcPr>
            <w:tcW w:w="226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抚恤金</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r>
              <w:rPr>
                <w:rFonts w:hint="eastAsia" w:ascii="宋体" w:hAnsi="宋体" w:eastAsia="宋体" w:cs="宋体"/>
                <w:color w:val="000000"/>
                <w:sz w:val="20"/>
                <w:szCs w:val="20"/>
              </w:rPr>
              <w:t>0.9</w:t>
            </w:r>
          </w:p>
        </w:tc>
        <w:tc>
          <w:tcPr>
            <w:tcW w:w="728"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30224</w:t>
            </w:r>
          </w:p>
        </w:tc>
        <w:tc>
          <w:tcPr>
            <w:tcW w:w="155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被装购置费</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31022</w:t>
            </w:r>
          </w:p>
        </w:tc>
        <w:tc>
          <w:tcPr>
            <w:tcW w:w="211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无形资产购置</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993"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30305</w:t>
            </w:r>
          </w:p>
        </w:tc>
        <w:tc>
          <w:tcPr>
            <w:tcW w:w="226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生活补助</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28"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30225</w:t>
            </w:r>
          </w:p>
        </w:tc>
        <w:tc>
          <w:tcPr>
            <w:tcW w:w="155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专用燃料费</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31099</w:t>
            </w:r>
          </w:p>
        </w:tc>
        <w:tc>
          <w:tcPr>
            <w:tcW w:w="211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其他资本性支出</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993"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30306</w:t>
            </w:r>
          </w:p>
        </w:tc>
        <w:tc>
          <w:tcPr>
            <w:tcW w:w="226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救济费</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28"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30226</w:t>
            </w:r>
          </w:p>
        </w:tc>
        <w:tc>
          <w:tcPr>
            <w:tcW w:w="155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劳务费</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r>
              <w:rPr>
                <w:rFonts w:hint="eastAsia" w:ascii="宋体" w:hAnsi="宋体" w:eastAsia="宋体" w:cs="宋体"/>
                <w:color w:val="000000"/>
                <w:sz w:val="20"/>
                <w:szCs w:val="20"/>
              </w:rPr>
              <w:t>15.42</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399</w:t>
            </w:r>
          </w:p>
        </w:tc>
        <w:tc>
          <w:tcPr>
            <w:tcW w:w="211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其他支出</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993"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30307</w:t>
            </w:r>
          </w:p>
        </w:tc>
        <w:tc>
          <w:tcPr>
            <w:tcW w:w="226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医疗费补助</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28"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30227</w:t>
            </w:r>
          </w:p>
        </w:tc>
        <w:tc>
          <w:tcPr>
            <w:tcW w:w="155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委托业务费</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39906</w:t>
            </w:r>
          </w:p>
        </w:tc>
        <w:tc>
          <w:tcPr>
            <w:tcW w:w="211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赠与</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993"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30308</w:t>
            </w:r>
          </w:p>
        </w:tc>
        <w:tc>
          <w:tcPr>
            <w:tcW w:w="226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助学金</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28"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30228</w:t>
            </w:r>
          </w:p>
        </w:tc>
        <w:tc>
          <w:tcPr>
            <w:tcW w:w="155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工会经费</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r>
              <w:rPr>
                <w:rFonts w:hint="eastAsia" w:ascii="宋体" w:hAnsi="宋体" w:eastAsia="宋体" w:cs="宋体"/>
                <w:color w:val="000000"/>
                <w:sz w:val="20"/>
                <w:szCs w:val="20"/>
              </w:rPr>
              <w:t>0.32</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39907</w:t>
            </w:r>
          </w:p>
        </w:tc>
        <w:tc>
          <w:tcPr>
            <w:tcW w:w="211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国家赔偿费用支出</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488" w:hRule="atLeast"/>
          <w:jc w:val="center"/>
        </w:trPr>
        <w:tc>
          <w:tcPr>
            <w:tcW w:w="993"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30309</w:t>
            </w:r>
          </w:p>
        </w:tc>
        <w:tc>
          <w:tcPr>
            <w:tcW w:w="226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奖励金</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28"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30229</w:t>
            </w:r>
          </w:p>
        </w:tc>
        <w:tc>
          <w:tcPr>
            <w:tcW w:w="155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福利费</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r>
              <w:rPr>
                <w:rFonts w:hint="eastAsia" w:ascii="宋体" w:hAnsi="宋体" w:eastAsia="宋体" w:cs="宋体"/>
                <w:color w:val="000000"/>
                <w:sz w:val="20"/>
                <w:szCs w:val="20"/>
              </w:rPr>
              <w:t>4.77</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39908</w:t>
            </w:r>
          </w:p>
        </w:tc>
        <w:tc>
          <w:tcPr>
            <w:tcW w:w="211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对民间非营利组织和群众性自治组织补贴</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993"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30310</w:t>
            </w:r>
          </w:p>
        </w:tc>
        <w:tc>
          <w:tcPr>
            <w:tcW w:w="226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个人农业生产补贴</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28"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30231</w:t>
            </w:r>
          </w:p>
        </w:tc>
        <w:tc>
          <w:tcPr>
            <w:tcW w:w="155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公务用车运行维护费</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r>
              <w:rPr>
                <w:rFonts w:hint="eastAsia" w:ascii="宋体" w:hAnsi="宋体" w:eastAsia="宋体" w:cs="宋体"/>
                <w:color w:val="000000"/>
                <w:sz w:val="20"/>
                <w:szCs w:val="20"/>
              </w:rPr>
              <w:t>7.80</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39999</w:t>
            </w:r>
          </w:p>
        </w:tc>
        <w:tc>
          <w:tcPr>
            <w:tcW w:w="2117"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其他支出</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993"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30399</w:t>
            </w:r>
          </w:p>
        </w:tc>
        <w:tc>
          <w:tcPr>
            <w:tcW w:w="2268"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其他对个人和家庭的补助</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28"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30239</w:t>
            </w:r>
          </w:p>
        </w:tc>
        <w:tc>
          <w:tcPr>
            <w:tcW w:w="155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其他交通费用</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r>
              <w:rPr>
                <w:rFonts w:hint="eastAsia" w:ascii="宋体" w:hAnsi="宋体" w:eastAsia="宋体" w:cs="宋体"/>
                <w:color w:val="000000"/>
                <w:sz w:val="20"/>
                <w:szCs w:val="20"/>
              </w:rPr>
              <w:t>16.88</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2117" w:type="dxa"/>
            <w:tcBorders>
              <w:top w:val="nil"/>
              <w:left w:val="nil"/>
              <w:bottom w:val="single" w:color="000000" w:sz="4" w:space="0"/>
              <w:right w:val="single" w:color="000000" w:sz="4" w:space="0"/>
            </w:tcBorders>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993"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2268" w:type="dxa"/>
            <w:tcBorders>
              <w:top w:val="nil"/>
              <w:left w:val="nil"/>
              <w:bottom w:val="single" w:color="000000" w:sz="4" w:space="0"/>
              <w:right w:val="single" w:color="000000" w:sz="4" w:space="0"/>
            </w:tcBorders>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28"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30240</w:t>
            </w:r>
          </w:p>
        </w:tc>
        <w:tc>
          <w:tcPr>
            <w:tcW w:w="155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税金及附加费用</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2117" w:type="dxa"/>
            <w:tcBorders>
              <w:top w:val="nil"/>
              <w:left w:val="nil"/>
              <w:bottom w:val="single" w:color="000000" w:sz="4" w:space="0"/>
              <w:right w:val="single" w:color="000000" w:sz="4" w:space="0"/>
            </w:tcBorders>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993"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2268" w:type="dxa"/>
            <w:tcBorders>
              <w:top w:val="nil"/>
              <w:left w:val="nil"/>
              <w:bottom w:val="single" w:color="000000" w:sz="4" w:space="0"/>
              <w:right w:val="single" w:color="000000" w:sz="4" w:space="0"/>
            </w:tcBorders>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28"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30299</w:t>
            </w:r>
          </w:p>
        </w:tc>
        <w:tc>
          <w:tcPr>
            <w:tcW w:w="155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其他商品和服务支出</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r>
              <w:rPr>
                <w:rFonts w:hint="eastAsia" w:ascii="宋体" w:hAnsi="宋体" w:eastAsia="宋体" w:cs="宋体"/>
                <w:color w:val="000000"/>
                <w:sz w:val="20"/>
                <w:szCs w:val="20"/>
              </w:rPr>
              <w:t>17.50</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2117" w:type="dxa"/>
            <w:tcBorders>
              <w:top w:val="nil"/>
              <w:left w:val="nil"/>
              <w:bottom w:val="single" w:color="000000" w:sz="4" w:space="0"/>
              <w:right w:val="single" w:color="000000" w:sz="4" w:space="0"/>
            </w:tcBorders>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left"/>
              <w:rPr>
                <w:rFonts w:ascii="宋体" w:hAnsi="宋体" w:eastAsia="宋体" w:cs="宋体"/>
                <w:color w:val="000000"/>
                <w:sz w:val="20"/>
                <w:szCs w:val="20"/>
              </w:rPr>
            </w:pPr>
          </w:p>
        </w:tc>
      </w:tr>
      <w:tr>
        <w:tblPrEx>
          <w:tblCellMar>
            <w:top w:w="0" w:type="dxa"/>
            <w:left w:w="0" w:type="dxa"/>
            <w:bottom w:w="0" w:type="dxa"/>
            <w:right w:w="0" w:type="dxa"/>
          </w:tblCellMar>
        </w:tblPrEx>
        <w:trPr>
          <w:trHeight w:val="317" w:hRule="atLeast"/>
          <w:jc w:val="center"/>
        </w:trPr>
        <w:tc>
          <w:tcPr>
            <w:tcW w:w="3261"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人员经费合计</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r>
              <w:rPr>
                <w:rFonts w:hint="eastAsia" w:ascii="宋体" w:hAnsi="宋体" w:eastAsia="宋体" w:cs="宋体"/>
                <w:color w:val="000000"/>
                <w:sz w:val="20"/>
                <w:szCs w:val="20"/>
              </w:rPr>
              <w:t>500.11</w:t>
            </w:r>
          </w:p>
        </w:tc>
        <w:tc>
          <w:tcPr>
            <w:tcW w:w="5822" w:type="dxa"/>
            <w:gridSpan w:val="5"/>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公用经费合计  </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left"/>
              <w:rPr>
                <w:rFonts w:ascii="宋体" w:hAnsi="宋体" w:eastAsia="宋体" w:cs="宋体"/>
                <w:color w:val="000000"/>
                <w:sz w:val="20"/>
                <w:szCs w:val="20"/>
              </w:rPr>
            </w:pPr>
            <w:r>
              <w:rPr>
                <w:rFonts w:hint="eastAsia" w:ascii="宋体" w:hAnsi="宋体" w:eastAsia="宋体" w:cs="宋体"/>
                <w:color w:val="000000"/>
                <w:sz w:val="20"/>
                <w:szCs w:val="20"/>
              </w:rPr>
              <w:t>132.41</w:t>
            </w:r>
          </w:p>
        </w:tc>
      </w:tr>
    </w:tbl>
    <w:p>
      <w:r>
        <w:br w:type="page"/>
      </w:r>
    </w:p>
    <w:tbl>
      <w:tblPr>
        <w:tblStyle w:val="7"/>
        <w:tblW w:w="9220" w:type="dxa"/>
        <w:jc w:val="center"/>
        <w:tblLayout w:type="autofit"/>
        <w:tblCellMar>
          <w:top w:w="0" w:type="dxa"/>
          <w:left w:w="0" w:type="dxa"/>
          <w:bottom w:w="0" w:type="dxa"/>
          <w:right w:w="0" w:type="dxa"/>
        </w:tblCellMar>
      </w:tblPr>
      <w:tblGrid>
        <w:gridCol w:w="2830"/>
        <w:gridCol w:w="1578"/>
        <w:gridCol w:w="1080"/>
        <w:gridCol w:w="929"/>
        <w:gridCol w:w="1231"/>
        <w:gridCol w:w="1572"/>
      </w:tblGrid>
      <w:tr>
        <w:trPr>
          <w:trHeight w:val="638" w:hRule="atLeast"/>
          <w:jc w:val="center"/>
        </w:trPr>
        <w:tc>
          <w:tcPr>
            <w:tcW w:w="9220" w:type="dxa"/>
            <w:gridSpan w:val="6"/>
            <w:tcBorders>
              <w:top w:val="nil"/>
              <w:left w:val="nil"/>
              <w:bottom w:val="nil"/>
              <w:right w:val="nil"/>
            </w:tcBorders>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一般公共预算财政拨款“三公”经费支出决算表</w:t>
            </w:r>
          </w:p>
        </w:tc>
      </w:tr>
      <w:tr>
        <w:tblPrEx>
          <w:tblCellMar>
            <w:top w:w="0" w:type="dxa"/>
            <w:left w:w="0" w:type="dxa"/>
            <w:bottom w:w="0" w:type="dxa"/>
            <w:right w:w="0" w:type="dxa"/>
          </w:tblCellMar>
        </w:tblPrEx>
        <w:trPr>
          <w:trHeight w:val="360" w:hRule="atLeast"/>
          <w:jc w:val="center"/>
        </w:trPr>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07</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360" w:hRule="atLeast"/>
          <w:jc w:val="center"/>
        </w:trPr>
        <w:tc>
          <w:tcPr>
            <w:tcW w:w="0" w:type="auto"/>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r>
              <w:rPr>
                <w:rFonts w:hint="eastAsia" w:ascii="宋体" w:hAnsi="宋体" w:cs="宋体"/>
                <w:color w:val="000000"/>
                <w:kern w:val="0"/>
                <w:sz w:val="22"/>
              </w:rPr>
              <w:t>遵化市建明镇人民政府</w:t>
            </w: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1686"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1572" w:type="dxa"/>
            <w:tcBorders>
              <w:top w:val="nil"/>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r>
      <w:tr>
        <w:tblPrEx>
          <w:tblCellMar>
            <w:top w:w="0" w:type="dxa"/>
            <w:left w:w="0" w:type="dxa"/>
            <w:bottom w:w="0" w:type="dxa"/>
            <w:right w:w="0" w:type="dxa"/>
          </w:tblCellMar>
        </w:tblPrEx>
        <w:trPr>
          <w:trHeight w:val="417" w:hRule="atLeast"/>
          <w:jc w:val="center"/>
        </w:trPr>
        <w:tc>
          <w:tcPr>
            <w:tcW w:w="0" w:type="auto"/>
            <w:tcBorders>
              <w:top w:val="nil"/>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12.66</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12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12</w:t>
            </w:r>
          </w:p>
        </w:tc>
        <w:tc>
          <w:tcPr>
            <w:tcW w:w="0" w:type="auto"/>
            <w:tcBorders>
              <w:top w:val="nil"/>
              <w:left w:val="nil"/>
              <w:bottom w:val="single" w:color="000000" w:sz="4" w:space="0"/>
              <w:right w:val="single" w:color="auto" w:sz="4" w:space="0"/>
            </w:tcBorders>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0.66</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7</w:t>
            </w:r>
          </w:p>
        </w:tc>
        <w:tc>
          <w:tcPr>
            <w:tcW w:w="1686"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8</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9</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10</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11</w:t>
            </w:r>
          </w:p>
        </w:tc>
        <w:tc>
          <w:tcPr>
            <w:tcW w:w="1572" w:type="dxa"/>
            <w:tcBorders>
              <w:top w:val="nil"/>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12</w:t>
            </w:r>
          </w:p>
        </w:tc>
      </w:tr>
      <w:tr>
        <w:tblPrEx>
          <w:tblCellMar>
            <w:top w:w="0" w:type="dxa"/>
            <w:left w:w="0" w:type="dxa"/>
            <w:bottom w:w="0" w:type="dxa"/>
            <w:right w:w="0" w:type="dxa"/>
          </w:tblCellMar>
        </w:tblPrEx>
        <w:trPr>
          <w:trHeight w:val="447" w:hRule="atLeast"/>
          <w:jc w:val="center"/>
        </w:trPr>
        <w:tc>
          <w:tcPr>
            <w:tcW w:w="0" w:type="auto"/>
            <w:tcBorders>
              <w:top w:val="nil"/>
              <w:left w:val="single" w:color="auto" w:sz="4" w:space="0"/>
              <w:bottom w:val="single" w:color="auto"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8.19</w:t>
            </w:r>
          </w:p>
        </w:tc>
        <w:tc>
          <w:tcPr>
            <w:tcW w:w="0" w:type="auto"/>
            <w:tcBorders>
              <w:top w:val="nil"/>
              <w:left w:val="nil"/>
              <w:bottom w:val="single" w:color="auto"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auto"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7.8</w:t>
            </w:r>
          </w:p>
        </w:tc>
        <w:tc>
          <w:tcPr>
            <w:tcW w:w="0" w:type="auto"/>
            <w:tcBorders>
              <w:top w:val="nil"/>
              <w:left w:val="nil"/>
              <w:bottom w:val="single" w:color="auto"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auto"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7.80</w:t>
            </w: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0.39</w:t>
            </w:r>
          </w:p>
        </w:tc>
      </w:tr>
    </w:tbl>
    <w:p>
      <w:r>
        <w:rPr>
          <w:rFonts w:hint="eastAsia" w:ascii="宋体" w:hAnsi="宋体" w:eastAsia="宋体" w:cs="宋体"/>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仿宋_GB2312" w:hAnsi="仿宋_GB2312" w:eastAsia="仿宋_GB2312" w:cs="仿宋_GB2312"/>
        </w:rPr>
        <w:tab/>
      </w:r>
      <w:r>
        <w:tab/>
      </w:r>
      <w:r>
        <w:tab/>
      </w:r>
      <w:r>
        <w:tab/>
      </w:r>
      <w:r>
        <w:tab/>
      </w:r>
      <w:r>
        <w:tab/>
      </w:r>
      <w:r>
        <w:tab/>
      </w:r>
      <w:r>
        <w:tab/>
      </w:r>
      <w:r>
        <w:tab/>
      </w:r>
      <w:r>
        <w:tab/>
      </w:r>
      <w:r>
        <w:tab/>
      </w:r>
      <w:r>
        <w:br w:type="page"/>
      </w:r>
    </w:p>
    <w:tbl>
      <w:tblPr>
        <w:tblStyle w:val="7"/>
        <w:tblW w:w="9510" w:type="dxa"/>
        <w:jc w:val="center"/>
        <w:tblLayout w:type="autofit"/>
        <w:tblCellMar>
          <w:top w:w="0" w:type="dxa"/>
          <w:left w:w="0" w:type="dxa"/>
          <w:bottom w:w="0" w:type="dxa"/>
          <w:right w:w="0" w:type="dxa"/>
        </w:tblCellMar>
      </w:tblPr>
      <w:tblGrid>
        <w:gridCol w:w="2830"/>
        <w:gridCol w:w="36"/>
        <w:gridCol w:w="36"/>
        <w:gridCol w:w="910"/>
        <w:gridCol w:w="950"/>
        <w:gridCol w:w="950"/>
        <w:gridCol w:w="950"/>
        <w:gridCol w:w="950"/>
        <w:gridCol w:w="950"/>
        <w:gridCol w:w="950"/>
      </w:tblGrid>
      <w:tr>
        <w:tblPrEx>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政府性基金预算财政拨款收入支出决算表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08</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r>
              <w:rPr>
                <w:rFonts w:hint="eastAsia" w:ascii="宋体" w:hAnsi="宋体" w:cs="宋体"/>
                <w:color w:val="000000"/>
                <w:kern w:val="0"/>
                <w:sz w:val="22"/>
              </w:rPr>
              <w:t>遵化市建明镇人民政府</w:t>
            </w: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117"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1117"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w:t>
            </w:r>
          </w:p>
        </w:tc>
        <w:tc>
          <w:tcPr>
            <w:tcW w:w="3351"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c>
          <w:tcPr>
            <w:tcW w:w="1118"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r>
      <w:tr>
        <w:tblPrEx>
          <w:tblCellMar>
            <w:top w:w="0" w:type="dxa"/>
            <w:left w:w="0" w:type="dxa"/>
            <w:bottom w:w="0" w:type="dxa"/>
            <w:right w:w="0" w:type="dxa"/>
          </w:tblCellMar>
        </w:tblPrEx>
        <w:trPr>
          <w:trHeight w:val="312" w:hRule="atLeast"/>
          <w:jc w:val="center"/>
        </w:trPr>
        <w:tc>
          <w:tcPr>
            <w:tcW w:w="1223"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vMerge w:val="restar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11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1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17"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117"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117"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118"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223"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111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1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1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1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1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18"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223"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111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1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1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1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1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18"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bl>
    <w:p>
      <w:pPr>
        <w:widowControl/>
        <w:adjustRightInd w:val="0"/>
        <w:textAlignment w:val="center"/>
        <w:rPr>
          <w:rFonts w:ascii="宋体" w:hAnsi="宋体" w:cs="宋体"/>
          <w:color w:val="000000"/>
          <w:szCs w:val="21"/>
        </w:rPr>
      </w:pPr>
      <w:r>
        <w:rPr>
          <w:rFonts w:hint="eastAsia" w:ascii="宋体" w:hAnsi="宋体" w:cs="宋体"/>
          <w:color w:val="000000"/>
          <w:kern w:val="0"/>
          <w:szCs w:val="21"/>
        </w:rPr>
        <w:t xml:space="preserve">注：本表反映部门本年度政府性基金预算财政拨款收入、支出及结转和结余情况。  本部门本年度无收支及结转结余情况，按要求以空表列示。       </w:t>
      </w:r>
    </w:p>
    <w:p>
      <w:r>
        <w:br w:type="page"/>
      </w:r>
    </w:p>
    <w:tbl>
      <w:tblPr>
        <w:tblStyle w:val="7"/>
        <w:tblW w:w="9915" w:type="dxa"/>
        <w:jc w:val="center"/>
        <w:tblLayout w:type="autofit"/>
        <w:tblCellMar>
          <w:top w:w="0" w:type="dxa"/>
          <w:left w:w="0" w:type="dxa"/>
          <w:bottom w:w="0" w:type="dxa"/>
          <w:right w:w="0" w:type="dxa"/>
        </w:tblCellMar>
      </w:tblPr>
      <w:tblGrid>
        <w:gridCol w:w="3713"/>
        <w:gridCol w:w="47"/>
        <w:gridCol w:w="47"/>
        <w:gridCol w:w="3103"/>
        <w:gridCol w:w="617"/>
        <w:gridCol w:w="1194"/>
        <w:gridCol w:w="1194"/>
      </w:tblGrid>
      <w:tr>
        <w:tblPrEx>
          <w:tblCellMar>
            <w:top w:w="0" w:type="dxa"/>
            <w:left w:w="0" w:type="dxa"/>
            <w:bottom w:w="0" w:type="dxa"/>
            <w:right w:w="0" w:type="dxa"/>
          </w:tblCellMar>
        </w:tblPrEx>
        <w:trPr>
          <w:trHeight w:val="840" w:hRule="atLeast"/>
          <w:jc w:val="center"/>
        </w:trPr>
        <w:tc>
          <w:tcPr>
            <w:tcW w:w="9915" w:type="dxa"/>
            <w:gridSpan w:val="7"/>
            <w:tcBorders>
              <w:top w:val="nil"/>
              <w:left w:val="nil"/>
              <w:bottom w:val="nil"/>
              <w:right w:val="nil"/>
            </w:tcBorders>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国有资本经营预算财政拨款支出决算表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09</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r>
              <w:rPr>
                <w:rFonts w:hint="eastAsia" w:ascii="宋体" w:hAnsi="宋体" w:cs="宋体"/>
                <w:color w:val="000000"/>
                <w:kern w:val="0"/>
                <w:sz w:val="22"/>
              </w:rPr>
              <w:t>遵化市建明镇人民政府</w:t>
            </w: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w:t>
            </w:r>
          </w:p>
        </w:tc>
        <w:tc>
          <w:tcPr>
            <w:tcW w:w="0" w:type="auto"/>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615" w:hRule="atLeast"/>
          <w:jc w:val="center"/>
        </w:trPr>
        <w:tc>
          <w:tcPr>
            <w:tcW w:w="1429"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3820"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3820"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3820"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3820"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3820"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bl>
    <w:p>
      <w:pPr>
        <w:rPr>
          <w:rFonts w:ascii="宋体" w:hAnsi="宋体" w:cs="宋体"/>
          <w:color w:val="000000"/>
          <w:kern w:val="0"/>
          <w:sz w:val="22"/>
        </w:rPr>
      </w:pPr>
      <w:r>
        <w:rPr>
          <w:rFonts w:hint="eastAsia" w:ascii="宋体" w:hAnsi="宋体" w:cs="宋体"/>
          <w:color w:val="000000"/>
          <w:kern w:val="0"/>
          <w:sz w:val="22"/>
        </w:rPr>
        <w:t>注：本表反映部门本年度国有资本经营预算财政拨款支出情况。本部门本年度无相关支出情况，按要求以空表列示。</w:t>
      </w:r>
    </w:p>
    <w:p>
      <w:pPr>
        <w:rPr>
          <w:rFonts w:ascii="宋体" w:hAnsi="宋体" w:cs="宋体"/>
          <w:color w:val="000000"/>
          <w:kern w:val="0"/>
          <w:sz w:val="22"/>
        </w:rPr>
      </w:pPr>
    </w:p>
    <w:p>
      <w:pPr>
        <w:rPr>
          <w:rFonts w:ascii="宋体" w:hAnsi="宋体" w:cs="宋体"/>
          <w:color w:val="000000"/>
          <w:kern w:val="0"/>
          <w:sz w:val="22"/>
        </w:rPr>
      </w:pPr>
    </w:p>
    <w:p>
      <w:pPr>
        <w:rPr>
          <w:rFonts w:ascii="宋体" w:hAnsi="宋体" w:cs="宋体"/>
          <w:color w:val="000000"/>
          <w:kern w:val="0"/>
          <w:sz w:val="22"/>
        </w:rPr>
      </w:pPr>
    </w:p>
    <w:p>
      <w:pPr>
        <w:rPr>
          <w:rFonts w:ascii="宋体" w:hAnsi="宋体" w:cs="宋体"/>
          <w:color w:val="000000"/>
          <w:kern w:val="0"/>
          <w:sz w:val="22"/>
        </w:rPr>
      </w:pPr>
    </w:p>
    <w:p>
      <w:pPr>
        <w:rPr>
          <w:rFonts w:ascii="宋体" w:hAnsi="宋体" w:cs="宋体"/>
          <w:color w:val="000000"/>
          <w:kern w:val="0"/>
          <w:sz w:val="22"/>
        </w:rPr>
      </w:pPr>
    </w:p>
    <w:p>
      <w:pPr>
        <w:rPr>
          <w:rFonts w:ascii="宋体" w:hAnsi="宋体" w:cs="宋体"/>
          <w:color w:val="000000"/>
          <w:kern w:val="0"/>
          <w:sz w:val="22"/>
        </w:rPr>
      </w:pPr>
    </w:p>
    <w:p>
      <w:pPr>
        <w:rPr>
          <w:rFonts w:ascii="宋体" w:hAnsi="宋体" w:cs="宋体"/>
          <w:color w:val="000000"/>
          <w:kern w:val="0"/>
          <w:sz w:val="22"/>
        </w:rPr>
      </w:pPr>
    </w:p>
    <w:p>
      <w:pPr>
        <w:rPr>
          <w:rFonts w:ascii="宋体" w:hAnsi="宋体" w:cs="宋体"/>
          <w:color w:val="000000"/>
          <w:kern w:val="0"/>
          <w:sz w:val="22"/>
        </w:rPr>
      </w:pPr>
    </w:p>
    <w:p>
      <w:pPr>
        <w:rPr>
          <w:rFonts w:ascii="宋体" w:hAnsi="宋体" w:cs="宋体"/>
          <w:color w:val="000000"/>
          <w:kern w:val="0"/>
          <w:sz w:val="22"/>
        </w:rPr>
      </w:pPr>
    </w:p>
    <w:p>
      <w:pPr>
        <w:rPr>
          <w:rFonts w:ascii="宋体" w:hAnsi="宋体" w:cs="宋体"/>
          <w:color w:val="000000"/>
          <w:kern w:val="0"/>
          <w:sz w:val="22"/>
        </w:rPr>
      </w:pPr>
    </w:p>
    <w:p>
      <w:pPr>
        <w:rPr>
          <w:rFonts w:ascii="宋体" w:hAnsi="宋体" w:cs="宋体"/>
          <w:color w:val="000000"/>
          <w:kern w:val="0"/>
          <w:sz w:val="22"/>
        </w:rPr>
      </w:pPr>
    </w:p>
    <w:p>
      <w:pPr>
        <w:rPr>
          <w:rFonts w:ascii="宋体" w:hAnsi="宋体" w:cs="宋体"/>
          <w:color w:val="000000"/>
          <w:kern w:val="0"/>
          <w:sz w:val="22"/>
        </w:rPr>
      </w:pPr>
    </w:p>
    <w:p>
      <w:pPr>
        <w:rPr>
          <w:rFonts w:ascii="宋体" w:hAnsi="宋体" w:cs="宋体"/>
          <w:color w:val="000000"/>
          <w:kern w:val="0"/>
          <w:sz w:val="22"/>
        </w:rPr>
      </w:pPr>
    </w:p>
    <w:p>
      <w:pPr>
        <w:rPr>
          <w:rFonts w:ascii="宋体" w:hAnsi="宋体" w:cs="宋体"/>
          <w:color w:val="000000"/>
          <w:kern w:val="0"/>
          <w:sz w:val="22"/>
        </w:rPr>
      </w:pPr>
    </w:p>
    <w:p>
      <w:pPr>
        <w:rPr>
          <w:rFonts w:ascii="宋体" w:hAnsi="宋体" w:cs="宋体"/>
          <w:color w:val="000000"/>
          <w:kern w:val="0"/>
          <w:sz w:val="22"/>
        </w:rPr>
      </w:pPr>
    </w:p>
    <w:p>
      <w:pPr>
        <w:rPr>
          <w:rFonts w:ascii="宋体" w:hAnsi="宋体" w:cs="宋体"/>
          <w:color w:val="000000"/>
          <w:kern w:val="0"/>
          <w:sz w:val="22"/>
        </w:rPr>
      </w:pPr>
    </w:p>
    <w:p>
      <w:pPr>
        <w:rPr>
          <w:rFonts w:ascii="宋体" w:hAnsi="宋体" w:cs="宋体"/>
          <w:color w:val="000000"/>
          <w:kern w:val="0"/>
          <w:sz w:val="22"/>
        </w:rPr>
      </w:pPr>
    </w:p>
    <w:p>
      <w:pPr>
        <w:rPr>
          <w:rFonts w:ascii="宋体" w:hAnsi="宋体" w:cs="宋体"/>
          <w:color w:val="000000"/>
          <w:kern w:val="0"/>
          <w:sz w:val="22"/>
        </w:rPr>
      </w:pPr>
    </w:p>
    <w:p>
      <w:pPr>
        <w:rPr>
          <w:rFonts w:ascii="宋体" w:hAnsi="宋体" w:cs="宋体"/>
          <w:color w:val="000000"/>
          <w:kern w:val="0"/>
          <w:sz w:val="22"/>
        </w:rPr>
      </w:pPr>
    </w:p>
    <w:p>
      <w:pPr>
        <w:rPr>
          <w:rFonts w:ascii="宋体" w:hAnsi="宋体" w:cs="宋体"/>
          <w:color w:val="000000"/>
          <w:kern w:val="0"/>
          <w:sz w:val="22"/>
        </w:rPr>
      </w:pPr>
    </w:p>
    <w:p>
      <w:pPr>
        <w:rPr>
          <w:rFonts w:ascii="宋体" w:hAnsi="宋体" w:cs="宋体"/>
          <w:color w:val="000000"/>
          <w:kern w:val="0"/>
          <w:sz w:val="22"/>
        </w:rPr>
      </w:pPr>
    </w:p>
    <w:p>
      <w:pPr>
        <w:rPr>
          <w:rFonts w:ascii="宋体" w:hAnsi="宋体" w:cs="宋体"/>
          <w:color w:val="000000"/>
          <w:kern w:val="0"/>
          <w:sz w:val="22"/>
        </w:rPr>
      </w:pPr>
    </w:p>
    <w:p>
      <w:pPr>
        <w:rPr>
          <w:rFonts w:ascii="宋体" w:hAnsi="宋体" w:cs="宋体"/>
          <w:color w:val="000000"/>
          <w:kern w:val="0"/>
          <w:sz w:val="22"/>
        </w:rPr>
      </w:pPr>
      <w:r>
        <w:rPr>
          <w:rFonts w:hint="eastAsia" w:ascii="黑体" w:hAnsi="黑体" w:eastAsia="黑体" w:cs="宋体"/>
          <w:color w:val="000000"/>
          <w:kern w:val="0"/>
          <w:sz w:val="32"/>
          <w:szCs w:val="32"/>
        </w:rPr>
        <w:t xml:space="preserve"> </w:t>
      </w:r>
    </w:p>
    <w:sectPr>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思源黑体 HW Bold">
    <w:altName w:val="黑体"/>
    <w:panose1 w:val="00000000000000000000"/>
    <w:charset w:val="86"/>
    <w:family w:val="swiss"/>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Yu Gothic UI Semibold">
    <w:panose1 w:val="020B0700000000000000"/>
    <w:charset w:val="80"/>
    <w:family w:val="swiss"/>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方正仿宋简体">
    <w:panose1 w:val="03000509000000000000"/>
    <w:charset w:val="86"/>
    <w:family w:val="script"/>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 w:name="Cambria">
    <w:panose1 w:val="02040503050406030204"/>
    <w:charset w:val="00"/>
    <w:family w:val="roman"/>
    <w:pitch w:val="default"/>
    <w:sig w:usb0="E00006FF" w:usb1="420024FF" w:usb2="02000000" w:usb3="00000000" w:csb0="2000019F" w:csb1="00000000"/>
  </w:font>
  <w:font w:name="MS PGothic">
    <w:panose1 w:val="020B0600070205080204"/>
    <w:charset w:val="80"/>
    <w:family w:val="auto"/>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cs="Times New Roman"/>
      </w:rPr>
    </w:lvl>
  </w:abstractNum>
  <w:abstractNum w:abstractNumId="1">
    <w:nsid w:val="5F222FFA"/>
    <w:multiLevelType w:val="singleLevel"/>
    <w:tmpl w:val="5F222FFA"/>
    <w:lvl w:ilvl="0" w:tentative="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NotTrackMoves/>
  <w:attachedTemplate r:id="rId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YxZGMxM2EyOWFkYjQyYmIyM2E2NmE3MDA1MTQ1NzYifQ=="/>
  </w:docVars>
  <w:rsids>
    <w:rsidRoot w:val="6AAF1C96"/>
    <w:rsid w:val="00001E35"/>
    <w:rsid w:val="00022FC6"/>
    <w:rsid w:val="00037A1A"/>
    <w:rsid w:val="000644AF"/>
    <w:rsid w:val="00065265"/>
    <w:rsid w:val="00065FBA"/>
    <w:rsid w:val="000671F3"/>
    <w:rsid w:val="0007063E"/>
    <w:rsid w:val="00073392"/>
    <w:rsid w:val="00073F4E"/>
    <w:rsid w:val="00086C89"/>
    <w:rsid w:val="000A39FB"/>
    <w:rsid w:val="000C28D4"/>
    <w:rsid w:val="000C5E96"/>
    <w:rsid w:val="000D2C4D"/>
    <w:rsid w:val="000D33BD"/>
    <w:rsid w:val="00105828"/>
    <w:rsid w:val="00112C55"/>
    <w:rsid w:val="001145BA"/>
    <w:rsid w:val="00117746"/>
    <w:rsid w:val="00130325"/>
    <w:rsid w:val="00140A20"/>
    <w:rsid w:val="00151DEB"/>
    <w:rsid w:val="001549D3"/>
    <w:rsid w:val="00157D7B"/>
    <w:rsid w:val="00162EA2"/>
    <w:rsid w:val="00163F95"/>
    <w:rsid w:val="00167F0E"/>
    <w:rsid w:val="0017632F"/>
    <w:rsid w:val="00180050"/>
    <w:rsid w:val="00180A9A"/>
    <w:rsid w:val="001829C0"/>
    <w:rsid w:val="00184809"/>
    <w:rsid w:val="0018492C"/>
    <w:rsid w:val="00192112"/>
    <w:rsid w:val="001925BD"/>
    <w:rsid w:val="00197066"/>
    <w:rsid w:val="001B0127"/>
    <w:rsid w:val="001C12D5"/>
    <w:rsid w:val="001C513B"/>
    <w:rsid w:val="001C69F7"/>
    <w:rsid w:val="001D6882"/>
    <w:rsid w:val="001D7DC3"/>
    <w:rsid w:val="002136C2"/>
    <w:rsid w:val="00223083"/>
    <w:rsid w:val="0024524C"/>
    <w:rsid w:val="00246AFC"/>
    <w:rsid w:val="00247E5C"/>
    <w:rsid w:val="00254F0F"/>
    <w:rsid w:val="00261926"/>
    <w:rsid w:val="002650EC"/>
    <w:rsid w:val="0026558E"/>
    <w:rsid w:val="00265F5D"/>
    <w:rsid w:val="002671C7"/>
    <w:rsid w:val="00290F83"/>
    <w:rsid w:val="002A2240"/>
    <w:rsid w:val="002A6C46"/>
    <w:rsid w:val="002B3174"/>
    <w:rsid w:val="002C19B5"/>
    <w:rsid w:val="002C471C"/>
    <w:rsid w:val="0030008F"/>
    <w:rsid w:val="00303866"/>
    <w:rsid w:val="0031393B"/>
    <w:rsid w:val="003215FB"/>
    <w:rsid w:val="0032201A"/>
    <w:rsid w:val="003300E3"/>
    <w:rsid w:val="0033157B"/>
    <w:rsid w:val="00340B00"/>
    <w:rsid w:val="003550BE"/>
    <w:rsid w:val="00357CCE"/>
    <w:rsid w:val="00375761"/>
    <w:rsid w:val="003870CE"/>
    <w:rsid w:val="003876F3"/>
    <w:rsid w:val="003976F2"/>
    <w:rsid w:val="003A0916"/>
    <w:rsid w:val="003A4EE8"/>
    <w:rsid w:val="003A52C0"/>
    <w:rsid w:val="003A6AD7"/>
    <w:rsid w:val="003C0706"/>
    <w:rsid w:val="003E3BD2"/>
    <w:rsid w:val="003E4E46"/>
    <w:rsid w:val="003F25AC"/>
    <w:rsid w:val="003F2726"/>
    <w:rsid w:val="003F2837"/>
    <w:rsid w:val="003F5FC7"/>
    <w:rsid w:val="00401707"/>
    <w:rsid w:val="00411142"/>
    <w:rsid w:val="00413E6C"/>
    <w:rsid w:val="00425CE9"/>
    <w:rsid w:val="0043115D"/>
    <w:rsid w:val="00442CC2"/>
    <w:rsid w:val="00445036"/>
    <w:rsid w:val="00446244"/>
    <w:rsid w:val="00473C20"/>
    <w:rsid w:val="004749DF"/>
    <w:rsid w:val="00482A21"/>
    <w:rsid w:val="00494A72"/>
    <w:rsid w:val="004A6C87"/>
    <w:rsid w:val="004D61CB"/>
    <w:rsid w:val="004D7485"/>
    <w:rsid w:val="004E64EF"/>
    <w:rsid w:val="004F212A"/>
    <w:rsid w:val="005011D6"/>
    <w:rsid w:val="00503F2E"/>
    <w:rsid w:val="00530CB7"/>
    <w:rsid w:val="00552226"/>
    <w:rsid w:val="005576CC"/>
    <w:rsid w:val="00566120"/>
    <w:rsid w:val="00582E6D"/>
    <w:rsid w:val="00584ABF"/>
    <w:rsid w:val="00590DFD"/>
    <w:rsid w:val="00594A7D"/>
    <w:rsid w:val="005954D5"/>
    <w:rsid w:val="005A12E3"/>
    <w:rsid w:val="005A24A6"/>
    <w:rsid w:val="005A53FA"/>
    <w:rsid w:val="005C545F"/>
    <w:rsid w:val="005C595A"/>
    <w:rsid w:val="005C7BD0"/>
    <w:rsid w:val="005D1293"/>
    <w:rsid w:val="006045C4"/>
    <w:rsid w:val="006069EF"/>
    <w:rsid w:val="00611077"/>
    <w:rsid w:val="006139C8"/>
    <w:rsid w:val="00617759"/>
    <w:rsid w:val="00635DA6"/>
    <w:rsid w:val="00644D5F"/>
    <w:rsid w:val="006478EA"/>
    <w:rsid w:val="0065033A"/>
    <w:rsid w:val="00663C84"/>
    <w:rsid w:val="006727AD"/>
    <w:rsid w:val="00680025"/>
    <w:rsid w:val="006805AC"/>
    <w:rsid w:val="00685922"/>
    <w:rsid w:val="00691425"/>
    <w:rsid w:val="006A516E"/>
    <w:rsid w:val="006A6195"/>
    <w:rsid w:val="006B012A"/>
    <w:rsid w:val="006B0830"/>
    <w:rsid w:val="006B0E4B"/>
    <w:rsid w:val="006C7D30"/>
    <w:rsid w:val="006D724C"/>
    <w:rsid w:val="006E00EF"/>
    <w:rsid w:val="006E15D3"/>
    <w:rsid w:val="006F265A"/>
    <w:rsid w:val="006F6BB2"/>
    <w:rsid w:val="00716E2B"/>
    <w:rsid w:val="00723FFA"/>
    <w:rsid w:val="00732AEE"/>
    <w:rsid w:val="007400A4"/>
    <w:rsid w:val="007622EF"/>
    <w:rsid w:val="00763EC3"/>
    <w:rsid w:val="00770F18"/>
    <w:rsid w:val="00773B74"/>
    <w:rsid w:val="00774BD9"/>
    <w:rsid w:val="0078290C"/>
    <w:rsid w:val="007947C7"/>
    <w:rsid w:val="007A63C5"/>
    <w:rsid w:val="007A7966"/>
    <w:rsid w:val="007C06CA"/>
    <w:rsid w:val="007E70F2"/>
    <w:rsid w:val="007F4DE4"/>
    <w:rsid w:val="008067C3"/>
    <w:rsid w:val="008163FB"/>
    <w:rsid w:val="00822CA2"/>
    <w:rsid w:val="00823A28"/>
    <w:rsid w:val="0082605B"/>
    <w:rsid w:val="00826505"/>
    <w:rsid w:val="00837AC9"/>
    <w:rsid w:val="00850C27"/>
    <w:rsid w:val="00851853"/>
    <w:rsid w:val="00855C36"/>
    <w:rsid w:val="00857DBE"/>
    <w:rsid w:val="00862BBC"/>
    <w:rsid w:val="008663D3"/>
    <w:rsid w:val="00867C10"/>
    <w:rsid w:val="008701BC"/>
    <w:rsid w:val="008768C7"/>
    <w:rsid w:val="00880470"/>
    <w:rsid w:val="00883D92"/>
    <w:rsid w:val="00887951"/>
    <w:rsid w:val="00893E15"/>
    <w:rsid w:val="008A5362"/>
    <w:rsid w:val="008B0FD2"/>
    <w:rsid w:val="008B641F"/>
    <w:rsid w:val="008C15A1"/>
    <w:rsid w:val="008C4F8D"/>
    <w:rsid w:val="008E583F"/>
    <w:rsid w:val="008F21F1"/>
    <w:rsid w:val="008F221B"/>
    <w:rsid w:val="008F2891"/>
    <w:rsid w:val="008F45A0"/>
    <w:rsid w:val="008F5A2D"/>
    <w:rsid w:val="00900017"/>
    <w:rsid w:val="00921602"/>
    <w:rsid w:val="0092594C"/>
    <w:rsid w:val="00957EA1"/>
    <w:rsid w:val="00966E5B"/>
    <w:rsid w:val="00971371"/>
    <w:rsid w:val="00994A4B"/>
    <w:rsid w:val="0099764C"/>
    <w:rsid w:val="009A2002"/>
    <w:rsid w:val="009B4EF0"/>
    <w:rsid w:val="009B744F"/>
    <w:rsid w:val="009C41FF"/>
    <w:rsid w:val="009D271F"/>
    <w:rsid w:val="009D33FD"/>
    <w:rsid w:val="009D3D29"/>
    <w:rsid w:val="009E025C"/>
    <w:rsid w:val="009E732D"/>
    <w:rsid w:val="009E7B48"/>
    <w:rsid w:val="009F509B"/>
    <w:rsid w:val="009F5A4E"/>
    <w:rsid w:val="00A00DC3"/>
    <w:rsid w:val="00A30E36"/>
    <w:rsid w:val="00A37B54"/>
    <w:rsid w:val="00A42CFB"/>
    <w:rsid w:val="00A443BA"/>
    <w:rsid w:val="00A5409C"/>
    <w:rsid w:val="00A54925"/>
    <w:rsid w:val="00A631AB"/>
    <w:rsid w:val="00A816B2"/>
    <w:rsid w:val="00A87A07"/>
    <w:rsid w:val="00A929C2"/>
    <w:rsid w:val="00A95D2B"/>
    <w:rsid w:val="00AB1D79"/>
    <w:rsid w:val="00AB225E"/>
    <w:rsid w:val="00AB275B"/>
    <w:rsid w:val="00AB3EB6"/>
    <w:rsid w:val="00AB4B37"/>
    <w:rsid w:val="00AC6F71"/>
    <w:rsid w:val="00AC7176"/>
    <w:rsid w:val="00AC7818"/>
    <w:rsid w:val="00AD097F"/>
    <w:rsid w:val="00AD7F38"/>
    <w:rsid w:val="00AE3F6F"/>
    <w:rsid w:val="00AF4AA5"/>
    <w:rsid w:val="00B05AF3"/>
    <w:rsid w:val="00B24246"/>
    <w:rsid w:val="00B30419"/>
    <w:rsid w:val="00B30F90"/>
    <w:rsid w:val="00B65D01"/>
    <w:rsid w:val="00B844F4"/>
    <w:rsid w:val="00B876C0"/>
    <w:rsid w:val="00B91FD9"/>
    <w:rsid w:val="00B9344B"/>
    <w:rsid w:val="00BA06A1"/>
    <w:rsid w:val="00BA1BF7"/>
    <w:rsid w:val="00BA770A"/>
    <w:rsid w:val="00BB0E53"/>
    <w:rsid w:val="00BC5B0A"/>
    <w:rsid w:val="00BE4426"/>
    <w:rsid w:val="00BF3D14"/>
    <w:rsid w:val="00C054DE"/>
    <w:rsid w:val="00C06F42"/>
    <w:rsid w:val="00C12E8F"/>
    <w:rsid w:val="00C158EB"/>
    <w:rsid w:val="00C1617E"/>
    <w:rsid w:val="00C2683F"/>
    <w:rsid w:val="00C276D4"/>
    <w:rsid w:val="00C45032"/>
    <w:rsid w:val="00C46053"/>
    <w:rsid w:val="00C679A9"/>
    <w:rsid w:val="00C7541C"/>
    <w:rsid w:val="00C80697"/>
    <w:rsid w:val="00C847C6"/>
    <w:rsid w:val="00C91196"/>
    <w:rsid w:val="00CA05AB"/>
    <w:rsid w:val="00CA6778"/>
    <w:rsid w:val="00CB0BAA"/>
    <w:rsid w:val="00CB4671"/>
    <w:rsid w:val="00CB59EE"/>
    <w:rsid w:val="00CC0FAA"/>
    <w:rsid w:val="00CD0736"/>
    <w:rsid w:val="00CD13B7"/>
    <w:rsid w:val="00CF1A67"/>
    <w:rsid w:val="00CF5809"/>
    <w:rsid w:val="00D05192"/>
    <w:rsid w:val="00D0601E"/>
    <w:rsid w:val="00D13C68"/>
    <w:rsid w:val="00D14B93"/>
    <w:rsid w:val="00D1570F"/>
    <w:rsid w:val="00D177F1"/>
    <w:rsid w:val="00D2265E"/>
    <w:rsid w:val="00D2510E"/>
    <w:rsid w:val="00D30C0F"/>
    <w:rsid w:val="00D32830"/>
    <w:rsid w:val="00D34AFB"/>
    <w:rsid w:val="00D43E58"/>
    <w:rsid w:val="00D4657E"/>
    <w:rsid w:val="00D46A3F"/>
    <w:rsid w:val="00D47AF5"/>
    <w:rsid w:val="00D51131"/>
    <w:rsid w:val="00D658FE"/>
    <w:rsid w:val="00D70BF9"/>
    <w:rsid w:val="00D74BDA"/>
    <w:rsid w:val="00D75818"/>
    <w:rsid w:val="00D93FA6"/>
    <w:rsid w:val="00DA3473"/>
    <w:rsid w:val="00DB11A5"/>
    <w:rsid w:val="00DB5001"/>
    <w:rsid w:val="00DB7153"/>
    <w:rsid w:val="00DB7F05"/>
    <w:rsid w:val="00DE591F"/>
    <w:rsid w:val="00DE78FA"/>
    <w:rsid w:val="00DF2081"/>
    <w:rsid w:val="00DF4405"/>
    <w:rsid w:val="00E00E1E"/>
    <w:rsid w:val="00E028C3"/>
    <w:rsid w:val="00E14F77"/>
    <w:rsid w:val="00E2064A"/>
    <w:rsid w:val="00E3076B"/>
    <w:rsid w:val="00E36978"/>
    <w:rsid w:val="00E37977"/>
    <w:rsid w:val="00E6021D"/>
    <w:rsid w:val="00E606A1"/>
    <w:rsid w:val="00E629E6"/>
    <w:rsid w:val="00E67DAF"/>
    <w:rsid w:val="00E82A1E"/>
    <w:rsid w:val="00E82DE2"/>
    <w:rsid w:val="00E93EEB"/>
    <w:rsid w:val="00E96349"/>
    <w:rsid w:val="00EB1A80"/>
    <w:rsid w:val="00EB3F93"/>
    <w:rsid w:val="00EC06F4"/>
    <w:rsid w:val="00EC3EC8"/>
    <w:rsid w:val="00EC7DE6"/>
    <w:rsid w:val="00EE4E36"/>
    <w:rsid w:val="00EF3481"/>
    <w:rsid w:val="00EF3E67"/>
    <w:rsid w:val="00F006F5"/>
    <w:rsid w:val="00F12CAA"/>
    <w:rsid w:val="00F133A5"/>
    <w:rsid w:val="00F16845"/>
    <w:rsid w:val="00F665F4"/>
    <w:rsid w:val="00F70F43"/>
    <w:rsid w:val="00F73E65"/>
    <w:rsid w:val="00F77141"/>
    <w:rsid w:val="00F81F0E"/>
    <w:rsid w:val="00FA157E"/>
    <w:rsid w:val="00FA1ED4"/>
    <w:rsid w:val="00FB1720"/>
    <w:rsid w:val="00FB55DD"/>
    <w:rsid w:val="00FC5ABE"/>
    <w:rsid w:val="00FD225F"/>
    <w:rsid w:val="00FD56BA"/>
    <w:rsid w:val="00FF1069"/>
    <w:rsid w:val="02056659"/>
    <w:rsid w:val="044A2223"/>
    <w:rsid w:val="066F4F9C"/>
    <w:rsid w:val="078D30E5"/>
    <w:rsid w:val="0903674A"/>
    <w:rsid w:val="0C385B33"/>
    <w:rsid w:val="122A4C91"/>
    <w:rsid w:val="19BC48B4"/>
    <w:rsid w:val="1D652B58"/>
    <w:rsid w:val="1F45084E"/>
    <w:rsid w:val="21E70A1B"/>
    <w:rsid w:val="25387175"/>
    <w:rsid w:val="26AB1C32"/>
    <w:rsid w:val="274C417E"/>
    <w:rsid w:val="27753616"/>
    <w:rsid w:val="2D380302"/>
    <w:rsid w:val="2E202260"/>
    <w:rsid w:val="31C2036A"/>
    <w:rsid w:val="320D02A5"/>
    <w:rsid w:val="32B577D4"/>
    <w:rsid w:val="32D07904"/>
    <w:rsid w:val="348E566F"/>
    <w:rsid w:val="386E3135"/>
    <w:rsid w:val="39FF4DBC"/>
    <w:rsid w:val="3A226944"/>
    <w:rsid w:val="3AEE6A48"/>
    <w:rsid w:val="3C1620AA"/>
    <w:rsid w:val="3D8F080F"/>
    <w:rsid w:val="3E107A01"/>
    <w:rsid w:val="3F466C0E"/>
    <w:rsid w:val="407B4E1C"/>
    <w:rsid w:val="44CE1FA4"/>
    <w:rsid w:val="487F73ED"/>
    <w:rsid w:val="495E240B"/>
    <w:rsid w:val="4A347EAE"/>
    <w:rsid w:val="4C9467AE"/>
    <w:rsid w:val="4CCB4E03"/>
    <w:rsid w:val="4EE656C4"/>
    <w:rsid w:val="52600405"/>
    <w:rsid w:val="529B4319"/>
    <w:rsid w:val="56F5513C"/>
    <w:rsid w:val="57773DD6"/>
    <w:rsid w:val="578B79AB"/>
    <w:rsid w:val="58C04728"/>
    <w:rsid w:val="590206B8"/>
    <w:rsid w:val="5AED270C"/>
    <w:rsid w:val="5CCD3FD5"/>
    <w:rsid w:val="5CE042F2"/>
    <w:rsid w:val="5EDC11C1"/>
    <w:rsid w:val="61FA5F9D"/>
    <w:rsid w:val="63037F7E"/>
    <w:rsid w:val="64CD6910"/>
    <w:rsid w:val="6789158D"/>
    <w:rsid w:val="67D81BA4"/>
    <w:rsid w:val="68FD3921"/>
    <w:rsid w:val="6AAF1C96"/>
    <w:rsid w:val="6C346C3C"/>
    <w:rsid w:val="6CC41C82"/>
    <w:rsid w:val="6D54004A"/>
    <w:rsid w:val="74947882"/>
    <w:rsid w:val="75681757"/>
    <w:rsid w:val="75A346A8"/>
    <w:rsid w:val="777F5E11"/>
    <w:rsid w:val="79B9382C"/>
    <w:rsid w:val="7B043B76"/>
    <w:rsid w:val="7C041A6A"/>
    <w:rsid w:val="7E32757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1"/>
    <w:qFormat/>
    <w:uiPriority w:val="99"/>
    <w:rPr>
      <w:kern w:val="0"/>
      <w:sz w:val="20"/>
      <w:szCs w:val="20"/>
    </w:rPr>
  </w:style>
  <w:style w:type="paragraph" w:styleId="4">
    <w:name w:val="Balloon Text"/>
    <w:basedOn w:val="1"/>
    <w:link w:val="16"/>
    <w:semiHidden/>
    <w:unhideWhenUsed/>
    <w:uiPriority w:val="99"/>
    <w:rPr>
      <w:sz w:val="18"/>
      <w:szCs w:val="18"/>
    </w:rPr>
  </w:style>
  <w:style w:type="paragraph" w:styleId="5">
    <w:name w:val="footer"/>
    <w:basedOn w:val="1"/>
    <w:link w:val="12"/>
    <w:qFormat/>
    <w:uiPriority w:val="99"/>
    <w:pPr>
      <w:tabs>
        <w:tab w:val="center" w:pos="4153"/>
        <w:tab w:val="right" w:pos="8306"/>
      </w:tabs>
      <w:snapToGrid w:val="0"/>
      <w:jc w:val="left"/>
    </w:pPr>
    <w:rPr>
      <w:rFonts w:ascii="Calibri" w:hAnsi="Calibri" w:eastAsia="宋体"/>
      <w:kern w:val="0"/>
      <w:sz w:val="18"/>
      <w:szCs w:val="18"/>
    </w:rPr>
  </w:style>
  <w:style w:type="paragraph" w:styleId="6">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kern w:val="0"/>
      <w:sz w:val="18"/>
      <w:szCs w:val="18"/>
    </w:rPr>
  </w:style>
  <w:style w:type="table" w:styleId="8">
    <w:name w:val="Table Grid"/>
    <w:basedOn w:val="7"/>
    <w:qFormat/>
    <w:uiPriority w:val="99"/>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标题 1 Char"/>
    <w:link w:val="2"/>
    <w:qFormat/>
    <w:uiPriority w:val="9"/>
    <w:rPr>
      <w:rFonts w:ascii="等线" w:hAnsi="等线" w:eastAsia="等线"/>
      <w:b/>
      <w:bCs/>
      <w:kern w:val="44"/>
      <w:sz w:val="44"/>
      <w:szCs w:val="44"/>
    </w:rPr>
  </w:style>
  <w:style w:type="character" w:customStyle="1" w:styleId="11">
    <w:name w:val="正文文本 Char"/>
    <w:link w:val="3"/>
    <w:semiHidden/>
    <w:qFormat/>
    <w:uiPriority w:val="99"/>
    <w:rPr>
      <w:rFonts w:ascii="等线" w:hAnsi="等线" w:eastAsia="等线"/>
    </w:rPr>
  </w:style>
  <w:style w:type="character" w:customStyle="1" w:styleId="12">
    <w:name w:val="页脚 Char"/>
    <w:link w:val="5"/>
    <w:locked/>
    <w:uiPriority w:val="99"/>
    <w:rPr>
      <w:rFonts w:cs="Times New Roman"/>
      <w:sz w:val="18"/>
      <w:szCs w:val="18"/>
    </w:rPr>
  </w:style>
  <w:style w:type="character" w:customStyle="1" w:styleId="13">
    <w:name w:val="页眉 Char"/>
    <w:link w:val="6"/>
    <w:qFormat/>
    <w:locked/>
    <w:uiPriority w:val="99"/>
    <w:rPr>
      <w:rFonts w:ascii="等线" w:hAnsi="等线" w:eastAsia="等线" w:cs="Times New Roman"/>
      <w:sz w:val="18"/>
      <w:szCs w:val="18"/>
    </w:rPr>
  </w:style>
  <w:style w:type="paragraph" w:customStyle="1" w:styleId="14">
    <w:name w:val="List Paragraph1"/>
    <w:basedOn w:val="1"/>
    <w:qFormat/>
    <w:uiPriority w:val="99"/>
    <w:pPr>
      <w:spacing w:before="2"/>
      <w:ind w:left="119" w:right="434" w:firstLine="643"/>
    </w:pPr>
    <w:rPr>
      <w:rFonts w:ascii="仿宋_GB2312" w:hAnsi="仿宋_GB2312" w:eastAsia="仿宋_GB2312" w:cs="仿宋_GB2312"/>
      <w:lang w:val="zh-CN"/>
    </w:rPr>
  </w:style>
  <w:style w:type="paragraph" w:styleId="15">
    <w:name w:val="List Paragraph"/>
    <w:basedOn w:val="1"/>
    <w:qFormat/>
    <w:uiPriority w:val="34"/>
    <w:pPr>
      <w:spacing w:after="160" w:line="480" w:lineRule="auto"/>
      <w:ind w:firstLine="420" w:firstLineChars="200"/>
    </w:pPr>
    <w:rPr>
      <w:rFonts w:ascii="Times New Roman" w:hAnsi="Times New Roman" w:eastAsia="宋体"/>
      <w:szCs w:val="24"/>
    </w:rPr>
  </w:style>
  <w:style w:type="character" w:customStyle="1" w:styleId="16">
    <w:name w:val="批注框文本 Char"/>
    <w:basedOn w:val="9"/>
    <w:link w:val="4"/>
    <w:semiHidden/>
    <w:uiPriority w:val="99"/>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91"/>
    <customShpInfo spid="_x0000_s1092"/>
    <customShpInfo spid="_x0000_s1090"/>
    <customShpInfo spid="_x0000_s1033"/>
    <customShpInfo spid="_x0000_s1034"/>
    <customShpInfo spid="_x0000_s1035"/>
    <customShpInfo spid="_x0000_s1038"/>
    <customShpInfo spid="_x0000_s1039"/>
    <customShpInfo spid="_x0000_s1037"/>
    <customShpInfo spid="_x0000_s1041"/>
    <customShpInfo spid="_x0000_s1042"/>
    <customShpInfo spid="_x0000_s1040"/>
    <customShpInfo spid="_x0000_s1043"/>
    <customShpInfo spid="_x0000_s1036"/>
    <customShpInfo spid="_x0000_s1053"/>
    <customShpInfo spid="_x0000_s1061"/>
    <customShpInfo spid="_x0000_s1062"/>
    <customShpInfo spid="_x0000_s1088"/>
    <customShpInfo spid="_x0000_s108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5312D3-3E67-4AD9-ACB1-7BEEB358AEAE}">
  <ds:schemaRefs/>
</ds:datastoreItem>
</file>

<file path=docProps/app.xml><?xml version="1.0" encoding="utf-8"?>
<Properties xmlns="http://schemas.openxmlformats.org/officeDocument/2006/extended-properties" xmlns:vt="http://schemas.openxmlformats.org/officeDocument/2006/docPropsVTypes">
  <Template>简约文档封面模板</Template>
  <Pages>31</Pages>
  <Words>2112</Words>
  <Characters>12039</Characters>
  <Lines>100</Lines>
  <Paragraphs>28</Paragraphs>
  <TotalTime>1</TotalTime>
  <ScaleCrop>false</ScaleCrop>
  <LinksUpToDate>false</LinksUpToDate>
  <CharactersWithSpaces>14123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WPS_1649149040</cp:lastModifiedBy>
  <cp:lastPrinted>2020-08-13T02:32:00Z</cp:lastPrinted>
  <dcterms:modified xsi:type="dcterms:W3CDTF">2024-03-19T01:26:48Z</dcterms:modified>
  <cp:revision>231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3FDCD7AC3C8B4FE78CEB6F40EA1EEAD7</vt:lpwstr>
  </property>
</Properties>
</file>