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33" o:spt="202" type="#_x0000_t202" style="position:absolute;left:0pt;margin-left:106.25pt;margin-top:693.55pt;height:79.95pt;width:404.15pt;z-index:25166233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4" o:spt="3" type="#_x0000_t3" style="position:absolute;left:0pt;margin-left:53.5pt;margin-top:232.45pt;height:121.95pt;width:121.95pt;z-index:251659264;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shape>
        </w:pict>
      </w:r>
      <w:r>
        <w:pict>
          <v:rect id="矩形 14" o:spid="_x0000_s1035" o:spt="1" style="position:absolute;left:0pt;margin-left:33.6pt;margin-top:256.75pt;height:69.6pt;width:160.65pt;z-index:251664384;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36" o:spt="3" type="#_x0000_t3" style="position:absolute;left:0pt;margin-left:62.2pt;margin-top:242.75pt;height:103.45pt;width:103.45pt;z-index:25166336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37" o:spid="_x0000_s1037" o:spt="203" style="position:absolute;left:0pt;margin-left:1.25pt;margin-top:821.7pt;height:21.45pt;width:595.25pt;z-index:25166028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50048;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43" o:spt="1" style="position:absolute;left:0pt;margin-left:184.75pt;margin-top:286.6pt;height:31.25pt;width:339.65pt;mso-wrap-style:none;z-index:25166131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r>
        <w:rPr>
          <w:rFonts w:ascii="黑体" w:hAnsi="Times New Roman" w:eastAsia="黑体"/>
          <w:sz w:val="48"/>
          <w:szCs w:val="48"/>
        </w:rPr>
        <w:pict>
          <v:shape id="_x0000_i1025" o:spt="75" type="#_x0000_t75" style="height:619.8pt;width:441.8pt;" filled="f" o:preferrelative="t" stroked="f" coordsize="21600,21600">
            <v:path/>
            <v:fill on="f" focussize="0,0"/>
            <v:stroke on="f" joinstyle="miter"/>
            <v:imagedata r:id="rId16" o:title="微信图片_20210519202719"/>
            <o:lock v:ext="edit" aspectratio="t"/>
            <w10:wrap type="none"/>
            <w10:anchorlock/>
          </v:shape>
        </w:pict>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rPr>
          <w:rFonts w:ascii="Times New Roman" w:hAnsi="Times New Roman" w:eastAsia="黑体"/>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ind w:firstLine="2400" w:firstLineChars="200"/>
        <w:rPr>
          <w:sz w:val="120"/>
          <w:szCs w:val="120"/>
        </w:rPr>
      </w:pPr>
      <w:r>
        <w:rPr>
          <w:sz w:val="120"/>
          <w:szCs w:val="120"/>
        </w:rPr>
        <w:t>第一部分</w:t>
      </w:r>
    </w:p>
    <w:p>
      <w:pPr>
        <w:ind w:firstLine="2400" w:firstLineChars="200"/>
      </w:pPr>
      <w:r>
        <w:rPr>
          <w:rFonts w:hint="eastAsia"/>
          <w:sz w:val="120"/>
          <w:szCs w:val="120"/>
        </w:rPr>
        <w:t>部门概况</w: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616" w:lineRule="atLeast"/>
        <w:ind w:firstLine="639"/>
        <w:rPr>
          <w:rFonts w:ascii="仿宋_GB2312" w:hAnsi="仿宋_GB2312" w:eastAsia="仿宋_GB2312"/>
          <w:sz w:val="32"/>
        </w:rPr>
      </w:pPr>
      <w:r>
        <w:rPr>
          <w:rFonts w:hint="eastAsia" w:ascii="仿宋_GB2312" w:hAnsi="仿宋_GB2312" w:eastAsia="仿宋_GB2312"/>
          <w:sz w:val="32"/>
        </w:rPr>
        <w:t>贯彻落实党和国家在农村的各项方针政策和法律法规，做好农业、农村、农民工作，现阶段，主要围绕以下四个方面全面履行职责。</w:t>
      </w:r>
    </w:p>
    <w:p>
      <w:pPr>
        <w:spacing w:line="616" w:lineRule="atLeast"/>
        <w:ind w:firstLine="639"/>
        <w:rPr>
          <w:rFonts w:ascii="仿宋_GB2312" w:hAnsi="仿宋_GB2312" w:eastAsia="仿宋_GB2312"/>
          <w:sz w:val="32"/>
        </w:rPr>
      </w:pPr>
      <w:r>
        <w:rPr>
          <w:rFonts w:hint="eastAsia" w:ascii="仿宋_GB2312" w:hAnsi="仿宋_GB2312" w:eastAsia="仿宋_GB2312"/>
          <w:sz w:val="32"/>
        </w:rPr>
        <w:t>（一）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乡化进程；营造良好的发展环境，提高经济发展的质量和水平，促进招商引资和项目建设工作。</w:t>
      </w:r>
    </w:p>
    <w:p>
      <w:pPr>
        <w:spacing w:line="616" w:lineRule="atLeast"/>
        <w:ind w:firstLine="639"/>
        <w:rPr>
          <w:rFonts w:ascii="仿宋_GB2312" w:hAnsi="仿宋_GB2312" w:eastAsia="仿宋_GB2312"/>
          <w:sz w:val="32"/>
        </w:rPr>
      </w:pPr>
      <w:r>
        <w:rPr>
          <w:rFonts w:hint="eastAsia" w:ascii="仿宋_GB2312" w:hAnsi="仿宋_GB2312" w:eastAsia="仿宋_GB2312"/>
          <w:sz w:val="32"/>
        </w:rPr>
        <w:t>（二）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616" w:lineRule="atLeast"/>
        <w:ind w:firstLine="639"/>
        <w:rPr>
          <w:rFonts w:ascii="仿宋_GB2312" w:hAnsi="仿宋_GB2312" w:eastAsia="仿宋_GB2312"/>
          <w:sz w:val="32"/>
        </w:rPr>
      </w:pPr>
      <w:r>
        <w:rPr>
          <w:rFonts w:hint="eastAsia" w:ascii="仿宋_GB2312" w:hAnsi="仿宋_GB2312" w:eastAsia="仿宋_GB2312"/>
          <w:sz w:val="32"/>
        </w:rPr>
        <w:t>（三）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616" w:lineRule="atLeast"/>
        <w:ind w:firstLine="639"/>
        <w:rPr>
          <w:rFonts w:ascii="仿宋_GB2312" w:hAnsi="仿宋_GB2312" w:eastAsia="仿宋_GB2312"/>
          <w:sz w:val="32"/>
        </w:rPr>
      </w:pPr>
      <w:r>
        <w:rPr>
          <w:rFonts w:hint="eastAsia" w:ascii="仿宋_GB2312" w:hAnsi="仿宋_GB2312" w:eastAsia="仿宋_GB2312"/>
          <w:sz w:val="32"/>
        </w:rPr>
        <w:t>（四）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ascii="仿宋_GB2312" w:hAnsi="Calibri" w:eastAsia="仿宋_GB2312" w:cs="ArialUnicodeMS"/>
          <w:kern w:val="0"/>
          <w:sz w:val="32"/>
          <w:szCs w:val="32"/>
        </w:rPr>
        <w:t xml:space="preserve"> </w:t>
      </w:r>
      <w:r>
        <w:rPr>
          <w:rFonts w:hint="eastAsia" w:ascii="仿宋_GB2312" w:hAnsi="Calibri" w:eastAsia="仿宋_GB2312" w:cs="ArialUnicodeMS"/>
          <w:kern w:val="0"/>
          <w:sz w:val="32"/>
          <w:szCs w:val="32"/>
        </w:rPr>
        <w:t>1个，具体情况如下：</w:t>
      </w:r>
    </w:p>
    <w:p>
      <w:pPr>
        <w:jc w:val="center"/>
        <w:outlineLvl w:val="0"/>
        <w:rPr>
          <w:rFonts w:ascii="方正仿宋简体" w:hAnsi="黑体" w:eastAsia="方正仿宋简体" w:cs="黑体"/>
          <w:b/>
          <w:sz w:val="32"/>
          <w:szCs w:val="32"/>
        </w:rPr>
      </w:pPr>
      <w:r>
        <w:rPr>
          <w:rFonts w:hint="eastAsia" w:ascii="方正仿宋简体" w:hAnsi="黑体" w:eastAsia="方正仿宋简体" w:cs="黑体"/>
          <w:b/>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1"/>
        <w:gridCol w:w="1417"/>
        <w:gridCol w:w="1418"/>
        <w:gridCol w:w="2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61"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1417"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1418"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2821"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61" w:type="dxa"/>
            <w:vMerge w:val="continue"/>
            <w:vAlign w:val="center"/>
          </w:tcPr>
          <w:p>
            <w:pPr>
              <w:spacing w:line="300" w:lineRule="exact"/>
              <w:jc w:val="left"/>
              <w:outlineLvl w:val="0"/>
              <w:rPr>
                <w:rFonts w:ascii="黑体" w:hAnsi="黑体" w:eastAsia="黑体" w:cs="黑体"/>
                <w:sz w:val="28"/>
                <w:szCs w:val="28"/>
              </w:rPr>
            </w:pPr>
          </w:p>
        </w:tc>
        <w:tc>
          <w:tcPr>
            <w:tcW w:w="1417" w:type="dxa"/>
            <w:vMerge w:val="continue"/>
            <w:vAlign w:val="center"/>
          </w:tcPr>
          <w:p>
            <w:pPr>
              <w:spacing w:line="300" w:lineRule="exact"/>
              <w:jc w:val="left"/>
              <w:outlineLvl w:val="0"/>
              <w:rPr>
                <w:rFonts w:ascii="黑体" w:hAnsi="黑体" w:eastAsia="黑体" w:cs="黑体"/>
                <w:sz w:val="28"/>
                <w:szCs w:val="28"/>
              </w:rPr>
            </w:pPr>
          </w:p>
        </w:tc>
        <w:tc>
          <w:tcPr>
            <w:tcW w:w="1418" w:type="dxa"/>
            <w:vMerge w:val="continue"/>
            <w:vAlign w:val="center"/>
          </w:tcPr>
          <w:p>
            <w:pPr>
              <w:spacing w:line="300" w:lineRule="exact"/>
              <w:jc w:val="left"/>
              <w:outlineLvl w:val="0"/>
              <w:rPr>
                <w:rFonts w:ascii="黑体" w:hAnsi="黑体" w:eastAsia="黑体" w:cs="黑体"/>
                <w:sz w:val="28"/>
                <w:szCs w:val="28"/>
              </w:rPr>
            </w:pPr>
          </w:p>
        </w:tc>
        <w:tc>
          <w:tcPr>
            <w:tcW w:w="2821" w:type="dxa"/>
            <w:vMerge w:val="continue"/>
            <w:vAlign w:val="center"/>
          </w:tcPr>
          <w:p>
            <w:pPr>
              <w:spacing w:line="300" w:lineRule="exact"/>
              <w:jc w:val="left"/>
              <w:outlineLvl w:val="0"/>
              <w:rPr>
                <w:rFonts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61" w:type="dxa"/>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合    计</w:t>
            </w:r>
          </w:p>
        </w:tc>
        <w:tc>
          <w:tcPr>
            <w:tcW w:w="1417" w:type="dxa"/>
            <w:vAlign w:val="center"/>
          </w:tcPr>
          <w:p>
            <w:pPr>
              <w:spacing w:line="300" w:lineRule="exact"/>
              <w:jc w:val="center"/>
              <w:rPr>
                <w:rFonts w:ascii="黑体" w:hAnsi="黑体" w:eastAsia="黑体" w:cs="黑体"/>
                <w:b/>
                <w:bCs/>
                <w:sz w:val="28"/>
                <w:szCs w:val="28"/>
              </w:rPr>
            </w:pPr>
          </w:p>
        </w:tc>
        <w:tc>
          <w:tcPr>
            <w:tcW w:w="1418" w:type="dxa"/>
            <w:vAlign w:val="center"/>
          </w:tcPr>
          <w:p>
            <w:pPr>
              <w:spacing w:line="300" w:lineRule="exact"/>
              <w:jc w:val="center"/>
              <w:rPr>
                <w:rFonts w:ascii="黑体" w:hAnsi="黑体" w:eastAsia="黑体" w:cs="黑体"/>
                <w:b/>
                <w:bCs/>
                <w:sz w:val="28"/>
                <w:szCs w:val="28"/>
              </w:rPr>
            </w:pPr>
          </w:p>
        </w:tc>
        <w:tc>
          <w:tcPr>
            <w:tcW w:w="2821" w:type="dxa"/>
            <w:vAlign w:val="center"/>
          </w:tcPr>
          <w:p>
            <w:pPr>
              <w:spacing w:line="300" w:lineRule="exact"/>
              <w:jc w:val="center"/>
              <w:rPr>
                <w:rFonts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遵化市铁厂镇人民政府</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行政</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遵化市铁厂镇党政综合办公室</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行政</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遵化市铁厂镇社会事务办公室</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行政</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遵化市铁厂镇经济发展办公室</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行政</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遵化市铁厂镇城镇建设办公室</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行政</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遵化市铁厂镇社会治安综合治理办公室</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行政</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遵化市铁厂镇财政所农村经营管理服务站</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事业</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遵化市铁厂镇人口和计划生育服务中心</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事业</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遵化市铁厂镇文化综合服务中心</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事业</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5261" w:type="dxa"/>
            <w:vAlign w:val="center"/>
          </w:tcPr>
          <w:p>
            <w:pPr>
              <w:spacing w:line="300" w:lineRule="exact"/>
              <w:jc w:val="left"/>
              <w:rPr>
                <w:rFonts w:ascii="仿宋" w:hAnsi="仿宋" w:eastAsia="仿宋" w:cs="黑体"/>
                <w:sz w:val="32"/>
                <w:szCs w:val="32"/>
              </w:rPr>
            </w:pPr>
            <w:r>
              <w:rPr>
                <w:rFonts w:hint="eastAsia" w:ascii="仿宋" w:hAnsi="仿宋" w:eastAsia="仿宋" w:cs="黑体"/>
                <w:sz w:val="32"/>
                <w:szCs w:val="32"/>
              </w:rPr>
              <w:t>遵化市铁厂镇劳动保障事务站</w:t>
            </w:r>
          </w:p>
        </w:tc>
        <w:tc>
          <w:tcPr>
            <w:tcW w:w="1417"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事业</w:t>
            </w:r>
          </w:p>
        </w:tc>
        <w:tc>
          <w:tcPr>
            <w:tcW w:w="1418"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正科级</w:t>
            </w:r>
          </w:p>
        </w:tc>
        <w:tc>
          <w:tcPr>
            <w:tcW w:w="2821" w:type="dxa"/>
            <w:vAlign w:val="center"/>
          </w:tcPr>
          <w:p>
            <w:pPr>
              <w:spacing w:line="300" w:lineRule="exact"/>
              <w:jc w:val="center"/>
              <w:rPr>
                <w:rFonts w:ascii="仿宋" w:hAnsi="仿宋" w:eastAsia="仿宋" w:cs="黑体"/>
                <w:sz w:val="32"/>
                <w:szCs w:val="32"/>
              </w:rPr>
            </w:pPr>
            <w:r>
              <w:rPr>
                <w:rFonts w:hint="eastAsia" w:ascii="仿宋" w:hAnsi="仿宋" w:eastAsia="仿宋" w:cs="黑体"/>
                <w:sz w:val="32"/>
                <w:szCs w:val="32"/>
              </w:rPr>
              <w:t>财政性资金基本保证</w:t>
            </w:r>
          </w:p>
        </w:tc>
      </w:tr>
    </w:tbl>
    <w:p>
      <w:pPr>
        <w:widowControl/>
        <w:spacing w:after="160" w:line="580" w:lineRule="exact"/>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61" o:spid="_x0000_s1061" o:spt="202" type="#_x0000_t202" style="position:absolute;left:0pt;margin-left:-85.7pt;margin-top:238.15pt;height:173.25pt;width:613.65pt;z-index:25166540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72"/>
          <w:szCs w:val="72"/>
        </w:rPr>
      </w:pPr>
      <w:r>
        <w:rPr>
          <w:rFonts w:hint="eastAsia" w:ascii="黑体" w:hAnsi="黑体" w:eastAsia="黑体" w:cs="黑体"/>
          <w:sz w:val="72"/>
          <w:szCs w:val="72"/>
        </w:rPr>
        <w:t>第二部分</w:t>
      </w:r>
    </w:p>
    <w:p>
      <w:pPr>
        <w:jc w:val="center"/>
        <w:rPr>
          <w:rFonts w:ascii="黑体" w:hAnsi="黑体" w:eastAsia="黑体" w:cs="黑体"/>
          <w:sz w:val="72"/>
          <w:szCs w:val="72"/>
        </w:rPr>
      </w:pPr>
      <w:r>
        <w:rPr>
          <w:rFonts w:hint="eastAsia" w:ascii="黑体" w:hAnsi="黑体" w:eastAsia="黑体" w:cs="黑体"/>
          <w:sz w:val="72"/>
          <w:szCs w:val="72"/>
        </w:rPr>
        <w:t>2019年决算情况说明</w: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年度收支总计（含结转和结余）571.03万元。与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年度决算相比，收支各减少113.35万元，减少16.56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，主要原因是项目支出减少。</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年度本年收入合计571.03万元，其中：财政拨款收入571.03万元，占100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 w:hAnsi="仿宋" w:eastAsia="仿宋" w:cs="DengXian-Regular"/>
          <w:sz w:val="32"/>
          <w:szCs w:val="32"/>
        </w:rPr>
        <w:t>事业收入0万元，占0%；经营收入0万元，占0%；其他收入0万元，占0%。</w:t>
      </w:r>
      <w:r>
        <w:rPr>
          <w:rFonts w:ascii="仿宋_GB2312" w:hAnsi="Times New Roman" w:eastAsia="仿宋_GB2312" w:cs="DengXian-Regular"/>
          <w:sz w:val="32"/>
          <w:szCs w:val="32"/>
          <w:highlight w:val="yellow"/>
        </w:rPr>
        <w:t xml:space="preserve"> </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年度本年支出合计571.03万元，其中：基本支出509.18万元，占89.17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；项目支出61.85万元，占10.83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ascii="黑体" w:hAnsi="Calibri" w:eastAsia="黑体"/>
          <w:b/>
          <w:bCs/>
          <w:sz w:val="32"/>
          <w:szCs w:val="32"/>
        </w:rPr>
        <w:t xml:space="preserve"> </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年度形成的财政拨款收支均为一般公共预算财政拨款，其中本年收入571.03万元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年度减少113.35万元，减少16.56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，主要是项目支出减少；本年支出571.03万元，减少113.35万元，减少16.56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，主要是项目支出减少。</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年度财政拨款本年收入571.03万元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年度减少113.35万元，减少16.56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，主要是项目支出减少；本年支出571.03万元，减少113.35万元，减少16.56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，主要是项目支出减少。具体情况如下：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一般公共预算财政拨款本年收入571.03万元，比上年减少113.35万元；主要是项目支出减少；本年支出571.03万元，比上年减少113.35万元，减少16.56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，主要是项目支出减少。</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年度一般公共预算财政拨款收入571.03万元，完成年初预算的106.67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比年初预算增加35.69万元，决算数大于预算数主要原因是项目支出增加；本年支出571.03万元，完成年初预算的106.67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比年初预算增加35.69万元，决算数大于预算数主要原因是项目支出增加。</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年度财政拨款本年收入571.03万元，完成年初预算的106.67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（如图</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比年初预算增加35.69万元，决算数大于预算数主要原因是项目支出增加；本年支出571.03万元，完成年初预算的106.67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比年初预算增加35.69万元，决算数大于预算数主要原因是主要是项目支出增加。具体情况如下：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一般公共预算财政拨款本年收入完成年初预算106.67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，比年初预算增加35.69万元，主要是项目支出增加；支出完成年初预算106.67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，比年初预算增加35.69万元，主要是项目支出增加。</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年度财政拨款支出571.03万元，主要用于以下方面一般公共服务支出495.63万元，占86.8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，；卫生健康</w:t>
      </w:r>
      <w:bookmarkStart w:id="0" w:name="_GoBack"/>
      <w:bookmarkEnd w:id="0"/>
      <w:r>
        <w:rPr>
          <w:rFonts w:hint="eastAsia" w:ascii="仿宋_GB2312" w:hAnsi="Times New Roman" w:eastAsia="仿宋_GB2312" w:cs="DengXian-Regular"/>
          <w:sz w:val="32"/>
          <w:szCs w:val="32"/>
        </w:rPr>
        <w:t>支出13.02万元，占2.28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；城乡社区支出49.13万元，占8.6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；农林水支出13.25万元，占2.32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年度财政拨款基本支出509.18万元，其中：人员经费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389.03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120.14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年度“三公”经费支出共计12万元，完成预算的95.69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较预算减少0.54万元，降低4.3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节能减排，节省开支</w:t>
      </w:r>
      <w:r>
        <w:rPr>
          <w:rFonts w:hint="eastAsia" w:ascii="仿宋_GB2312" w:hAnsi="Times New Roman" w:eastAsia="仿宋_GB2312" w:cs="DengXian-Regular"/>
          <w:sz w:val="32"/>
          <w:szCs w:val="32"/>
        </w:rPr>
        <w:t>；较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年度减少0.108万元，降低0.9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节能减排，节省开支</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 w:hAnsi="仿宋" w:eastAsia="仿宋" w:cs="宋体"/>
          <w:sz w:val="32"/>
          <w:szCs w:val="32"/>
        </w:rPr>
      </w:pPr>
      <w:r>
        <w:rPr>
          <w:rFonts w:hint="eastAsia" w:ascii="楷体_GB2312" w:hAnsi="Times New Roman" w:eastAsia="楷体_GB2312" w:cs="DengXian-Bold"/>
          <w:b/>
          <w:bCs/>
          <w:sz w:val="32"/>
          <w:szCs w:val="32"/>
        </w:rPr>
        <w:t>（一）因公出国（境）费支出0万元。</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年度因公出国（境）团组0个、共0人参加其他单位组织的因公出国（境）团组0个、共0人，无本单位组织的出国（境）团组。</w:t>
      </w:r>
      <w:r>
        <w:rPr>
          <w:rFonts w:hint="eastAsia" w:ascii="仿宋" w:hAnsi="仿宋" w:eastAsia="仿宋" w:cs="方正仿宋简体"/>
          <w:sz w:val="32"/>
          <w:szCs w:val="32"/>
        </w:rPr>
        <w:t>因公出国</w:t>
      </w:r>
      <w:r>
        <w:rPr>
          <w:rFonts w:hint="eastAsia" w:ascii="仿宋" w:hAnsi="仿宋" w:eastAsia="仿宋" w:cs="DengXian-Regular"/>
          <w:sz w:val="32"/>
          <w:szCs w:val="32"/>
        </w:rPr>
        <w:t>(境)费支出较年初预算无增减变化,较上年无增减变化。主要是严格</w:t>
      </w:r>
      <w:r>
        <w:rPr>
          <w:rFonts w:hint="eastAsia" w:ascii="仿宋" w:hAnsi="仿宋" w:eastAsia="仿宋" w:cs="宋体"/>
          <w:sz w:val="32"/>
          <w:szCs w:val="32"/>
        </w:rPr>
        <w:t>执行中央八项规定，严格控制支出厉行节约原则。</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（二）公务用车购置及运行维护费支出11.54万元。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年度公务用车购置及运行维护费较预算减少0.46万元，降低3.83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较上年减少0.11万元，降低0.94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节能减排，节省开支</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年度公务用车购置量0辆，发生“公务用车购置”经费支出 0万元。公务用车购置费支出较预算增加0万元，增长0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与上年持平，增长0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 w:hAnsi="仿宋" w:eastAsia="仿宋" w:cs="DengXian-Regular"/>
          <w:sz w:val="32"/>
          <w:szCs w:val="32"/>
        </w:rPr>
        <w:t>严格</w:t>
      </w:r>
      <w:r>
        <w:rPr>
          <w:rFonts w:hint="eastAsia" w:ascii="仿宋" w:hAnsi="仿宋" w:eastAsia="仿宋" w:cs="宋体"/>
          <w:sz w:val="32"/>
          <w:szCs w:val="32"/>
        </w:rPr>
        <w:t>执行中央八项规定，严格控制支出厉行节约原则</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年度单位公务用车保有量3辆。公车运行维护费支出较预算增加0万元，增长0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节能减排，节省开支</w:t>
      </w:r>
      <w:r>
        <w:rPr>
          <w:rFonts w:hint="eastAsia" w:ascii="仿宋_GB2312" w:hAnsi="Times New Roman" w:eastAsia="仿宋_GB2312" w:cs="DengXian-Regular"/>
          <w:sz w:val="32"/>
          <w:szCs w:val="32"/>
        </w:rPr>
        <w:t>；较上年增加0万元，增长0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节能减排，节省开支</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（三）公务接待费支出0.46万元。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年度公务接待共18批次、270人次。公务接待费支出较预算减少0.08万元，降低15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与上年持平；较上年度减少0万元，降低0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与上年持平。主要原因接待人数减少。</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年度一般公共预算项目支出全面开展绩效自评，项目2个，共涉及资金61.85万元，占一般公共预算项目支出总额的229.07%。通过绩效管理大大提高了财政资金使用效益，推动了我</w:t>
      </w:r>
      <w:r>
        <w:rPr>
          <w:rFonts w:hint="eastAsia" w:ascii="仿宋" w:hAnsi="仿宋" w:eastAsia="仿宋" w:cs="宋体"/>
          <w:sz w:val="32"/>
          <w:szCs w:val="32"/>
        </w:rPr>
        <w:t>镇</w:t>
      </w:r>
      <w:r>
        <w:rPr>
          <w:rFonts w:hint="eastAsia" w:ascii="仿宋_GB2312" w:hAnsi="仿宋_GB2312" w:eastAsia="仿宋_GB2312" w:cs="仿宋_GB2312"/>
          <w:sz w:val="32"/>
          <w:szCs w:val="32"/>
        </w:rPr>
        <w:t>经济和社会各项事业持续健康发展。力促我乡村容村貌大幅改观，使人民生活质量、幸福指数得以明显提高。</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ascii="仿宋_GB2312" w:hAnsi="仿宋_GB2312" w:eastAsia="仿宋_GB2312" w:cs="仿宋_GB2312"/>
          <w:sz w:val="32"/>
          <w:szCs w:val="32"/>
        </w:rPr>
        <w:t>城乡社区环境卫生</w:t>
      </w:r>
      <w:r>
        <w:rPr>
          <w:rFonts w:hint="eastAsia" w:ascii="仿宋_GB2312" w:hAnsi="仿宋_GB2312" w:eastAsia="仿宋_GB2312" w:cs="仿宋_GB2312"/>
          <w:sz w:val="32"/>
          <w:szCs w:val="32"/>
        </w:rPr>
        <w:t>等2个项目绩效自评结果。</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城乡社区环境卫生及大气污染治理</w:t>
      </w:r>
      <w:r>
        <w:rPr>
          <w:rFonts w:hint="eastAsia" w:ascii="仿宋_GB2312" w:hAnsi="仿宋_GB2312" w:eastAsia="仿宋_GB2312" w:cs="仿宋_GB2312"/>
          <w:sz w:val="32"/>
          <w:szCs w:val="32"/>
        </w:rPr>
        <w:t>项目自评综述：该项目投资49.13万元，用于治理我乡街道、河道、公路周边、公共厕所等卫生死角，对村委会集中安置点，主干道等区域配齐环卫设施，推进户分类、组收集、村运转、乡处理模式，足额落实环保经费，运用激励手段开展卫生检查评比等，力促村容村貌大幅改观；建设小型空气站，实时监测空气质量，有效控制或消减大气污染排放量，实现科学治霾，让百姓看到了蓝天白云。通过农村环境治理和大气污染治理，较好地改善了百姓的生活环境，提高了百姓的幸福指数。群众满意度大于90%，公众满意度大于90%，验收通过率大于90%，绩效评价为优。</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2.群众工作经费支出12.73万元，用于我镇群众工作，群众满意度大于90%，公众满意度大于90%。</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仿宋"/>
          <w:sz w:val="32"/>
          <w:szCs w:val="32"/>
        </w:rPr>
        <w:t>我单位性质是其他单位，机关运行经费支出0万元，与上年持平，较年初预算无增减变化</w:t>
      </w:r>
      <w:r>
        <w:rPr>
          <w:rFonts w:hint="eastAsia" w:ascii="仿宋" w:hAnsi="仿宋" w:eastAsia="仿宋"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年度政府采购支出总额0万元，从采购类型来看，</w:t>
      </w:r>
      <w:r>
        <w:rPr>
          <w:rFonts w:hint="eastAsia" w:ascii="仿宋_GB2312" w:hAnsi="仿宋_GB2312" w:eastAsia="仿宋_GB2312" w:cs="仿宋_GB2312"/>
          <w:color w:val="000000"/>
          <w:kern w:val="0"/>
          <w:sz w:val="32"/>
          <w:szCs w:val="32"/>
        </w:rPr>
        <w:t>政府采购货物支出0万元、政府采购工程支出0万元、政府采购服务支出0万元。授予中小企业合同金0万元，占政府采购支出总额的0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，其中授予小微企业合同金额0万元，占政府采购支出总额的0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3辆，比上年增加0辆，较年初预算无增减变化，较2018年度决算无增减变化。其中，副部（省）级及以上领导用车0辆，主要领导干部用车2辆，机要通信用车0辆，应急保障用车0辆，执法执勤用车1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万元以上通用设备0台，比上年无增减变化。单位价值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万元以上专用设备0台，比上年无增减变化。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”（公开08表），无收支及结转结余情况，故“</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”以空表列示。本部门2019年度“国有资本经营预算财政拨款支出决算表”（公开09表），无相关支出情况，故以空表列示。</w:t>
      </w:r>
    </w:p>
    <w:p>
      <w:pPr>
        <w:adjustRightInd w:val="0"/>
        <w:snapToGrid w:val="0"/>
        <w:spacing w:line="580" w:lineRule="exact"/>
        <w:ind w:firstLine="640" w:firstLineChars="200"/>
        <w:rPr>
          <w:rFonts w:ascii="仿宋_GB2312" w:hAnsi="Times New Roman" w:eastAsia="仿宋_GB2312" w:cs="DengXian-Regular"/>
          <w:sz w:val="32"/>
          <w:szCs w:val="32"/>
        </w:rPr>
        <w:sectPr>
          <w:type w:val="continuous"/>
          <w:pgSz w:w="11906" w:h="16838"/>
          <w:pgMar w:top="2098" w:right="1474" w:bottom="1984" w:left="1588" w:header="851" w:footer="992" w:gutter="0"/>
          <w:pgNumType w:fmt="numberInDash"/>
          <w:cols w:space="0" w:num="1"/>
          <w:docGrid w:type="lines" w:linePitch="312" w:charSpace="0"/>
        </w:sect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84"/>
          <w:szCs w:val="84"/>
        </w:rPr>
      </w:pPr>
      <w:r>
        <w:rPr>
          <w:sz w:val="84"/>
          <w:szCs w:val="84"/>
        </w:rPr>
        <w:t>第三部分</w:t>
      </w:r>
    </w:p>
    <w:p>
      <w:pPr>
        <w:jc w:val="center"/>
        <w:rPr>
          <w:sz w:val="84"/>
          <w:szCs w:val="84"/>
        </w:rPr>
      </w:pPr>
      <w:r>
        <w:rPr>
          <w:rFonts w:hint="eastAsia"/>
          <w:sz w:val="84"/>
          <w:szCs w:val="84"/>
        </w:rPr>
        <w:t>相关名词解释</w:t>
      </w:r>
    </w:p>
    <w:p>
      <w:pPr>
        <w:rPr>
          <w:sz w:val="84"/>
          <w:szCs w:val="84"/>
        </w:rPr>
      </w:pPr>
    </w:p>
    <w:p/>
    <w:p/>
    <w:p/>
    <w:p/>
    <w:p/>
    <w:p/>
    <w:p/>
    <w:p/>
    <w:p/>
    <w:p/>
    <w:p/>
    <w:p/>
    <w:p>
      <w:pPr>
        <w:tabs>
          <w:tab w:val="left" w:pos="886"/>
        </w:tabs>
        <w:jc w:val="left"/>
        <w:sectPr>
          <w:headerReference r:id="rId13"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Pr>
        <w:jc w:val="left"/>
        <w:sectPr>
          <w:headerReference r:id="rId14"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pPr>
    </w:p>
    <w:p>
      <w:pPr>
        <w:tabs>
          <w:tab w:val="left" w:pos="235"/>
        </w:tabs>
        <w:jc w:val="left"/>
        <w:rPr>
          <w:sz w:val="84"/>
          <w:szCs w:val="84"/>
        </w:rPr>
      </w:pPr>
    </w:p>
    <w:p>
      <w:pPr>
        <w:tabs>
          <w:tab w:val="left" w:pos="235"/>
        </w:tabs>
        <w:ind w:firstLine="2520" w:firstLineChars="300"/>
        <w:jc w:val="left"/>
        <w:rPr>
          <w:sz w:val="84"/>
          <w:szCs w:val="84"/>
        </w:rPr>
      </w:pPr>
      <w:r>
        <w:rPr>
          <w:sz w:val="84"/>
          <w:szCs w:val="84"/>
        </w:rPr>
        <w:t>第四部分</w:t>
      </w:r>
    </w:p>
    <w:p>
      <w:pPr>
        <w:tabs>
          <w:tab w:val="left" w:pos="235"/>
        </w:tabs>
        <w:jc w:val="left"/>
      </w:pPr>
    </w:p>
    <w:p>
      <w:pPr>
        <w:rPr>
          <w:sz w:val="84"/>
          <w:szCs w:val="84"/>
        </w:rPr>
      </w:pPr>
      <w:r>
        <w:rPr>
          <w:rFonts w:hint="eastAsia"/>
          <w:sz w:val="84"/>
          <w:szCs w:val="84"/>
        </w:rPr>
        <w:t>2019年度部门决算报表</w:t>
      </w:r>
    </w:p>
    <w:p/>
    <w:p>
      <w:pPr>
        <w:sectPr>
          <w:pgSz w:w="11906" w:h="16838"/>
          <w:pgMar w:top="2098" w:right="1474" w:bottom="1985" w:left="1588" w:header="851" w:footer="992" w:gutter="0"/>
          <w:pgNumType w:fmt="numberInDash"/>
          <w:cols w:space="425" w:num="1"/>
          <w:docGrid w:type="lines" w:linePitch="312" w:charSpace="0"/>
        </w:sectPr>
      </w:pP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571.03</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495.63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49.13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571.03</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571.03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571.03</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571.03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580" w:type="dxa"/>
        <w:jc w:val="center"/>
        <w:tblLayout w:type="autofit"/>
        <w:tblCellMar>
          <w:top w:w="0" w:type="dxa"/>
          <w:left w:w="0" w:type="dxa"/>
          <w:bottom w:w="0" w:type="dxa"/>
          <w:right w:w="0" w:type="dxa"/>
        </w:tblCellMar>
      </w:tblPr>
      <w:tblGrid>
        <w:gridCol w:w="2630"/>
        <w:gridCol w:w="36"/>
        <w:gridCol w:w="36"/>
        <w:gridCol w:w="3330"/>
        <w:gridCol w:w="967"/>
        <w:gridCol w:w="967"/>
        <w:gridCol w:w="323"/>
        <w:gridCol w:w="323"/>
        <w:gridCol w:w="378"/>
        <w:gridCol w:w="562"/>
        <w:gridCol w:w="490"/>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97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221"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221"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221"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9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571.03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571.03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一般公共服务支出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495.63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495.63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政府办公厅（室）及相关机构事务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430.07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430.07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297.2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297.2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132.87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132.87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财政事务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党委办公厅（室）及相关机构事务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计划生育事务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2100716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计划生育机构</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城乡社区环境卫生</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城乡社区环境卫生</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农林水支出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农业</w:t>
            </w:r>
          </w:p>
        </w:tc>
        <w:tc>
          <w:tcPr>
            <w:tcW w:w="9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9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9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9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710" w:type="dxa"/>
        <w:jc w:val="center"/>
        <w:tblLayout w:type="fixed"/>
        <w:tblCellMar>
          <w:top w:w="0" w:type="dxa"/>
          <w:left w:w="0" w:type="dxa"/>
          <w:bottom w:w="0" w:type="dxa"/>
          <w:right w:w="0" w:type="dxa"/>
        </w:tblCellMar>
      </w:tblPr>
      <w:tblGrid>
        <w:gridCol w:w="974"/>
        <w:gridCol w:w="50"/>
        <w:gridCol w:w="81"/>
        <w:gridCol w:w="30"/>
        <w:gridCol w:w="1579"/>
        <w:gridCol w:w="30"/>
        <w:gridCol w:w="881"/>
        <w:gridCol w:w="30"/>
        <w:gridCol w:w="1131"/>
        <w:gridCol w:w="30"/>
        <w:gridCol w:w="1131"/>
        <w:gridCol w:w="30"/>
        <w:gridCol w:w="1131"/>
        <w:gridCol w:w="30"/>
        <w:gridCol w:w="1131"/>
        <w:gridCol w:w="30"/>
        <w:gridCol w:w="1381"/>
        <w:gridCol w:w="30"/>
      </w:tblGrid>
      <w:tr>
        <w:tblPrEx>
          <w:tblCellMar>
            <w:top w:w="0" w:type="dxa"/>
            <w:left w:w="0" w:type="dxa"/>
            <w:bottom w:w="0" w:type="dxa"/>
            <w:right w:w="0" w:type="dxa"/>
          </w:tblCellMar>
        </w:tblPrEx>
        <w:trPr>
          <w:gridAfter w:val="1"/>
          <w:wAfter w:w="30" w:type="dxa"/>
          <w:trHeight w:val="612" w:hRule="atLeast"/>
          <w:jc w:val="center"/>
        </w:trPr>
        <w:tc>
          <w:tcPr>
            <w:tcW w:w="9680"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7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09"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1"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11"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9710" w:type="dxa"/>
            <w:gridSpan w:val="18"/>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30" w:type="dxa"/>
          <w:trHeight w:val="323" w:hRule="atLeast"/>
          <w:jc w:val="center"/>
        </w:trPr>
        <w:tc>
          <w:tcPr>
            <w:tcW w:w="271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11"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gridAfter w:val="1"/>
          <w:wAfter w:w="30" w:type="dxa"/>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09"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1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09"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1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09"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1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2714"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6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6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16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16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4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gridAfter w:val="1"/>
          <w:wAfter w:w="30" w:type="dxa"/>
          <w:trHeight w:val="323" w:hRule="atLeast"/>
          <w:jc w:val="center"/>
        </w:trPr>
        <w:tc>
          <w:tcPr>
            <w:tcW w:w="2714"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571.03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509.18</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61.85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一般公共服务支出</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495.63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495.63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政府办公厅（室）及相关机构事务</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430.07</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430.07</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2010301</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297.2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297.2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2010302</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132.87</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132.87</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12.72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20106</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财政事务</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2010601</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20131</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党委办公厅（室）及相关机构事务</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2013101</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21007</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计划生育事务</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2100716</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计划生育机构</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城乡社区支出</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21205</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城乡社区环境卫生</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2120501</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城乡社区环境卫生</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农林水支出</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21301</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农业</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2130101</w:t>
            </w:r>
          </w:p>
        </w:tc>
        <w:tc>
          <w:tcPr>
            <w:tcW w:w="160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9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30" w:type="dxa"/>
          <w:trHeight w:val="323" w:hRule="atLeast"/>
          <w:jc w:val="center"/>
        </w:trPr>
        <w:tc>
          <w:tcPr>
            <w:tcW w:w="9680" w:type="dxa"/>
            <w:gridSpan w:val="17"/>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492"/>
        <w:gridCol w:w="693"/>
        <w:gridCol w:w="824"/>
        <w:gridCol w:w="2946"/>
        <w:gridCol w:w="499"/>
        <w:gridCol w:w="708"/>
        <w:gridCol w:w="709"/>
        <w:gridCol w:w="649"/>
      </w:tblGrid>
      <w:tr>
        <w:tblPrEx>
          <w:tblCellMar>
            <w:top w:w="0" w:type="dxa"/>
            <w:left w:w="0" w:type="dxa"/>
            <w:bottom w:w="0" w:type="dxa"/>
            <w:right w:w="0" w:type="dxa"/>
          </w:tblCellMar>
        </w:tblPrEx>
        <w:trPr>
          <w:trHeight w:val="533" w:hRule="atLeast"/>
          <w:jc w:val="center"/>
        </w:trPr>
        <w:tc>
          <w:tcPr>
            <w:tcW w:w="9520"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4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9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66"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tblPrEx>
          <w:tblCellMar>
            <w:top w:w="0" w:type="dxa"/>
            <w:left w:w="0" w:type="dxa"/>
            <w:bottom w:w="0" w:type="dxa"/>
            <w:right w:w="0" w:type="dxa"/>
          </w:tblCellMar>
        </w:tblPrEx>
        <w:trPr>
          <w:trHeight w:val="312" w:hRule="atLeast"/>
          <w:jc w:val="center"/>
        </w:trPr>
        <w:tc>
          <w:tcPr>
            <w:tcW w:w="2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9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2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8"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4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9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8"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571.03</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495.63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495.63</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54"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571.03</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571.03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571.03</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57</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4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9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571.03</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58</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571.03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571.03</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10090" w:type="dxa"/>
        <w:jc w:val="center"/>
        <w:tblLayout w:type="autofit"/>
        <w:tblCellMar>
          <w:top w:w="0" w:type="dxa"/>
          <w:left w:w="0" w:type="dxa"/>
          <w:bottom w:w="0" w:type="dxa"/>
          <w:right w:w="0" w:type="dxa"/>
        </w:tblCellMar>
      </w:tblPr>
      <w:tblGrid>
        <w:gridCol w:w="2630"/>
        <w:gridCol w:w="36"/>
        <w:gridCol w:w="36"/>
        <w:gridCol w:w="3330"/>
        <w:gridCol w:w="1569"/>
        <w:gridCol w:w="1520"/>
        <w:gridCol w:w="1099"/>
      </w:tblGrid>
      <w:tr>
        <w:tblPrEx>
          <w:tblCellMar>
            <w:top w:w="0" w:type="dxa"/>
            <w:left w:w="0" w:type="dxa"/>
            <w:bottom w:w="0" w:type="dxa"/>
            <w:right w:w="0" w:type="dxa"/>
          </w:tblCellMar>
        </w:tblPrEx>
        <w:trPr>
          <w:trHeight w:val="600" w:hRule="atLeast"/>
          <w:jc w:val="center"/>
        </w:trPr>
        <w:tc>
          <w:tcPr>
            <w:tcW w:w="1009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31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00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5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5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0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00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65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5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0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65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5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571.03</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509.18</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r>
              <w:rPr>
                <w:rFonts w:hint="eastAsia" w:ascii="宋体" w:hAnsi="宋体" w:eastAsia="宋体" w:cs="宋体"/>
                <w:b/>
                <w:color w:val="000000"/>
                <w:sz w:val="22"/>
              </w:rPr>
              <w:t>61.85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一般公共服务支出</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495.63</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495.63</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政府办公厅（室）及相关机构事务</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430.07</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430.07</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297.2</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297.2</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132.87</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132.87</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12.72</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财政事务</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13.11</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党委办公厅（室）及相关机构事务</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52.45</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计划生育事务</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2100716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计划生育机构</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13.02</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城乡社区支出</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城乡社区环境卫生</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城乡社区环境卫生</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49.13</w:t>
            </w:r>
          </w:p>
        </w:tc>
      </w:tr>
      <w:tr>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农林水支出</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农业</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156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5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13.25</w:t>
            </w:r>
          </w:p>
        </w:tc>
        <w:tc>
          <w:tcPr>
            <w:tcW w:w="109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10000" w:type="dxa"/>
            <w:gridSpan w:val="9"/>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362.76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132.87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113.16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27.03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110.5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印刷费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咨询费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手续费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8.79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水费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12.08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5.03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邮电费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47.66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取暖费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物业管理费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11.29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差旅费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29.52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因公出国（境）费用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维修（护）费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17.79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12.55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租赁费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会议费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培训费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公务接待费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0.46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专用材料费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被装购置费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专用燃料费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劳务费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16.02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委托业务费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工会经费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福利费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公务用车运行维护费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11.54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13.61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税金及附加费用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23.91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362.76</w:t>
            </w: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132.87</w:t>
            </w:r>
          </w:p>
        </w:tc>
      </w:tr>
    </w:tbl>
    <w:p>
      <w:r>
        <w:br w:type="page"/>
      </w:r>
    </w:p>
    <w:tbl>
      <w:tblPr>
        <w:tblStyle w:val="6"/>
        <w:tblW w:w="9220" w:type="dxa"/>
        <w:jc w:val="center"/>
        <w:tblLayout w:type="autofit"/>
        <w:tblCellMar>
          <w:top w:w="0" w:type="dxa"/>
          <w:left w:w="0" w:type="dxa"/>
          <w:bottom w:w="0" w:type="dxa"/>
          <w:right w:w="0" w:type="dxa"/>
        </w:tblCellMar>
      </w:tblPr>
      <w:tblGrid>
        <w:gridCol w:w="2630"/>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0.54</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w:t>
            </w:r>
          </w:p>
        </w:tc>
        <w:tc>
          <w:tcPr>
            <w:tcW w:w="1686"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11.54</w:t>
            </w: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11.54</w:t>
            </w:r>
          </w:p>
        </w:tc>
        <w:tc>
          <w:tcPr>
            <w:tcW w:w="1572"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0.46</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2630"/>
        <w:gridCol w:w="36"/>
        <w:gridCol w:w="36"/>
        <w:gridCol w:w="910"/>
        <w:gridCol w:w="983"/>
        <w:gridCol w:w="983"/>
        <w:gridCol w:w="983"/>
        <w:gridCol w:w="983"/>
        <w:gridCol w:w="983"/>
        <w:gridCol w:w="983"/>
      </w:tblGrid>
      <w:tr>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1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1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5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1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22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2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2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注：本表反映部门本年度政府性基金预算财政拨款收入、支出及结转和结余情况。本部门本年度无政府性基金预算财政拨款收入、支出及结转和结余情况，按要求空表列示。</w:t>
      </w:r>
      <w:r>
        <w:br w:type="page"/>
      </w:r>
    </w:p>
    <w:tbl>
      <w:tblPr>
        <w:tblStyle w:val="6"/>
        <w:tblW w:w="9915" w:type="dxa"/>
        <w:jc w:val="center"/>
        <w:tblLayout w:type="autofit"/>
        <w:tblCellMar>
          <w:top w:w="0" w:type="dxa"/>
          <w:left w:w="0" w:type="dxa"/>
          <w:bottom w:w="0" w:type="dxa"/>
          <w:right w:w="0" w:type="dxa"/>
        </w:tblCellMar>
      </w:tblPr>
      <w:tblGrid>
        <w:gridCol w:w="3544"/>
        <w:gridCol w:w="49"/>
        <w:gridCol w:w="49"/>
        <w:gridCol w:w="3187"/>
        <w:gridCol w:w="633"/>
        <w:gridCol w:w="1226"/>
        <w:gridCol w:w="1227"/>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部门：遵化市铁厂镇人民政府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注：本表反映部门本年度国有资本经营预算财政拨款支出情况。本部门本年度无国有资本经营预算财政拨款支出情况，按要求空表列示。</w: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CB8BA"/>
    <w:multiLevelType w:val="singleLevel"/>
    <w:tmpl w:val="CABCB8BA"/>
    <w:lvl w:ilvl="0" w:tentative="0">
      <w:start w:val="1"/>
      <w:numFmt w:val="decimal"/>
      <w:lvlText w:val="%1."/>
      <w:lvlJc w:val="left"/>
      <w:pPr>
        <w:tabs>
          <w:tab w:val="left" w:pos="312"/>
        </w:tabs>
      </w:pPr>
    </w:lvl>
  </w:abstractNum>
  <w:abstractNum w:abstractNumId="1">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2">
    <w:nsid w:val="59950409"/>
    <w:multiLevelType w:val="singleLevel"/>
    <w:tmpl w:val="59950409"/>
    <w:lvl w:ilvl="0" w:tentative="0">
      <w:start w:val="1"/>
      <w:numFmt w:val="decimal"/>
      <w:suff w:val="space"/>
      <w:lvlText w:val="%1."/>
      <w:lvlJc w:val="left"/>
      <w:rPr>
        <w:rFonts w:cs="Times New Roman"/>
      </w:rPr>
    </w:lvl>
  </w:abstractNum>
  <w:abstractNum w:abstractNumId="3">
    <w:nsid w:val="78C1413D"/>
    <w:multiLevelType w:val="singleLevel"/>
    <w:tmpl w:val="78C1413D"/>
    <w:lvl w:ilvl="0" w:tentative="0">
      <w:start w:val="1"/>
      <w:numFmt w:val="decimal"/>
      <w:suff w:val="space"/>
      <w:lvlText w:val="%1."/>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AF1C96"/>
    <w:rsid w:val="00037E08"/>
    <w:rsid w:val="000468CF"/>
    <w:rsid w:val="0007063E"/>
    <w:rsid w:val="00073392"/>
    <w:rsid w:val="00073F4E"/>
    <w:rsid w:val="00086C89"/>
    <w:rsid w:val="00092996"/>
    <w:rsid w:val="000A39FB"/>
    <w:rsid w:val="00115A84"/>
    <w:rsid w:val="00117746"/>
    <w:rsid w:val="0012643E"/>
    <w:rsid w:val="00140A84"/>
    <w:rsid w:val="0015477E"/>
    <w:rsid w:val="00163F95"/>
    <w:rsid w:val="00180A9A"/>
    <w:rsid w:val="001829C0"/>
    <w:rsid w:val="00184809"/>
    <w:rsid w:val="00192112"/>
    <w:rsid w:val="001A65C7"/>
    <w:rsid w:val="001A6B0F"/>
    <w:rsid w:val="001B0127"/>
    <w:rsid w:val="001C12D5"/>
    <w:rsid w:val="001C69F7"/>
    <w:rsid w:val="001D434E"/>
    <w:rsid w:val="001D4D26"/>
    <w:rsid w:val="001E0EEC"/>
    <w:rsid w:val="001F0B96"/>
    <w:rsid w:val="00247E5C"/>
    <w:rsid w:val="002650EC"/>
    <w:rsid w:val="0026612F"/>
    <w:rsid w:val="00280327"/>
    <w:rsid w:val="00295809"/>
    <w:rsid w:val="002A6C46"/>
    <w:rsid w:val="002C19B5"/>
    <w:rsid w:val="002F5FC5"/>
    <w:rsid w:val="003352D5"/>
    <w:rsid w:val="00365D44"/>
    <w:rsid w:val="003A4EE8"/>
    <w:rsid w:val="003B64B4"/>
    <w:rsid w:val="00442CC2"/>
    <w:rsid w:val="00446244"/>
    <w:rsid w:val="00473C20"/>
    <w:rsid w:val="0049444D"/>
    <w:rsid w:val="004C139B"/>
    <w:rsid w:val="004D61CB"/>
    <w:rsid w:val="004E0CF9"/>
    <w:rsid w:val="005011D6"/>
    <w:rsid w:val="00503F2E"/>
    <w:rsid w:val="00506087"/>
    <w:rsid w:val="00552226"/>
    <w:rsid w:val="00566120"/>
    <w:rsid w:val="00582E6D"/>
    <w:rsid w:val="005954D5"/>
    <w:rsid w:val="005A53FA"/>
    <w:rsid w:val="005B15A5"/>
    <w:rsid w:val="005B1B6D"/>
    <w:rsid w:val="005C3C64"/>
    <w:rsid w:val="005D1293"/>
    <w:rsid w:val="00603C6A"/>
    <w:rsid w:val="006069EF"/>
    <w:rsid w:val="00622D78"/>
    <w:rsid w:val="00631BA9"/>
    <w:rsid w:val="00634525"/>
    <w:rsid w:val="0064167C"/>
    <w:rsid w:val="00644D5F"/>
    <w:rsid w:val="006667CC"/>
    <w:rsid w:val="006727AD"/>
    <w:rsid w:val="00683843"/>
    <w:rsid w:val="00691425"/>
    <w:rsid w:val="00693AD6"/>
    <w:rsid w:val="006A516E"/>
    <w:rsid w:val="006B0830"/>
    <w:rsid w:val="006F0952"/>
    <w:rsid w:val="00716E2B"/>
    <w:rsid w:val="00740DA1"/>
    <w:rsid w:val="00770F18"/>
    <w:rsid w:val="00773B74"/>
    <w:rsid w:val="007770A6"/>
    <w:rsid w:val="0078290C"/>
    <w:rsid w:val="007A7966"/>
    <w:rsid w:val="007C06CA"/>
    <w:rsid w:val="007D047C"/>
    <w:rsid w:val="00806AFC"/>
    <w:rsid w:val="008163FB"/>
    <w:rsid w:val="008166D1"/>
    <w:rsid w:val="0082605B"/>
    <w:rsid w:val="00836591"/>
    <w:rsid w:val="00855C36"/>
    <w:rsid w:val="00857DBE"/>
    <w:rsid w:val="008701BC"/>
    <w:rsid w:val="00883D92"/>
    <w:rsid w:val="008A5362"/>
    <w:rsid w:val="008F21F1"/>
    <w:rsid w:val="008F221B"/>
    <w:rsid w:val="008F5A2D"/>
    <w:rsid w:val="00911DEF"/>
    <w:rsid w:val="00921602"/>
    <w:rsid w:val="00926DC5"/>
    <w:rsid w:val="009472D5"/>
    <w:rsid w:val="00957EA1"/>
    <w:rsid w:val="00966B9E"/>
    <w:rsid w:val="00966E5B"/>
    <w:rsid w:val="00971571"/>
    <w:rsid w:val="00976AA0"/>
    <w:rsid w:val="009B4EF0"/>
    <w:rsid w:val="009D271F"/>
    <w:rsid w:val="009E58EC"/>
    <w:rsid w:val="009F4472"/>
    <w:rsid w:val="00A20823"/>
    <w:rsid w:val="00A30E36"/>
    <w:rsid w:val="00A6346F"/>
    <w:rsid w:val="00A929C2"/>
    <w:rsid w:val="00AD097F"/>
    <w:rsid w:val="00AE1AF9"/>
    <w:rsid w:val="00B123CF"/>
    <w:rsid w:val="00B3234E"/>
    <w:rsid w:val="00B42213"/>
    <w:rsid w:val="00B5046C"/>
    <w:rsid w:val="00B844F4"/>
    <w:rsid w:val="00BA06A1"/>
    <w:rsid w:val="00BA770A"/>
    <w:rsid w:val="00BD2E05"/>
    <w:rsid w:val="00BD38E8"/>
    <w:rsid w:val="00C054DE"/>
    <w:rsid w:val="00C45032"/>
    <w:rsid w:val="00C679A9"/>
    <w:rsid w:val="00C7541C"/>
    <w:rsid w:val="00CC0FAA"/>
    <w:rsid w:val="00CD0736"/>
    <w:rsid w:val="00D1570F"/>
    <w:rsid w:val="00D32830"/>
    <w:rsid w:val="00DB116D"/>
    <w:rsid w:val="00DB421A"/>
    <w:rsid w:val="00DB7153"/>
    <w:rsid w:val="00DB7F05"/>
    <w:rsid w:val="00DE52A4"/>
    <w:rsid w:val="00DF6A42"/>
    <w:rsid w:val="00E028C3"/>
    <w:rsid w:val="00E14F77"/>
    <w:rsid w:val="00E3076B"/>
    <w:rsid w:val="00E36978"/>
    <w:rsid w:val="00E56010"/>
    <w:rsid w:val="00E82A1E"/>
    <w:rsid w:val="00E90D41"/>
    <w:rsid w:val="00EC06F4"/>
    <w:rsid w:val="00EC5137"/>
    <w:rsid w:val="00ED2855"/>
    <w:rsid w:val="00ED5F5E"/>
    <w:rsid w:val="00EE4E36"/>
    <w:rsid w:val="00F17AF2"/>
    <w:rsid w:val="00F665F4"/>
    <w:rsid w:val="00F809A3"/>
    <w:rsid w:val="00FA1469"/>
    <w:rsid w:val="00FC35E2"/>
    <w:rsid w:val="00FD225F"/>
    <w:rsid w:val="06017D67"/>
    <w:rsid w:val="2CF33480"/>
    <w:rsid w:val="31C2036A"/>
    <w:rsid w:val="320D02A5"/>
    <w:rsid w:val="348E566F"/>
    <w:rsid w:val="3A226944"/>
    <w:rsid w:val="3AEE6A48"/>
    <w:rsid w:val="3C1620AA"/>
    <w:rsid w:val="3D8F080F"/>
    <w:rsid w:val="44CE1FA4"/>
    <w:rsid w:val="451A7DD5"/>
    <w:rsid w:val="487F73ED"/>
    <w:rsid w:val="4A347EAE"/>
    <w:rsid w:val="4BB26BCB"/>
    <w:rsid w:val="50D10D9E"/>
    <w:rsid w:val="52600405"/>
    <w:rsid w:val="529B4319"/>
    <w:rsid w:val="57773DD6"/>
    <w:rsid w:val="578B79AB"/>
    <w:rsid w:val="57E9733F"/>
    <w:rsid w:val="5CCD3FD5"/>
    <w:rsid w:val="61FA5F9D"/>
    <w:rsid w:val="64CD6910"/>
    <w:rsid w:val="6789158D"/>
    <w:rsid w:val="67D81BA4"/>
    <w:rsid w:val="6AAF1C96"/>
    <w:rsid w:val="75681757"/>
    <w:rsid w:val="75A346A8"/>
    <w:rsid w:val="783E650F"/>
    <w:rsid w:val="79B9382C"/>
    <w:rsid w:val="7B043B76"/>
    <w:rsid w:val="7C041A6A"/>
    <w:rsid w:val="7D162799"/>
    <w:rsid w:val="7E3275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1 Char"/>
    <w:basedOn w:val="8"/>
    <w:link w:val="2"/>
    <w:qFormat/>
    <w:uiPriority w:val="9"/>
    <w:rPr>
      <w:rFonts w:ascii="等线" w:hAnsi="等线" w:eastAsia="等线"/>
      <w:b/>
      <w:bCs/>
      <w:kern w:val="44"/>
      <w:sz w:val="44"/>
      <w:szCs w:val="44"/>
    </w:rPr>
  </w:style>
  <w:style w:type="character" w:customStyle="1" w:styleId="10">
    <w:name w:val="正文文本 Char"/>
    <w:basedOn w:val="8"/>
    <w:link w:val="3"/>
    <w:semiHidden/>
    <w:uiPriority w:val="99"/>
    <w:rPr>
      <w:rFonts w:ascii="等线" w:hAnsi="等线" w:eastAsia="等线"/>
    </w:rPr>
  </w:style>
  <w:style w:type="character" w:customStyle="1" w:styleId="11">
    <w:name w:val="页脚 Char"/>
    <w:basedOn w:val="8"/>
    <w:link w:val="4"/>
    <w:qFormat/>
    <w:locked/>
    <w:uiPriority w:val="99"/>
    <w:rPr>
      <w:rFonts w:cs="Times New Roman"/>
      <w:sz w:val="18"/>
      <w:szCs w:val="18"/>
    </w:rPr>
  </w:style>
  <w:style w:type="character" w:customStyle="1" w:styleId="12">
    <w:name w:val="页眉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3"/>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3"/>
    <customShpInfo spid="_x0000_s106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FD686-498B-4E9C-A880-BC1E0F32E069}">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31</Pages>
  <Words>8853</Words>
  <Characters>4091</Characters>
  <Lines>34</Lines>
  <Paragraphs>25</Paragraphs>
  <TotalTime>150</TotalTime>
  <ScaleCrop>false</ScaleCrop>
  <LinksUpToDate>false</LinksUpToDate>
  <CharactersWithSpaces>12919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碧玺</cp:lastModifiedBy>
  <cp:lastPrinted>2021-05-19T01:05:00Z</cp:lastPrinted>
  <dcterms:modified xsi:type="dcterms:W3CDTF">2024-03-19T03:37:56Z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F294B0C0667E421DA9183C0A1A9C071D</vt:lpwstr>
  </property>
</Properties>
</file>